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image/tiff" Extension="tiff"/>
  <Default ContentType="image/vnd.ms-photo" Extension="wdp"/>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6181C" w:rsidRPr="00717D4D" w:rsidRDefault="0006181C" w:rsidP="0006181C">
      <w:pPr>
        <w:pStyle w:val="Title"/>
        <w:shd w:val="clear" w:color="auto" w:fill="FBE4D5" w:themeFill="accent2" w:themeFillTint="33"/>
        <w:jc w:val="center"/>
        <w:rPr>
          <w:rFonts w:asciiTheme="minorHAnsi" w:hAnsiTheme="minorHAnsi" w:cstheme="minorHAnsi"/>
          <w:b/>
          <w:sz w:val="40"/>
          <w:szCs w:val="40"/>
        </w:rPr>
      </w:pPr>
      <w:r w:rsidRPr="00717D4D">
        <w:rPr>
          <w:rFonts w:asciiTheme="minorHAnsi" w:hAnsiTheme="minorHAnsi" w:cstheme="minorHAnsi"/>
          <w:b/>
          <w:sz w:val="40"/>
          <w:szCs w:val="40"/>
        </w:rPr>
        <w:t>COVID-19</w:t>
      </w:r>
    </w:p>
    <w:p w:rsidR="0006181C" w:rsidRPr="00717D4D" w:rsidRDefault="0028074E" w:rsidP="0028074E">
      <w:pPr>
        <w:shd w:val="clear" w:color="auto" w:fill="FBE4D5" w:themeFill="accent2" w:themeFillTint="33"/>
        <w:tabs>
          <w:tab w:val="left" w:pos="4536"/>
        </w:tabs>
        <w:rPr>
          <w:rFonts w:asciiTheme="minorHAnsi" w:hAnsiTheme="minorHAnsi" w:cstheme="minorHAnsi"/>
          <w:color w:val="C00000"/>
        </w:rPr>
      </w:pPr>
      <w:r w:rsidRPr="00717D4D">
        <w:rPr>
          <w:rFonts w:asciiTheme="minorHAnsi" w:hAnsiTheme="minorHAnsi" w:cstheme="minorHAnsi"/>
        </w:rPr>
        <w:t xml:space="preserve"> </w:t>
      </w:r>
      <w:r w:rsidRPr="000E0B6E">
        <w:rPr>
          <w:rFonts w:asciiTheme="minorHAnsi" w:hAnsiTheme="minorHAnsi" w:cstheme="minorHAnsi"/>
          <w:sz w:val="20"/>
          <w:szCs w:val="20"/>
        </w:rPr>
        <w:t xml:space="preserve">   </w:t>
      </w:r>
      <w:r w:rsidR="0088757A" w:rsidRPr="000E0B6E">
        <w:rPr>
          <w:rFonts w:asciiTheme="minorHAnsi" w:hAnsiTheme="minorHAnsi" w:cstheme="minorHAnsi"/>
          <w:sz w:val="20"/>
          <w:szCs w:val="20"/>
        </w:rPr>
        <w:t xml:space="preserve">CAPITOLO 1 </w:t>
      </w:r>
      <w:r w:rsidRPr="000E0B6E">
        <w:rPr>
          <w:rFonts w:asciiTheme="minorHAnsi" w:hAnsiTheme="minorHAnsi" w:cstheme="minorHAnsi"/>
          <w:sz w:val="20"/>
          <w:szCs w:val="20"/>
        </w:rPr>
        <w:t xml:space="preserve">                 </w:t>
      </w:r>
      <w:r w:rsidR="000E0B6E">
        <w:rPr>
          <w:rFonts w:asciiTheme="minorHAnsi" w:hAnsiTheme="minorHAnsi" w:cstheme="minorHAnsi"/>
          <w:sz w:val="20"/>
          <w:szCs w:val="20"/>
        </w:rPr>
        <w:t xml:space="preserve">               </w:t>
      </w:r>
      <w:r w:rsidR="0006181C" w:rsidRPr="000E0B6E">
        <w:rPr>
          <w:rFonts w:asciiTheme="minorHAnsi" w:hAnsiTheme="minorHAnsi" w:cstheme="minorHAnsi"/>
          <w:b/>
          <w:sz w:val="20"/>
          <w:szCs w:val="20"/>
        </w:rPr>
        <w:t xml:space="preserve">PRESENTAZIONE CLINICA E </w:t>
      </w:r>
      <w:r w:rsidR="0006181C" w:rsidRPr="001C3CEA">
        <w:rPr>
          <w:rFonts w:asciiTheme="minorHAnsi" w:hAnsiTheme="minorHAnsi" w:cstheme="minorHAnsi"/>
          <w:b/>
          <w:sz w:val="20"/>
          <w:szCs w:val="20"/>
        </w:rPr>
        <w:t>IMMUNOPATOGENESI</w:t>
      </w:r>
      <w:r w:rsidR="001B7F49" w:rsidRPr="001C3CEA">
        <w:rPr>
          <w:rFonts w:asciiTheme="minorHAnsi" w:hAnsiTheme="minorHAnsi" w:cstheme="minorHAnsi"/>
          <w:b/>
          <w:sz w:val="20"/>
          <w:szCs w:val="20"/>
        </w:rPr>
        <w:t xml:space="preserve">     </w:t>
      </w:r>
      <w:hyperlink r:id="rId8" w:history="1">
        <w:r w:rsidR="00494298" w:rsidRPr="001C3CEA">
          <w:rPr>
            <w:rStyle w:val="Hyperlink"/>
            <w:rFonts w:asciiTheme="minorHAnsi" w:hAnsiTheme="minorHAnsi" w:cstheme="minorHAnsi"/>
            <w:sz w:val="20"/>
            <w:szCs w:val="20"/>
            <w:u w:val="none"/>
          </w:rPr>
          <w:t>https://bit.ly/ebook_COVID-19</w:t>
        </w:r>
      </w:hyperlink>
    </w:p>
    <w:p w:rsidR="0006181C" w:rsidRPr="00717D4D" w:rsidRDefault="0006181C" w:rsidP="0006181C">
      <w:pPr>
        <w:shd w:val="clear" w:color="auto" w:fill="FBE4D5" w:themeFill="accent2" w:themeFillTint="33"/>
        <w:jc w:val="center"/>
        <w:rPr>
          <w:rFonts w:asciiTheme="minorHAnsi" w:hAnsiTheme="minorHAnsi" w:cstheme="minorHAnsi"/>
        </w:rPr>
      </w:pPr>
    </w:p>
    <w:p w:rsidR="0006181C" w:rsidRPr="00717D4D" w:rsidRDefault="0006181C" w:rsidP="00E565AE">
      <w:pPr>
        <w:pStyle w:val="TOC1"/>
      </w:pPr>
    </w:p>
    <w:p w:rsidR="003E5744" w:rsidRPr="007B1EBF" w:rsidRDefault="0088757A" w:rsidP="00E565AE">
      <w:pPr>
        <w:pStyle w:val="TOC1"/>
      </w:pPr>
      <w:r w:rsidRPr="007B1EBF">
        <w:t>SOMMARIO</w:t>
      </w:r>
    </w:p>
    <w:p w:rsidR="00E565AE" w:rsidRPr="00E565AE" w:rsidRDefault="00A3486E" w:rsidP="00E565AE">
      <w:pPr>
        <w:pStyle w:val="TOC1"/>
        <w:rPr>
          <w:rFonts w:eastAsiaTheme="minorEastAsia" w:cstheme="minorBidi"/>
          <w:color w:val="000000" w:themeColor="text1"/>
          <w:sz w:val="24"/>
          <w:szCs w:val="24"/>
        </w:rPr>
      </w:pPr>
      <w:r w:rsidRPr="000C69DF">
        <w:fldChar w:fldCharType="begin"/>
      </w:r>
      <w:r w:rsidRPr="000C69DF">
        <w:instrText xml:space="preserve"> TOC \o "1-3" \h \z \u </w:instrText>
      </w:r>
      <w:r w:rsidRPr="000C69DF">
        <w:fldChar w:fldCharType="separate"/>
      </w:r>
      <w:hyperlink w:anchor="_Toc43342360" w:history="1">
        <w:r w:rsidR="00E565AE" w:rsidRPr="00E565AE">
          <w:rPr>
            <w:rStyle w:val="Hyperlink"/>
            <w:color w:val="000000" w:themeColor="text1"/>
          </w:rPr>
          <w:t>INTRODUZIONE</w:t>
        </w:r>
        <w:r w:rsidR="00E565AE" w:rsidRPr="00E565AE">
          <w:rPr>
            <w:webHidden/>
            <w:color w:val="000000" w:themeColor="text1"/>
          </w:rPr>
          <w:tab/>
        </w:r>
        <w:r w:rsidR="00E565AE" w:rsidRPr="00E565AE">
          <w:rPr>
            <w:webHidden/>
            <w:color w:val="000000" w:themeColor="text1"/>
          </w:rPr>
          <w:fldChar w:fldCharType="begin"/>
        </w:r>
        <w:r w:rsidR="00E565AE" w:rsidRPr="00E565AE">
          <w:rPr>
            <w:webHidden/>
            <w:color w:val="000000" w:themeColor="text1"/>
          </w:rPr>
          <w:instrText xml:space="preserve"> PAGEREF _Toc43342360 \h </w:instrText>
        </w:r>
        <w:r w:rsidR="00E565AE" w:rsidRPr="00E565AE">
          <w:rPr>
            <w:webHidden/>
            <w:color w:val="000000" w:themeColor="text1"/>
          </w:rPr>
        </w:r>
        <w:r w:rsidR="00E565AE" w:rsidRPr="00E565AE">
          <w:rPr>
            <w:webHidden/>
            <w:color w:val="000000" w:themeColor="text1"/>
          </w:rPr>
          <w:fldChar w:fldCharType="separate"/>
        </w:r>
        <w:r w:rsidR="00F37F04">
          <w:rPr>
            <w:webHidden/>
            <w:color w:val="000000" w:themeColor="text1"/>
          </w:rPr>
          <w:t>3</w:t>
        </w:r>
        <w:r w:rsidR="00E565AE" w:rsidRPr="00E565AE">
          <w:rPr>
            <w:webHidden/>
            <w:color w:val="000000" w:themeColor="text1"/>
          </w:rPr>
          <w:fldChar w:fldCharType="end"/>
        </w:r>
      </w:hyperlink>
    </w:p>
    <w:p w:rsidR="00E565AE" w:rsidRPr="00E565AE" w:rsidRDefault="0052743C" w:rsidP="00E565AE">
      <w:pPr>
        <w:pStyle w:val="TOC2"/>
        <w:rPr>
          <w:rFonts w:eastAsiaTheme="minorEastAsia" w:cstheme="minorBidi"/>
          <w:sz w:val="24"/>
          <w:szCs w:val="24"/>
        </w:rPr>
      </w:pPr>
      <w:hyperlink w:anchor="_Toc43342361" w:history="1">
        <w:r w:rsidR="00E565AE" w:rsidRPr="00E565AE">
          <w:rPr>
            <w:rStyle w:val="Hyperlink"/>
            <w:b w:val="0"/>
            <w:bCs/>
            <w:color w:val="000000" w:themeColor="text1"/>
          </w:rPr>
          <w:t>COVID-19 – situazione nel mondo</w:t>
        </w:r>
        <w:r w:rsidR="00E565AE" w:rsidRPr="00E565AE">
          <w:rPr>
            <w:webHidden/>
          </w:rPr>
          <w:tab/>
        </w:r>
        <w:r w:rsidR="00E565AE" w:rsidRPr="00E565AE">
          <w:rPr>
            <w:webHidden/>
          </w:rPr>
          <w:fldChar w:fldCharType="begin"/>
        </w:r>
        <w:r w:rsidR="00E565AE" w:rsidRPr="00E565AE">
          <w:rPr>
            <w:webHidden/>
          </w:rPr>
          <w:instrText xml:space="preserve"> PAGEREF _Toc43342361 \h </w:instrText>
        </w:r>
        <w:r w:rsidR="00E565AE" w:rsidRPr="00E565AE">
          <w:rPr>
            <w:webHidden/>
          </w:rPr>
        </w:r>
        <w:r w:rsidR="00E565AE" w:rsidRPr="00E565AE">
          <w:rPr>
            <w:webHidden/>
          </w:rPr>
          <w:fldChar w:fldCharType="separate"/>
        </w:r>
        <w:r w:rsidR="00F37F04">
          <w:rPr>
            <w:webHidden/>
          </w:rPr>
          <w:t>3</w:t>
        </w:r>
        <w:r w:rsidR="00E565AE" w:rsidRPr="00E565AE">
          <w:rPr>
            <w:webHidden/>
          </w:rPr>
          <w:fldChar w:fldCharType="end"/>
        </w:r>
      </w:hyperlink>
    </w:p>
    <w:p w:rsidR="00E565AE" w:rsidRPr="00E565AE" w:rsidRDefault="0052743C" w:rsidP="00E565AE">
      <w:pPr>
        <w:pStyle w:val="TOC2"/>
        <w:rPr>
          <w:rFonts w:eastAsiaTheme="minorEastAsia" w:cstheme="minorBidi"/>
          <w:sz w:val="24"/>
          <w:szCs w:val="24"/>
        </w:rPr>
      </w:pPr>
      <w:hyperlink w:anchor="_Toc43342362" w:history="1">
        <w:r w:rsidR="00E565AE" w:rsidRPr="00E565AE">
          <w:rPr>
            <w:rStyle w:val="Hyperlink"/>
            <w:b w:val="0"/>
            <w:bCs/>
            <w:color w:val="000000" w:themeColor="text1"/>
          </w:rPr>
          <w:t xml:space="preserve">COVID-19 - Situazione in Italia </w:t>
        </w:r>
        <w:r w:rsidR="00E565AE" w:rsidRPr="00E565AE">
          <w:rPr>
            <w:webHidden/>
          </w:rPr>
          <w:tab/>
        </w:r>
        <w:r w:rsidR="00E565AE" w:rsidRPr="00E565AE">
          <w:rPr>
            <w:webHidden/>
          </w:rPr>
          <w:fldChar w:fldCharType="begin"/>
        </w:r>
        <w:r w:rsidR="00E565AE" w:rsidRPr="00E565AE">
          <w:rPr>
            <w:webHidden/>
          </w:rPr>
          <w:instrText xml:space="preserve"> PAGEREF _Toc43342362 \h </w:instrText>
        </w:r>
        <w:r w:rsidR="00E565AE" w:rsidRPr="00E565AE">
          <w:rPr>
            <w:webHidden/>
          </w:rPr>
        </w:r>
        <w:r w:rsidR="00E565AE" w:rsidRPr="00E565AE">
          <w:rPr>
            <w:webHidden/>
          </w:rPr>
          <w:fldChar w:fldCharType="separate"/>
        </w:r>
        <w:r w:rsidR="00F37F04">
          <w:rPr>
            <w:webHidden/>
          </w:rPr>
          <w:t>4</w:t>
        </w:r>
        <w:r w:rsidR="00E565AE" w:rsidRPr="00E565AE">
          <w:rPr>
            <w:webHidden/>
          </w:rPr>
          <w:fldChar w:fldCharType="end"/>
        </w:r>
      </w:hyperlink>
    </w:p>
    <w:p w:rsidR="00E565AE" w:rsidRPr="00E565AE" w:rsidRDefault="0052743C" w:rsidP="00E565AE">
      <w:pPr>
        <w:pStyle w:val="TOC1"/>
        <w:rPr>
          <w:rFonts w:eastAsiaTheme="minorEastAsia" w:cstheme="minorBidi"/>
          <w:color w:val="000000" w:themeColor="text1"/>
          <w:sz w:val="24"/>
          <w:szCs w:val="24"/>
        </w:rPr>
      </w:pPr>
      <w:hyperlink w:anchor="_Toc43342363" w:history="1">
        <w:r w:rsidR="00E565AE" w:rsidRPr="00E565AE">
          <w:rPr>
            <w:rStyle w:val="Hyperlink"/>
            <w:color w:val="000000" w:themeColor="text1"/>
          </w:rPr>
          <w:t xml:space="preserve">PRESENTAZIONE CLINICA </w:t>
        </w:r>
        <w:r w:rsidR="00E565AE" w:rsidRPr="00E565AE">
          <w:rPr>
            <w:webHidden/>
            <w:color w:val="000000" w:themeColor="text1"/>
          </w:rPr>
          <w:tab/>
        </w:r>
        <w:r w:rsidR="00E565AE" w:rsidRPr="00E565AE">
          <w:rPr>
            <w:webHidden/>
            <w:color w:val="000000" w:themeColor="text1"/>
          </w:rPr>
          <w:fldChar w:fldCharType="begin"/>
        </w:r>
        <w:r w:rsidR="00E565AE" w:rsidRPr="00E565AE">
          <w:rPr>
            <w:webHidden/>
            <w:color w:val="000000" w:themeColor="text1"/>
          </w:rPr>
          <w:instrText xml:space="preserve"> PAGEREF _Toc43342363 \h </w:instrText>
        </w:r>
        <w:r w:rsidR="00E565AE" w:rsidRPr="00E565AE">
          <w:rPr>
            <w:webHidden/>
            <w:color w:val="000000" w:themeColor="text1"/>
          </w:rPr>
        </w:r>
        <w:r w:rsidR="00E565AE" w:rsidRPr="00E565AE">
          <w:rPr>
            <w:webHidden/>
            <w:color w:val="000000" w:themeColor="text1"/>
          </w:rPr>
          <w:fldChar w:fldCharType="separate"/>
        </w:r>
        <w:r w:rsidR="00F37F04">
          <w:rPr>
            <w:webHidden/>
            <w:color w:val="000000" w:themeColor="text1"/>
          </w:rPr>
          <w:t>5</w:t>
        </w:r>
        <w:r w:rsidR="00E565AE" w:rsidRPr="00E565AE">
          <w:rPr>
            <w:webHidden/>
            <w:color w:val="000000" w:themeColor="text1"/>
          </w:rPr>
          <w:fldChar w:fldCharType="end"/>
        </w:r>
      </w:hyperlink>
    </w:p>
    <w:p w:rsidR="00E565AE" w:rsidRPr="00E565AE" w:rsidRDefault="0052743C" w:rsidP="00E565AE">
      <w:pPr>
        <w:pStyle w:val="TOC1"/>
        <w:rPr>
          <w:rFonts w:eastAsiaTheme="minorEastAsia" w:cstheme="minorBidi"/>
          <w:color w:val="000000" w:themeColor="text1"/>
          <w:sz w:val="24"/>
          <w:szCs w:val="24"/>
        </w:rPr>
      </w:pPr>
      <w:hyperlink w:anchor="_Toc43342364" w:history="1">
        <w:r w:rsidR="00E565AE" w:rsidRPr="00E565AE">
          <w:rPr>
            <w:rStyle w:val="Hyperlink"/>
            <w:color w:val="000000" w:themeColor="text1"/>
          </w:rPr>
          <w:t>RISULTATI ISTOPATOLOGICI DELLE AUTOPSIE</w:t>
        </w:r>
        <w:r w:rsidR="00E565AE" w:rsidRPr="00E565AE">
          <w:rPr>
            <w:webHidden/>
            <w:color w:val="000000" w:themeColor="text1"/>
          </w:rPr>
          <w:tab/>
        </w:r>
        <w:r w:rsidR="00E565AE" w:rsidRPr="00E565AE">
          <w:rPr>
            <w:webHidden/>
            <w:color w:val="000000" w:themeColor="text1"/>
          </w:rPr>
          <w:fldChar w:fldCharType="begin"/>
        </w:r>
        <w:r w:rsidR="00E565AE" w:rsidRPr="00E565AE">
          <w:rPr>
            <w:webHidden/>
            <w:color w:val="000000" w:themeColor="text1"/>
          </w:rPr>
          <w:instrText xml:space="preserve"> PAGEREF _Toc43342364 \h </w:instrText>
        </w:r>
        <w:r w:rsidR="00E565AE" w:rsidRPr="00E565AE">
          <w:rPr>
            <w:webHidden/>
            <w:color w:val="000000" w:themeColor="text1"/>
          </w:rPr>
        </w:r>
        <w:r w:rsidR="00E565AE" w:rsidRPr="00E565AE">
          <w:rPr>
            <w:webHidden/>
            <w:color w:val="000000" w:themeColor="text1"/>
          </w:rPr>
          <w:fldChar w:fldCharType="separate"/>
        </w:r>
        <w:r w:rsidR="00F37F04">
          <w:rPr>
            <w:webHidden/>
            <w:color w:val="000000" w:themeColor="text1"/>
          </w:rPr>
          <w:t>16</w:t>
        </w:r>
        <w:r w:rsidR="00E565AE" w:rsidRPr="00E565AE">
          <w:rPr>
            <w:webHidden/>
            <w:color w:val="000000" w:themeColor="text1"/>
          </w:rPr>
          <w:fldChar w:fldCharType="end"/>
        </w:r>
      </w:hyperlink>
    </w:p>
    <w:p w:rsidR="00E565AE" w:rsidRPr="00E565AE" w:rsidRDefault="0052743C" w:rsidP="00E565AE">
      <w:pPr>
        <w:pStyle w:val="TOC1"/>
        <w:rPr>
          <w:rFonts w:eastAsiaTheme="minorEastAsia" w:cstheme="minorBidi"/>
          <w:color w:val="000000" w:themeColor="text1"/>
          <w:sz w:val="24"/>
          <w:szCs w:val="24"/>
        </w:rPr>
      </w:pPr>
      <w:hyperlink w:anchor="_Toc43342365" w:history="1">
        <w:r w:rsidR="00E565AE" w:rsidRPr="00E565AE">
          <w:rPr>
            <w:rStyle w:val="Hyperlink"/>
            <w:color w:val="000000" w:themeColor="text1"/>
          </w:rPr>
          <w:t>IMMUNOPATOGENESI</w:t>
        </w:r>
        <w:r w:rsidR="00E565AE" w:rsidRPr="00E565AE">
          <w:rPr>
            <w:webHidden/>
            <w:color w:val="000000" w:themeColor="text1"/>
          </w:rPr>
          <w:tab/>
        </w:r>
        <w:r w:rsidR="00E565AE" w:rsidRPr="00E565AE">
          <w:rPr>
            <w:webHidden/>
            <w:color w:val="000000" w:themeColor="text1"/>
          </w:rPr>
          <w:fldChar w:fldCharType="begin"/>
        </w:r>
        <w:r w:rsidR="00E565AE" w:rsidRPr="00E565AE">
          <w:rPr>
            <w:webHidden/>
            <w:color w:val="000000" w:themeColor="text1"/>
          </w:rPr>
          <w:instrText xml:space="preserve"> PAGEREF _Toc43342365 \h </w:instrText>
        </w:r>
        <w:r w:rsidR="00E565AE" w:rsidRPr="00E565AE">
          <w:rPr>
            <w:webHidden/>
            <w:color w:val="000000" w:themeColor="text1"/>
          </w:rPr>
        </w:r>
        <w:r w:rsidR="00E565AE" w:rsidRPr="00E565AE">
          <w:rPr>
            <w:webHidden/>
            <w:color w:val="000000" w:themeColor="text1"/>
          </w:rPr>
          <w:fldChar w:fldCharType="separate"/>
        </w:r>
        <w:r w:rsidR="00F37F04">
          <w:rPr>
            <w:webHidden/>
            <w:color w:val="000000" w:themeColor="text1"/>
          </w:rPr>
          <w:t>20</w:t>
        </w:r>
        <w:r w:rsidR="00E565AE" w:rsidRPr="00E565AE">
          <w:rPr>
            <w:webHidden/>
            <w:color w:val="000000" w:themeColor="text1"/>
          </w:rPr>
          <w:fldChar w:fldCharType="end"/>
        </w:r>
      </w:hyperlink>
    </w:p>
    <w:p w:rsidR="00E565AE" w:rsidRPr="00E565AE" w:rsidRDefault="0052743C" w:rsidP="00E565AE">
      <w:pPr>
        <w:pStyle w:val="TOC2"/>
        <w:rPr>
          <w:rFonts w:eastAsiaTheme="minorEastAsia" w:cstheme="minorBidi"/>
          <w:color w:val="auto"/>
          <w:sz w:val="24"/>
          <w:szCs w:val="24"/>
        </w:rPr>
      </w:pPr>
      <w:hyperlink w:anchor="_Toc43342366" w:history="1">
        <w:r w:rsidR="00E565AE" w:rsidRPr="00E565AE">
          <w:rPr>
            <w:rStyle w:val="Hyperlink"/>
            <w:b w:val="0"/>
            <w:bCs/>
          </w:rPr>
          <w:t>Struttura del SARS-Cov-2</w:t>
        </w:r>
        <w:r w:rsidR="00E565AE" w:rsidRPr="00E565AE">
          <w:rPr>
            <w:webHidden/>
          </w:rPr>
          <w:tab/>
        </w:r>
        <w:r w:rsidR="00E565AE" w:rsidRPr="00E565AE">
          <w:rPr>
            <w:webHidden/>
          </w:rPr>
          <w:fldChar w:fldCharType="begin"/>
        </w:r>
        <w:r w:rsidR="00E565AE" w:rsidRPr="00E565AE">
          <w:rPr>
            <w:webHidden/>
          </w:rPr>
          <w:instrText xml:space="preserve"> PAGEREF _Toc43342366 \h </w:instrText>
        </w:r>
        <w:r w:rsidR="00E565AE" w:rsidRPr="00E565AE">
          <w:rPr>
            <w:webHidden/>
          </w:rPr>
        </w:r>
        <w:r w:rsidR="00E565AE" w:rsidRPr="00E565AE">
          <w:rPr>
            <w:webHidden/>
          </w:rPr>
          <w:fldChar w:fldCharType="separate"/>
        </w:r>
        <w:r w:rsidR="00F37F04">
          <w:rPr>
            <w:webHidden/>
          </w:rPr>
          <w:t>21</w:t>
        </w:r>
        <w:r w:rsidR="00E565AE" w:rsidRPr="00E565AE">
          <w:rPr>
            <w:webHidden/>
          </w:rPr>
          <w:fldChar w:fldCharType="end"/>
        </w:r>
      </w:hyperlink>
    </w:p>
    <w:p w:rsidR="00E565AE" w:rsidRPr="00E565AE" w:rsidRDefault="0052743C" w:rsidP="00E565AE">
      <w:pPr>
        <w:pStyle w:val="TOC1"/>
        <w:rPr>
          <w:rFonts w:eastAsiaTheme="minorEastAsia" w:cstheme="minorBidi"/>
          <w:sz w:val="24"/>
          <w:szCs w:val="24"/>
        </w:rPr>
      </w:pPr>
      <w:hyperlink w:anchor="_Toc43342367" w:history="1">
        <w:r w:rsidR="00E565AE" w:rsidRPr="00E565AE">
          <w:rPr>
            <w:rStyle w:val="Hyperlink"/>
            <w:color w:val="2F5496" w:themeColor="accent1" w:themeShade="BF"/>
          </w:rPr>
          <w:t>APPROFONDIMENTO</w:t>
        </w:r>
        <w:r w:rsidR="00E565AE" w:rsidRPr="00E565AE">
          <w:rPr>
            <w:webHidden/>
          </w:rPr>
          <w:tab/>
        </w:r>
        <w:r w:rsidR="00E565AE" w:rsidRPr="00E565AE">
          <w:rPr>
            <w:webHidden/>
          </w:rPr>
          <w:fldChar w:fldCharType="begin"/>
        </w:r>
        <w:r w:rsidR="00E565AE" w:rsidRPr="00E565AE">
          <w:rPr>
            <w:webHidden/>
          </w:rPr>
          <w:instrText xml:space="preserve"> PAGEREF _Toc43342367 \h </w:instrText>
        </w:r>
        <w:r w:rsidR="00E565AE" w:rsidRPr="00E565AE">
          <w:rPr>
            <w:webHidden/>
          </w:rPr>
        </w:r>
        <w:r w:rsidR="00E565AE" w:rsidRPr="00E565AE">
          <w:rPr>
            <w:webHidden/>
          </w:rPr>
          <w:fldChar w:fldCharType="separate"/>
        </w:r>
        <w:r w:rsidR="00F37F04">
          <w:rPr>
            <w:webHidden/>
          </w:rPr>
          <w:t>23</w:t>
        </w:r>
        <w:r w:rsidR="00E565AE" w:rsidRPr="00E565AE">
          <w:rPr>
            <w:webHidden/>
          </w:rPr>
          <w:fldChar w:fldCharType="end"/>
        </w:r>
      </w:hyperlink>
    </w:p>
    <w:p w:rsidR="00E565AE" w:rsidRPr="00E565AE" w:rsidRDefault="0052743C" w:rsidP="00E565AE">
      <w:pPr>
        <w:pStyle w:val="TOC1"/>
        <w:rPr>
          <w:rFonts w:eastAsiaTheme="minorEastAsia" w:cstheme="minorBidi"/>
          <w:b w:val="0"/>
          <w:bCs/>
          <w:sz w:val="24"/>
          <w:szCs w:val="24"/>
        </w:rPr>
      </w:pPr>
      <w:hyperlink w:anchor="_Toc43342368" w:history="1">
        <w:r w:rsidR="00E565AE" w:rsidRPr="00E565AE">
          <w:rPr>
            <w:rStyle w:val="Hyperlink"/>
            <w:b w:val="0"/>
            <w:bCs/>
            <w:color w:val="2F5496" w:themeColor="accent1" w:themeShade="BF"/>
          </w:rPr>
          <w:t xml:space="preserve">IL SISTEMA IMMUNITARIO </w:t>
        </w:r>
        <w:r w:rsidR="00E565AE" w:rsidRPr="00E565AE">
          <w:rPr>
            <w:b w:val="0"/>
            <w:bCs/>
            <w:webHidden/>
          </w:rPr>
          <w:tab/>
        </w:r>
        <w:r w:rsidR="00E565AE" w:rsidRPr="00E565AE">
          <w:rPr>
            <w:b w:val="0"/>
            <w:bCs/>
            <w:webHidden/>
          </w:rPr>
          <w:fldChar w:fldCharType="begin"/>
        </w:r>
        <w:r w:rsidR="00E565AE" w:rsidRPr="00E565AE">
          <w:rPr>
            <w:b w:val="0"/>
            <w:bCs/>
            <w:webHidden/>
          </w:rPr>
          <w:instrText xml:space="preserve"> PAGEREF _Toc43342368 \h </w:instrText>
        </w:r>
        <w:r w:rsidR="00E565AE" w:rsidRPr="00E565AE">
          <w:rPr>
            <w:b w:val="0"/>
            <w:bCs/>
            <w:webHidden/>
          </w:rPr>
        </w:r>
        <w:r w:rsidR="00E565AE" w:rsidRPr="00E565AE">
          <w:rPr>
            <w:b w:val="0"/>
            <w:bCs/>
            <w:webHidden/>
          </w:rPr>
          <w:fldChar w:fldCharType="separate"/>
        </w:r>
        <w:r w:rsidR="00F37F04">
          <w:rPr>
            <w:b w:val="0"/>
            <w:bCs/>
            <w:webHidden/>
          </w:rPr>
          <w:t>23</w:t>
        </w:r>
        <w:r w:rsidR="00E565AE" w:rsidRPr="00E565AE">
          <w:rPr>
            <w:b w:val="0"/>
            <w:bCs/>
            <w:webHidden/>
          </w:rPr>
          <w:fldChar w:fldCharType="end"/>
        </w:r>
      </w:hyperlink>
    </w:p>
    <w:p w:rsidR="00E565AE" w:rsidRPr="00E565AE" w:rsidRDefault="0052743C" w:rsidP="00E565AE">
      <w:pPr>
        <w:pStyle w:val="TOC2"/>
        <w:rPr>
          <w:rFonts w:eastAsiaTheme="minorEastAsia" w:cstheme="minorBidi"/>
          <w:b w:val="0"/>
          <w:bCs/>
          <w:color w:val="2F5496" w:themeColor="accent1" w:themeShade="BF"/>
          <w:sz w:val="24"/>
          <w:szCs w:val="24"/>
        </w:rPr>
      </w:pPr>
      <w:hyperlink w:anchor="_Toc43342369" w:history="1">
        <w:r w:rsidR="00E565AE" w:rsidRPr="00E565AE">
          <w:rPr>
            <w:rStyle w:val="Hyperlink"/>
            <w:b w:val="0"/>
            <w:bCs/>
            <w:color w:val="2F5496" w:themeColor="accent1" w:themeShade="BF"/>
          </w:rPr>
          <w:t>L’Immunità innata</w:t>
        </w:r>
        <w:r w:rsidR="00E565AE" w:rsidRPr="00E565AE">
          <w:rPr>
            <w:b w:val="0"/>
            <w:bCs/>
            <w:webHidden/>
            <w:color w:val="2F5496" w:themeColor="accent1" w:themeShade="BF"/>
          </w:rPr>
          <w:tab/>
        </w:r>
        <w:r w:rsidR="00E565AE" w:rsidRPr="00E565AE">
          <w:rPr>
            <w:b w:val="0"/>
            <w:bCs/>
            <w:webHidden/>
            <w:color w:val="2F5496" w:themeColor="accent1" w:themeShade="BF"/>
          </w:rPr>
          <w:fldChar w:fldCharType="begin"/>
        </w:r>
        <w:r w:rsidR="00E565AE" w:rsidRPr="00E565AE">
          <w:rPr>
            <w:b w:val="0"/>
            <w:bCs/>
            <w:webHidden/>
            <w:color w:val="2F5496" w:themeColor="accent1" w:themeShade="BF"/>
          </w:rPr>
          <w:instrText xml:space="preserve"> PAGEREF _Toc43342369 \h </w:instrText>
        </w:r>
        <w:r w:rsidR="00E565AE" w:rsidRPr="00E565AE">
          <w:rPr>
            <w:b w:val="0"/>
            <w:bCs/>
            <w:webHidden/>
            <w:color w:val="2F5496" w:themeColor="accent1" w:themeShade="BF"/>
          </w:rPr>
        </w:r>
        <w:r w:rsidR="00E565AE" w:rsidRPr="00E565AE">
          <w:rPr>
            <w:b w:val="0"/>
            <w:bCs/>
            <w:webHidden/>
            <w:color w:val="2F5496" w:themeColor="accent1" w:themeShade="BF"/>
          </w:rPr>
          <w:fldChar w:fldCharType="separate"/>
        </w:r>
        <w:r w:rsidR="00F37F04">
          <w:rPr>
            <w:b w:val="0"/>
            <w:bCs/>
            <w:webHidden/>
            <w:color w:val="2F5496" w:themeColor="accent1" w:themeShade="BF"/>
          </w:rPr>
          <w:t>23</w:t>
        </w:r>
        <w:r w:rsidR="00E565AE" w:rsidRPr="00E565AE">
          <w:rPr>
            <w:b w:val="0"/>
            <w:bCs/>
            <w:webHidden/>
            <w:color w:val="2F5496" w:themeColor="accent1" w:themeShade="BF"/>
          </w:rPr>
          <w:fldChar w:fldCharType="end"/>
        </w:r>
      </w:hyperlink>
    </w:p>
    <w:p w:rsidR="00E565AE" w:rsidRPr="00E565AE" w:rsidRDefault="0052743C" w:rsidP="00E565AE">
      <w:pPr>
        <w:pStyle w:val="TOC2"/>
        <w:rPr>
          <w:rFonts w:eastAsiaTheme="minorEastAsia" w:cstheme="minorBidi"/>
          <w:b w:val="0"/>
          <w:bCs/>
          <w:color w:val="2F5496" w:themeColor="accent1" w:themeShade="BF"/>
          <w:sz w:val="24"/>
          <w:szCs w:val="24"/>
        </w:rPr>
      </w:pPr>
      <w:hyperlink w:anchor="_Toc43342370" w:history="1">
        <w:r w:rsidR="00E565AE" w:rsidRPr="00E565AE">
          <w:rPr>
            <w:rStyle w:val="Hyperlink"/>
            <w:b w:val="0"/>
            <w:bCs/>
            <w:color w:val="2F5496" w:themeColor="accent1" w:themeShade="BF"/>
          </w:rPr>
          <w:t>L’Immunità adattativa</w:t>
        </w:r>
        <w:r w:rsidR="00E565AE" w:rsidRPr="00E565AE">
          <w:rPr>
            <w:b w:val="0"/>
            <w:bCs/>
            <w:webHidden/>
            <w:color w:val="2F5496" w:themeColor="accent1" w:themeShade="BF"/>
          </w:rPr>
          <w:tab/>
        </w:r>
        <w:r w:rsidR="00E565AE" w:rsidRPr="00E565AE">
          <w:rPr>
            <w:b w:val="0"/>
            <w:bCs/>
            <w:webHidden/>
            <w:color w:val="2F5496" w:themeColor="accent1" w:themeShade="BF"/>
          </w:rPr>
          <w:fldChar w:fldCharType="begin"/>
        </w:r>
        <w:r w:rsidR="00E565AE" w:rsidRPr="00E565AE">
          <w:rPr>
            <w:b w:val="0"/>
            <w:bCs/>
            <w:webHidden/>
            <w:color w:val="2F5496" w:themeColor="accent1" w:themeShade="BF"/>
          </w:rPr>
          <w:instrText xml:space="preserve"> PAGEREF _Toc43342370 \h </w:instrText>
        </w:r>
        <w:r w:rsidR="00E565AE" w:rsidRPr="00E565AE">
          <w:rPr>
            <w:b w:val="0"/>
            <w:bCs/>
            <w:webHidden/>
            <w:color w:val="2F5496" w:themeColor="accent1" w:themeShade="BF"/>
          </w:rPr>
        </w:r>
        <w:r w:rsidR="00E565AE" w:rsidRPr="00E565AE">
          <w:rPr>
            <w:b w:val="0"/>
            <w:bCs/>
            <w:webHidden/>
            <w:color w:val="2F5496" w:themeColor="accent1" w:themeShade="BF"/>
          </w:rPr>
          <w:fldChar w:fldCharType="separate"/>
        </w:r>
        <w:r w:rsidR="00F37F04">
          <w:rPr>
            <w:b w:val="0"/>
            <w:bCs/>
            <w:webHidden/>
            <w:color w:val="2F5496" w:themeColor="accent1" w:themeShade="BF"/>
          </w:rPr>
          <w:t>24</w:t>
        </w:r>
        <w:r w:rsidR="00E565AE" w:rsidRPr="00E565AE">
          <w:rPr>
            <w:b w:val="0"/>
            <w:bCs/>
            <w:webHidden/>
            <w:color w:val="2F5496" w:themeColor="accent1" w:themeShade="BF"/>
          </w:rPr>
          <w:fldChar w:fldCharType="end"/>
        </w:r>
      </w:hyperlink>
    </w:p>
    <w:p w:rsidR="00E565AE" w:rsidRPr="00E565AE" w:rsidRDefault="0052743C" w:rsidP="00E565AE">
      <w:pPr>
        <w:pStyle w:val="TOC1"/>
        <w:rPr>
          <w:rFonts w:eastAsiaTheme="minorEastAsia" w:cstheme="minorBidi"/>
          <w:b w:val="0"/>
          <w:bCs/>
          <w:sz w:val="24"/>
          <w:szCs w:val="24"/>
        </w:rPr>
      </w:pPr>
      <w:hyperlink w:anchor="_Toc43342371" w:history="1">
        <w:r w:rsidR="00E565AE" w:rsidRPr="00E565AE">
          <w:rPr>
            <w:rStyle w:val="Hyperlink"/>
            <w:b w:val="0"/>
            <w:bCs/>
            <w:color w:val="2F5496" w:themeColor="accent1" w:themeShade="BF"/>
          </w:rPr>
          <w:t>LA RISPOSTA INFIAMMATORIA ALL’INFEZIONE VIRALE</w:t>
        </w:r>
        <w:r w:rsidR="00E565AE" w:rsidRPr="00E565AE">
          <w:rPr>
            <w:b w:val="0"/>
            <w:bCs/>
            <w:webHidden/>
          </w:rPr>
          <w:tab/>
        </w:r>
        <w:r w:rsidR="00E565AE" w:rsidRPr="00E565AE">
          <w:rPr>
            <w:b w:val="0"/>
            <w:bCs/>
            <w:webHidden/>
          </w:rPr>
          <w:fldChar w:fldCharType="begin"/>
        </w:r>
        <w:r w:rsidR="00E565AE" w:rsidRPr="00E565AE">
          <w:rPr>
            <w:b w:val="0"/>
            <w:bCs/>
            <w:webHidden/>
          </w:rPr>
          <w:instrText xml:space="preserve"> PAGEREF _Toc43342371 \h </w:instrText>
        </w:r>
        <w:r w:rsidR="00E565AE" w:rsidRPr="00E565AE">
          <w:rPr>
            <w:b w:val="0"/>
            <w:bCs/>
            <w:webHidden/>
          </w:rPr>
        </w:r>
        <w:r w:rsidR="00E565AE" w:rsidRPr="00E565AE">
          <w:rPr>
            <w:b w:val="0"/>
            <w:bCs/>
            <w:webHidden/>
          </w:rPr>
          <w:fldChar w:fldCharType="separate"/>
        </w:r>
        <w:r w:rsidR="00F37F04">
          <w:rPr>
            <w:b w:val="0"/>
            <w:bCs/>
            <w:webHidden/>
          </w:rPr>
          <w:t>26</w:t>
        </w:r>
        <w:r w:rsidR="00E565AE" w:rsidRPr="00E565AE">
          <w:rPr>
            <w:b w:val="0"/>
            <w:bCs/>
            <w:webHidden/>
          </w:rPr>
          <w:fldChar w:fldCharType="end"/>
        </w:r>
      </w:hyperlink>
    </w:p>
    <w:p w:rsidR="00E565AE" w:rsidRPr="00E565AE" w:rsidRDefault="0052743C" w:rsidP="00E565AE">
      <w:pPr>
        <w:pStyle w:val="TOC2"/>
        <w:rPr>
          <w:rFonts w:eastAsiaTheme="minorEastAsia" w:cstheme="minorBidi"/>
          <w:b w:val="0"/>
          <w:bCs/>
          <w:color w:val="2F5496" w:themeColor="accent1" w:themeShade="BF"/>
          <w:sz w:val="24"/>
          <w:szCs w:val="24"/>
        </w:rPr>
      </w:pPr>
      <w:hyperlink w:anchor="_Toc43342372" w:history="1">
        <w:r w:rsidR="00E565AE" w:rsidRPr="00E565AE">
          <w:rPr>
            <w:rStyle w:val="Hyperlink"/>
            <w:b w:val="0"/>
            <w:bCs/>
            <w:color w:val="2F5496" w:themeColor="accent1" w:themeShade="BF"/>
          </w:rPr>
          <w:t>Infiammazione acuta</w:t>
        </w:r>
        <w:r w:rsidR="00E565AE" w:rsidRPr="00E565AE">
          <w:rPr>
            <w:b w:val="0"/>
            <w:bCs/>
            <w:webHidden/>
            <w:color w:val="2F5496" w:themeColor="accent1" w:themeShade="BF"/>
          </w:rPr>
          <w:tab/>
        </w:r>
        <w:r w:rsidR="00E565AE" w:rsidRPr="00E565AE">
          <w:rPr>
            <w:b w:val="0"/>
            <w:bCs/>
            <w:webHidden/>
            <w:color w:val="2F5496" w:themeColor="accent1" w:themeShade="BF"/>
          </w:rPr>
          <w:fldChar w:fldCharType="begin"/>
        </w:r>
        <w:r w:rsidR="00E565AE" w:rsidRPr="00E565AE">
          <w:rPr>
            <w:b w:val="0"/>
            <w:bCs/>
            <w:webHidden/>
            <w:color w:val="2F5496" w:themeColor="accent1" w:themeShade="BF"/>
          </w:rPr>
          <w:instrText xml:space="preserve"> PAGEREF _Toc43342372 \h </w:instrText>
        </w:r>
        <w:r w:rsidR="00E565AE" w:rsidRPr="00E565AE">
          <w:rPr>
            <w:b w:val="0"/>
            <w:bCs/>
            <w:webHidden/>
            <w:color w:val="2F5496" w:themeColor="accent1" w:themeShade="BF"/>
          </w:rPr>
        </w:r>
        <w:r w:rsidR="00E565AE" w:rsidRPr="00E565AE">
          <w:rPr>
            <w:b w:val="0"/>
            <w:bCs/>
            <w:webHidden/>
            <w:color w:val="2F5496" w:themeColor="accent1" w:themeShade="BF"/>
          </w:rPr>
          <w:fldChar w:fldCharType="separate"/>
        </w:r>
        <w:r w:rsidR="00F37F04">
          <w:rPr>
            <w:b w:val="0"/>
            <w:bCs/>
            <w:webHidden/>
            <w:color w:val="2F5496" w:themeColor="accent1" w:themeShade="BF"/>
          </w:rPr>
          <w:t>26</w:t>
        </w:r>
        <w:r w:rsidR="00E565AE" w:rsidRPr="00E565AE">
          <w:rPr>
            <w:b w:val="0"/>
            <w:bCs/>
            <w:webHidden/>
            <w:color w:val="2F5496" w:themeColor="accent1" w:themeShade="BF"/>
          </w:rPr>
          <w:fldChar w:fldCharType="end"/>
        </w:r>
      </w:hyperlink>
    </w:p>
    <w:p w:rsidR="00E565AE" w:rsidRPr="00E565AE" w:rsidRDefault="0052743C" w:rsidP="00E565AE">
      <w:pPr>
        <w:pStyle w:val="TOC2"/>
        <w:rPr>
          <w:rFonts w:eastAsiaTheme="minorEastAsia" w:cstheme="minorBidi"/>
          <w:b w:val="0"/>
          <w:bCs/>
          <w:color w:val="2F5496" w:themeColor="accent1" w:themeShade="BF"/>
          <w:sz w:val="24"/>
          <w:szCs w:val="24"/>
        </w:rPr>
      </w:pPr>
      <w:hyperlink w:anchor="_Toc43342373" w:history="1">
        <w:r w:rsidR="00E565AE" w:rsidRPr="00E565AE">
          <w:rPr>
            <w:rStyle w:val="Hyperlink"/>
            <w:b w:val="0"/>
            <w:bCs/>
            <w:color w:val="2F5496" w:themeColor="accent1" w:themeShade="BF"/>
          </w:rPr>
          <w:t>Effetti sistemici dell’infiammazione</w:t>
        </w:r>
        <w:r w:rsidR="00E565AE" w:rsidRPr="00E565AE">
          <w:rPr>
            <w:b w:val="0"/>
            <w:bCs/>
            <w:webHidden/>
            <w:color w:val="2F5496" w:themeColor="accent1" w:themeShade="BF"/>
          </w:rPr>
          <w:tab/>
        </w:r>
        <w:r w:rsidR="00E565AE" w:rsidRPr="00E565AE">
          <w:rPr>
            <w:b w:val="0"/>
            <w:bCs/>
            <w:webHidden/>
            <w:color w:val="2F5496" w:themeColor="accent1" w:themeShade="BF"/>
          </w:rPr>
          <w:fldChar w:fldCharType="begin"/>
        </w:r>
        <w:r w:rsidR="00E565AE" w:rsidRPr="00E565AE">
          <w:rPr>
            <w:b w:val="0"/>
            <w:bCs/>
            <w:webHidden/>
            <w:color w:val="2F5496" w:themeColor="accent1" w:themeShade="BF"/>
          </w:rPr>
          <w:instrText xml:space="preserve"> PAGEREF _Toc43342373 \h </w:instrText>
        </w:r>
        <w:r w:rsidR="00E565AE" w:rsidRPr="00E565AE">
          <w:rPr>
            <w:b w:val="0"/>
            <w:bCs/>
            <w:webHidden/>
            <w:color w:val="2F5496" w:themeColor="accent1" w:themeShade="BF"/>
          </w:rPr>
        </w:r>
        <w:r w:rsidR="00E565AE" w:rsidRPr="00E565AE">
          <w:rPr>
            <w:b w:val="0"/>
            <w:bCs/>
            <w:webHidden/>
            <w:color w:val="2F5496" w:themeColor="accent1" w:themeShade="BF"/>
          </w:rPr>
          <w:fldChar w:fldCharType="separate"/>
        </w:r>
        <w:r w:rsidR="00F37F04">
          <w:rPr>
            <w:b w:val="0"/>
            <w:bCs/>
            <w:webHidden/>
            <w:color w:val="2F5496" w:themeColor="accent1" w:themeShade="BF"/>
          </w:rPr>
          <w:t>26</w:t>
        </w:r>
        <w:r w:rsidR="00E565AE" w:rsidRPr="00E565AE">
          <w:rPr>
            <w:b w:val="0"/>
            <w:bCs/>
            <w:webHidden/>
            <w:color w:val="2F5496" w:themeColor="accent1" w:themeShade="BF"/>
          </w:rPr>
          <w:fldChar w:fldCharType="end"/>
        </w:r>
      </w:hyperlink>
    </w:p>
    <w:p w:rsidR="00E565AE" w:rsidRPr="00E565AE" w:rsidRDefault="0052743C">
      <w:pPr>
        <w:pStyle w:val="TOC3"/>
        <w:rPr>
          <w:rFonts w:eastAsiaTheme="minorEastAsia" w:cstheme="minorBidi"/>
          <w:color w:val="2F5496" w:themeColor="accent1" w:themeShade="BF"/>
          <w:sz w:val="24"/>
          <w:szCs w:val="24"/>
        </w:rPr>
      </w:pPr>
      <w:hyperlink w:anchor="_Toc43342374" w:history="1">
        <w:r w:rsidR="00E565AE" w:rsidRPr="00E565AE">
          <w:rPr>
            <w:rStyle w:val="Hyperlink"/>
            <w:color w:val="2F5496" w:themeColor="accent1" w:themeShade="BF"/>
          </w:rPr>
          <w:t>Polarizzazione dei macrofagi</w:t>
        </w:r>
        <w:r w:rsidR="00E565AE" w:rsidRPr="00E565AE">
          <w:rPr>
            <w:webHidden/>
            <w:color w:val="2F5496" w:themeColor="accent1" w:themeShade="BF"/>
          </w:rPr>
          <w:tab/>
        </w:r>
        <w:r w:rsidR="00E565AE" w:rsidRPr="00E565AE">
          <w:rPr>
            <w:webHidden/>
            <w:color w:val="2F5496" w:themeColor="accent1" w:themeShade="BF"/>
          </w:rPr>
          <w:fldChar w:fldCharType="begin"/>
        </w:r>
        <w:r w:rsidR="00E565AE" w:rsidRPr="00E565AE">
          <w:rPr>
            <w:webHidden/>
            <w:color w:val="2F5496" w:themeColor="accent1" w:themeShade="BF"/>
          </w:rPr>
          <w:instrText xml:space="preserve"> PAGEREF _Toc43342374 \h </w:instrText>
        </w:r>
        <w:r w:rsidR="00E565AE" w:rsidRPr="00E565AE">
          <w:rPr>
            <w:webHidden/>
            <w:color w:val="2F5496" w:themeColor="accent1" w:themeShade="BF"/>
          </w:rPr>
        </w:r>
        <w:r w:rsidR="00E565AE" w:rsidRPr="00E565AE">
          <w:rPr>
            <w:webHidden/>
            <w:color w:val="2F5496" w:themeColor="accent1" w:themeShade="BF"/>
          </w:rPr>
          <w:fldChar w:fldCharType="separate"/>
        </w:r>
        <w:r w:rsidR="00F37F04">
          <w:rPr>
            <w:webHidden/>
            <w:color w:val="2F5496" w:themeColor="accent1" w:themeShade="BF"/>
          </w:rPr>
          <w:t>27</w:t>
        </w:r>
        <w:r w:rsidR="00E565AE" w:rsidRPr="00E565AE">
          <w:rPr>
            <w:webHidden/>
            <w:color w:val="2F5496" w:themeColor="accent1" w:themeShade="BF"/>
          </w:rPr>
          <w:fldChar w:fldCharType="end"/>
        </w:r>
      </w:hyperlink>
    </w:p>
    <w:p w:rsidR="00E565AE" w:rsidRPr="00E565AE" w:rsidRDefault="0052743C" w:rsidP="00E565AE">
      <w:pPr>
        <w:pStyle w:val="TOC2"/>
        <w:rPr>
          <w:rFonts w:eastAsiaTheme="minorEastAsia" w:cstheme="minorBidi"/>
          <w:b w:val="0"/>
          <w:bCs/>
          <w:color w:val="2F5496" w:themeColor="accent1" w:themeShade="BF"/>
          <w:sz w:val="24"/>
          <w:szCs w:val="24"/>
        </w:rPr>
      </w:pPr>
      <w:hyperlink w:anchor="_Toc43342375" w:history="1">
        <w:r w:rsidR="00E565AE" w:rsidRPr="00E565AE">
          <w:rPr>
            <w:rStyle w:val="Hyperlink"/>
            <w:b w:val="0"/>
            <w:bCs/>
            <w:color w:val="2F5496" w:themeColor="accent1" w:themeShade="BF"/>
          </w:rPr>
          <w:t>La risposta adattativa Th1 e Th2</w:t>
        </w:r>
        <w:r w:rsidR="00E565AE" w:rsidRPr="00E565AE">
          <w:rPr>
            <w:b w:val="0"/>
            <w:bCs/>
            <w:webHidden/>
            <w:color w:val="2F5496" w:themeColor="accent1" w:themeShade="BF"/>
          </w:rPr>
          <w:tab/>
        </w:r>
        <w:r w:rsidR="00E565AE" w:rsidRPr="00E565AE">
          <w:rPr>
            <w:b w:val="0"/>
            <w:bCs/>
            <w:webHidden/>
            <w:color w:val="2F5496" w:themeColor="accent1" w:themeShade="BF"/>
          </w:rPr>
          <w:fldChar w:fldCharType="begin"/>
        </w:r>
        <w:r w:rsidR="00E565AE" w:rsidRPr="00E565AE">
          <w:rPr>
            <w:b w:val="0"/>
            <w:bCs/>
            <w:webHidden/>
            <w:color w:val="2F5496" w:themeColor="accent1" w:themeShade="BF"/>
          </w:rPr>
          <w:instrText xml:space="preserve"> PAGEREF _Toc43342375 \h </w:instrText>
        </w:r>
        <w:r w:rsidR="00E565AE" w:rsidRPr="00E565AE">
          <w:rPr>
            <w:b w:val="0"/>
            <w:bCs/>
            <w:webHidden/>
            <w:color w:val="2F5496" w:themeColor="accent1" w:themeShade="BF"/>
          </w:rPr>
        </w:r>
        <w:r w:rsidR="00E565AE" w:rsidRPr="00E565AE">
          <w:rPr>
            <w:b w:val="0"/>
            <w:bCs/>
            <w:webHidden/>
            <w:color w:val="2F5496" w:themeColor="accent1" w:themeShade="BF"/>
          </w:rPr>
          <w:fldChar w:fldCharType="separate"/>
        </w:r>
        <w:r w:rsidR="00F37F04">
          <w:rPr>
            <w:b w:val="0"/>
            <w:bCs/>
            <w:webHidden/>
            <w:color w:val="2F5496" w:themeColor="accent1" w:themeShade="BF"/>
          </w:rPr>
          <w:t>28</w:t>
        </w:r>
        <w:r w:rsidR="00E565AE" w:rsidRPr="00E565AE">
          <w:rPr>
            <w:b w:val="0"/>
            <w:bCs/>
            <w:webHidden/>
            <w:color w:val="2F5496" w:themeColor="accent1" w:themeShade="BF"/>
          </w:rPr>
          <w:fldChar w:fldCharType="end"/>
        </w:r>
      </w:hyperlink>
    </w:p>
    <w:p w:rsidR="00E565AE" w:rsidRPr="00E565AE" w:rsidRDefault="0052743C" w:rsidP="00E565AE">
      <w:pPr>
        <w:pStyle w:val="TOC2"/>
        <w:rPr>
          <w:rFonts w:eastAsiaTheme="minorEastAsia" w:cstheme="minorBidi"/>
          <w:b w:val="0"/>
          <w:bCs/>
          <w:color w:val="2F5496" w:themeColor="accent1" w:themeShade="BF"/>
          <w:sz w:val="24"/>
          <w:szCs w:val="24"/>
        </w:rPr>
      </w:pPr>
      <w:hyperlink w:anchor="_Toc43342376" w:history="1">
        <w:r w:rsidR="00E565AE" w:rsidRPr="00E565AE">
          <w:rPr>
            <w:rStyle w:val="Hyperlink"/>
            <w:b w:val="0"/>
            <w:bCs/>
            <w:color w:val="2F5496" w:themeColor="accent1" w:themeShade="BF"/>
          </w:rPr>
          <w:t>Le Citochine</w:t>
        </w:r>
        <w:r w:rsidR="00E565AE" w:rsidRPr="00E565AE">
          <w:rPr>
            <w:b w:val="0"/>
            <w:bCs/>
            <w:webHidden/>
            <w:color w:val="2F5496" w:themeColor="accent1" w:themeShade="BF"/>
          </w:rPr>
          <w:tab/>
        </w:r>
        <w:r w:rsidR="00E565AE" w:rsidRPr="00E565AE">
          <w:rPr>
            <w:b w:val="0"/>
            <w:bCs/>
            <w:webHidden/>
            <w:color w:val="2F5496" w:themeColor="accent1" w:themeShade="BF"/>
          </w:rPr>
          <w:fldChar w:fldCharType="begin"/>
        </w:r>
        <w:r w:rsidR="00E565AE" w:rsidRPr="00E565AE">
          <w:rPr>
            <w:b w:val="0"/>
            <w:bCs/>
            <w:webHidden/>
            <w:color w:val="2F5496" w:themeColor="accent1" w:themeShade="BF"/>
          </w:rPr>
          <w:instrText xml:space="preserve"> PAGEREF _Toc43342376 \h </w:instrText>
        </w:r>
        <w:r w:rsidR="00E565AE" w:rsidRPr="00E565AE">
          <w:rPr>
            <w:b w:val="0"/>
            <w:bCs/>
            <w:webHidden/>
            <w:color w:val="2F5496" w:themeColor="accent1" w:themeShade="BF"/>
          </w:rPr>
        </w:r>
        <w:r w:rsidR="00E565AE" w:rsidRPr="00E565AE">
          <w:rPr>
            <w:b w:val="0"/>
            <w:bCs/>
            <w:webHidden/>
            <w:color w:val="2F5496" w:themeColor="accent1" w:themeShade="BF"/>
          </w:rPr>
          <w:fldChar w:fldCharType="separate"/>
        </w:r>
        <w:r w:rsidR="00F37F04">
          <w:rPr>
            <w:b w:val="0"/>
            <w:bCs/>
            <w:webHidden/>
            <w:color w:val="2F5496" w:themeColor="accent1" w:themeShade="BF"/>
          </w:rPr>
          <w:t>32</w:t>
        </w:r>
        <w:r w:rsidR="00E565AE" w:rsidRPr="00E565AE">
          <w:rPr>
            <w:b w:val="0"/>
            <w:bCs/>
            <w:webHidden/>
            <w:color w:val="2F5496" w:themeColor="accent1" w:themeShade="BF"/>
          </w:rPr>
          <w:fldChar w:fldCharType="end"/>
        </w:r>
      </w:hyperlink>
    </w:p>
    <w:p w:rsidR="00E565AE" w:rsidRPr="00E565AE" w:rsidRDefault="0052743C">
      <w:pPr>
        <w:pStyle w:val="TOC3"/>
        <w:rPr>
          <w:rFonts w:eastAsiaTheme="minorEastAsia" w:cstheme="minorBidi"/>
          <w:color w:val="2F5496" w:themeColor="accent1" w:themeShade="BF"/>
          <w:sz w:val="24"/>
          <w:szCs w:val="24"/>
        </w:rPr>
      </w:pPr>
      <w:hyperlink w:anchor="_Toc43342377" w:history="1">
        <w:r w:rsidR="00E565AE" w:rsidRPr="00E565AE">
          <w:rPr>
            <w:rStyle w:val="Hyperlink"/>
            <w:color w:val="2F5496" w:themeColor="accent1" w:themeShade="BF"/>
          </w:rPr>
          <w:t>Citochine e i suoi recettori nelle infezioni virali</w:t>
        </w:r>
        <w:r w:rsidR="00E565AE" w:rsidRPr="00E565AE">
          <w:rPr>
            <w:webHidden/>
            <w:color w:val="2F5496" w:themeColor="accent1" w:themeShade="BF"/>
          </w:rPr>
          <w:tab/>
        </w:r>
        <w:r w:rsidR="00E565AE" w:rsidRPr="00E565AE">
          <w:rPr>
            <w:webHidden/>
            <w:color w:val="2F5496" w:themeColor="accent1" w:themeShade="BF"/>
          </w:rPr>
          <w:fldChar w:fldCharType="begin"/>
        </w:r>
        <w:r w:rsidR="00E565AE" w:rsidRPr="00E565AE">
          <w:rPr>
            <w:webHidden/>
            <w:color w:val="2F5496" w:themeColor="accent1" w:themeShade="BF"/>
          </w:rPr>
          <w:instrText xml:space="preserve"> PAGEREF _Toc43342377 \h </w:instrText>
        </w:r>
        <w:r w:rsidR="00E565AE" w:rsidRPr="00E565AE">
          <w:rPr>
            <w:webHidden/>
            <w:color w:val="2F5496" w:themeColor="accent1" w:themeShade="BF"/>
          </w:rPr>
        </w:r>
        <w:r w:rsidR="00E565AE" w:rsidRPr="00E565AE">
          <w:rPr>
            <w:webHidden/>
            <w:color w:val="2F5496" w:themeColor="accent1" w:themeShade="BF"/>
          </w:rPr>
          <w:fldChar w:fldCharType="separate"/>
        </w:r>
        <w:r w:rsidR="00F37F04">
          <w:rPr>
            <w:webHidden/>
            <w:color w:val="2F5496" w:themeColor="accent1" w:themeShade="BF"/>
          </w:rPr>
          <w:t>34</w:t>
        </w:r>
        <w:r w:rsidR="00E565AE" w:rsidRPr="00E565AE">
          <w:rPr>
            <w:webHidden/>
            <w:color w:val="2F5496" w:themeColor="accent1" w:themeShade="BF"/>
          </w:rPr>
          <w:fldChar w:fldCharType="end"/>
        </w:r>
      </w:hyperlink>
    </w:p>
    <w:p w:rsidR="00E565AE" w:rsidRPr="00E565AE" w:rsidRDefault="0052743C" w:rsidP="00E565AE">
      <w:pPr>
        <w:pStyle w:val="TOC2"/>
        <w:rPr>
          <w:rFonts w:eastAsiaTheme="minorEastAsia" w:cstheme="minorBidi"/>
          <w:b w:val="0"/>
          <w:bCs/>
          <w:color w:val="2F5496" w:themeColor="accent1" w:themeShade="BF"/>
          <w:sz w:val="24"/>
          <w:szCs w:val="24"/>
        </w:rPr>
      </w:pPr>
      <w:hyperlink w:anchor="_Toc43342378" w:history="1">
        <w:r w:rsidR="00E565AE" w:rsidRPr="00E565AE">
          <w:rPr>
            <w:rStyle w:val="Hyperlink"/>
            <w:b w:val="0"/>
            <w:bCs/>
            <w:color w:val="2F5496" w:themeColor="accent1" w:themeShade="BF"/>
          </w:rPr>
          <w:t>La tempesta di citochine</w:t>
        </w:r>
        <w:r w:rsidR="00E565AE" w:rsidRPr="00E565AE">
          <w:rPr>
            <w:b w:val="0"/>
            <w:bCs/>
            <w:webHidden/>
            <w:color w:val="2F5496" w:themeColor="accent1" w:themeShade="BF"/>
          </w:rPr>
          <w:tab/>
        </w:r>
        <w:r w:rsidR="00E565AE" w:rsidRPr="00E565AE">
          <w:rPr>
            <w:b w:val="0"/>
            <w:bCs/>
            <w:webHidden/>
            <w:color w:val="2F5496" w:themeColor="accent1" w:themeShade="BF"/>
          </w:rPr>
          <w:fldChar w:fldCharType="begin"/>
        </w:r>
        <w:r w:rsidR="00E565AE" w:rsidRPr="00E565AE">
          <w:rPr>
            <w:b w:val="0"/>
            <w:bCs/>
            <w:webHidden/>
            <w:color w:val="2F5496" w:themeColor="accent1" w:themeShade="BF"/>
          </w:rPr>
          <w:instrText xml:space="preserve"> PAGEREF _Toc43342378 \h </w:instrText>
        </w:r>
        <w:r w:rsidR="00E565AE" w:rsidRPr="00E565AE">
          <w:rPr>
            <w:b w:val="0"/>
            <w:bCs/>
            <w:webHidden/>
            <w:color w:val="2F5496" w:themeColor="accent1" w:themeShade="BF"/>
          </w:rPr>
        </w:r>
        <w:r w:rsidR="00E565AE" w:rsidRPr="00E565AE">
          <w:rPr>
            <w:b w:val="0"/>
            <w:bCs/>
            <w:webHidden/>
            <w:color w:val="2F5496" w:themeColor="accent1" w:themeShade="BF"/>
          </w:rPr>
          <w:fldChar w:fldCharType="separate"/>
        </w:r>
        <w:r w:rsidR="00F37F04">
          <w:rPr>
            <w:b w:val="0"/>
            <w:bCs/>
            <w:webHidden/>
            <w:color w:val="2F5496" w:themeColor="accent1" w:themeShade="BF"/>
          </w:rPr>
          <w:t>38</w:t>
        </w:r>
        <w:r w:rsidR="00E565AE" w:rsidRPr="00E565AE">
          <w:rPr>
            <w:b w:val="0"/>
            <w:bCs/>
            <w:webHidden/>
            <w:color w:val="2F5496" w:themeColor="accent1" w:themeShade="BF"/>
          </w:rPr>
          <w:fldChar w:fldCharType="end"/>
        </w:r>
      </w:hyperlink>
    </w:p>
    <w:p w:rsidR="00E565AE" w:rsidRPr="00E565AE" w:rsidRDefault="0052743C" w:rsidP="00E565AE">
      <w:pPr>
        <w:pStyle w:val="TOC1"/>
        <w:rPr>
          <w:rFonts w:eastAsiaTheme="minorEastAsia" w:cstheme="minorBidi"/>
          <w:color w:val="000000" w:themeColor="text1"/>
          <w:sz w:val="24"/>
          <w:szCs w:val="24"/>
        </w:rPr>
      </w:pPr>
      <w:hyperlink w:anchor="_Toc43342379" w:history="1">
        <w:r w:rsidR="00E565AE" w:rsidRPr="00E565AE">
          <w:rPr>
            <w:rStyle w:val="Hyperlink"/>
            <w:color w:val="000000" w:themeColor="text1"/>
          </w:rPr>
          <w:t>LE RISPOSTE IMMUNITARIE INDOTTE DALL'INFEZIONE DA SARS-COV-2</w:t>
        </w:r>
        <w:r w:rsidR="00E565AE" w:rsidRPr="00E565AE">
          <w:rPr>
            <w:webHidden/>
            <w:color w:val="000000" w:themeColor="text1"/>
          </w:rPr>
          <w:tab/>
        </w:r>
        <w:r w:rsidR="00E565AE" w:rsidRPr="00E565AE">
          <w:rPr>
            <w:webHidden/>
            <w:color w:val="000000" w:themeColor="text1"/>
          </w:rPr>
          <w:fldChar w:fldCharType="begin"/>
        </w:r>
        <w:r w:rsidR="00E565AE" w:rsidRPr="00E565AE">
          <w:rPr>
            <w:webHidden/>
            <w:color w:val="000000" w:themeColor="text1"/>
          </w:rPr>
          <w:instrText xml:space="preserve"> PAGEREF _Toc43342379 \h </w:instrText>
        </w:r>
        <w:r w:rsidR="00E565AE" w:rsidRPr="00E565AE">
          <w:rPr>
            <w:webHidden/>
            <w:color w:val="000000" w:themeColor="text1"/>
          </w:rPr>
        </w:r>
        <w:r w:rsidR="00E565AE" w:rsidRPr="00E565AE">
          <w:rPr>
            <w:webHidden/>
            <w:color w:val="000000" w:themeColor="text1"/>
          </w:rPr>
          <w:fldChar w:fldCharType="separate"/>
        </w:r>
        <w:r w:rsidR="00F37F04">
          <w:rPr>
            <w:webHidden/>
            <w:color w:val="000000" w:themeColor="text1"/>
          </w:rPr>
          <w:t>42</w:t>
        </w:r>
        <w:r w:rsidR="00E565AE" w:rsidRPr="00E565AE">
          <w:rPr>
            <w:webHidden/>
            <w:color w:val="000000" w:themeColor="text1"/>
          </w:rPr>
          <w:fldChar w:fldCharType="end"/>
        </w:r>
      </w:hyperlink>
    </w:p>
    <w:p w:rsidR="00E565AE" w:rsidRPr="00E565AE" w:rsidRDefault="0052743C" w:rsidP="00E565AE">
      <w:pPr>
        <w:pStyle w:val="TOC1"/>
        <w:rPr>
          <w:rFonts w:eastAsiaTheme="minorEastAsia" w:cstheme="minorBidi"/>
          <w:color w:val="000000" w:themeColor="text1"/>
          <w:sz w:val="24"/>
          <w:szCs w:val="24"/>
        </w:rPr>
      </w:pPr>
      <w:hyperlink w:anchor="_Toc43342380" w:history="1">
        <w:r w:rsidR="00E565AE" w:rsidRPr="00E565AE">
          <w:rPr>
            <w:rStyle w:val="Hyperlink"/>
            <w:color w:val="000000" w:themeColor="text1"/>
          </w:rPr>
          <w:t>LA FEBBRE NELLA RISPOSTA ALL’INFEZIONE VIRALE DA SARS-COV-2 E LE SUE COMPLICANZE</w:t>
        </w:r>
        <w:r w:rsidR="00E565AE" w:rsidRPr="00E565AE">
          <w:rPr>
            <w:webHidden/>
            <w:color w:val="000000" w:themeColor="text1"/>
          </w:rPr>
          <w:tab/>
        </w:r>
        <w:r w:rsidR="00E565AE" w:rsidRPr="00E565AE">
          <w:rPr>
            <w:webHidden/>
            <w:color w:val="000000" w:themeColor="text1"/>
          </w:rPr>
          <w:fldChar w:fldCharType="begin"/>
        </w:r>
        <w:r w:rsidR="00E565AE" w:rsidRPr="00E565AE">
          <w:rPr>
            <w:webHidden/>
            <w:color w:val="000000" w:themeColor="text1"/>
          </w:rPr>
          <w:instrText xml:space="preserve"> PAGEREF _Toc43342380 \h </w:instrText>
        </w:r>
        <w:r w:rsidR="00E565AE" w:rsidRPr="00E565AE">
          <w:rPr>
            <w:webHidden/>
            <w:color w:val="000000" w:themeColor="text1"/>
          </w:rPr>
        </w:r>
        <w:r w:rsidR="00E565AE" w:rsidRPr="00E565AE">
          <w:rPr>
            <w:webHidden/>
            <w:color w:val="000000" w:themeColor="text1"/>
          </w:rPr>
          <w:fldChar w:fldCharType="separate"/>
        </w:r>
        <w:r w:rsidR="00F37F04">
          <w:rPr>
            <w:webHidden/>
            <w:color w:val="000000" w:themeColor="text1"/>
          </w:rPr>
          <w:t>45</w:t>
        </w:r>
        <w:r w:rsidR="00E565AE" w:rsidRPr="00E565AE">
          <w:rPr>
            <w:webHidden/>
            <w:color w:val="000000" w:themeColor="text1"/>
          </w:rPr>
          <w:fldChar w:fldCharType="end"/>
        </w:r>
      </w:hyperlink>
    </w:p>
    <w:p w:rsidR="00E565AE" w:rsidRDefault="0052743C" w:rsidP="00E565AE">
      <w:pPr>
        <w:pStyle w:val="TOC2"/>
        <w:ind w:left="0"/>
        <w:rPr>
          <w:rFonts w:eastAsiaTheme="minorEastAsia" w:cstheme="minorBidi"/>
          <w:color w:val="auto"/>
          <w:sz w:val="24"/>
          <w:szCs w:val="24"/>
        </w:rPr>
      </w:pPr>
      <w:hyperlink w:anchor="_Toc43342384" w:history="1">
        <w:r w:rsidR="00E565AE" w:rsidRPr="00A23ED9">
          <w:rPr>
            <w:rStyle w:val="Hyperlink"/>
          </w:rPr>
          <w:t>SINTOMATOLOGIA DELLA TEMPESTA DI CITOCHINE</w:t>
        </w:r>
        <w:r w:rsidR="00E565AE">
          <w:rPr>
            <w:webHidden/>
          </w:rPr>
          <w:tab/>
        </w:r>
        <w:r w:rsidR="00E565AE">
          <w:rPr>
            <w:webHidden/>
          </w:rPr>
          <w:fldChar w:fldCharType="begin"/>
        </w:r>
        <w:r w:rsidR="00E565AE">
          <w:rPr>
            <w:webHidden/>
          </w:rPr>
          <w:instrText xml:space="preserve"> PAGEREF _Toc43342384 \h </w:instrText>
        </w:r>
        <w:r w:rsidR="00E565AE">
          <w:rPr>
            <w:webHidden/>
          </w:rPr>
        </w:r>
        <w:r w:rsidR="00E565AE">
          <w:rPr>
            <w:webHidden/>
          </w:rPr>
          <w:fldChar w:fldCharType="separate"/>
        </w:r>
        <w:r w:rsidR="00F37F04">
          <w:rPr>
            <w:webHidden/>
          </w:rPr>
          <w:t>52</w:t>
        </w:r>
        <w:r w:rsidR="00E565AE">
          <w:rPr>
            <w:webHidden/>
          </w:rPr>
          <w:fldChar w:fldCharType="end"/>
        </w:r>
      </w:hyperlink>
    </w:p>
    <w:p w:rsidR="00E565AE" w:rsidRDefault="0052743C">
      <w:pPr>
        <w:pStyle w:val="TOC3"/>
        <w:rPr>
          <w:rFonts w:eastAsiaTheme="minorEastAsia" w:cstheme="minorBidi"/>
          <w:bCs w:val="0"/>
          <w:color w:val="auto"/>
          <w:sz w:val="24"/>
          <w:szCs w:val="24"/>
        </w:rPr>
      </w:pPr>
      <w:hyperlink w:anchor="_Toc43342385" w:history="1">
        <w:r w:rsidR="00E565AE" w:rsidRPr="00A23ED9">
          <w:rPr>
            <w:rStyle w:val="Hyperlink"/>
          </w:rPr>
          <w:t>Sottotipi della sindrome da tempesta di citochine</w:t>
        </w:r>
        <w:r w:rsidR="00E565AE">
          <w:rPr>
            <w:webHidden/>
          </w:rPr>
          <w:tab/>
        </w:r>
        <w:r w:rsidR="00E565AE">
          <w:rPr>
            <w:webHidden/>
          </w:rPr>
          <w:fldChar w:fldCharType="begin"/>
        </w:r>
        <w:r w:rsidR="00E565AE">
          <w:rPr>
            <w:webHidden/>
          </w:rPr>
          <w:instrText xml:space="preserve"> PAGEREF _Toc43342385 \h </w:instrText>
        </w:r>
        <w:r w:rsidR="00E565AE">
          <w:rPr>
            <w:webHidden/>
          </w:rPr>
        </w:r>
        <w:r w:rsidR="00E565AE">
          <w:rPr>
            <w:webHidden/>
          </w:rPr>
          <w:fldChar w:fldCharType="separate"/>
        </w:r>
        <w:r w:rsidR="00F37F04">
          <w:rPr>
            <w:webHidden/>
          </w:rPr>
          <w:t>55</w:t>
        </w:r>
        <w:r w:rsidR="00E565AE">
          <w:rPr>
            <w:webHidden/>
          </w:rPr>
          <w:fldChar w:fldCharType="end"/>
        </w:r>
      </w:hyperlink>
    </w:p>
    <w:p w:rsidR="00E565AE" w:rsidRDefault="0052743C" w:rsidP="00E565AE">
      <w:pPr>
        <w:pStyle w:val="TOC2"/>
        <w:ind w:left="0"/>
        <w:rPr>
          <w:rFonts w:eastAsiaTheme="minorEastAsia" w:cstheme="minorBidi"/>
          <w:color w:val="auto"/>
          <w:sz w:val="24"/>
          <w:szCs w:val="24"/>
        </w:rPr>
      </w:pPr>
      <w:hyperlink w:anchor="_Toc43342386" w:history="1">
        <w:r w:rsidR="00E565AE" w:rsidRPr="00A23ED9">
          <w:rPr>
            <w:rStyle w:val="Hyperlink"/>
            <w:shd w:val="clear" w:color="auto" w:fill="FFFFFF"/>
          </w:rPr>
          <w:t>STRATEGIE DI EVASIONE IMMUNITARIA DI SARS-COV2</w:t>
        </w:r>
        <w:r w:rsidR="00E565AE">
          <w:rPr>
            <w:webHidden/>
          </w:rPr>
          <w:tab/>
        </w:r>
        <w:r w:rsidR="00E565AE">
          <w:rPr>
            <w:webHidden/>
          </w:rPr>
          <w:fldChar w:fldCharType="begin"/>
        </w:r>
        <w:r w:rsidR="00E565AE">
          <w:rPr>
            <w:webHidden/>
          </w:rPr>
          <w:instrText xml:space="preserve"> PAGEREF _Toc43342386 \h </w:instrText>
        </w:r>
        <w:r w:rsidR="00E565AE">
          <w:rPr>
            <w:webHidden/>
          </w:rPr>
        </w:r>
        <w:r w:rsidR="00E565AE">
          <w:rPr>
            <w:webHidden/>
          </w:rPr>
          <w:fldChar w:fldCharType="separate"/>
        </w:r>
        <w:r w:rsidR="00F37F04">
          <w:rPr>
            <w:webHidden/>
          </w:rPr>
          <w:t>59</w:t>
        </w:r>
        <w:r w:rsidR="00E565AE">
          <w:rPr>
            <w:webHidden/>
          </w:rPr>
          <w:fldChar w:fldCharType="end"/>
        </w:r>
      </w:hyperlink>
    </w:p>
    <w:p w:rsidR="00E565AE" w:rsidRPr="00E565AE" w:rsidRDefault="0052743C" w:rsidP="00E565AE">
      <w:pPr>
        <w:pStyle w:val="TOC2"/>
        <w:rPr>
          <w:rFonts w:eastAsiaTheme="minorEastAsia" w:cstheme="minorBidi"/>
          <w:b w:val="0"/>
          <w:bCs/>
          <w:color w:val="auto"/>
          <w:sz w:val="24"/>
          <w:szCs w:val="24"/>
        </w:rPr>
      </w:pPr>
      <w:hyperlink w:anchor="_Toc43342387" w:history="1">
        <w:r w:rsidR="00E565AE" w:rsidRPr="00E565AE">
          <w:rPr>
            <w:rStyle w:val="Hyperlink"/>
            <w:b w:val="0"/>
            <w:bCs/>
          </w:rPr>
          <w:t>Il danno cellulare endoteliale e vascolare</w:t>
        </w:r>
        <w:r w:rsidR="00E565AE" w:rsidRPr="00E565AE">
          <w:rPr>
            <w:b w:val="0"/>
            <w:bCs/>
            <w:webHidden/>
          </w:rPr>
          <w:tab/>
        </w:r>
        <w:r w:rsidR="00E565AE" w:rsidRPr="00E565AE">
          <w:rPr>
            <w:b w:val="0"/>
            <w:bCs/>
            <w:webHidden/>
          </w:rPr>
          <w:fldChar w:fldCharType="begin"/>
        </w:r>
        <w:r w:rsidR="00E565AE" w:rsidRPr="00E565AE">
          <w:rPr>
            <w:b w:val="0"/>
            <w:bCs/>
            <w:webHidden/>
          </w:rPr>
          <w:instrText xml:space="preserve"> PAGEREF _Toc43342387 \h </w:instrText>
        </w:r>
        <w:r w:rsidR="00E565AE" w:rsidRPr="00E565AE">
          <w:rPr>
            <w:b w:val="0"/>
            <w:bCs/>
            <w:webHidden/>
          </w:rPr>
        </w:r>
        <w:r w:rsidR="00E565AE" w:rsidRPr="00E565AE">
          <w:rPr>
            <w:b w:val="0"/>
            <w:bCs/>
            <w:webHidden/>
          </w:rPr>
          <w:fldChar w:fldCharType="separate"/>
        </w:r>
        <w:r w:rsidR="00F37F04">
          <w:rPr>
            <w:b w:val="0"/>
            <w:bCs/>
            <w:webHidden/>
          </w:rPr>
          <w:t>61</w:t>
        </w:r>
        <w:r w:rsidR="00E565AE" w:rsidRPr="00E565AE">
          <w:rPr>
            <w:b w:val="0"/>
            <w:bCs/>
            <w:webHidden/>
          </w:rPr>
          <w:fldChar w:fldCharType="end"/>
        </w:r>
      </w:hyperlink>
    </w:p>
    <w:p w:rsidR="00E565AE" w:rsidRPr="00E565AE" w:rsidRDefault="0052743C" w:rsidP="00E565AE">
      <w:pPr>
        <w:pStyle w:val="TOC2"/>
        <w:rPr>
          <w:rFonts w:eastAsiaTheme="minorEastAsia" w:cstheme="minorBidi"/>
          <w:b w:val="0"/>
          <w:bCs/>
          <w:color w:val="auto"/>
          <w:sz w:val="24"/>
          <w:szCs w:val="24"/>
        </w:rPr>
      </w:pPr>
      <w:hyperlink w:anchor="_Toc43342388" w:history="1">
        <w:r w:rsidR="00E565AE" w:rsidRPr="00E565AE">
          <w:rPr>
            <w:rStyle w:val="Hyperlink"/>
            <w:b w:val="0"/>
            <w:bCs/>
          </w:rPr>
          <w:t>Il potenziamento anticorpo-dipendente (ADE)  e le vasculiti da immunocomplessi</w:t>
        </w:r>
        <w:r w:rsidR="00E565AE" w:rsidRPr="00E565AE">
          <w:rPr>
            <w:b w:val="0"/>
            <w:bCs/>
            <w:webHidden/>
          </w:rPr>
          <w:tab/>
        </w:r>
        <w:r w:rsidR="00E565AE" w:rsidRPr="00E565AE">
          <w:rPr>
            <w:b w:val="0"/>
            <w:bCs/>
            <w:webHidden/>
          </w:rPr>
          <w:fldChar w:fldCharType="begin"/>
        </w:r>
        <w:r w:rsidR="00E565AE" w:rsidRPr="00E565AE">
          <w:rPr>
            <w:b w:val="0"/>
            <w:bCs/>
            <w:webHidden/>
          </w:rPr>
          <w:instrText xml:space="preserve"> PAGEREF _Toc43342388 \h </w:instrText>
        </w:r>
        <w:r w:rsidR="00E565AE" w:rsidRPr="00E565AE">
          <w:rPr>
            <w:b w:val="0"/>
            <w:bCs/>
            <w:webHidden/>
          </w:rPr>
        </w:r>
        <w:r w:rsidR="00E565AE" w:rsidRPr="00E565AE">
          <w:rPr>
            <w:b w:val="0"/>
            <w:bCs/>
            <w:webHidden/>
          </w:rPr>
          <w:fldChar w:fldCharType="separate"/>
        </w:r>
        <w:r w:rsidR="00F37F04">
          <w:rPr>
            <w:b w:val="0"/>
            <w:bCs/>
            <w:webHidden/>
          </w:rPr>
          <w:t>62</w:t>
        </w:r>
        <w:r w:rsidR="00E565AE" w:rsidRPr="00E565AE">
          <w:rPr>
            <w:b w:val="0"/>
            <w:bCs/>
            <w:webHidden/>
          </w:rPr>
          <w:fldChar w:fldCharType="end"/>
        </w:r>
      </w:hyperlink>
    </w:p>
    <w:p w:rsidR="00E565AE" w:rsidRPr="00E565AE" w:rsidRDefault="0052743C">
      <w:pPr>
        <w:pStyle w:val="TOC3"/>
        <w:rPr>
          <w:rFonts w:eastAsiaTheme="minorEastAsia" w:cstheme="minorBidi"/>
          <w:bCs w:val="0"/>
          <w:color w:val="auto"/>
          <w:sz w:val="24"/>
          <w:szCs w:val="24"/>
        </w:rPr>
      </w:pPr>
      <w:hyperlink w:anchor="_Toc43342389" w:history="1">
        <w:r w:rsidR="00E565AE" w:rsidRPr="00E565AE">
          <w:rPr>
            <w:rStyle w:val="Hyperlink"/>
            <w:rFonts w:cstheme="majorBidi"/>
          </w:rPr>
          <w:t xml:space="preserve">Il meccanismo dell’ADE nell’induzione del COVID-19 </w:t>
        </w:r>
        <w:r w:rsidR="00E565AE" w:rsidRPr="00E565AE">
          <w:rPr>
            <w:webHidden/>
          </w:rPr>
          <w:tab/>
        </w:r>
        <w:r w:rsidR="00E565AE" w:rsidRPr="00E565AE">
          <w:rPr>
            <w:webHidden/>
          </w:rPr>
          <w:fldChar w:fldCharType="begin"/>
        </w:r>
        <w:r w:rsidR="00E565AE" w:rsidRPr="00E565AE">
          <w:rPr>
            <w:webHidden/>
          </w:rPr>
          <w:instrText xml:space="preserve"> PAGEREF _Toc43342389 \h </w:instrText>
        </w:r>
        <w:r w:rsidR="00E565AE" w:rsidRPr="00E565AE">
          <w:rPr>
            <w:webHidden/>
          </w:rPr>
        </w:r>
        <w:r w:rsidR="00E565AE" w:rsidRPr="00E565AE">
          <w:rPr>
            <w:webHidden/>
          </w:rPr>
          <w:fldChar w:fldCharType="separate"/>
        </w:r>
        <w:r w:rsidR="00F37F04">
          <w:rPr>
            <w:webHidden/>
          </w:rPr>
          <w:t>65</w:t>
        </w:r>
        <w:r w:rsidR="00E565AE" w:rsidRPr="00E565AE">
          <w:rPr>
            <w:webHidden/>
          </w:rPr>
          <w:fldChar w:fldCharType="end"/>
        </w:r>
      </w:hyperlink>
    </w:p>
    <w:p w:rsidR="00E565AE" w:rsidRPr="00E565AE" w:rsidRDefault="0052743C">
      <w:pPr>
        <w:pStyle w:val="TOC3"/>
        <w:rPr>
          <w:rFonts w:eastAsiaTheme="minorEastAsia" w:cstheme="minorBidi"/>
          <w:bCs w:val="0"/>
          <w:color w:val="2F5496" w:themeColor="accent1" w:themeShade="BF"/>
          <w:sz w:val="24"/>
          <w:szCs w:val="24"/>
        </w:rPr>
      </w:pPr>
      <w:hyperlink w:anchor="_Toc43342390" w:history="1">
        <w:r w:rsidR="00E565AE" w:rsidRPr="00E565AE">
          <w:rPr>
            <w:rStyle w:val="Hyperlink"/>
            <w:color w:val="2F5496" w:themeColor="accent1" w:themeShade="BF"/>
          </w:rPr>
          <w:t xml:space="preserve">La funzione dei recettori Fcγ nelle cellule dendritiche e nei macrofagi </w:t>
        </w:r>
        <w:r w:rsidR="00E565AE" w:rsidRPr="00E565AE">
          <w:rPr>
            <w:webHidden/>
            <w:color w:val="2F5496" w:themeColor="accent1" w:themeShade="BF"/>
          </w:rPr>
          <w:tab/>
        </w:r>
        <w:r w:rsidR="00E565AE" w:rsidRPr="00E565AE">
          <w:rPr>
            <w:webHidden/>
            <w:color w:val="2F5496" w:themeColor="accent1" w:themeShade="BF"/>
          </w:rPr>
          <w:fldChar w:fldCharType="begin"/>
        </w:r>
        <w:r w:rsidR="00E565AE" w:rsidRPr="00E565AE">
          <w:rPr>
            <w:webHidden/>
            <w:color w:val="2F5496" w:themeColor="accent1" w:themeShade="BF"/>
          </w:rPr>
          <w:instrText xml:space="preserve"> PAGEREF _Toc43342390 \h </w:instrText>
        </w:r>
        <w:r w:rsidR="00E565AE" w:rsidRPr="00E565AE">
          <w:rPr>
            <w:webHidden/>
            <w:color w:val="2F5496" w:themeColor="accent1" w:themeShade="BF"/>
          </w:rPr>
        </w:r>
        <w:r w:rsidR="00E565AE" w:rsidRPr="00E565AE">
          <w:rPr>
            <w:webHidden/>
            <w:color w:val="2F5496" w:themeColor="accent1" w:themeShade="BF"/>
          </w:rPr>
          <w:fldChar w:fldCharType="separate"/>
        </w:r>
        <w:r w:rsidR="00F37F04">
          <w:rPr>
            <w:webHidden/>
            <w:color w:val="2F5496" w:themeColor="accent1" w:themeShade="BF"/>
          </w:rPr>
          <w:t>66</w:t>
        </w:r>
        <w:r w:rsidR="00E565AE" w:rsidRPr="00E565AE">
          <w:rPr>
            <w:webHidden/>
            <w:color w:val="2F5496" w:themeColor="accent1" w:themeShade="BF"/>
          </w:rPr>
          <w:fldChar w:fldCharType="end"/>
        </w:r>
      </w:hyperlink>
    </w:p>
    <w:p w:rsidR="00E565AE" w:rsidRPr="00E565AE" w:rsidRDefault="0052743C">
      <w:pPr>
        <w:pStyle w:val="TOC3"/>
        <w:rPr>
          <w:rFonts w:eastAsiaTheme="minorEastAsia" w:cstheme="minorBidi"/>
          <w:bCs w:val="0"/>
          <w:color w:val="2F5496" w:themeColor="accent1" w:themeShade="BF"/>
          <w:sz w:val="24"/>
          <w:szCs w:val="24"/>
        </w:rPr>
      </w:pPr>
      <w:hyperlink w:anchor="_Toc43342391" w:history="1">
        <w:r w:rsidR="00E565AE" w:rsidRPr="00E565AE">
          <w:rPr>
            <w:rStyle w:val="Hyperlink"/>
            <w:color w:val="2F5496" w:themeColor="accent1" w:themeShade="BF"/>
          </w:rPr>
          <w:t xml:space="preserve">Il recettore neonatale Fc (FcRn) </w:t>
        </w:r>
        <w:r w:rsidR="00E565AE" w:rsidRPr="00E565AE">
          <w:rPr>
            <w:webHidden/>
            <w:color w:val="2F5496" w:themeColor="accent1" w:themeShade="BF"/>
          </w:rPr>
          <w:tab/>
        </w:r>
        <w:r w:rsidR="00E565AE" w:rsidRPr="00E565AE">
          <w:rPr>
            <w:webHidden/>
            <w:color w:val="2F5496" w:themeColor="accent1" w:themeShade="BF"/>
          </w:rPr>
          <w:fldChar w:fldCharType="begin"/>
        </w:r>
        <w:r w:rsidR="00E565AE" w:rsidRPr="00E565AE">
          <w:rPr>
            <w:webHidden/>
            <w:color w:val="2F5496" w:themeColor="accent1" w:themeShade="BF"/>
          </w:rPr>
          <w:instrText xml:space="preserve"> PAGEREF _Toc43342391 \h </w:instrText>
        </w:r>
        <w:r w:rsidR="00E565AE" w:rsidRPr="00E565AE">
          <w:rPr>
            <w:webHidden/>
            <w:color w:val="2F5496" w:themeColor="accent1" w:themeShade="BF"/>
          </w:rPr>
        </w:r>
        <w:r w:rsidR="00E565AE" w:rsidRPr="00E565AE">
          <w:rPr>
            <w:webHidden/>
            <w:color w:val="2F5496" w:themeColor="accent1" w:themeShade="BF"/>
          </w:rPr>
          <w:fldChar w:fldCharType="separate"/>
        </w:r>
        <w:r w:rsidR="00F37F04">
          <w:rPr>
            <w:webHidden/>
            <w:color w:val="2F5496" w:themeColor="accent1" w:themeShade="BF"/>
          </w:rPr>
          <w:t>68</w:t>
        </w:r>
        <w:r w:rsidR="00E565AE" w:rsidRPr="00E565AE">
          <w:rPr>
            <w:webHidden/>
            <w:color w:val="2F5496" w:themeColor="accent1" w:themeShade="BF"/>
          </w:rPr>
          <w:fldChar w:fldCharType="end"/>
        </w:r>
      </w:hyperlink>
    </w:p>
    <w:p w:rsidR="00E565AE" w:rsidRDefault="0052743C">
      <w:pPr>
        <w:pStyle w:val="TOC3"/>
        <w:rPr>
          <w:rFonts w:eastAsiaTheme="minorEastAsia" w:cstheme="minorBidi"/>
          <w:bCs w:val="0"/>
          <w:color w:val="auto"/>
          <w:sz w:val="24"/>
          <w:szCs w:val="24"/>
        </w:rPr>
      </w:pPr>
      <w:hyperlink w:anchor="_Toc43342392" w:history="1">
        <w:r w:rsidR="00E565AE" w:rsidRPr="00A23ED9">
          <w:rPr>
            <w:rStyle w:val="Hyperlink"/>
          </w:rPr>
          <w:t xml:space="preserve">L’immunopatologia dei vaccini anti-SARS e l’ADE da SARS-Cov-2 </w:t>
        </w:r>
        <w:r w:rsidR="00E565AE">
          <w:rPr>
            <w:webHidden/>
          </w:rPr>
          <w:tab/>
        </w:r>
        <w:r w:rsidR="00E565AE">
          <w:rPr>
            <w:webHidden/>
          </w:rPr>
          <w:fldChar w:fldCharType="begin"/>
        </w:r>
        <w:r w:rsidR="00E565AE">
          <w:rPr>
            <w:webHidden/>
          </w:rPr>
          <w:instrText xml:space="preserve"> PAGEREF _Toc43342392 \h </w:instrText>
        </w:r>
        <w:r w:rsidR="00E565AE">
          <w:rPr>
            <w:webHidden/>
          </w:rPr>
        </w:r>
        <w:r w:rsidR="00E565AE">
          <w:rPr>
            <w:webHidden/>
          </w:rPr>
          <w:fldChar w:fldCharType="separate"/>
        </w:r>
        <w:r w:rsidR="00F37F04">
          <w:rPr>
            <w:webHidden/>
          </w:rPr>
          <w:t>73</w:t>
        </w:r>
        <w:r w:rsidR="00E565AE">
          <w:rPr>
            <w:webHidden/>
          </w:rPr>
          <w:fldChar w:fldCharType="end"/>
        </w:r>
      </w:hyperlink>
    </w:p>
    <w:p w:rsidR="00E565AE" w:rsidRDefault="0052743C">
      <w:pPr>
        <w:pStyle w:val="TOC3"/>
        <w:rPr>
          <w:rFonts w:eastAsiaTheme="minorEastAsia" w:cstheme="minorBidi"/>
          <w:bCs w:val="0"/>
          <w:color w:val="auto"/>
          <w:sz w:val="24"/>
          <w:szCs w:val="24"/>
        </w:rPr>
      </w:pPr>
      <w:hyperlink w:anchor="_Toc43342393" w:history="1">
        <w:r w:rsidR="00E565AE" w:rsidRPr="00A23ED9">
          <w:rPr>
            <w:rStyle w:val="Hyperlink"/>
          </w:rPr>
          <w:t>L’ADE da vaccino antinfluenzale</w:t>
        </w:r>
        <w:r w:rsidR="00E565AE" w:rsidRPr="00A23ED9">
          <w:rPr>
            <w:rStyle w:val="Hyperlink"/>
            <w:i/>
            <w:iCs/>
          </w:rPr>
          <w:t xml:space="preserve"> </w:t>
        </w:r>
        <w:r w:rsidR="00E565AE">
          <w:rPr>
            <w:webHidden/>
          </w:rPr>
          <w:tab/>
        </w:r>
        <w:r w:rsidR="00E565AE">
          <w:rPr>
            <w:webHidden/>
          </w:rPr>
          <w:fldChar w:fldCharType="begin"/>
        </w:r>
        <w:r w:rsidR="00E565AE">
          <w:rPr>
            <w:webHidden/>
          </w:rPr>
          <w:instrText xml:space="preserve"> PAGEREF _Toc43342393 \h </w:instrText>
        </w:r>
        <w:r w:rsidR="00E565AE">
          <w:rPr>
            <w:webHidden/>
          </w:rPr>
        </w:r>
        <w:r w:rsidR="00E565AE">
          <w:rPr>
            <w:webHidden/>
          </w:rPr>
          <w:fldChar w:fldCharType="separate"/>
        </w:r>
        <w:r w:rsidR="00F37F04">
          <w:rPr>
            <w:webHidden/>
          </w:rPr>
          <w:t>78</w:t>
        </w:r>
        <w:r w:rsidR="00E565AE">
          <w:rPr>
            <w:webHidden/>
          </w:rPr>
          <w:fldChar w:fldCharType="end"/>
        </w:r>
      </w:hyperlink>
    </w:p>
    <w:p w:rsidR="00E565AE" w:rsidRDefault="0052743C">
      <w:pPr>
        <w:pStyle w:val="TOC3"/>
        <w:rPr>
          <w:rFonts w:eastAsiaTheme="minorEastAsia" w:cstheme="minorBidi"/>
          <w:bCs w:val="0"/>
          <w:color w:val="auto"/>
          <w:sz w:val="24"/>
          <w:szCs w:val="24"/>
        </w:rPr>
      </w:pPr>
      <w:hyperlink w:anchor="_Toc43342394" w:history="1">
        <w:r w:rsidR="00E565AE" w:rsidRPr="00A23ED9">
          <w:rPr>
            <w:rStyle w:val="Hyperlink"/>
          </w:rPr>
          <w:t>La terapia con infusione endovenosa di immunoglobuline: il meccanismo d’azione</w:t>
        </w:r>
        <w:r w:rsidR="00E565AE">
          <w:rPr>
            <w:webHidden/>
          </w:rPr>
          <w:tab/>
        </w:r>
        <w:r w:rsidR="00E565AE">
          <w:rPr>
            <w:webHidden/>
          </w:rPr>
          <w:fldChar w:fldCharType="begin"/>
        </w:r>
        <w:r w:rsidR="00E565AE">
          <w:rPr>
            <w:webHidden/>
          </w:rPr>
          <w:instrText xml:space="preserve"> PAGEREF _Toc43342394 \h </w:instrText>
        </w:r>
        <w:r w:rsidR="00E565AE">
          <w:rPr>
            <w:webHidden/>
          </w:rPr>
        </w:r>
        <w:r w:rsidR="00E565AE">
          <w:rPr>
            <w:webHidden/>
          </w:rPr>
          <w:fldChar w:fldCharType="separate"/>
        </w:r>
        <w:r w:rsidR="00F37F04">
          <w:rPr>
            <w:webHidden/>
          </w:rPr>
          <w:t>80</w:t>
        </w:r>
        <w:r w:rsidR="00E565AE">
          <w:rPr>
            <w:webHidden/>
          </w:rPr>
          <w:fldChar w:fldCharType="end"/>
        </w:r>
      </w:hyperlink>
    </w:p>
    <w:p w:rsidR="00E565AE" w:rsidRDefault="0052743C" w:rsidP="00E565AE">
      <w:pPr>
        <w:pStyle w:val="TOC2"/>
        <w:ind w:left="0"/>
        <w:rPr>
          <w:rFonts w:eastAsiaTheme="minorEastAsia" w:cstheme="minorBidi"/>
          <w:color w:val="auto"/>
          <w:sz w:val="24"/>
          <w:szCs w:val="24"/>
        </w:rPr>
      </w:pPr>
      <w:hyperlink w:anchor="_Toc43342395" w:history="1">
        <w:r w:rsidR="00E565AE" w:rsidRPr="00A23ED9">
          <w:rPr>
            <w:rStyle w:val="Hyperlink"/>
          </w:rPr>
          <w:t>FATTORI INDIVIDUALI</w:t>
        </w:r>
        <w:r w:rsidR="00E565AE">
          <w:rPr>
            <w:webHidden/>
          </w:rPr>
          <w:tab/>
        </w:r>
        <w:r w:rsidR="00E565AE">
          <w:rPr>
            <w:webHidden/>
          </w:rPr>
          <w:fldChar w:fldCharType="begin"/>
        </w:r>
        <w:r w:rsidR="00E565AE">
          <w:rPr>
            <w:webHidden/>
          </w:rPr>
          <w:instrText xml:space="preserve"> PAGEREF _Toc43342395 \h </w:instrText>
        </w:r>
        <w:r w:rsidR="00E565AE">
          <w:rPr>
            <w:webHidden/>
          </w:rPr>
        </w:r>
        <w:r w:rsidR="00E565AE">
          <w:rPr>
            <w:webHidden/>
          </w:rPr>
          <w:fldChar w:fldCharType="separate"/>
        </w:r>
        <w:r w:rsidR="00F37F04">
          <w:rPr>
            <w:webHidden/>
          </w:rPr>
          <w:t>85</w:t>
        </w:r>
        <w:r w:rsidR="00E565AE">
          <w:rPr>
            <w:webHidden/>
          </w:rPr>
          <w:fldChar w:fldCharType="end"/>
        </w:r>
      </w:hyperlink>
    </w:p>
    <w:p w:rsidR="00E565AE" w:rsidRDefault="0052743C">
      <w:pPr>
        <w:pStyle w:val="TOC3"/>
        <w:rPr>
          <w:rFonts w:eastAsiaTheme="minorEastAsia" w:cstheme="minorBidi"/>
          <w:bCs w:val="0"/>
          <w:color w:val="auto"/>
          <w:sz w:val="24"/>
          <w:szCs w:val="24"/>
        </w:rPr>
      </w:pPr>
      <w:hyperlink w:anchor="_Toc43342396" w:history="1">
        <w:r w:rsidR="00E565AE" w:rsidRPr="00A23ED9">
          <w:rPr>
            <w:rStyle w:val="Hyperlink"/>
          </w:rPr>
          <w:t>COVID-19 in età avanzata</w:t>
        </w:r>
        <w:r w:rsidR="00E565AE">
          <w:rPr>
            <w:webHidden/>
          </w:rPr>
          <w:tab/>
        </w:r>
        <w:r w:rsidR="00E565AE">
          <w:rPr>
            <w:webHidden/>
          </w:rPr>
          <w:fldChar w:fldCharType="begin"/>
        </w:r>
        <w:r w:rsidR="00E565AE">
          <w:rPr>
            <w:webHidden/>
          </w:rPr>
          <w:instrText xml:space="preserve"> PAGEREF _Toc43342396 \h </w:instrText>
        </w:r>
        <w:r w:rsidR="00E565AE">
          <w:rPr>
            <w:webHidden/>
          </w:rPr>
        </w:r>
        <w:r w:rsidR="00E565AE">
          <w:rPr>
            <w:webHidden/>
          </w:rPr>
          <w:fldChar w:fldCharType="separate"/>
        </w:r>
        <w:r w:rsidR="00F37F04">
          <w:rPr>
            <w:webHidden/>
          </w:rPr>
          <w:t>88</w:t>
        </w:r>
        <w:r w:rsidR="00E565AE">
          <w:rPr>
            <w:webHidden/>
          </w:rPr>
          <w:fldChar w:fldCharType="end"/>
        </w:r>
      </w:hyperlink>
    </w:p>
    <w:p w:rsidR="00E565AE" w:rsidRDefault="0052743C">
      <w:pPr>
        <w:pStyle w:val="TOC3"/>
        <w:rPr>
          <w:rFonts w:eastAsiaTheme="minorEastAsia" w:cstheme="minorBidi"/>
          <w:bCs w:val="0"/>
          <w:color w:val="auto"/>
          <w:sz w:val="24"/>
          <w:szCs w:val="24"/>
        </w:rPr>
      </w:pPr>
      <w:hyperlink w:anchor="_Toc43342397" w:history="1">
        <w:r w:rsidR="00E565AE" w:rsidRPr="00A23ED9">
          <w:rPr>
            <w:rStyle w:val="Hyperlink"/>
          </w:rPr>
          <w:t>COVID-19 pediatrico</w:t>
        </w:r>
        <w:r w:rsidR="00E565AE">
          <w:rPr>
            <w:webHidden/>
          </w:rPr>
          <w:tab/>
        </w:r>
        <w:r w:rsidR="00E565AE">
          <w:rPr>
            <w:webHidden/>
          </w:rPr>
          <w:fldChar w:fldCharType="begin"/>
        </w:r>
        <w:r w:rsidR="00E565AE">
          <w:rPr>
            <w:webHidden/>
          </w:rPr>
          <w:instrText xml:space="preserve"> PAGEREF _Toc43342397 \h </w:instrText>
        </w:r>
        <w:r w:rsidR="00E565AE">
          <w:rPr>
            <w:webHidden/>
          </w:rPr>
        </w:r>
        <w:r w:rsidR="00E565AE">
          <w:rPr>
            <w:webHidden/>
          </w:rPr>
          <w:fldChar w:fldCharType="separate"/>
        </w:r>
        <w:r w:rsidR="00F37F04">
          <w:rPr>
            <w:webHidden/>
          </w:rPr>
          <w:t>89</w:t>
        </w:r>
        <w:r w:rsidR="00E565AE">
          <w:rPr>
            <w:webHidden/>
          </w:rPr>
          <w:fldChar w:fldCharType="end"/>
        </w:r>
      </w:hyperlink>
    </w:p>
    <w:p w:rsidR="00E565AE" w:rsidRDefault="0052743C">
      <w:pPr>
        <w:pStyle w:val="TOC3"/>
        <w:rPr>
          <w:rFonts w:eastAsiaTheme="minorEastAsia" w:cstheme="minorBidi"/>
          <w:bCs w:val="0"/>
          <w:color w:val="auto"/>
          <w:sz w:val="24"/>
          <w:szCs w:val="24"/>
        </w:rPr>
      </w:pPr>
      <w:hyperlink w:anchor="_Toc43342398" w:history="1">
        <w:r w:rsidR="00E565AE" w:rsidRPr="00A23ED9">
          <w:rPr>
            <w:rStyle w:val="Hyperlink"/>
          </w:rPr>
          <w:t>COVID-19 in gravidanza</w:t>
        </w:r>
        <w:r w:rsidR="00E565AE">
          <w:rPr>
            <w:webHidden/>
          </w:rPr>
          <w:tab/>
        </w:r>
        <w:r w:rsidR="00E565AE">
          <w:rPr>
            <w:webHidden/>
          </w:rPr>
          <w:fldChar w:fldCharType="begin"/>
        </w:r>
        <w:r w:rsidR="00E565AE">
          <w:rPr>
            <w:webHidden/>
          </w:rPr>
          <w:instrText xml:space="preserve"> PAGEREF _Toc43342398 \h </w:instrText>
        </w:r>
        <w:r w:rsidR="00E565AE">
          <w:rPr>
            <w:webHidden/>
          </w:rPr>
        </w:r>
        <w:r w:rsidR="00E565AE">
          <w:rPr>
            <w:webHidden/>
          </w:rPr>
          <w:fldChar w:fldCharType="separate"/>
        </w:r>
        <w:r w:rsidR="00F37F04">
          <w:rPr>
            <w:webHidden/>
          </w:rPr>
          <w:t>91</w:t>
        </w:r>
        <w:r w:rsidR="00E565AE">
          <w:rPr>
            <w:webHidden/>
          </w:rPr>
          <w:fldChar w:fldCharType="end"/>
        </w:r>
      </w:hyperlink>
    </w:p>
    <w:p w:rsidR="00E565AE" w:rsidRPr="00E565AE" w:rsidRDefault="0052743C" w:rsidP="00E565AE">
      <w:pPr>
        <w:pStyle w:val="TOC1"/>
        <w:rPr>
          <w:rFonts w:eastAsiaTheme="minorEastAsia" w:cstheme="minorBidi"/>
          <w:color w:val="000000" w:themeColor="text1"/>
          <w:sz w:val="24"/>
          <w:szCs w:val="24"/>
        </w:rPr>
      </w:pPr>
      <w:hyperlink w:anchor="_Toc43342399" w:history="1">
        <w:r w:rsidR="00E565AE" w:rsidRPr="00E565AE">
          <w:rPr>
            <w:rStyle w:val="Hyperlink"/>
            <w:color w:val="000000" w:themeColor="text1"/>
          </w:rPr>
          <w:t>RISPOSTA IMMUNITARIA, ETÀ E DIFFERENZA DI GENERE</w:t>
        </w:r>
        <w:r w:rsidR="00E565AE" w:rsidRPr="00E565AE">
          <w:rPr>
            <w:webHidden/>
            <w:color w:val="000000" w:themeColor="text1"/>
          </w:rPr>
          <w:tab/>
        </w:r>
        <w:r w:rsidR="00E565AE" w:rsidRPr="00E565AE">
          <w:rPr>
            <w:webHidden/>
            <w:color w:val="000000" w:themeColor="text1"/>
          </w:rPr>
          <w:fldChar w:fldCharType="begin"/>
        </w:r>
        <w:r w:rsidR="00E565AE" w:rsidRPr="00E565AE">
          <w:rPr>
            <w:webHidden/>
            <w:color w:val="000000" w:themeColor="text1"/>
          </w:rPr>
          <w:instrText xml:space="preserve"> PAGEREF _Toc43342399 \h </w:instrText>
        </w:r>
        <w:r w:rsidR="00E565AE" w:rsidRPr="00E565AE">
          <w:rPr>
            <w:webHidden/>
            <w:color w:val="000000" w:themeColor="text1"/>
          </w:rPr>
        </w:r>
        <w:r w:rsidR="00E565AE" w:rsidRPr="00E565AE">
          <w:rPr>
            <w:webHidden/>
            <w:color w:val="000000" w:themeColor="text1"/>
          </w:rPr>
          <w:fldChar w:fldCharType="separate"/>
        </w:r>
        <w:r w:rsidR="00F37F04">
          <w:rPr>
            <w:webHidden/>
            <w:color w:val="000000" w:themeColor="text1"/>
          </w:rPr>
          <w:t>92</w:t>
        </w:r>
        <w:r w:rsidR="00E565AE" w:rsidRPr="00E565AE">
          <w:rPr>
            <w:webHidden/>
            <w:color w:val="000000" w:themeColor="text1"/>
          </w:rPr>
          <w:fldChar w:fldCharType="end"/>
        </w:r>
      </w:hyperlink>
    </w:p>
    <w:p w:rsidR="00E565AE" w:rsidRDefault="0052743C" w:rsidP="00E565AE">
      <w:pPr>
        <w:pStyle w:val="TOC2"/>
        <w:ind w:left="0"/>
        <w:rPr>
          <w:rFonts w:eastAsiaTheme="minorEastAsia" w:cstheme="minorBidi"/>
          <w:color w:val="auto"/>
          <w:sz w:val="24"/>
          <w:szCs w:val="24"/>
        </w:rPr>
      </w:pPr>
      <w:hyperlink w:anchor="_Toc43342400" w:history="1">
        <w:r w:rsidR="00E565AE" w:rsidRPr="00A23ED9">
          <w:rPr>
            <w:rStyle w:val="Hyperlink"/>
          </w:rPr>
          <w:t xml:space="preserve">Età pediatrica </w:t>
        </w:r>
        <w:r w:rsidR="00E565AE">
          <w:rPr>
            <w:webHidden/>
          </w:rPr>
          <w:tab/>
        </w:r>
        <w:r w:rsidR="00E565AE">
          <w:rPr>
            <w:webHidden/>
          </w:rPr>
          <w:fldChar w:fldCharType="begin"/>
        </w:r>
        <w:r w:rsidR="00E565AE">
          <w:rPr>
            <w:webHidden/>
          </w:rPr>
          <w:instrText xml:space="preserve"> PAGEREF _Toc43342400 \h </w:instrText>
        </w:r>
        <w:r w:rsidR="00E565AE">
          <w:rPr>
            <w:webHidden/>
          </w:rPr>
        </w:r>
        <w:r w:rsidR="00E565AE">
          <w:rPr>
            <w:webHidden/>
          </w:rPr>
          <w:fldChar w:fldCharType="separate"/>
        </w:r>
        <w:r w:rsidR="00F37F04">
          <w:rPr>
            <w:webHidden/>
          </w:rPr>
          <w:t>92</w:t>
        </w:r>
        <w:r w:rsidR="00E565AE">
          <w:rPr>
            <w:webHidden/>
          </w:rPr>
          <w:fldChar w:fldCharType="end"/>
        </w:r>
      </w:hyperlink>
    </w:p>
    <w:p w:rsidR="00E565AE" w:rsidRPr="00E565AE" w:rsidRDefault="0052743C" w:rsidP="00E565AE">
      <w:pPr>
        <w:pStyle w:val="TOC2"/>
        <w:rPr>
          <w:rFonts w:eastAsiaTheme="minorEastAsia" w:cstheme="minorBidi"/>
          <w:b w:val="0"/>
          <w:bCs/>
          <w:color w:val="auto"/>
          <w:sz w:val="24"/>
          <w:szCs w:val="24"/>
        </w:rPr>
      </w:pPr>
      <w:hyperlink w:anchor="_Toc43342401" w:history="1">
        <w:r w:rsidR="00E565AE" w:rsidRPr="00E565AE">
          <w:rPr>
            <w:rStyle w:val="Hyperlink"/>
            <w:b w:val="0"/>
            <w:bCs/>
          </w:rPr>
          <w:t>L’iporesponsività ai vaccini pediatrici</w:t>
        </w:r>
        <w:r w:rsidR="00E565AE" w:rsidRPr="00E565AE">
          <w:rPr>
            <w:b w:val="0"/>
            <w:bCs/>
            <w:webHidden/>
          </w:rPr>
          <w:tab/>
        </w:r>
        <w:r w:rsidR="00E565AE" w:rsidRPr="00E565AE">
          <w:rPr>
            <w:b w:val="0"/>
            <w:bCs/>
            <w:webHidden/>
          </w:rPr>
          <w:fldChar w:fldCharType="begin"/>
        </w:r>
        <w:r w:rsidR="00E565AE" w:rsidRPr="00E565AE">
          <w:rPr>
            <w:b w:val="0"/>
            <w:bCs/>
            <w:webHidden/>
          </w:rPr>
          <w:instrText xml:space="preserve"> PAGEREF _Toc43342401 \h </w:instrText>
        </w:r>
        <w:r w:rsidR="00E565AE" w:rsidRPr="00E565AE">
          <w:rPr>
            <w:b w:val="0"/>
            <w:bCs/>
            <w:webHidden/>
          </w:rPr>
        </w:r>
        <w:r w:rsidR="00E565AE" w:rsidRPr="00E565AE">
          <w:rPr>
            <w:b w:val="0"/>
            <w:bCs/>
            <w:webHidden/>
          </w:rPr>
          <w:fldChar w:fldCharType="separate"/>
        </w:r>
        <w:r w:rsidR="00F37F04">
          <w:rPr>
            <w:b w:val="0"/>
            <w:bCs/>
            <w:webHidden/>
          </w:rPr>
          <w:t>95</w:t>
        </w:r>
        <w:r w:rsidR="00E565AE" w:rsidRPr="00E565AE">
          <w:rPr>
            <w:b w:val="0"/>
            <w:bCs/>
            <w:webHidden/>
          </w:rPr>
          <w:fldChar w:fldCharType="end"/>
        </w:r>
      </w:hyperlink>
    </w:p>
    <w:p w:rsidR="00E565AE" w:rsidRPr="00E565AE" w:rsidRDefault="0052743C">
      <w:pPr>
        <w:pStyle w:val="TOC3"/>
        <w:rPr>
          <w:rFonts w:eastAsiaTheme="minorEastAsia" w:cstheme="minorBidi"/>
          <w:color w:val="auto"/>
          <w:sz w:val="24"/>
          <w:szCs w:val="24"/>
        </w:rPr>
      </w:pPr>
      <w:hyperlink w:anchor="_Toc43342402" w:history="1">
        <w:r w:rsidR="00E565AE" w:rsidRPr="00E565AE">
          <w:rPr>
            <w:rStyle w:val="Hyperlink"/>
            <w:shd w:val="clear" w:color="auto" w:fill="FFFFFF"/>
          </w:rPr>
          <w:t>Immunopatologia materno-fetale</w:t>
        </w:r>
        <w:r w:rsidR="00E565AE" w:rsidRPr="00E565AE">
          <w:rPr>
            <w:webHidden/>
          </w:rPr>
          <w:tab/>
        </w:r>
        <w:r w:rsidR="00E565AE" w:rsidRPr="00E565AE">
          <w:rPr>
            <w:webHidden/>
          </w:rPr>
          <w:fldChar w:fldCharType="begin"/>
        </w:r>
        <w:r w:rsidR="00E565AE" w:rsidRPr="00E565AE">
          <w:rPr>
            <w:webHidden/>
          </w:rPr>
          <w:instrText xml:space="preserve"> PAGEREF _Toc43342402 \h </w:instrText>
        </w:r>
        <w:r w:rsidR="00E565AE" w:rsidRPr="00E565AE">
          <w:rPr>
            <w:webHidden/>
          </w:rPr>
        </w:r>
        <w:r w:rsidR="00E565AE" w:rsidRPr="00E565AE">
          <w:rPr>
            <w:webHidden/>
          </w:rPr>
          <w:fldChar w:fldCharType="separate"/>
        </w:r>
        <w:r w:rsidR="00F37F04">
          <w:rPr>
            <w:webHidden/>
          </w:rPr>
          <w:t>104</w:t>
        </w:r>
        <w:r w:rsidR="00E565AE" w:rsidRPr="00E565AE">
          <w:rPr>
            <w:webHidden/>
          </w:rPr>
          <w:fldChar w:fldCharType="end"/>
        </w:r>
      </w:hyperlink>
    </w:p>
    <w:p w:rsidR="00E565AE" w:rsidRPr="00E565AE" w:rsidRDefault="0052743C">
      <w:pPr>
        <w:pStyle w:val="TOC3"/>
        <w:rPr>
          <w:rFonts w:eastAsiaTheme="minorEastAsia" w:cstheme="minorBidi"/>
          <w:color w:val="auto"/>
          <w:sz w:val="24"/>
          <w:szCs w:val="24"/>
        </w:rPr>
      </w:pPr>
      <w:hyperlink w:anchor="_Toc43342403" w:history="1">
        <w:r w:rsidR="00E565AE" w:rsidRPr="00E565AE">
          <w:rPr>
            <w:rStyle w:val="Hyperlink"/>
          </w:rPr>
          <w:t>Microbiota e sistema immunitario in gravidanza e nel neonato</w:t>
        </w:r>
        <w:r w:rsidR="00E565AE" w:rsidRPr="00E565AE">
          <w:rPr>
            <w:webHidden/>
          </w:rPr>
          <w:tab/>
        </w:r>
        <w:r w:rsidR="00E565AE" w:rsidRPr="00E565AE">
          <w:rPr>
            <w:webHidden/>
          </w:rPr>
          <w:fldChar w:fldCharType="begin"/>
        </w:r>
        <w:r w:rsidR="00E565AE" w:rsidRPr="00E565AE">
          <w:rPr>
            <w:webHidden/>
          </w:rPr>
          <w:instrText xml:space="preserve"> PAGEREF _Toc43342403 \h </w:instrText>
        </w:r>
        <w:r w:rsidR="00E565AE" w:rsidRPr="00E565AE">
          <w:rPr>
            <w:webHidden/>
          </w:rPr>
        </w:r>
        <w:r w:rsidR="00E565AE" w:rsidRPr="00E565AE">
          <w:rPr>
            <w:webHidden/>
          </w:rPr>
          <w:fldChar w:fldCharType="separate"/>
        </w:r>
        <w:r w:rsidR="00F37F04">
          <w:rPr>
            <w:webHidden/>
          </w:rPr>
          <w:t>112</w:t>
        </w:r>
        <w:r w:rsidR="00E565AE" w:rsidRPr="00E565AE">
          <w:rPr>
            <w:webHidden/>
          </w:rPr>
          <w:fldChar w:fldCharType="end"/>
        </w:r>
      </w:hyperlink>
    </w:p>
    <w:p w:rsidR="00E565AE" w:rsidRDefault="0052743C" w:rsidP="00E565AE">
      <w:pPr>
        <w:pStyle w:val="TOC2"/>
        <w:ind w:left="0"/>
        <w:rPr>
          <w:rFonts w:eastAsiaTheme="minorEastAsia" w:cstheme="minorBidi"/>
          <w:color w:val="auto"/>
          <w:sz w:val="24"/>
          <w:szCs w:val="24"/>
        </w:rPr>
      </w:pPr>
      <w:hyperlink w:anchor="_Toc43342404" w:history="1">
        <w:r w:rsidR="00E565AE" w:rsidRPr="00A23ED9">
          <w:rPr>
            <w:rStyle w:val="Hyperlink"/>
          </w:rPr>
          <w:t xml:space="preserve">Età avanzata </w:t>
        </w:r>
        <w:r w:rsidR="00E565AE">
          <w:rPr>
            <w:webHidden/>
          </w:rPr>
          <w:tab/>
        </w:r>
        <w:r w:rsidR="00E565AE">
          <w:rPr>
            <w:webHidden/>
          </w:rPr>
          <w:fldChar w:fldCharType="begin"/>
        </w:r>
        <w:r w:rsidR="00E565AE">
          <w:rPr>
            <w:webHidden/>
          </w:rPr>
          <w:instrText xml:space="preserve"> PAGEREF _Toc43342404 \h </w:instrText>
        </w:r>
        <w:r w:rsidR="00E565AE">
          <w:rPr>
            <w:webHidden/>
          </w:rPr>
        </w:r>
        <w:r w:rsidR="00E565AE">
          <w:rPr>
            <w:webHidden/>
          </w:rPr>
          <w:fldChar w:fldCharType="separate"/>
        </w:r>
        <w:r w:rsidR="00F37F04">
          <w:rPr>
            <w:webHidden/>
          </w:rPr>
          <w:t>121</w:t>
        </w:r>
        <w:r w:rsidR="00E565AE">
          <w:rPr>
            <w:webHidden/>
          </w:rPr>
          <w:fldChar w:fldCharType="end"/>
        </w:r>
      </w:hyperlink>
    </w:p>
    <w:p w:rsidR="00E565AE" w:rsidRPr="00E565AE" w:rsidRDefault="0052743C">
      <w:pPr>
        <w:pStyle w:val="TOC3"/>
        <w:rPr>
          <w:rFonts w:eastAsiaTheme="minorEastAsia" w:cstheme="minorBidi"/>
          <w:bCs w:val="0"/>
          <w:color w:val="auto"/>
          <w:sz w:val="24"/>
          <w:szCs w:val="24"/>
        </w:rPr>
      </w:pPr>
      <w:hyperlink w:anchor="_Toc43342405" w:history="1">
        <w:r w:rsidR="00E565AE" w:rsidRPr="00E565AE">
          <w:rPr>
            <w:rStyle w:val="Hyperlink"/>
          </w:rPr>
          <w:t xml:space="preserve">Immuno-senescenza e inflamm-aging </w:t>
        </w:r>
        <w:r w:rsidR="00E565AE" w:rsidRPr="00E565AE">
          <w:rPr>
            <w:webHidden/>
          </w:rPr>
          <w:tab/>
        </w:r>
        <w:r w:rsidR="00E565AE" w:rsidRPr="00E565AE">
          <w:rPr>
            <w:webHidden/>
          </w:rPr>
          <w:fldChar w:fldCharType="begin"/>
        </w:r>
        <w:r w:rsidR="00E565AE" w:rsidRPr="00E565AE">
          <w:rPr>
            <w:webHidden/>
          </w:rPr>
          <w:instrText xml:space="preserve"> PAGEREF _Toc43342405 \h </w:instrText>
        </w:r>
        <w:r w:rsidR="00E565AE" w:rsidRPr="00E565AE">
          <w:rPr>
            <w:webHidden/>
          </w:rPr>
        </w:r>
        <w:r w:rsidR="00E565AE" w:rsidRPr="00E565AE">
          <w:rPr>
            <w:webHidden/>
          </w:rPr>
          <w:fldChar w:fldCharType="separate"/>
        </w:r>
        <w:r w:rsidR="00F37F04">
          <w:rPr>
            <w:webHidden/>
          </w:rPr>
          <w:t>123</w:t>
        </w:r>
        <w:r w:rsidR="00E565AE" w:rsidRPr="00E565AE">
          <w:rPr>
            <w:webHidden/>
          </w:rPr>
          <w:fldChar w:fldCharType="end"/>
        </w:r>
      </w:hyperlink>
    </w:p>
    <w:p w:rsidR="00E565AE" w:rsidRPr="00E565AE" w:rsidRDefault="0052743C">
      <w:pPr>
        <w:pStyle w:val="TOC3"/>
        <w:rPr>
          <w:rFonts w:eastAsiaTheme="minorEastAsia" w:cstheme="minorBidi"/>
          <w:bCs w:val="0"/>
          <w:color w:val="auto"/>
          <w:sz w:val="24"/>
          <w:szCs w:val="24"/>
        </w:rPr>
      </w:pPr>
      <w:hyperlink w:anchor="_Toc43342406" w:history="1">
        <w:r w:rsidR="00E565AE" w:rsidRPr="00E565AE">
          <w:rPr>
            <w:rStyle w:val="Hyperlink"/>
          </w:rPr>
          <w:t>Microbiota e senescenza</w:t>
        </w:r>
        <w:r w:rsidR="00E565AE" w:rsidRPr="00E565AE">
          <w:rPr>
            <w:webHidden/>
          </w:rPr>
          <w:tab/>
        </w:r>
        <w:r w:rsidR="00E565AE" w:rsidRPr="00E565AE">
          <w:rPr>
            <w:webHidden/>
          </w:rPr>
          <w:fldChar w:fldCharType="begin"/>
        </w:r>
        <w:r w:rsidR="00E565AE" w:rsidRPr="00E565AE">
          <w:rPr>
            <w:webHidden/>
          </w:rPr>
          <w:instrText xml:space="preserve"> PAGEREF _Toc43342406 \h </w:instrText>
        </w:r>
        <w:r w:rsidR="00E565AE" w:rsidRPr="00E565AE">
          <w:rPr>
            <w:webHidden/>
          </w:rPr>
        </w:r>
        <w:r w:rsidR="00E565AE" w:rsidRPr="00E565AE">
          <w:rPr>
            <w:webHidden/>
          </w:rPr>
          <w:fldChar w:fldCharType="separate"/>
        </w:r>
        <w:r w:rsidR="00F37F04">
          <w:rPr>
            <w:webHidden/>
          </w:rPr>
          <w:t>134</w:t>
        </w:r>
        <w:r w:rsidR="00E565AE" w:rsidRPr="00E565AE">
          <w:rPr>
            <w:webHidden/>
          </w:rPr>
          <w:fldChar w:fldCharType="end"/>
        </w:r>
      </w:hyperlink>
    </w:p>
    <w:p w:rsidR="00E565AE" w:rsidRPr="00E565AE" w:rsidRDefault="0052743C">
      <w:pPr>
        <w:pStyle w:val="TOC3"/>
        <w:rPr>
          <w:rFonts w:eastAsiaTheme="minorEastAsia" w:cstheme="minorBidi"/>
          <w:bCs w:val="0"/>
          <w:color w:val="auto"/>
          <w:sz w:val="24"/>
          <w:szCs w:val="24"/>
        </w:rPr>
      </w:pPr>
      <w:hyperlink w:anchor="_Toc43342407" w:history="1">
        <w:r w:rsidR="00E565AE" w:rsidRPr="00E565AE">
          <w:rPr>
            <w:rStyle w:val="Hyperlink"/>
          </w:rPr>
          <w:t xml:space="preserve">Microbiota e COVID-19 </w:t>
        </w:r>
        <w:r w:rsidR="00E565AE" w:rsidRPr="00E565AE">
          <w:rPr>
            <w:webHidden/>
          </w:rPr>
          <w:tab/>
        </w:r>
        <w:r w:rsidR="00E565AE" w:rsidRPr="00E565AE">
          <w:rPr>
            <w:webHidden/>
          </w:rPr>
          <w:fldChar w:fldCharType="begin"/>
        </w:r>
        <w:r w:rsidR="00E565AE" w:rsidRPr="00E565AE">
          <w:rPr>
            <w:webHidden/>
          </w:rPr>
          <w:instrText xml:space="preserve"> PAGEREF _Toc43342407 \h </w:instrText>
        </w:r>
        <w:r w:rsidR="00E565AE" w:rsidRPr="00E565AE">
          <w:rPr>
            <w:webHidden/>
          </w:rPr>
        </w:r>
        <w:r w:rsidR="00E565AE" w:rsidRPr="00E565AE">
          <w:rPr>
            <w:webHidden/>
          </w:rPr>
          <w:fldChar w:fldCharType="separate"/>
        </w:r>
        <w:r w:rsidR="00F37F04">
          <w:rPr>
            <w:webHidden/>
          </w:rPr>
          <w:t>142</w:t>
        </w:r>
        <w:r w:rsidR="00E565AE" w:rsidRPr="00E565AE">
          <w:rPr>
            <w:webHidden/>
          </w:rPr>
          <w:fldChar w:fldCharType="end"/>
        </w:r>
      </w:hyperlink>
    </w:p>
    <w:p w:rsidR="00E565AE" w:rsidRDefault="0052743C" w:rsidP="00E565AE">
      <w:pPr>
        <w:pStyle w:val="TOC2"/>
        <w:ind w:left="0"/>
        <w:rPr>
          <w:rFonts w:eastAsiaTheme="minorEastAsia" w:cstheme="minorBidi"/>
          <w:color w:val="auto"/>
          <w:sz w:val="24"/>
          <w:szCs w:val="24"/>
        </w:rPr>
      </w:pPr>
      <w:hyperlink w:anchor="_Toc43342408" w:history="1">
        <w:r w:rsidR="00E565AE" w:rsidRPr="00A23ED9">
          <w:rPr>
            <w:rStyle w:val="Hyperlink"/>
          </w:rPr>
          <w:t>Differenza di genere</w:t>
        </w:r>
        <w:r w:rsidR="00E565AE">
          <w:rPr>
            <w:webHidden/>
          </w:rPr>
          <w:tab/>
        </w:r>
        <w:r w:rsidR="00E565AE">
          <w:rPr>
            <w:webHidden/>
          </w:rPr>
          <w:fldChar w:fldCharType="begin"/>
        </w:r>
        <w:r w:rsidR="00E565AE">
          <w:rPr>
            <w:webHidden/>
          </w:rPr>
          <w:instrText xml:space="preserve"> PAGEREF _Toc43342408 \h </w:instrText>
        </w:r>
        <w:r w:rsidR="00E565AE">
          <w:rPr>
            <w:webHidden/>
          </w:rPr>
        </w:r>
        <w:r w:rsidR="00E565AE">
          <w:rPr>
            <w:webHidden/>
          </w:rPr>
          <w:fldChar w:fldCharType="separate"/>
        </w:r>
        <w:r w:rsidR="00F37F04">
          <w:rPr>
            <w:webHidden/>
          </w:rPr>
          <w:t>144</w:t>
        </w:r>
        <w:r w:rsidR="00E565AE">
          <w:rPr>
            <w:webHidden/>
          </w:rPr>
          <w:fldChar w:fldCharType="end"/>
        </w:r>
      </w:hyperlink>
    </w:p>
    <w:p w:rsidR="00E565AE" w:rsidRPr="00E565AE" w:rsidRDefault="0052743C" w:rsidP="00E565AE">
      <w:pPr>
        <w:pStyle w:val="TOC1"/>
        <w:rPr>
          <w:rFonts w:eastAsiaTheme="minorEastAsia" w:cstheme="minorBidi"/>
          <w:color w:val="000000" w:themeColor="text1"/>
          <w:sz w:val="24"/>
          <w:szCs w:val="24"/>
        </w:rPr>
      </w:pPr>
      <w:hyperlink w:anchor="_Toc43342409" w:history="1">
        <w:r w:rsidR="00E565AE" w:rsidRPr="00E565AE">
          <w:rPr>
            <w:rStyle w:val="Hyperlink"/>
            <w:bCs/>
            <w:color w:val="000000" w:themeColor="text1"/>
          </w:rPr>
          <w:t>LA SINDROME AUTOIMMUNE/INFIAMMATORIA</w:t>
        </w:r>
        <w:r w:rsidR="00E565AE" w:rsidRPr="00E565AE">
          <w:rPr>
            <w:webHidden/>
            <w:color w:val="000000" w:themeColor="text1"/>
          </w:rPr>
          <w:tab/>
        </w:r>
        <w:r w:rsidR="00E565AE" w:rsidRPr="00E565AE">
          <w:rPr>
            <w:webHidden/>
            <w:color w:val="000000" w:themeColor="text1"/>
          </w:rPr>
          <w:fldChar w:fldCharType="begin"/>
        </w:r>
        <w:r w:rsidR="00E565AE" w:rsidRPr="00E565AE">
          <w:rPr>
            <w:webHidden/>
            <w:color w:val="000000" w:themeColor="text1"/>
          </w:rPr>
          <w:instrText xml:space="preserve"> PAGEREF _Toc43342409 \h </w:instrText>
        </w:r>
        <w:r w:rsidR="00E565AE" w:rsidRPr="00E565AE">
          <w:rPr>
            <w:webHidden/>
            <w:color w:val="000000" w:themeColor="text1"/>
          </w:rPr>
        </w:r>
        <w:r w:rsidR="00E565AE" w:rsidRPr="00E565AE">
          <w:rPr>
            <w:webHidden/>
            <w:color w:val="000000" w:themeColor="text1"/>
          </w:rPr>
          <w:fldChar w:fldCharType="separate"/>
        </w:r>
        <w:r w:rsidR="00F37F04">
          <w:rPr>
            <w:webHidden/>
            <w:color w:val="000000" w:themeColor="text1"/>
          </w:rPr>
          <w:t>149</w:t>
        </w:r>
        <w:r w:rsidR="00E565AE" w:rsidRPr="00E565AE">
          <w:rPr>
            <w:webHidden/>
            <w:color w:val="000000" w:themeColor="text1"/>
          </w:rPr>
          <w:fldChar w:fldCharType="end"/>
        </w:r>
      </w:hyperlink>
    </w:p>
    <w:p w:rsidR="00FC3D2F" w:rsidRPr="000C69DF" w:rsidRDefault="00A3486E" w:rsidP="000C69DF">
      <w:pPr>
        <w:pStyle w:val="Heading1"/>
        <w:tabs>
          <w:tab w:val="left" w:pos="284"/>
        </w:tabs>
        <w:spacing w:before="0"/>
        <w:jc w:val="center"/>
        <w:rPr>
          <w:rFonts w:asciiTheme="minorHAnsi" w:hAnsiTheme="minorHAnsi" w:cstheme="minorHAnsi"/>
          <w:bCs/>
          <w:sz w:val="18"/>
          <w:szCs w:val="18"/>
        </w:rPr>
      </w:pPr>
      <w:r w:rsidRPr="000C69DF">
        <w:rPr>
          <w:rFonts w:asciiTheme="minorHAnsi" w:hAnsiTheme="minorHAnsi" w:cstheme="minorHAnsi"/>
          <w:bCs/>
          <w:sz w:val="18"/>
          <w:szCs w:val="18"/>
        </w:rPr>
        <w:fldChar w:fldCharType="end"/>
      </w:r>
    </w:p>
    <w:p w:rsidR="00553BD0" w:rsidRPr="000C69DF" w:rsidRDefault="00553BD0" w:rsidP="000C69DF">
      <w:pPr>
        <w:tabs>
          <w:tab w:val="left" w:pos="284"/>
        </w:tabs>
        <w:rPr>
          <w:bCs/>
        </w:rPr>
      </w:pPr>
    </w:p>
    <w:p w:rsidR="00553BD0" w:rsidRPr="00DB4F96" w:rsidRDefault="00553BD0" w:rsidP="00553BD0">
      <w:pPr>
        <w:rPr>
          <w:bCs/>
        </w:rPr>
      </w:pPr>
    </w:p>
    <w:p w:rsidR="00553BD0" w:rsidRPr="00DB4F96" w:rsidRDefault="00553BD0" w:rsidP="00553BD0">
      <w:pPr>
        <w:rPr>
          <w:bCs/>
        </w:rPr>
      </w:pPr>
    </w:p>
    <w:p w:rsidR="00553BD0" w:rsidRPr="00DB4F96" w:rsidRDefault="00553BD0" w:rsidP="00553BD0">
      <w:pPr>
        <w:rPr>
          <w:bCs/>
        </w:rPr>
      </w:pPr>
    </w:p>
    <w:p w:rsidR="00553BD0" w:rsidRPr="00DB4F96" w:rsidRDefault="00553BD0" w:rsidP="00553BD0">
      <w:pPr>
        <w:rPr>
          <w:bCs/>
        </w:rPr>
      </w:pPr>
    </w:p>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DB4F96" w:rsidRDefault="00DB4F96" w:rsidP="00553BD0"/>
    <w:p w:rsidR="00DB4F96" w:rsidRDefault="00DB4F96" w:rsidP="00553BD0"/>
    <w:p w:rsidR="00DB4F96" w:rsidRDefault="00DB4F96" w:rsidP="00553BD0"/>
    <w:p w:rsidR="00DB4F96" w:rsidRDefault="00DB4F96" w:rsidP="00553BD0"/>
    <w:p w:rsidR="00DB4F96" w:rsidRDefault="00DB4F96" w:rsidP="00553BD0"/>
    <w:p w:rsidR="00DB4F96" w:rsidRDefault="00DB4F96"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553BD0" w:rsidRDefault="00553BD0" w:rsidP="00553BD0"/>
    <w:p w:rsidR="00D77853" w:rsidRDefault="00D77853" w:rsidP="00553BD0"/>
    <w:p w:rsidR="00D77853" w:rsidRDefault="00D77853" w:rsidP="00553BD0"/>
    <w:p w:rsidR="00235A16" w:rsidRPr="00235A16" w:rsidRDefault="00235A16" w:rsidP="00235A16"/>
    <w:p w:rsidR="00235A16" w:rsidRPr="00235A16" w:rsidRDefault="00235A16" w:rsidP="00235A16">
      <w:pPr>
        <w:jc w:val="center"/>
      </w:pPr>
    </w:p>
    <w:p w:rsidR="002B7F58" w:rsidRPr="007F48B7" w:rsidRDefault="00DB4F96" w:rsidP="00FC3D2F">
      <w:pPr>
        <w:pStyle w:val="Heading1"/>
        <w:spacing w:before="0"/>
        <w:jc w:val="center"/>
        <w:rPr>
          <w:rFonts w:asciiTheme="minorHAnsi" w:hAnsiTheme="minorHAnsi"/>
          <w:b/>
          <w:color w:val="000000" w:themeColor="text1"/>
          <w:sz w:val="24"/>
          <w:szCs w:val="24"/>
        </w:rPr>
      </w:pPr>
      <w:bookmarkStart w:id="0" w:name="_Toc43342360"/>
      <w:r>
        <w:rPr>
          <w:rFonts w:asciiTheme="minorHAnsi" w:hAnsiTheme="minorHAnsi"/>
          <w:b/>
          <w:color w:val="000000" w:themeColor="text1"/>
          <w:sz w:val="24"/>
          <w:szCs w:val="24"/>
        </w:rPr>
        <w:lastRenderedPageBreak/>
        <w:t>I</w:t>
      </w:r>
      <w:r w:rsidR="00934513" w:rsidRPr="007F48B7">
        <w:rPr>
          <w:rFonts w:asciiTheme="minorHAnsi" w:hAnsiTheme="minorHAnsi"/>
          <w:b/>
          <w:color w:val="000000" w:themeColor="text1"/>
          <w:sz w:val="24"/>
          <w:szCs w:val="24"/>
        </w:rPr>
        <w:t>NTRODUZIONE</w:t>
      </w:r>
      <w:bookmarkEnd w:id="0"/>
    </w:p>
    <w:p w:rsidR="002B7F58" w:rsidRDefault="002B7F58" w:rsidP="002B7F58">
      <w:pPr>
        <w:shd w:val="clear" w:color="auto" w:fill="FFFFFF"/>
        <w:jc w:val="both"/>
        <w:rPr>
          <w:rFonts w:asciiTheme="minorHAnsi" w:hAnsiTheme="minorHAnsi" w:cstheme="minorHAnsi"/>
          <w:b/>
          <w:color w:val="1C1E21"/>
        </w:rPr>
      </w:pPr>
    </w:p>
    <w:p w:rsidR="00C26367" w:rsidRDefault="00C26367" w:rsidP="002B7F58">
      <w:pPr>
        <w:shd w:val="clear" w:color="auto" w:fill="FFFFFF"/>
        <w:jc w:val="both"/>
        <w:rPr>
          <w:rFonts w:asciiTheme="minorHAnsi" w:hAnsiTheme="minorHAnsi" w:cstheme="minorHAnsi"/>
          <w:b/>
          <w:color w:val="1C1E21"/>
        </w:rPr>
      </w:pPr>
      <w:bookmarkStart w:id="1" w:name="_Toc43342361"/>
      <w:r w:rsidRPr="00CA51D4">
        <w:rPr>
          <w:rStyle w:val="Heading2Char"/>
          <w:rFonts w:asciiTheme="minorHAnsi" w:hAnsiTheme="minorHAnsi" w:cstheme="minorHAnsi"/>
          <w:b/>
          <w:bCs/>
          <w:color w:val="C00000"/>
          <w:sz w:val="22"/>
          <w:szCs w:val="22"/>
        </w:rPr>
        <w:t>COVID-19 – situazione nel mondo</w:t>
      </w:r>
      <w:bookmarkEnd w:id="1"/>
      <w:r w:rsidRPr="00CA51D4">
        <w:rPr>
          <w:rFonts w:asciiTheme="minorHAnsi" w:hAnsiTheme="minorHAnsi" w:cstheme="minorHAnsi"/>
          <w:b/>
          <w:color w:val="C00000"/>
        </w:rPr>
        <w:t xml:space="preserve"> </w:t>
      </w:r>
      <w:r w:rsidRPr="00CA51D4">
        <w:rPr>
          <w:rStyle w:val="FootnoteReference"/>
          <w:rFonts w:asciiTheme="minorHAnsi" w:hAnsiTheme="minorHAnsi" w:cstheme="minorHAnsi"/>
          <w:b/>
          <w:color w:val="C00000"/>
        </w:rPr>
        <w:footnoteReference w:id="1"/>
      </w:r>
    </w:p>
    <w:p w:rsidR="00C26367" w:rsidRPr="00C26367" w:rsidRDefault="00C26367" w:rsidP="00C26367">
      <w:pPr>
        <w:shd w:val="clear" w:color="auto" w:fill="FFFFFF"/>
        <w:jc w:val="both"/>
        <w:rPr>
          <w:rFonts w:asciiTheme="minorHAnsi" w:hAnsiTheme="minorHAnsi" w:cstheme="minorHAnsi"/>
          <w:b/>
          <w:color w:val="1C1E21"/>
          <w:sz w:val="20"/>
          <w:szCs w:val="20"/>
        </w:rPr>
      </w:pPr>
    </w:p>
    <w:p w:rsidR="00C26367" w:rsidRDefault="00C26367" w:rsidP="00C26367">
      <w:pPr>
        <w:jc w:val="both"/>
        <w:rPr>
          <w:rFonts w:asciiTheme="minorHAnsi" w:hAnsiTheme="minorHAnsi" w:cstheme="minorHAnsi"/>
          <w:color w:val="1C2024"/>
          <w:sz w:val="20"/>
          <w:szCs w:val="20"/>
          <w:shd w:val="clear" w:color="auto" w:fill="FFFFFF"/>
        </w:rPr>
      </w:pPr>
      <w:r w:rsidRPr="00C26367">
        <w:rPr>
          <w:rFonts w:asciiTheme="minorHAnsi" w:hAnsiTheme="minorHAnsi" w:cstheme="minorHAnsi"/>
          <w:color w:val="1C2024"/>
          <w:sz w:val="20"/>
          <w:szCs w:val="20"/>
          <w:shd w:val="clear" w:color="auto" w:fill="FFFFFF"/>
        </w:rPr>
        <w:t xml:space="preserve">Il </w:t>
      </w:r>
      <w:r w:rsidRPr="00CA51D4">
        <w:rPr>
          <w:rFonts w:asciiTheme="minorHAnsi" w:hAnsiTheme="minorHAnsi" w:cstheme="minorHAnsi"/>
          <w:b/>
          <w:bCs/>
          <w:color w:val="1C2024"/>
          <w:sz w:val="20"/>
          <w:szCs w:val="20"/>
          <w:shd w:val="clear" w:color="auto" w:fill="FFFFFF"/>
        </w:rPr>
        <w:t>31 dicembre 2019</w:t>
      </w:r>
      <w:r w:rsidRPr="00C26367">
        <w:rPr>
          <w:rFonts w:asciiTheme="minorHAnsi" w:hAnsiTheme="minorHAnsi" w:cstheme="minorHAnsi"/>
          <w:color w:val="1C2024"/>
          <w:sz w:val="20"/>
          <w:szCs w:val="20"/>
          <w:shd w:val="clear" w:color="auto" w:fill="FFFFFF"/>
        </w:rPr>
        <w:t xml:space="preserve"> la Commissione Sanitaria Municipale di Wuhan (Cina) ha segnalato all’Organizzazione Mondiale della Sanità un cluster di casi di polmonite ad eziologia ignota nella città di Wuhan, nella provincia cinese di Hubei. </w:t>
      </w:r>
    </w:p>
    <w:p w:rsidR="00D1282C" w:rsidRDefault="00D1282C" w:rsidP="00C26367">
      <w:pPr>
        <w:jc w:val="both"/>
        <w:rPr>
          <w:rFonts w:asciiTheme="minorHAnsi" w:hAnsiTheme="minorHAnsi" w:cstheme="minorHAnsi"/>
          <w:color w:val="1C2024"/>
          <w:sz w:val="20"/>
          <w:szCs w:val="20"/>
          <w:shd w:val="clear" w:color="auto" w:fill="FFFFFF"/>
        </w:rPr>
      </w:pPr>
    </w:p>
    <w:p w:rsidR="00C26367" w:rsidRDefault="00C26367" w:rsidP="00C26367">
      <w:pPr>
        <w:jc w:val="both"/>
        <w:rPr>
          <w:rFonts w:asciiTheme="minorHAnsi" w:hAnsiTheme="minorHAnsi" w:cstheme="minorHAnsi"/>
          <w:color w:val="000000" w:themeColor="text1"/>
          <w:sz w:val="20"/>
          <w:szCs w:val="20"/>
          <w:shd w:val="clear" w:color="auto" w:fill="FFFFFF"/>
        </w:rPr>
      </w:pPr>
      <w:r w:rsidRPr="00C26367">
        <w:rPr>
          <w:rFonts w:asciiTheme="minorHAnsi" w:hAnsiTheme="minorHAnsi" w:cstheme="minorHAnsi"/>
          <w:color w:val="1C2024"/>
          <w:sz w:val="20"/>
          <w:szCs w:val="20"/>
          <w:shd w:val="clear" w:color="auto" w:fill="FFFFFF"/>
        </w:rPr>
        <w:t xml:space="preserve">Il </w:t>
      </w:r>
      <w:r w:rsidRPr="00CA51D4">
        <w:rPr>
          <w:rFonts w:asciiTheme="minorHAnsi" w:hAnsiTheme="minorHAnsi" w:cstheme="minorHAnsi"/>
          <w:b/>
          <w:bCs/>
          <w:color w:val="1C2024"/>
          <w:sz w:val="20"/>
          <w:szCs w:val="20"/>
          <w:shd w:val="clear" w:color="auto" w:fill="FFFFFF"/>
        </w:rPr>
        <w:t>9 gennaio 2020</w:t>
      </w:r>
      <w:r w:rsidRPr="00C26367">
        <w:rPr>
          <w:rFonts w:asciiTheme="minorHAnsi" w:hAnsiTheme="minorHAnsi" w:cstheme="minorHAnsi"/>
          <w:color w:val="1C2024"/>
          <w:sz w:val="20"/>
          <w:szCs w:val="20"/>
          <w:shd w:val="clear" w:color="auto" w:fill="FFFFFF"/>
        </w:rPr>
        <w:t xml:space="preserve">, il CDC cinese ha riferito </w:t>
      </w:r>
      <w:r w:rsidR="00CA51D4">
        <w:rPr>
          <w:rFonts w:asciiTheme="minorHAnsi" w:hAnsiTheme="minorHAnsi" w:cstheme="minorHAnsi"/>
          <w:color w:val="1C2024"/>
          <w:sz w:val="20"/>
          <w:szCs w:val="20"/>
          <w:shd w:val="clear" w:color="auto" w:fill="FFFFFF"/>
        </w:rPr>
        <w:t xml:space="preserve">di aver </w:t>
      </w:r>
      <w:r w:rsidRPr="00C26367">
        <w:rPr>
          <w:rFonts w:asciiTheme="minorHAnsi" w:hAnsiTheme="minorHAnsi" w:cstheme="minorHAnsi"/>
          <w:color w:val="1C2024"/>
          <w:sz w:val="20"/>
          <w:szCs w:val="20"/>
          <w:shd w:val="clear" w:color="auto" w:fill="FFFFFF"/>
        </w:rPr>
        <w:t>identificato un </w:t>
      </w:r>
      <w:r w:rsidRPr="00C26367">
        <w:rPr>
          <w:rFonts w:asciiTheme="minorHAnsi" w:eastAsiaTheme="majorEastAsia" w:hAnsiTheme="minorHAnsi" w:cstheme="minorHAnsi"/>
          <w:sz w:val="20"/>
          <w:szCs w:val="20"/>
          <w:shd w:val="clear" w:color="auto" w:fill="FFFFFF"/>
        </w:rPr>
        <w:t>nuovo coronavirus</w:t>
      </w:r>
      <w:r w:rsidRPr="00C26367">
        <w:rPr>
          <w:rFonts w:asciiTheme="minorHAnsi" w:hAnsiTheme="minorHAnsi" w:cstheme="minorHAnsi"/>
          <w:color w:val="1C2024"/>
          <w:sz w:val="20"/>
          <w:szCs w:val="20"/>
          <w:shd w:val="clear" w:color="auto" w:fill="FFFFFF"/>
        </w:rPr>
        <w:t> (</w:t>
      </w:r>
      <w:r w:rsidR="00CA51D4">
        <w:rPr>
          <w:rFonts w:asciiTheme="minorHAnsi" w:hAnsiTheme="minorHAnsi" w:cstheme="minorHAnsi"/>
          <w:color w:val="1C2024"/>
          <w:sz w:val="20"/>
          <w:szCs w:val="20"/>
          <w:shd w:val="clear" w:color="auto" w:fill="FFFFFF"/>
        </w:rPr>
        <w:t xml:space="preserve">denominato </w:t>
      </w:r>
      <w:r w:rsidR="00CA51D4" w:rsidRPr="00CA51D4">
        <w:rPr>
          <w:rFonts w:asciiTheme="minorHAnsi" w:hAnsiTheme="minorHAnsi" w:cstheme="minorHAnsi"/>
          <w:color w:val="1C1E21"/>
          <w:sz w:val="20"/>
          <w:szCs w:val="20"/>
        </w:rPr>
        <w:t>dal Comitato internazionale per la tassonomia dei virus</w:t>
      </w:r>
      <w:r w:rsidR="00CA51D4" w:rsidRPr="00C26367">
        <w:rPr>
          <w:rFonts w:asciiTheme="minorHAnsi" w:hAnsiTheme="minorHAnsi" w:cstheme="minorHAnsi"/>
          <w:color w:val="1C2024"/>
          <w:sz w:val="20"/>
          <w:szCs w:val="20"/>
          <w:shd w:val="clear" w:color="auto" w:fill="FFFFFF"/>
        </w:rPr>
        <w:t xml:space="preserve"> </w:t>
      </w:r>
      <w:r w:rsidRPr="00C26367">
        <w:rPr>
          <w:rFonts w:asciiTheme="minorHAnsi" w:hAnsiTheme="minorHAnsi" w:cstheme="minorHAnsi"/>
          <w:color w:val="1C2024"/>
          <w:sz w:val="20"/>
          <w:szCs w:val="20"/>
          <w:shd w:val="clear" w:color="auto" w:fill="FFFFFF"/>
        </w:rPr>
        <w:t>SARS-CoV-2</w:t>
      </w:r>
      <w:r>
        <w:rPr>
          <w:rFonts w:asciiTheme="minorHAnsi" w:hAnsiTheme="minorHAnsi" w:cstheme="minorHAnsi"/>
          <w:color w:val="1C2024"/>
          <w:sz w:val="20"/>
          <w:szCs w:val="20"/>
          <w:shd w:val="clear" w:color="auto" w:fill="FFFFFF"/>
        </w:rPr>
        <w:t xml:space="preserve">: </w:t>
      </w:r>
      <w:r w:rsidRPr="00C26367">
        <w:rPr>
          <w:rFonts w:asciiTheme="minorHAnsi" w:hAnsiTheme="minorHAnsi" w:cstheme="minorHAnsi"/>
          <w:color w:val="1C1E21"/>
          <w:sz w:val="20"/>
          <w:szCs w:val="20"/>
        </w:rPr>
        <w:t>sindrome respiratoria acuta grave da coronavirus 2</w:t>
      </w:r>
      <w:r w:rsidRPr="00C26367">
        <w:rPr>
          <w:rFonts w:asciiTheme="minorHAnsi" w:hAnsiTheme="minorHAnsi" w:cstheme="minorHAnsi"/>
          <w:color w:val="1C2024"/>
          <w:sz w:val="20"/>
          <w:szCs w:val="20"/>
          <w:shd w:val="clear" w:color="auto" w:fill="FFFFFF"/>
        </w:rPr>
        <w:t>) come agente causale della malattia respiratoria poi denominata Covid-19</w:t>
      </w:r>
      <w:r>
        <w:rPr>
          <w:rFonts w:asciiTheme="minorHAnsi" w:hAnsiTheme="minorHAnsi" w:cstheme="minorHAnsi"/>
          <w:color w:val="1C2024"/>
          <w:sz w:val="20"/>
          <w:szCs w:val="20"/>
          <w:shd w:val="clear" w:color="auto" w:fill="FFFFFF"/>
        </w:rPr>
        <w:t xml:space="preserve"> </w:t>
      </w:r>
      <w:r w:rsidRPr="00C26367">
        <w:rPr>
          <w:rFonts w:asciiTheme="minorHAnsi" w:hAnsiTheme="minorHAnsi" w:cstheme="minorHAnsi"/>
          <w:color w:val="1C2024"/>
          <w:sz w:val="20"/>
          <w:szCs w:val="20"/>
          <w:shd w:val="clear" w:color="auto" w:fill="FFFFFF"/>
        </w:rPr>
        <w:t xml:space="preserve"> </w:t>
      </w:r>
      <w:r w:rsidR="00CA51D4" w:rsidRPr="00CA51D4">
        <w:rPr>
          <w:rFonts w:asciiTheme="minorHAnsi" w:hAnsiTheme="minorHAnsi" w:cstheme="minorHAnsi"/>
          <w:color w:val="1C2024"/>
          <w:sz w:val="20"/>
          <w:szCs w:val="20"/>
          <w:shd w:val="clear" w:color="auto" w:fill="FFFFFF"/>
        </w:rPr>
        <w:t>(</w:t>
      </w:r>
      <w:r w:rsidR="00CA51D4" w:rsidRPr="00CA51D4">
        <w:rPr>
          <w:rFonts w:asciiTheme="minorHAnsi" w:hAnsiTheme="minorHAnsi" w:cstheme="minorHAnsi"/>
          <w:color w:val="000000" w:themeColor="text1"/>
          <w:sz w:val="20"/>
          <w:szCs w:val="20"/>
          <w:shd w:val="clear" w:color="auto" w:fill="FFFFFF"/>
        </w:rPr>
        <w:t>COronaVIrus Disease 19)</w:t>
      </w:r>
    </w:p>
    <w:p w:rsidR="00D1282C" w:rsidRDefault="00D1282C" w:rsidP="00C26367">
      <w:pPr>
        <w:jc w:val="both"/>
        <w:rPr>
          <w:rFonts w:asciiTheme="minorHAnsi" w:hAnsiTheme="minorHAnsi" w:cstheme="minorHAnsi"/>
          <w:color w:val="1C2024"/>
          <w:sz w:val="20"/>
          <w:szCs w:val="20"/>
          <w:shd w:val="clear" w:color="auto" w:fill="FFFFFF"/>
        </w:rPr>
      </w:pPr>
    </w:p>
    <w:p w:rsidR="00C26367" w:rsidRPr="00C26367" w:rsidRDefault="00C26367" w:rsidP="00C26367">
      <w:pPr>
        <w:pStyle w:val="NormalWeb"/>
        <w:shd w:val="clear" w:color="auto" w:fill="FFFFFF"/>
        <w:spacing w:before="0" w:beforeAutospacing="0" w:after="0" w:afterAutospacing="0"/>
        <w:jc w:val="both"/>
        <w:rPr>
          <w:rFonts w:asciiTheme="minorHAnsi" w:hAnsiTheme="minorHAnsi" w:cstheme="minorHAnsi"/>
          <w:color w:val="1C2024"/>
          <w:sz w:val="20"/>
          <w:szCs w:val="20"/>
        </w:rPr>
      </w:pPr>
      <w:r w:rsidRPr="00C26367">
        <w:rPr>
          <w:rFonts w:asciiTheme="minorHAnsi" w:hAnsiTheme="minorHAnsi" w:cstheme="minorHAnsi"/>
          <w:color w:val="1C2024"/>
          <w:sz w:val="20"/>
          <w:szCs w:val="20"/>
        </w:rPr>
        <w:t xml:space="preserve">Il </w:t>
      </w:r>
      <w:r w:rsidRPr="00CA51D4">
        <w:rPr>
          <w:rFonts w:asciiTheme="minorHAnsi" w:hAnsiTheme="minorHAnsi" w:cstheme="minorHAnsi"/>
          <w:b/>
          <w:bCs/>
          <w:color w:val="1C2024"/>
          <w:sz w:val="20"/>
          <w:szCs w:val="20"/>
        </w:rPr>
        <w:t>30 gennaio</w:t>
      </w:r>
      <w:r w:rsidRPr="00C26367">
        <w:rPr>
          <w:rFonts w:asciiTheme="minorHAnsi" w:hAnsiTheme="minorHAnsi" w:cstheme="minorHAnsi"/>
          <w:color w:val="1C2024"/>
          <w:sz w:val="20"/>
          <w:szCs w:val="20"/>
        </w:rPr>
        <w:t xml:space="preserve"> l'OMS ha dichiarato l'epidemia di Coronavirus in Cina </w:t>
      </w:r>
      <w:r w:rsidRPr="00CA51D4">
        <w:rPr>
          <w:rFonts w:asciiTheme="minorHAnsi" w:hAnsiTheme="minorHAnsi" w:cstheme="minorHAnsi"/>
          <w:b/>
          <w:bCs/>
          <w:color w:val="1C2024"/>
          <w:sz w:val="20"/>
          <w:szCs w:val="20"/>
        </w:rPr>
        <w:t>Emergenza internazionale di salute pubblica</w:t>
      </w:r>
      <w:r w:rsidRPr="00C26367">
        <w:rPr>
          <w:rFonts w:asciiTheme="minorHAnsi" w:hAnsiTheme="minorHAnsi" w:cstheme="minorHAnsi"/>
          <w:color w:val="1C2024"/>
          <w:sz w:val="20"/>
          <w:szCs w:val="20"/>
        </w:rPr>
        <w:t>.</w:t>
      </w:r>
    </w:p>
    <w:p w:rsidR="00C26367" w:rsidRDefault="00C26367" w:rsidP="00C26367">
      <w:pPr>
        <w:pStyle w:val="NormalWeb"/>
        <w:shd w:val="clear" w:color="auto" w:fill="FFFFFF"/>
        <w:spacing w:before="0" w:beforeAutospacing="0" w:after="0" w:afterAutospacing="0"/>
        <w:jc w:val="both"/>
        <w:rPr>
          <w:rFonts w:asciiTheme="minorHAnsi" w:hAnsiTheme="minorHAnsi" w:cstheme="minorHAnsi"/>
          <w:color w:val="1C2024"/>
          <w:sz w:val="20"/>
          <w:szCs w:val="20"/>
        </w:rPr>
      </w:pPr>
      <w:r w:rsidRPr="00C26367">
        <w:rPr>
          <w:rFonts w:asciiTheme="minorHAnsi" w:hAnsiTheme="minorHAnsi" w:cstheme="minorHAnsi"/>
          <w:color w:val="1C2024"/>
          <w:sz w:val="20"/>
          <w:szCs w:val="20"/>
        </w:rPr>
        <w:t>L'OMS ha elevato la minaccia per l'epidemia di coronavirus a livello "</w:t>
      </w:r>
      <w:r w:rsidRPr="00C26367">
        <w:rPr>
          <w:rStyle w:val="Strong"/>
          <w:rFonts w:asciiTheme="minorHAnsi" w:hAnsiTheme="minorHAnsi" w:cstheme="minorHAnsi"/>
          <w:color w:val="1C2024"/>
          <w:sz w:val="20"/>
          <w:szCs w:val="20"/>
        </w:rPr>
        <w:t>molto alto</w:t>
      </w:r>
      <w:r w:rsidRPr="00C26367">
        <w:rPr>
          <w:rFonts w:asciiTheme="minorHAnsi" w:hAnsiTheme="minorHAnsi" w:cstheme="minorHAnsi"/>
          <w:color w:val="1C2024"/>
          <w:sz w:val="20"/>
          <w:szCs w:val="20"/>
        </w:rPr>
        <w:t>" il 28 febbraio 2020.</w:t>
      </w:r>
    </w:p>
    <w:p w:rsidR="00D1282C" w:rsidRPr="00C26367" w:rsidRDefault="00D1282C" w:rsidP="00C26367">
      <w:pPr>
        <w:pStyle w:val="NormalWeb"/>
        <w:shd w:val="clear" w:color="auto" w:fill="FFFFFF"/>
        <w:spacing w:before="0" w:beforeAutospacing="0" w:after="0" w:afterAutospacing="0"/>
        <w:jc w:val="both"/>
        <w:rPr>
          <w:rFonts w:asciiTheme="minorHAnsi" w:hAnsiTheme="minorHAnsi" w:cstheme="minorHAnsi"/>
          <w:color w:val="1C2024"/>
          <w:sz w:val="20"/>
          <w:szCs w:val="20"/>
        </w:rPr>
      </w:pPr>
    </w:p>
    <w:p w:rsidR="00C26367" w:rsidRPr="00C26367" w:rsidRDefault="00C26367" w:rsidP="00C26367">
      <w:pPr>
        <w:pStyle w:val="NormalWeb"/>
        <w:shd w:val="clear" w:color="auto" w:fill="FFFFFF"/>
        <w:spacing w:before="0" w:beforeAutospacing="0" w:after="0" w:afterAutospacing="0"/>
        <w:jc w:val="both"/>
        <w:rPr>
          <w:rFonts w:asciiTheme="minorHAnsi" w:hAnsiTheme="minorHAnsi" w:cstheme="minorHAnsi"/>
          <w:color w:val="1C2024"/>
          <w:sz w:val="20"/>
          <w:szCs w:val="20"/>
        </w:rPr>
      </w:pPr>
      <w:r w:rsidRPr="00C26367">
        <w:rPr>
          <w:rFonts w:asciiTheme="minorHAnsi" w:hAnsiTheme="minorHAnsi" w:cstheme="minorHAnsi"/>
          <w:color w:val="1C2024"/>
          <w:sz w:val="20"/>
          <w:szCs w:val="20"/>
        </w:rPr>
        <w:t>L'</w:t>
      </w:r>
      <w:r w:rsidRPr="00CA51D4">
        <w:rPr>
          <w:rFonts w:asciiTheme="minorHAnsi" w:hAnsiTheme="minorHAnsi" w:cstheme="minorHAnsi"/>
          <w:b/>
          <w:bCs/>
          <w:color w:val="1C2024"/>
          <w:sz w:val="20"/>
          <w:szCs w:val="20"/>
        </w:rPr>
        <w:t xml:space="preserve">11 marzo 2020 </w:t>
      </w:r>
      <w:r w:rsidRPr="00C26367">
        <w:rPr>
          <w:rFonts w:asciiTheme="minorHAnsi" w:hAnsiTheme="minorHAnsi" w:cstheme="minorHAnsi"/>
          <w:color w:val="1C2024"/>
          <w:sz w:val="20"/>
          <w:szCs w:val="20"/>
        </w:rPr>
        <w:t>il direttore generale dell'OMS Tedros Adhanom Ghebreyesus ha definito la diffusione del Covid-19 non più una epidemia confinata ad alcune zone geografiche, ma una</w:t>
      </w:r>
      <w:r w:rsidRPr="00C26367">
        <w:rPr>
          <w:rStyle w:val="Strong"/>
          <w:rFonts w:asciiTheme="minorHAnsi" w:hAnsiTheme="minorHAnsi" w:cstheme="minorHAnsi"/>
          <w:color w:val="1C2024"/>
          <w:sz w:val="20"/>
          <w:szCs w:val="20"/>
        </w:rPr>
        <w:t> pandemia </w:t>
      </w:r>
      <w:r w:rsidRPr="00C26367">
        <w:rPr>
          <w:rFonts w:asciiTheme="minorHAnsi" w:hAnsiTheme="minorHAnsi" w:cstheme="minorHAnsi"/>
          <w:color w:val="1C2024"/>
          <w:sz w:val="20"/>
          <w:szCs w:val="20"/>
        </w:rPr>
        <w:t>diffusa in tutto il pianeta.</w:t>
      </w:r>
    </w:p>
    <w:p w:rsidR="00C26367" w:rsidRDefault="00C26367" w:rsidP="002B7F58">
      <w:pPr>
        <w:shd w:val="clear" w:color="auto" w:fill="FFFFFF"/>
        <w:jc w:val="both"/>
        <w:rPr>
          <w:rFonts w:asciiTheme="minorHAnsi" w:hAnsiTheme="minorHAnsi" w:cstheme="minorHAnsi"/>
          <w:b/>
          <w:color w:val="1C1E21"/>
        </w:rPr>
      </w:pPr>
    </w:p>
    <w:p w:rsidR="00C26367" w:rsidRDefault="00C26367" w:rsidP="00C26367">
      <w:r>
        <w:fldChar w:fldCharType="begin"/>
      </w:r>
      <w:r>
        <w:instrText xml:space="preserve"> INCLUDEPICTURE "http://www.salute.gov.it/imgs/C_17_pagineAree_5338_0_immagine.jpg" \* MERGEFORMATINET </w:instrText>
      </w:r>
      <w:r>
        <w:fldChar w:fldCharType="separate"/>
      </w:r>
      <w:r>
        <w:rPr>
          <w:noProof/>
        </w:rPr>
        <w:drawing>
          <wp:inline distT="0" distB="0" distL="0" distR="0">
            <wp:extent cx="6116320" cy="4176395"/>
            <wp:effectExtent l="0" t="0" r="5080" b="1905"/>
            <wp:docPr id="12" name="Immagine 12" descr="Mappa WHO dei casi di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pa WHO dei casi di Covid-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4176395"/>
                    </a:xfrm>
                    <a:prstGeom prst="rect">
                      <a:avLst/>
                    </a:prstGeom>
                    <a:noFill/>
                    <a:ln>
                      <a:noFill/>
                    </a:ln>
                  </pic:spPr>
                </pic:pic>
              </a:graphicData>
            </a:graphic>
          </wp:inline>
        </w:drawing>
      </w:r>
      <w:r>
        <w:fldChar w:fldCharType="end"/>
      </w:r>
    </w:p>
    <w:p w:rsidR="00C26367" w:rsidRDefault="00C26367" w:rsidP="002B7F58">
      <w:pPr>
        <w:shd w:val="clear" w:color="auto" w:fill="FFFFFF"/>
        <w:jc w:val="both"/>
        <w:rPr>
          <w:rFonts w:asciiTheme="minorHAnsi" w:hAnsiTheme="minorHAnsi" w:cstheme="minorHAnsi"/>
          <w:b/>
          <w:color w:val="1C1E21"/>
        </w:rPr>
      </w:pPr>
    </w:p>
    <w:p w:rsidR="00D1282C" w:rsidRDefault="00D1282C" w:rsidP="00CA51D4">
      <w:pPr>
        <w:pStyle w:val="Heading2"/>
        <w:rPr>
          <w:rFonts w:asciiTheme="minorHAnsi" w:hAnsiTheme="minorHAnsi" w:cstheme="minorHAnsi"/>
          <w:b/>
          <w:bCs/>
          <w:color w:val="C00000"/>
          <w:sz w:val="24"/>
          <w:szCs w:val="24"/>
        </w:rPr>
      </w:pPr>
    </w:p>
    <w:p w:rsidR="00D1282C" w:rsidRPr="00D1282C" w:rsidRDefault="00D1282C" w:rsidP="00D1282C"/>
    <w:p w:rsidR="00CA51D4" w:rsidRPr="00CA51D4" w:rsidRDefault="00CA51D4" w:rsidP="00CA51D4">
      <w:pPr>
        <w:pStyle w:val="Heading2"/>
        <w:rPr>
          <w:rFonts w:asciiTheme="minorHAnsi" w:hAnsiTheme="minorHAnsi" w:cstheme="minorHAnsi"/>
          <w:b/>
          <w:bCs/>
          <w:color w:val="000000" w:themeColor="text1"/>
          <w:sz w:val="24"/>
          <w:szCs w:val="24"/>
        </w:rPr>
      </w:pPr>
      <w:bookmarkStart w:id="2" w:name="_Toc43342362"/>
      <w:r w:rsidRPr="00CA51D4">
        <w:rPr>
          <w:rFonts w:asciiTheme="minorHAnsi" w:hAnsiTheme="minorHAnsi" w:cstheme="minorHAnsi"/>
          <w:b/>
          <w:bCs/>
          <w:color w:val="C00000"/>
          <w:sz w:val="24"/>
          <w:szCs w:val="24"/>
        </w:rPr>
        <w:t>C</w:t>
      </w:r>
      <w:r w:rsidR="00E565AE">
        <w:rPr>
          <w:rFonts w:asciiTheme="minorHAnsi" w:hAnsiTheme="minorHAnsi" w:cstheme="minorHAnsi"/>
          <w:b/>
          <w:bCs/>
          <w:color w:val="C00000"/>
          <w:sz w:val="24"/>
          <w:szCs w:val="24"/>
        </w:rPr>
        <w:t>OVID</w:t>
      </w:r>
      <w:r w:rsidRPr="00CA51D4">
        <w:rPr>
          <w:rFonts w:asciiTheme="minorHAnsi" w:hAnsiTheme="minorHAnsi" w:cstheme="minorHAnsi"/>
          <w:b/>
          <w:bCs/>
          <w:color w:val="C00000"/>
          <w:sz w:val="24"/>
          <w:szCs w:val="24"/>
        </w:rPr>
        <w:t>-19 - Situazione in Italia</w:t>
      </w:r>
      <w:r>
        <w:rPr>
          <w:rFonts w:asciiTheme="minorHAnsi" w:hAnsiTheme="minorHAnsi" w:cstheme="minorHAnsi"/>
          <w:b/>
          <w:bCs/>
          <w:color w:val="C00000"/>
          <w:sz w:val="24"/>
          <w:szCs w:val="24"/>
        </w:rPr>
        <w:t xml:space="preserve"> </w:t>
      </w:r>
      <w:r>
        <w:rPr>
          <w:rStyle w:val="FootnoteReference"/>
          <w:rFonts w:asciiTheme="minorHAnsi" w:hAnsiTheme="minorHAnsi" w:cstheme="minorHAnsi"/>
          <w:b/>
          <w:bCs/>
          <w:color w:val="C00000"/>
          <w:sz w:val="24"/>
          <w:szCs w:val="24"/>
        </w:rPr>
        <w:footnoteReference w:id="2"/>
      </w:r>
      <w:bookmarkEnd w:id="2"/>
    </w:p>
    <w:p w:rsidR="00B66D83" w:rsidRDefault="00B66D83" w:rsidP="00B66D83">
      <w:pPr>
        <w:pStyle w:val="NormalWeb"/>
        <w:shd w:val="clear" w:color="auto" w:fill="FFFFFF"/>
        <w:spacing w:before="0" w:beforeAutospacing="0" w:after="0" w:afterAutospacing="0"/>
        <w:rPr>
          <w:rFonts w:asciiTheme="minorHAnsi" w:hAnsiTheme="minorHAnsi" w:cstheme="minorHAnsi"/>
          <w:color w:val="1C2024"/>
          <w:sz w:val="20"/>
          <w:szCs w:val="20"/>
        </w:rPr>
      </w:pPr>
    </w:p>
    <w:p w:rsidR="00B66D83" w:rsidRDefault="00B66D83" w:rsidP="00B66D83">
      <w:pPr>
        <w:pStyle w:val="NormalWeb"/>
        <w:shd w:val="clear" w:color="auto" w:fill="FFFFFF"/>
        <w:spacing w:before="0" w:beforeAutospacing="0" w:after="0" w:afterAutospacing="0"/>
        <w:jc w:val="both"/>
        <w:rPr>
          <w:rFonts w:asciiTheme="minorHAnsi" w:hAnsiTheme="minorHAnsi" w:cstheme="minorHAnsi"/>
          <w:color w:val="1C2024"/>
          <w:sz w:val="20"/>
          <w:szCs w:val="20"/>
        </w:rPr>
      </w:pPr>
      <w:r w:rsidRPr="00B66D83">
        <w:rPr>
          <w:rFonts w:asciiTheme="minorHAnsi" w:hAnsiTheme="minorHAnsi" w:cstheme="minorHAnsi"/>
          <w:color w:val="1C2024"/>
          <w:sz w:val="20"/>
          <w:szCs w:val="20"/>
        </w:rPr>
        <w:lastRenderedPageBreak/>
        <w:t xml:space="preserve">I primi due casi di Coronavirus in Italia, una coppia di turisti cinesi, sono stati confermati il </w:t>
      </w:r>
      <w:r w:rsidRPr="00B66D83">
        <w:rPr>
          <w:rFonts w:asciiTheme="minorHAnsi" w:hAnsiTheme="minorHAnsi" w:cstheme="minorHAnsi"/>
          <w:b/>
          <w:bCs/>
          <w:color w:val="1C2024"/>
          <w:sz w:val="20"/>
          <w:szCs w:val="20"/>
        </w:rPr>
        <w:t>30 gennaio</w:t>
      </w:r>
      <w:r w:rsidRPr="00B66D83">
        <w:rPr>
          <w:rFonts w:asciiTheme="minorHAnsi" w:hAnsiTheme="minorHAnsi" w:cstheme="minorHAnsi"/>
          <w:color w:val="1C2024"/>
          <w:sz w:val="20"/>
          <w:szCs w:val="20"/>
        </w:rPr>
        <w:t xml:space="preserve"> dall'</w:t>
      </w:r>
      <w:r w:rsidRPr="00B66D83">
        <w:rPr>
          <w:rFonts w:asciiTheme="minorHAnsi" w:eastAsiaTheme="majorEastAsia" w:hAnsiTheme="minorHAnsi" w:cstheme="minorHAnsi"/>
          <w:color w:val="1C2024"/>
          <w:sz w:val="20"/>
          <w:szCs w:val="20"/>
        </w:rPr>
        <w:t>Istituto Lazzaro Spallanzani di Roma</w:t>
      </w:r>
      <w:r w:rsidRPr="00B66D83">
        <w:rPr>
          <w:rFonts w:asciiTheme="minorHAnsi" w:hAnsiTheme="minorHAnsi" w:cstheme="minorHAnsi"/>
          <w:color w:val="1C2024"/>
          <w:sz w:val="20"/>
          <w:szCs w:val="20"/>
        </w:rPr>
        <w:t>, dove sono stati ricoverati in isolamento dal 29 gennaio e dichiarati guariti il 26 febbraio.</w:t>
      </w:r>
      <w:r w:rsidRPr="00B66D83">
        <w:rPr>
          <w:rFonts w:asciiTheme="minorHAnsi" w:hAnsiTheme="minorHAnsi" w:cstheme="minorHAnsi"/>
          <w:color w:val="1C2024"/>
          <w:sz w:val="20"/>
          <w:szCs w:val="20"/>
        </w:rPr>
        <w:br/>
        <w:t xml:space="preserve">Il primo caso di trasmissione secondaria si è verificato a Codogno, Comune della Lombardia in provincia di Lodi, il </w:t>
      </w:r>
      <w:r w:rsidRPr="00B66D83">
        <w:rPr>
          <w:rFonts w:asciiTheme="minorHAnsi" w:hAnsiTheme="minorHAnsi" w:cstheme="minorHAnsi"/>
          <w:b/>
          <w:bCs/>
          <w:color w:val="1C2024"/>
          <w:sz w:val="20"/>
          <w:szCs w:val="20"/>
        </w:rPr>
        <w:t>18 febbraio 2020</w:t>
      </w:r>
      <w:r w:rsidRPr="00B66D83">
        <w:rPr>
          <w:rFonts w:asciiTheme="minorHAnsi" w:hAnsiTheme="minorHAnsi" w:cstheme="minorHAnsi"/>
          <w:color w:val="1C2024"/>
          <w:sz w:val="20"/>
          <w:szCs w:val="20"/>
        </w:rPr>
        <w:t>.</w:t>
      </w:r>
    </w:p>
    <w:p w:rsidR="00AB2EDE" w:rsidRDefault="00AB2EDE" w:rsidP="00B66D83">
      <w:pPr>
        <w:pStyle w:val="NormalWeb"/>
        <w:shd w:val="clear" w:color="auto" w:fill="FFFFFF"/>
        <w:spacing w:before="0" w:beforeAutospacing="0" w:after="0" w:afterAutospacing="0"/>
        <w:jc w:val="both"/>
        <w:rPr>
          <w:rFonts w:asciiTheme="minorHAnsi" w:hAnsiTheme="minorHAnsi" w:cstheme="minorHAnsi"/>
          <w:color w:val="1C2024"/>
          <w:sz w:val="20"/>
          <w:szCs w:val="20"/>
        </w:rPr>
      </w:pPr>
    </w:p>
    <w:p w:rsidR="00AB2EDE" w:rsidRPr="00AB2EDE" w:rsidRDefault="00AB2EDE" w:rsidP="00AB2EDE">
      <w:pPr>
        <w:pStyle w:val="NormalWeb"/>
        <w:shd w:val="clear" w:color="auto" w:fill="FFFFFF"/>
        <w:spacing w:before="0" w:beforeAutospacing="0" w:after="0" w:afterAutospacing="0"/>
        <w:jc w:val="both"/>
        <w:rPr>
          <w:rFonts w:asciiTheme="minorHAnsi" w:hAnsiTheme="minorHAnsi" w:cstheme="minorHAnsi"/>
          <w:color w:val="1C2024"/>
          <w:sz w:val="20"/>
          <w:szCs w:val="20"/>
        </w:rPr>
      </w:pPr>
      <w:r w:rsidRPr="00AB2EDE">
        <w:rPr>
          <w:rFonts w:asciiTheme="minorHAnsi" w:hAnsiTheme="minorHAnsi" w:cstheme="minorHAnsi"/>
          <w:color w:val="1C2024"/>
          <w:sz w:val="20"/>
          <w:szCs w:val="20"/>
        </w:rPr>
        <w:t xml:space="preserve">Il Governo italiano ha dichiarato il </w:t>
      </w:r>
      <w:r w:rsidRPr="00AB2EDE">
        <w:rPr>
          <w:rFonts w:asciiTheme="minorHAnsi" w:hAnsiTheme="minorHAnsi" w:cstheme="minorHAnsi"/>
          <w:b/>
          <w:bCs/>
          <w:color w:val="1C2024"/>
          <w:sz w:val="20"/>
          <w:szCs w:val="20"/>
        </w:rPr>
        <w:t>31 gennaio</w:t>
      </w:r>
      <w:r w:rsidRPr="00AB2EDE">
        <w:rPr>
          <w:rFonts w:asciiTheme="minorHAnsi" w:hAnsiTheme="minorHAnsi" w:cstheme="minorHAnsi"/>
          <w:color w:val="1C2024"/>
          <w:sz w:val="20"/>
          <w:szCs w:val="20"/>
        </w:rPr>
        <w:t xml:space="preserve"> lo </w:t>
      </w:r>
      <w:r w:rsidRPr="00AB2EDE">
        <w:rPr>
          <w:rFonts w:asciiTheme="minorHAnsi" w:hAnsiTheme="minorHAnsi" w:cstheme="minorHAnsi"/>
          <w:b/>
          <w:bCs/>
          <w:color w:val="1C2024"/>
          <w:sz w:val="20"/>
          <w:szCs w:val="20"/>
        </w:rPr>
        <w:t>Stato di emergenza</w:t>
      </w:r>
      <w:r w:rsidRPr="00AB2EDE">
        <w:rPr>
          <w:rFonts w:asciiTheme="minorHAnsi" w:hAnsiTheme="minorHAnsi" w:cstheme="minorHAnsi"/>
          <w:color w:val="1C2024"/>
          <w:sz w:val="20"/>
          <w:szCs w:val="20"/>
        </w:rPr>
        <w:t>, stanziato i primi fondi e nominato Commissario straordinario per l'emergenza il Capo della protezione civile Angelo Borrelli.</w:t>
      </w:r>
    </w:p>
    <w:p w:rsidR="00AB2EDE" w:rsidRPr="00AB2EDE" w:rsidRDefault="00AB2EDE" w:rsidP="00AB2EDE">
      <w:pPr>
        <w:pStyle w:val="NormalWeb"/>
        <w:shd w:val="clear" w:color="auto" w:fill="FFFFFF"/>
        <w:spacing w:before="0" w:beforeAutospacing="0" w:after="0" w:afterAutospacing="0"/>
        <w:jc w:val="both"/>
        <w:rPr>
          <w:rFonts w:asciiTheme="minorHAnsi" w:hAnsiTheme="minorHAnsi" w:cstheme="minorHAnsi"/>
          <w:color w:val="1C2024"/>
          <w:sz w:val="20"/>
          <w:szCs w:val="20"/>
        </w:rPr>
      </w:pPr>
      <w:r w:rsidRPr="00AB2EDE">
        <w:rPr>
          <w:rFonts w:asciiTheme="minorHAnsi" w:hAnsiTheme="minorHAnsi" w:cstheme="minorHAnsi"/>
          <w:color w:val="1C2024"/>
          <w:sz w:val="20"/>
          <w:szCs w:val="20"/>
        </w:rPr>
        <w:t xml:space="preserve">Con il decreto del Capo del Dipartimento della protezione civile del </w:t>
      </w:r>
      <w:r w:rsidRPr="00AB2EDE">
        <w:rPr>
          <w:rFonts w:asciiTheme="minorHAnsi" w:hAnsiTheme="minorHAnsi" w:cstheme="minorHAnsi"/>
          <w:b/>
          <w:bCs/>
          <w:color w:val="1C2024"/>
          <w:sz w:val="20"/>
          <w:szCs w:val="20"/>
        </w:rPr>
        <w:t>5 febbraio 2020</w:t>
      </w:r>
      <w:r w:rsidRPr="00AB2EDE">
        <w:rPr>
          <w:rFonts w:asciiTheme="minorHAnsi" w:hAnsiTheme="minorHAnsi" w:cstheme="minorHAnsi"/>
          <w:color w:val="1C2024"/>
          <w:sz w:val="20"/>
          <w:szCs w:val="20"/>
        </w:rPr>
        <w:t xml:space="preserve"> è stato istituito un Comitato tecnico-scientifico per fronteggiare emergenza, poi ampliato con ordinanza del 18 aprile 2020.</w:t>
      </w:r>
    </w:p>
    <w:p w:rsidR="00AB2EDE" w:rsidRPr="00AB2EDE" w:rsidRDefault="00AB2EDE" w:rsidP="00AB2EDE">
      <w:pPr>
        <w:pStyle w:val="NormalWeb"/>
        <w:shd w:val="clear" w:color="auto" w:fill="FFFFFF"/>
        <w:spacing w:before="0" w:beforeAutospacing="0" w:after="0" w:afterAutospacing="0"/>
        <w:jc w:val="both"/>
        <w:rPr>
          <w:rFonts w:asciiTheme="minorHAnsi" w:hAnsiTheme="minorHAnsi" w:cstheme="minorHAnsi"/>
          <w:color w:val="1C2024"/>
          <w:sz w:val="20"/>
          <w:szCs w:val="20"/>
        </w:rPr>
      </w:pPr>
      <w:r w:rsidRPr="00AB2EDE">
        <w:rPr>
          <w:rFonts w:asciiTheme="minorHAnsi" w:hAnsiTheme="minorHAnsi" w:cstheme="minorHAnsi"/>
          <w:color w:val="1C2024"/>
          <w:sz w:val="20"/>
          <w:szCs w:val="20"/>
        </w:rPr>
        <w:t xml:space="preserve">Come previsto dal Decreto legge 18 del 2020, il Presidente del Consiglio dei Ministri con decreto del </w:t>
      </w:r>
      <w:r w:rsidRPr="00D1282C">
        <w:rPr>
          <w:rFonts w:asciiTheme="minorHAnsi" w:hAnsiTheme="minorHAnsi" w:cstheme="minorHAnsi"/>
          <w:b/>
          <w:bCs/>
          <w:color w:val="1C2024"/>
          <w:sz w:val="20"/>
          <w:szCs w:val="20"/>
        </w:rPr>
        <w:t>18 marzo 2020</w:t>
      </w:r>
      <w:r w:rsidRPr="00AB2EDE">
        <w:rPr>
          <w:rFonts w:asciiTheme="minorHAnsi" w:hAnsiTheme="minorHAnsi" w:cstheme="minorHAnsi"/>
          <w:color w:val="1C2024"/>
          <w:sz w:val="20"/>
          <w:szCs w:val="20"/>
        </w:rPr>
        <w:t xml:space="preserve"> ha nominato Domenico Arcuri Commissario straordinario per l'attuazione e il coordinamento delle misure occorrenti per il contenimento e contrasto dell'emergenza epidemiologica Covid-19.</w:t>
      </w:r>
    </w:p>
    <w:p w:rsidR="00AB2EDE" w:rsidRPr="00AB2EDE" w:rsidRDefault="00AB2EDE" w:rsidP="00AB2EDE">
      <w:pPr>
        <w:pStyle w:val="Heading4"/>
        <w:shd w:val="clear" w:color="auto" w:fill="FFFFFF"/>
        <w:spacing w:before="0"/>
        <w:jc w:val="both"/>
        <w:rPr>
          <w:rFonts w:asciiTheme="minorHAnsi" w:hAnsiTheme="minorHAnsi" w:cstheme="minorHAnsi"/>
          <w:i w:val="0"/>
          <w:iCs w:val="0"/>
          <w:color w:val="1C2024"/>
          <w:sz w:val="20"/>
          <w:szCs w:val="20"/>
        </w:rPr>
      </w:pPr>
    </w:p>
    <w:p w:rsidR="00AB2EDE" w:rsidRPr="00AB2EDE" w:rsidRDefault="00AB2EDE" w:rsidP="00AB2EDE">
      <w:pPr>
        <w:pStyle w:val="Heading4"/>
        <w:shd w:val="clear" w:color="auto" w:fill="FFFFFF"/>
        <w:spacing w:before="0"/>
        <w:jc w:val="both"/>
        <w:rPr>
          <w:rFonts w:asciiTheme="minorHAnsi" w:hAnsiTheme="minorHAnsi" w:cstheme="minorHAnsi"/>
          <w:i w:val="0"/>
          <w:iCs w:val="0"/>
          <w:color w:val="1C2024"/>
          <w:sz w:val="20"/>
          <w:szCs w:val="20"/>
        </w:rPr>
      </w:pPr>
      <w:r w:rsidRPr="00AB2EDE">
        <w:rPr>
          <w:rFonts w:asciiTheme="minorHAnsi" w:hAnsiTheme="minorHAnsi" w:cstheme="minorHAnsi"/>
          <w:i w:val="0"/>
          <w:iCs w:val="0"/>
          <w:color w:val="1C2024"/>
          <w:sz w:val="20"/>
          <w:szCs w:val="20"/>
        </w:rPr>
        <w:t xml:space="preserve">Dati </w:t>
      </w:r>
      <w:r w:rsidRPr="00AB2EDE">
        <w:rPr>
          <w:rFonts w:asciiTheme="minorHAnsi" w:hAnsiTheme="minorHAnsi" w:cstheme="minorHAnsi"/>
          <w:b/>
          <w:bCs/>
          <w:i w:val="0"/>
          <w:iCs w:val="0"/>
          <w:color w:val="1C2024"/>
          <w:sz w:val="20"/>
          <w:szCs w:val="20"/>
        </w:rPr>
        <w:t>14 giugno</w:t>
      </w:r>
      <w:r w:rsidRPr="00AB2EDE">
        <w:rPr>
          <w:rFonts w:asciiTheme="minorHAnsi" w:hAnsiTheme="minorHAnsi" w:cstheme="minorHAnsi"/>
          <w:i w:val="0"/>
          <w:iCs w:val="0"/>
          <w:color w:val="1C2024"/>
          <w:sz w:val="20"/>
          <w:szCs w:val="20"/>
        </w:rPr>
        <w:t>, ore 18 (MINISTERO DELLA SALUTE)</w:t>
      </w:r>
    </w:p>
    <w:p w:rsidR="00AB2EDE" w:rsidRPr="00AB2EDE" w:rsidRDefault="00AB2EDE" w:rsidP="00AB2EDE">
      <w:pPr>
        <w:pStyle w:val="NormalWeb"/>
        <w:shd w:val="clear" w:color="auto" w:fill="FFFFFF"/>
        <w:spacing w:before="0" w:beforeAutospacing="0" w:after="0" w:afterAutospacing="0"/>
        <w:jc w:val="both"/>
        <w:rPr>
          <w:rFonts w:asciiTheme="minorHAnsi" w:hAnsiTheme="minorHAnsi" w:cstheme="minorHAnsi"/>
          <w:color w:val="1C2024"/>
          <w:sz w:val="20"/>
          <w:szCs w:val="20"/>
        </w:rPr>
      </w:pPr>
      <w:r w:rsidRPr="00AB2EDE">
        <w:rPr>
          <w:rFonts w:asciiTheme="minorHAnsi" w:hAnsiTheme="minorHAnsi" w:cstheme="minorHAnsi"/>
          <w:color w:val="1C2024"/>
          <w:sz w:val="20"/>
          <w:szCs w:val="20"/>
        </w:rPr>
        <w:t>Sono 236.989 i </w:t>
      </w:r>
      <w:r w:rsidRPr="00AB2EDE">
        <w:rPr>
          <w:rStyle w:val="Strong"/>
          <w:rFonts w:asciiTheme="minorHAnsi" w:eastAsiaTheme="majorEastAsia" w:hAnsiTheme="minorHAnsi" w:cstheme="minorHAnsi"/>
          <w:color w:val="1C2024"/>
          <w:sz w:val="20"/>
          <w:szCs w:val="20"/>
        </w:rPr>
        <w:t>casi totali</w:t>
      </w:r>
      <w:r w:rsidRPr="00AB2EDE">
        <w:rPr>
          <w:rFonts w:asciiTheme="minorHAnsi" w:hAnsiTheme="minorHAnsi" w:cstheme="minorHAnsi"/>
          <w:color w:val="1C2024"/>
          <w:sz w:val="20"/>
          <w:szCs w:val="20"/>
        </w:rPr>
        <w:t> dall'inizio della pandemia:</w:t>
      </w:r>
    </w:p>
    <w:p w:rsidR="00AB2EDE" w:rsidRDefault="00AB2EDE" w:rsidP="00AB2EDE">
      <w:pPr>
        <w:shd w:val="clear" w:color="auto" w:fill="FFFFFF"/>
        <w:ind w:left="360"/>
        <w:jc w:val="both"/>
        <w:rPr>
          <w:rFonts w:asciiTheme="minorHAnsi" w:hAnsiTheme="minorHAnsi" w:cstheme="minorHAnsi"/>
          <w:color w:val="1C2024"/>
          <w:sz w:val="20"/>
          <w:szCs w:val="20"/>
        </w:rPr>
        <w:sectPr w:rsidR="00AB2EDE" w:rsidSect="00FE6E3A">
          <w:headerReference w:type="default" r:id="rId10"/>
          <w:footerReference w:type="even" r:id="rId11"/>
          <w:footerReference w:type="default" r:id="rId12"/>
          <w:pgSz w:w="11900" w:h="16840"/>
          <w:pgMar w:top="1417" w:right="1134" w:bottom="1134" w:left="1134" w:header="708" w:footer="708" w:gutter="0"/>
          <w:cols w:space="708"/>
          <w:docGrid w:linePitch="360"/>
        </w:sectPr>
      </w:pPr>
    </w:p>
    <w:p w:rsidR="00AB2EDE" w:rsidRPr="00AB2EDE" w:rsidRDefault="00AB2EDE" w:rsidP="00AB2EDE">
      <w:pPr>
        <w:shd w:val="clear" w:color="auto" w:fill="FFFFFF"/>
        <w:jc w:val="both"/>
        <w:rPr>
          <w:rFonts w:asciiTheme="minorHAnsi" w:hAnsiTheme="minorHAnsi" w:cstheme="minorHAnsi"/>
          <w:color w:val="1C2024"/>
          <w:sz w:val="20"/>
          <w:szCs w:val="20"/>
        </w:rPr>
      </w:pPr>
      <w:r>
        <w:rPr>
          <w:rFonts w:asciiTheme="minorHAnsi" w:hAnsiTheme="minorHAnsi" w:cstheme="minorHAnsi"/>
          <w:color w:val="1C2024"/>
          <w:sz w:val="20"/>
          <w:szCs w:val="20"/>
        </w:rPr>
        <w:t xml:space="preserve"> </w:t>
      </w:r>
      <w:r w:rsidRPr="00AB2EDE">
        <w:rPr>
          <w:rFonts w:asciiTheme="minorHAnsi" w:hAnsiTheme="minorHAnsi" w:cstheme="minorHAnsi"/>
          <w:color w:val="1C2024"/>
          <w:sz w:val="20"/>
          <w:szCs w:val="20"/>
        </w:rPr>
        <w:t>26.274 persone attualmente positive</w:t>
      </w:r>
    </w:p>
    <w:p w:rsidR="00AB2EDE" w:rsidRPr="00AB2EDE" w:rsidRDefault="00AB2EDE" w:rsidP="00AB2EDE">
      <w:pPr>
        <w:shd w:val="clear" w:color="auto" w:fill="FFFFFF"/>
        <w:ind w:left="567" w:right="22"/>
        <w:jc w:val="both"/>
        <w:rPr>
          <w:rFonts w:asciiTheme="minorHAnsi" w:hAnsiTheme="minorHAnsi" w:cstheme="minorHAnsi"/>
          <w:color w:val="1C2024"/>
          <w:sz w:val="20"/>
          <w:szCs w:val="20"/>
        </w:rPr>
      </w:pPr>
      <w:r w:rsidRPr="00AB2EDE">
        <w:rPr>
          <w:rFonts w:asciiTheme="minorHAnsi" w:hAnsiTheme="minorHAnsi" w:cstheme="minorHAnsi"/>
          <w:color w:val="1C2024"/>
          <w:sz w:val="20"/>
          <w:szCs w:val="20"/>
        </w:rPr>
        <w:t>176.370 guariti</w:t>
      </w:r>
    </w:p>
    <w:p w:rsidR="00AB2EDE" w:rsidRPr="00AB2EDE" w:rsidRDefault="00AB2EDE" w:rsidP="00AB2EDE">
      <w:pPr>
        <w:shd w:val="clear" w:color="auto" w:fill="FFFFFF"/>
        <w:ind w:left="142"/>
        <w:jc w:val="both"/>
        <w:rPr>
          <w:rFonts w:asciiTheme="minorHAnsi" w:hAnsiTheme="minorHAnsi" w:cstheme="minorHAnsi"/>
          <w:color w:val="1C2024"/>
          <w:sz w:val="20"/>
          <w:szCs w:val="20"/>
        </w:rPr>
      </w:pPr>
      <w:r w:rsidRPr="00AB2EDE">
        <w:rPr>
          <w:rFonts w:asciiTheme="minorHAnsi" w:hAnsiTheme="minorHAnsi" w:cstheme="minorHAnsi"/>
          <w:color w:val="1C2024"/>
          <w:sz w:val="20"/>
          <w:szCs w:val="20"/>
        </w:rPr>
        <w:t>34.345 deceduti.</w:t>
      </w:r>
    </w:p>
    <w:p w:rsidR="00AB2EDE" w:rsidRDefault="00AB2EDE" w:rsidP="002B7F58">
      <w:pPr>
        <w:shd w:val="clear" w:color="auto" w:fill="FFFFFF"/>
        <w:jc w:val="both"/>
        <w:rPr>
          <w:rFonts w:asciiTheme="minorHAnsi" w:hAnsiTheme="minorHAnsi" w:cstheme="minorHAnsi"/>
          <w:b/>
          <w:color w:val="1C1E21"/>
        </w:rPr>
        <w:sectPr w:rsidR="00AB2EDE" w:rsidSect="00AB2EDE">
          <w:type w:val="continuous"/>
          <w:pgSz w:w="11900" w:h="16840"/>
          <w:pgMar w:top="1417" w:right="1134" w:bottom="1134" w:left="1111" w:header="708" w:footer="708" w:gutter="0"/>
          <w:cols w:num="3" w:space="116"/>
          <w:docGrid w:linePitch="360"/>
        </w:sectPr>
      </w:pPr>
    </w:p>
    <w:p w:rsidR="00CA51D4" w:rsidRDefault="00CA51D4" w:rsidP="002B7F58">
      <w:pPr>
        <w:shd w:val="clear" w:color="auto" w:fill="FFFFFF"/>
        <w:jc w:val="both"/>
        <w:rPr>
          <w:rFonts w:asciiTheme="minorHAnsi" w:hAnsiTheme="minorHAnsi" w:cstheme="minorHAnsi"/>
          <w:b/>
          <w:color w:val="1C1E21"/>
        </w:rPr>
      </w:pPr>
    </w:p>
    <w:p w:rsidR="00B66D83" w:rsidRDefault="00AB2EDE" w:rsidP="002B7F58">
      <w:pPr>
        <w:shd w:val="clear" w:color="auto" w:fill="FFFFFF"/>
        <w:jc w:val="both"/>
        <w:rPr>
          <w:rFonts w:asciiTheme="minorHAnsi" w:hAnsiTheme="minorHAnsi" w:cstheme="minorHAnsi"/>
          <w:b/>
          <w:color w:val="1C1E21"/>
        </w:rPr>
      </w:pPr>
      <w:r>
        <w:rPr>
          <w:rFonts w:asciiTheme="minorHAnsi" w:hAnsiTheme="minorHAnsi" w:cstheme="minorHAnsi"/>
          <w:b/>
          <w:noProof/>
          <w:color w:val="1C1E21"/>
        </w:rPr>
        <w:drawing>
          <wp:inline distT="0" distB="0" distL="0" distR="0">
            <wp:extent cx="6116320" cy="4268470"/>
            <wp:effectExtent l="0" t="0" r="508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ta 2020-06-15 alle 16.09.48.png"/>
                    <pic:cNvPicPr/>
                  </pic:nvPicPr>
                  <pic:blipFill>
                    <a:blip r:embed="rId13">
                      <a:extLst>
                        <a:ext uri="{28A0092B-C50C-407E-A947-70E740481C1C}">
                          <a14:useLocalDpi xmlns:a14="http://schemas.microsoft.com/office/drawing/2010/main" val="0"/>
                        </a:ext>
                      </a:extLst>
                    </a:blip>
                    <a:stretch>
                      <a:fillRect/>
                    </a:stretch>
                  </pic:blipFill>
                  <pic:spPr>
                    <a:xfrm>
                      <a:off x="0" y="0"/>
                      <a:ext cx="6116320" cy="4268470"/>
                    </a:xfrm>
                    <a:prstGeom prst="rect">
                      <a:avLst/>
                    </a:prstGeom>
                  </pic:spPr>
                </pic:pic>
              </a:graphicData>
            </a:graphic>
          </wp:inline>
        </w:drawing>
      </w:r>
    </w:p>
    <w:p w:rsidR="00AB2EDE" w:rsidRPr="00717D4D" w:rsidRDefault="00AB2EDE" w:rsidP="002B7F58">
      <w:pPr>
        <w:shd w:val="clear" w:color="auto" w:fill="FFFFFF"/>
        <w:jc w:val="both"/>
        <w:rPr>
          <w:rFonts w:asciiTheme="minorHAnsi" w:hAnsiTheme="minorHAnsi" w:cstheme="minorHAnsi"/>
          <w:b/>
          <w:color w:val="1C1E21"/>
        </w:rPr>
      </w:pPr>
    </w:p>
    <w:p w:rsidR="00AB2EDE" w:rsidRDefault="00AB2EDE" w:rsidP="00CA51D4">
      <w:pPr>
        <w:pStyle w:val="Heading1"/>
        <w:spacing w:before="120"/>
        <w:jc w:val="center"/>
        <w:rPr>
          <w:rFonts w:asciiTheme="minorHAnsi" w:hAnsiTheme="minorHAnsi" w:cstheme="minorHAnsi"/>
          <w:b/>
          <w:color w:val="000000" w:themeColor="text1"/>
          <w:sz w:val="24"/>
          <w:szCs w:val="24"/>
        </w:rPr>
      </w:pPr>
    </w:p>
    <w:p w:rsidR="00AB2EDE" w:rsidRPr="00AB2EDE" w:rsidRDefault="00AB2EDE" w:rsidP="00AB2EDE"/>
    <w:p w:rsidR="00CA51D4" w:rsidRPr="007F48B7" w:rsidRDefault="00CA51D4" w:rsidP="00CA51D4">
      <w:pPr>
        <w:pStyle w:val="Heading1"/>
        <w:spacing w:before="120"/>
        <w:jc w:val="center"/>
        <w:rPr>
          <w:rFonts w:asciiTheme="minorHAnsi" w:hAnsiTheme="minorHAnsi" w:cstheme="minorHAnsi"/>
          <w:b/>
          <w:color w:val="000000" w:themeColor="text1"/>
          <w:sz w:val="22"/>
          <w:szCs w:val="22"/>
        </w:rPr>
      </w:pPr>
      <w:bookmarkStart w:id="3" w:name="_Toc43342363"/>
      <w:r w:rsidRPr="007F48B7">
        <w:rPr>
          <w:rFonts w:asciiTheme="minorHAnsi" w:hAnsiTheme="minorHAnsi" w:cstheme="minorHAnsi"/>
          <w:b/>
          <w:color w:val="000000" w:themeColor="text1"/>
          <w:sz w:val="24"/>
          <w:szCs w:val="24"/>
        </w:rPr>
        <w:t>PRESENTAZIONE CLINICA</w:t>
      </w:r>
      <w:r w:rsidRPr="007F48B7">
        <w:rPr>
          <w:rFonts w:asciiTheme="minorHAnsi" w:hAnsiTheme="minorHAnsi" w:cstheme="minorHAnsi"/>
          <w:b/>
          <w:color w:val="000000" w:themeColor="text1"/>
          <w:sz w:val="22"/>
          <w:szCs w:val="22"/>
        </w:rPr>
        <w:t xml:space="preserve"> </w:t>
      </w:r>
      <w:r w:rsidRPr="007F48B7">
        <w:rPr>
          <w:rStyle w:val="FootnoteReference"/>
          <w:rFonts w:asciiTheme="minorHAnsi" w:hAnsiTheme="minorHAnsi" w:cstheme="minorHAnsi"/>
          <w:b/>
          <w:color w:val="000000" w:themeColor="text1"/>
          <w:sz w:val="22"/>
          <w:szCs w:val="22"/>
        </w:rPr>
        <w:footnoteReference w:id="3"/>
      </w:r>
      <w:bookmarkEnd w:id="3"/>
    </w:p>
    <w:p w:rsidR="00CA51D4" w:rsidRDefault="00CA51D4" w:rsidP="002B7F58">
      <w:pPr>
        <w:jc w:val="both"/>
        <w:rPr>
          <w:rFonts w:asciiTheme="minorHAnsi" w:hAnsiTheme="minorHAnsi" w:cstheme="minorHAnsi"/>
          <w:color w:val="1C1E21"/>
          <w:sz w:val="22"/>
          <w:szCs w:val="22"/>
        </w:rPr>
      </w:pPr>
    </w:p>
    <w:p w:rsidR="002B7F58" w:rsidRDefault="002B7F58" w:rsidP="001E7ACB">
      <w:pPr>
        <w:jc w:val="both"/>
        <w:rPr>
          <w:rFonts w:asciiTheme="minorHAnsi" w:hAnsiTheme="minorHAnsi" w:cstheme="minorHAnsi"/>
          <w:color w:val="1C1E21"/>
          <w:sz w:val="20"/>
          <w:szCs w:val="20"/>
        </w:rPr>
      </w:pPr>
      <w:r w:rsidRPr="001E7ACB">
        <w:rPr>
          <w:rFonts w:asciiTheme="minorHAnsi" w:hAnsiTheme="minorHAnsi" w:cstheme="minorHAnsi"/>
          <w:color w:val="1C1E21"/>
          <w:sz w:val="20"/>
          <w:szCs w:val="20"/>
        </w:rPr>
        <w:lastRenderedPageBreak/>
        <w:t xml:space="preserve">L’infezione umana con SARS-CoV-2 porta a un’ampia gamma di manifestazioni cliniche che vanno da asintomatiche, lievi, moderate a gravi-fatali. </w:t>
      </w:r>
      <w:r w:rsidRPr="001E7ACB">
        <w:rPr>
          <w:rStyle w:val="FootnoteReference"/>
          <w:rFonts w:asciiTheme="minorHAnsi" w:hAnsiTheme="minorHAnsi" w:cstheme="minorHAnsi"/>
          <w:color w:val="1C1E21"/>
          <w:sz w:val="20"/>
          <w:szCs w:val="20"/>
        </w:rPr>
        <w:footnoteReference w:id="4"/>
      </w:r>
    </w:p>
    <w:p w:rsidR="001E7ACB" w:rsidRPr="001E7ACB" w:rsidRDefault="001E7ACB" w:rsidP="001E7ACB">
      <w:pPr>
        <w:jc w:val="both"/>
        <w:rPr>
          <w:rFonts w:asciiTheme="minorHAnsi" w:hAnsiTheme="minorHAnsi" w:cstheme="minorHAnsi"/>
          <w:color w:val="1C1E21"/>
          <w:sz w:val="20"/>
          <w:szCs w:val="20"/>
        </w:rPr>
      </w:pPr>
    </w:p>
    <w:p w:rsidR="00567FF5" w:rsidRPr="00567FF5" w:rsidRDefault="00567FF5" w:rsidP="001E7ACB">
      <w:pPr>
        <w:jc w:val="both"/>
        <w:rPr>
          <w:rFonts w:asciiTheme="minorHAnsi" w:hAnsiTheme="minorHAnsi" w:cstheme="minorHAnsi"/>
          <w:color w:val="1C2024"/>
          <w:sz w:val="20"/>
          <w:szCs w:val="20"/>
        </w:rPr>
      </w:pPr>
      <w:r w:rsidRPr="001E7ACB">
        <w:rPr>
          <w:rFonts w:asciiTheme="minorHAnsi" w:hAnsiTheme="minorHAnsi" w:cstheme="minorHAnsi"/>
          <w:color w:val="1C2024"/>
          <w:sz w:val="20"/>
          <w:szCs w:val="20"/>
        </w:rPr>
        <w:t>A</w:t>
      </w:r>
      <w:r w:rsidRPr="00567FF5">
        <w:rPr>
          <w:rFonts w:asciiTheme="minorHAnsi" w:hAnsiTheme="minorHAnsi" w:cstheme="minorHAnsi"/>
          <w:color w:val="1C2024"/>
          <w:sz w:val="20"/>
          <w:szCs w:val="20"/>
        </w:rPr>
        <w:t xml:space="preserve">lcune caratteristiche dei pazienti </w:t>
      </w:r>
      <w:r w:rsidR="006B5C85">
        <w:rPr>
          <w:rFonts w:asciiTheme="minorHAnsi" w:hAnsiTheme="minorHAnsi" w:cstheme="minorHAnsi"/>
          <w:color w:val="1C2024"/>
          <w:sz w:val="20"/>
          <w:szCs w:val="20"/>
        </w:rPr>
        <w:t xml:space="preserve">deceduti </w:t>
      </w:r>
      <w:r w:rsidRPr="00567FF5">
        <w:rPr>
          <w:rFonts w:asciiTheme="minorHAnsi" w:hAnsiTheme="minorHAnsi" w:cstheme="minorHAnsi"/>
          <w:color w:val="1C2024"/>
          <w:sz w:val="20"/>
          <w:szCs w:val="20"/>
        </w:rPr>
        <w:t>sulla base del Report dell'ISS (dati 4 giugno 2020):</w:t>
      </w:r>
    </w:p>
    <w:p w:rsidR="00567FF5" w:rsidRPr="00567FF5" w:rsidRDefault="00567FF5" w:rsidP="001E7ACB">
      <w:pPr>
        <w:shd w:val="clear" w:color="auto" w:fill="FFFFFF"/>
        <w:tabs>
          <w:tab w:val="left" w:pos="284"/>
        </w:tabs>
        <w:ind w:left="284"/>
        <w:rPr>
          <w:rFonts w:asciiTheme="minorHAnsi" w:hAnsiTheme="minorHAnsi" w:cstheme="minorHAnsi"/>
          <w:color w:val="1C2024"/>
          <w:sz w:val="20"/>
          <w:szCs w:val="20"/>
        </w:rPr>
      </w:pPr>
      <w:r w:rsidRPr="00567FF5">
        <w:rPr>
          <w:rFonts w:asciiTheme="minorHAnsi" w:hAnsiTheme="minorHAnsi" w:cstheme="minorHAnsi"/>
          <w:b/>
          <w:bCs/>
          <w:color w:val="1C2024"/>
          <w:sz w:val="20"/>
          <w:szCs w:val="20"/>
        </w:rPr>
        <w:t>Età media </w:t>
      </w:r>
      <w:r>
        <w:rPr>
          <w:rStyle w:val="FootnoteReference"/>
          <w:rFonts w:asciiTheme="minorHAnsi" w:hAnsiTheme="minorHAnsi" w:cstheme="minorHAnsi"/>
          <w:b/>
          <w:bCs/>
          <w:color w:val="1C2024"/>
          <w:sz w:val="20"/>
          <w:szCs w:val="20"/>
        </w:rPr>
        <w:footnoteReference w:id="5"/>
      </w:r>
      <w:r w:rsidRPr="00567FF5">
        <w:rPr>
          <w:rFonts w:asciiTheme="minorHAnsi" w:hAnsiTheme="minorHAnsi" w:cstheme="minorHAnsi"/>
          <w:b/>
          <w:bCs/>
          <w:color w:val="1C2024"/>
          <w:sz w:val="20"/>
          <w:szCs w:val="20"/>
        </w:rPr>
        <w:t> </w:t>
      </w:r>
    </w:p>
    <w:p w:rsidR="00567FF5" w:rsidRPr="00567FF5" w:rsidRDefault="00567FF5" w:rsidP="001E7ACB">
      <w:pPr>
        <w:shd w:val="clear" w:color="auto" w:fill="FFFFFF"/>
        <w:tabs>
          <w:tab w:val="left" w:pos="284"/>
        </w:tabs>
        <w:ind w:left="567"/>
        <w:rPr>
          <w:rFonts w:asciiTheme="minorHAnsi" w:hAnsiTheme="minorHAnsi" w:cstheme="minorHAnsi"/>
          <w:color w:val="1C2024"/>
          <w:sz w:val="20"/>
          <w:szCs w:val="20"/>
        </w:rPr>
      </w:pPr>
      <w:r w:rsidRPr="00567FF5">
        <w:rPr>
          <w:rFonts w:asciiTheme="minorHAnsi" w:hAnsiTheme="minorHAnsi" w:cstheme="minorHAnsi"/>
          <w:color w:val="1C2024"/>
          <w:sz w:val="20"/>
          <w:szCs w:val="20"/>
        </w:rPr>
        <w:t>80 anni</w:t>
      </w:r>
    </w:p>
    <w:p w:rsidR="00567FF5" w:rsidRPr="00567FF5" w:rsidRDefault="00567FF5" w:rsidP="001E7ACB">
      <w:pPr>
        <w:shd w:val="clear" w:color="auto" w:fill="FFFFFF"/>
        <w:tabs>
          <w:tab w:val="left" w:pos="284"/>
        </w:tabs>
        <w:ind w:left="426" w:hanging="142"/>
        <w:rPr>
          <w:rFonts w:asciiTheme="minorHAnsi" w:hAnsiTheme="minorHAnsi" w:cstheme="minorHAnsi"/>
          <w:color w:val="1C2024"/>
          <w:sz w:val="20"/>
          <w:szCs w:val="20"/>
        </w:rPr>
      </w:pPr>
      <w:r w:rsidRPr="00567FF5">
        <w:rPr>
          <w:rFonts w:asciiTheme="minorHAnsi" w:hAnsiTheme="minorHAnsi" w:cstheme="minorHAnsi"/>
          <w:b/>
          <w:bCs/>
          <w:color w:val="1C2024"/>
          <w:sz w:val="20"/>
          <w:szCs w:val="20"/>
        </w:rPr>
        <w:t>Età mediana</w:t>
      </w:r>
    </w:p>
    <w:p w:rsidR="00567FF5" w:rsidRPr="00567FF5" w:rsidRDefault="00567FF5" w:rsidP="001E7ACB">
      <w:pPr>
        <w:shd w:val="clear" w:color="auto" w:fill="FFFFFF"/>
        <w:ind w:left="567"/>
        <w:rPr>
          <w:rFonts w:asciiTheme="minorHAnsi" w:hAnsiTheme="minorHAnsi" w:cstheme="minorHAnsi"/>
          <w:color w:val="1C2024"/>
          <w:sz w:val="20"/>
          <w:szCs w:val="20"/>
        </w:rPr>
      </w:pPr>
      <w:r w:rsidRPr="00567FF5">
        <w:rPr>
          <w:rFonts w:asciiTheme="minorHAnsi" w:hAnsiTheme="minorHAnsi" w:cstheme="minorHAnsi"/>
          <w:color w:val="1C2024"/>
          <w:sz w:val="20"/>
          <w:szCs w:val="20"/>
        </w:rPr>
        <w:t>82 anni (più alta di quasi 20 anni rispetto a quella dei pazienti che hanno contratto l’infezione e la cui età mediana è di 62 anni)</w:t>
      </w:r>
    </w:p>
    <w:p w:rsidR="00567FF5" w:rsidRPr="00567FF5" w:rsidRDefault="00567FF5" w:rsidP="001E7ACB">
      <w:pPr>
        <w:shd w:val="clear" w:color="auto" w:fill="FFFFFF"/>
        <w:tabs>
          <w:tab w:val="left" w:pos="284"/>
        </w:tabs>
        <w:ind w:left="426" w:hanging="142"/>
        <w:rPr>
          <w:rFonts w:asciiTheme="minorHAnsi" w:hAnsiTheme="minorHAnsi" w:cstheme="minorHAnsi"/>
          <w:color w:val="1C2024"/>
          <w:sz w:val="20"/>
          <w:szCs w:val="20"/>
        </w:rPr>
      </w:pPr>
      <w:r w:rsidRPr="00567FF5">
        <w:rPr>
          <w:rFonts w:asciiTheme="minorHAnsi" w:hAnsiTheme="minorHAnsi" w:cstheme="minorHAnsi"/>
          <w:b/>
          <w:bCs/>
          <w:color w:val="1C2024"/>
          <w:sz w:val="20"/>
          <w:szCs w:val="20"/>
        </w:rPr>
        <w:t>Sesso</w:t>
      </w:r>
    </w:p>
    <w:p w:rsidR="00567FF5" w:rsidRDefault="00567FF5" w:rsidP="001E7ACB">
      <w:pPr>
        <w:shd w:val="clear" w:color="auto" w:fill="FFFFFF"/>
        <w:tabs>
          <w:tab w:val="left" w:pos="284"/>
        </w:tabs>
        <w:ind w:left="567"/>
        <w:rPr>
          <w:rFonts w:asciiTheme="minorHAnsi" w:hAnsiTheme="minorHAnsi" w:cstheme="minorHAnsi"/>
          <w:color w:val="1C2024"/>
          <w:sz w:val="20"/>
          <w:szCs w:val="20"/>
        </w:rPr>
      </w:pPr>
      <w:r w:rsidRPr="00567FF5">
        <w:rPr>
          <w:rFonts w:asciiTheme="minorHAnsi" w:hAnsiTheme="minorHAnsi" w:cstheme="minorHAnsi"/>
          <w:color w:val="1C2024"/>
          <w:sz w:val="20"/>
          <w:szCs w:val="20"/>
        </w:rPr>
        <w:t>uomini 58,7%</w:t>
      </w:r>
      <w:r w:rsidR="00F77506">
        <w:rPr>
          <w:rFonts w:asciiTheme="minorHAnsi" w:hAnsiTheme="minorHAnsi" w:cstheme="minorHAnsi"/>
          <w:color w:val="1C2024"/>
          <w:sz w:val="20"/>
          <w:szCs w:val="20"/>
        </w:rPr>
        <w:t xml:space="preserve">  </w:t>
      </w:r>
      <w:r w:rsidRPr="00567FF5">
        <w:rPr>
          <w:rFonts w:asciiTheme="minorHAnsi" w:hAnsiTheme="minorHAnsi" w:cstheme="minorHAnsi"/>
          <w:color w:val="1C2024"/>
          <w:sz w:val="20"/>
          <w:szCs w:val="20"/>
        </w:rPr>
        <w:t>donne 41,3%</w:t>
      </w:r>
    </w:p>
    <w:p w:rsidR="00F77506" w:rsidRDefault="00F77506" w:rsidP="001E7ACB">
      <w:pPr>
        <w:shd w:val="clear" w:color="auto" w:fill="FFFFFF"/>
        <w:tabs>
          <w:tab w:val="left" w:pos="284"/>
        </w:tabs>
        <w:ind w:left="426" w:hanging="142"/>
        <w:rPr>
          <w:rFonts w:asciiTheme="minorHAnsi" w:hAnsiTheme="minorHAnsi" w:cstheme="minorHAnsi"/>
          <w:b/>
          <w:bCs/>
          <w:color w:val="1C2024"/>
          <w:sz w:val="20"/>
          <w:szCs w:val="20"/>
        </w:rPr>
      </w:pPr>
    </w:p>
    <w:p w:rsidR="00567FF5" w:rsidRPr="00567FF5" w:rsidRDefault="00567FF5" w:rsidP="001E7ACB">
      <w:pPr>
        <w:shd w:val="clear" w:color="auto" w:fill="FFFFFF"/>
        <w:tabs>
          <w:tab w:val="left" w:pos="284"/>
        </w:tabs>
        <w:ind w:left="426" w:hanging="142"/>
        <w:rPr>
          <w:rFonts w:asciiTheme="minorHAnsi" w:hAnsiTheme="minorHAnsi" w:cstheme="minorHAnsi"/>
          <w:color w:val="1C2024"/>
          <w:sz w:val="20"/>
          <w:szCs w:val="20"/>
        </w:rPr>
      </w:pPr>
      <w:r w:rsidRPr="00567FF5">
        <w:rPr>
          <w:rFonts w:asciiTheme="minorHAnsi" w:hAnsiTheme="minorHAnsi" w:cstheme="minorHAnsi"/>
          <w:b/>
          <w:bCs/>
          <w:color w:val="1C2024"/>
          <w:sz w:val="20"/>
          <w:szCs w:val="20"/>
        </w:rPr>
        <w:t>Patologie pregresse al momento del ricovero</w:t>
      </w:r>
    </w:p>
    <w:p w:rsidR="00567FF5" w:rsidRPr="00567FF5" w:rsidRDefault="00567FF5" w:rsidP="001E7ACB">
      <w:pPr>
        <w:shd w:val="clear" w:color="auto" w:fill="FFFFFF"/>
        <w:tabs>
          <w:tab w:val="left" w:pos="284"/>
        </w:tabs>
        <w:ind w:left="567"/>
        <w:rPr>
          <w:rFonts w:asciiTheme="minorHAnsi" w:hAnsiTheme="minorHAnsi" w:cstheme="minorHAnsi"/>
          <w:color w:val="1C2024"/>
          <w:sz w:val="20"/>
          <w:szCs w:val="20"/>
        </w:rPr>
      </w:pPr>
      <w:r w:rsidRPr="00567FF5">
        <w:rPr>
          <w:rFonts w:asciiTheme="minorHAnsi" w:hAnsiTheme="minorHAnsi" w:cstheme="minorHAnsi"/>
          <w:color w:val="1C2024"/>
          <w:sz w:val="20"/>
          <w:szCs w:val="20"/>
        </w:rPr>
        <w:t>Pazienti con 0 patologie pre-esistenti 4,1%</w:t>
      </w:r>
    </w:p>
    <w:p w:rsidR="00567FF5" w:rsidRPr="00567FF5" w:rsidRDefault="00567FF5" w:rsidP="001E7ACB">
      <w:pPr>
        <w:shd w:val="clear" w:color="auto" w:fill="FFFFFF"/>
        <w:tabs>
          <w:tab w:val="left" w:pos="284"/>
        </w:tabs>
        <w:ind w:left="567"/>
        <w:rPr>
          <w:rFonts w:asciiTheme="minorHAnsi" w:hAnsiTheme="minorHAnsi" w:cstheme="minorHAnsi"/>
          <w:color w:val="1C2024"/>
          <w:sz w:val="20"/>
          <w:szCs w:val="20"/>
        </w:rPr>
      </w:pPr>
      <w:r w:rsidRPr="00567FF5">
        <w:rPr>
          <w:rFonts w:asciiTheme="minorHAnsi" w:hAnsiTheme="minorHAnsi" w:cstheme="minorHAnsi"/>
          <w:color w:val="1C2024"/>
          <w:sz w:val="20"/>
          <w:szCs w:val="20"/>
        </w:rPr>
        <w:t>Pazienti con 1 patologia pre-esistente 14,8%</w:t>
      </w:r>
    </w:p>
    <w:p w:rsidR="00567FF5" w:rsidRPr="00567FF5" w:rsidRDefault="00567FF5" w:rsidP="001E7ACB">
      <w:pPr>
        <w:shd w:val="clear" w:color="auto" w:fill="FFFFFF"/>
        <w:ind w:left="567"/>
        <w:rPr>
          <w:rFonts w:asciiTheme="minorHAnsi" w:hAnsiTheme="minorHAnsi" w:cstheme="minorHAnsi"/>
          <w:color w:val="1C2024"/>
          <w:sz w:val="20"/>
          <w:szCs w:val="20"/>
        </w:rPr>
      </w:pPr>
      <w:r w:rsidRPr="00567FF5">
        <w:rPr>
          <w:rFonts w:asciiTheme="minorHAnsi" w:hAnsiTheme="minorHAnsi" w:cstheme="minorHAnsi"/>
          <w:color w:val="1C2024"/>
          <w:sz w:val="20"/>
          <w:szCs w:val="20"/>
        </w:rPr>
        <w:t>Pazienti con 2 patologie pre-esistenti 21,5%</w:t>
      </w:r>
    </w:p>
    <w:p w:rsidR="00567FF5" w:rsidRPr="00567FF5" w:rsidRDefault="00F77506" w:rsidP="00F77506">
      <w:pPr>
        <w:shd w:val="clear" w:color="auto" w:fill="FFFFFF"/>
        <w:tabs>
          <w:tab w:val="left" w:pos="284"/>
        </w:tabs>
        <w:rPr>
          <w:rFonts w:asciiTheme="minorHAnsi" w:hAnsiTheme="minorHAnsi" w:cstheme="minorHAnsi"/>
          <w:color w:val="1C2024"/>
          <w:sz w:val="20"/>
          <w:szCs w:val="20"/>
        </w:rPr>
      </w:pPr>
      <w:r>
        <w:rPr>
          <w:rFonts w:asciiTheme="minorHAnsi" w:hAnsiTheme="minorHAnsi" w:cstheme="minorHAnsi"/>
          <w:color w:val="1C2024"/>
          <w:sz w:val="20"/>
          <w:szCs w:val="20"/>
        </w:rPr>
        <w:tab/>
        <w:t xml:space="preserve">      </w:t>
      </w:r>
      <w:r w:rsidR="00567FF5" w:rsidRPr="00567FF5">
        <w:rPr>
          <w:rFonts w:asciiTheme="minorHAnsi" w:hAnsiTheme="minorHAnsi" w:cstheme="minorHAnsi"/>
          <w:color w:val="1C2024"/>
          <w:sz w:val="20"/>
          <w:szCs w:val="20"/>
        </w:rPr>
        <w:t>Pazienti con 3 o più patologie pre-esistenti 59,7%</w:t>
      </w:r>
    </w:p>
    <w:p w:rsidR="00567FF5" w:rsidRPr="001E7ACB" w:rsidRDefault="00567FF5" w:rsidP="001E7ACB">
      <w:pPr>
        <w:shd w:val="clear" w:color="auto" w:fill="FFFFFF"/>
        <w:tabs>
          <w:tab w:val="left" w:pos="284"/>
        </w:tabs>
        <w:ind w:left="284"/>
        <w:rPr>
          <w:rFonts w:asciiTheme="minorHAnsi" w:hAnsiTheme="minorHAnsi" w:cstheme="minorHAnsi"/>
          <w:color w:val="1C2024"/>
          <w:sz w:val="20"/>
          <w:szCs w:val="20"/>
        </w:rPr>
      </w:pPr>
      <w:r w:rsidRPr="001E7ACB">
        <w:rPr>
          <w:rFonts w:asciiTheme="minorHAnsi" w:hAnsiTheme="minorHAnsi" w:cstheme="minorHAnsi"/>
          <w:b/>
          <w:bCs/>
          <w:color w:val="1C2024"/>
          <w:sz w:val="20"/>
          <w:szCs w:val="20"/>
        </w:rPr>
        <w:t>Aree geografiche con la percentuale maggiore di deceduti</w:t>
      </w:r>
    </w:p>
    <w:p w:rsidR="00567FF5" w:rsidRPr="00567FF5" w:rsidRDefault="00567FF5" w:rsidP="001E7ACB">
      <w:pPr>
        <w:shd w:val="clear" w:color="auto" w:fill="FFFFFF"/>
        <w:tabs>
          <w:tab w:val="left" w:pos="284"/>
        </w:tabs>
        <w:ind w:left="709"/>
        <w:rPr>
          <w:rFonts w:asciiTheme="minorHAnsi" w:hAnsiTheme="minorHAnsi" w:cstheme="minorHAnsi"/>
          <w:color w:val="1C2024"/>
          <w:sz w:val="20"/>
          <w:szCs w:val="20"/>
        </w:rPr>
      </w:pPr>
      <w:r w:rsidRPr="00567FF5">
        <w:rPr>
          <w:rFonts w:asciiTheme="minorHAnsi" w:hAnsiTheme="minorHAnsi" w:cstheme="minorHAnsi"/>
          <w:color w:val="1C2024"/>
          <w:sz w:val="20"/>
          <w:szCs w:val="20"/>
        </w:rPr>
        <w:lastRenderedPageBreak/>
        <w:t>Lombardia con 49,8%</w:t>
      </w:r>
    </w:p>
    <w:p w:rsidR="00567FF5" w:rsidRPr="00567FF5" w:rsidRDefault="00567FF5" w:rsidP="001E7ACB">
      <w:pPr>
        <w:shd w:val="clear" w:color="auto" w:fill="FFFFFF"/>
        <w:tabs>
          <w:tab w:val="left" w:pos="284"/>
        </w:tabs>
        <w:ind w:left="709"/>
        <w:rPr>
          <w:rFonts w:asciiTheme="minorHAnsi" w:hAnsiTheme="minorHAnsi" w:cstheme="minorHAnsi"/>
          <w:color w:val="1C2024"/>
          <w:sz w:val="20"/>
          <w:szCs w:val="20"/>
        </w:rPr>
      </w:pPr>
      <w:r w:rsidRPr="00567FF5">
        <w:rPr>
          <w:rFonts w:asciiTheme="minorHAnsi" w:hAnsiTheme="minorHAnsi" w:cstheme="minorHAnsi"/>
          <w:color w:val="1C2024"/>
          <w:sz w:val="20"/>
          <w:szCs w:val="20"/>
        </w:rPr>
        <w:t>Emilia Romagna con il 12,8%</w:t>
      </w:r>
    </w:p>
    <w:p w:rsidR="00567FF5" w:rsidRPr="00567FF5" w:rsidRDefault="00567FF5" w:rsidP="001E7ACB">
      <w:pPr>
        <w:shd w:val="clear" w:color="auto" w:fill="FFFFFF"/>
        <w:tabs>
          <w:tab w:val="left" w:pos="284"/>
        </w:tabs>
        <w:ind w:left="709"/>
        <w:rPr>
          <w:rFonts w:asciiTheme="minorHAnsi" w:hAnsiTheme="minorHAnsi" w:cstheme="minorHAnsi"/>
          <w:color w:val="1C2024"/>
          <w:sz w:val="20"/>
          <w:szCs w:val="20"/>
        </w:rPr>
      </w:pPr>
      <w:r w:rsidRPr="00567FF5">
        <w:rPr>
          <w:rFonts w:asciiTheme="minorHAnsi" w:hAnsiTheme="minorHAnsi" w:cstheme="minorHAnsi"/>
          <w:color w:val="1C2024"/>
          <w:sz w:val="20"/>
          <w:szCs w:val="20"/>
        </w:rPr>
        <w:t>Piemonte con il 8,5%.</w:t>
      </w:r>
    </w:p>
    <w:p w:rsidR="00567FF5" w:rsidRPr="00567FF5" w:rsidRDefault="00567FF5" w:rsidP="001E7ACB">
      <w:pPr>
        <w:shd w:val="clear" w:color="auto" w:fill="FFFFFF"/>
        <w:tabs>
          <w:tab w:val="left" w:pos="284"/>
        </w:tabs>
        <w:ind w:left="709"/>
        <w:rPr>
          <w:rFonts w:asciiTheme="minorHAnsi" w:hAnsiTheme="minorHAnsi" w:cstheme="minorHAnsi"/>
          <w:color w:val="1C2024"/>
          <w:sz w:val="20"/>
          <w:szCs w:val="20"/>
        </w:rPr>
      </w:pPr>
      <w:r w:rsidRPr="00567FF5">
        <w:rPr>
          <w:rFonts w:asciiTheme="minorHAnsi" w:hAnsiTheme="minorHAnsi" w:cstheme="minorHAnsi"/>
          <w:color w:val="1C2024"/>
          <w:sz w:val="20"/>
          <w:szCs w:val="20"/>
        </w:rPr>
        <w:t>Veneto con il 6%</w:t>
      </w:r>
    </w:p>
    <w:p w:rsidR="00567FF5" w:rsidRPr="001E7ACB" w:rsidRDefault="00567FF5" w:rsidP="001E7ACB">
      <w:pPr>
        <w:shd w:val="clear" w:color="auto" w:fill="FFFFFF"/>
        <w:tabs>
          <w:tab w:val="left" w:pos="284"/>
        </w:tabs>
        <w:ind w:left="284"/>
        <w:rPr>
          <w:rFonts w:asciiTheme="minorHAnsi" w:hAnsiTheme="minorHAnsi" w:cstheme="minorHAnsi"/>
          <w:color w:val="1C2024"/>
          <w:sz w:val="20"/>
          <w:szCs w:val="20"/>
        </w:rPr>
      </w:pPr>
      <w:r w:rsidRPr="001E7ACB">
        <w:rPr>
          <w:rFonts w:asciiTheme="minorHAnsi" w:hAnsiTheme="minorHAnsi" w:cstheme="minorHAnsi"/>
          <w:b/>
          <w:bCs/>
          <w:color w:val="1C2024"/>
          <w:sz w:val="20"/>
          <w:szCs w:val="20"/>
        </w:rPr>
        <w:t>Sintomi più comunemente osservati prima del ricovero nelle persone decedute</w:t>
      </w:r>
    </w:p>
    <w:p w:rsidR="00567FF5" w:rsidRPr="00567FF5" w:rsidRDefault="00567FF5" w:rsidP="001E7ACB">
      <w:pPr>
        <w:shd w:val="clear" w:color="auto" w:fill="FFFFFF"/>
        <w:tabs>
          <w:tab w:val="left" w:pos="284"/>
        </w:tabs>
        <w:ind w:left="709"/>
        <w:rPr>
          <w:rFonts w:asciiTheme="minorHAnsi" w:hAnsiTheme="minorHAnsi" w:cstheme="minorHAnsi"/>
          <w:color w:val="1C2024"/>
          <w:sz w:val="20"/>
          <w:szCs w:val="20"/>
        </w:rPr>
      </w:pPr>
      <w:r w:rsidRPr="00567FF5">
        <w:rPr>
          <w:rFonts w:asciiTheme="minorHAnsi" w:hAnsiTheme="minorHAnsi" w:cstheme="minorHAnsi"/>
          <w:color w:val="1C2024"/>
          <w:sz w:val="20"/>
          <w:szCs w:val="20"/>
        </w:rPr>
        <w:t>febbre 76%</w:t>
      </w:r>
    </w:p>
    <w:p w:rsidR="00567FF5" w:rsidRPr="00567FF5" w:rsidRDefault="00567FF5" w:rsidP="001E7ACB">
      <w:pPr>
        <w:shd w:val="clear" w:color="auto" w:fill="FFFFFF"/>
        <w:tabs>
          <w:tab w:val="left" w:pos="284"/>
        </w:tabs>
        <w:ind w:left="709"/>
        <w:rPr>
          <w:rFonts w:asciiTheme="minorHAnsi" w:hAnsiTheme="minorHAnsi" w:cstheme="minorHAnsi"/>
          <w:color w:val="1C2024"/>
          <w:sz w:val="20"/>
          <w:szCs w:val="20"/>
        </w:rPr>
      </w:pPr>
      <w:r w:rsidRPr="00567FF5">
        <w:rPr>
          <w:rFonts w:asciiTheme="minorHAnsi" w:hAnsiTheme="minorHAnsi" w:cstheme="minorHAnsi"/>
          <w:color w:val="1C2024"/>
          <w:sz w:val="20"/>
          <w:szCs w:val="20"/>
        </w:rPr>
        <w:t>dispnea 73%</w:t>
      </w:r>
    </w:p>
    <w:p w:rsidR="00567FF5" w:rsidRPr="00567FF5" w:rsidRDefault="00567FF5" w:rsidP="001E7ACB">
      <w:pPr>
        <w:shd w:val="clear" w:color="auto" w:fill="FFFFFF"/>
        <w:tabs>
          <w:tab w:val="left" w:pos="284"/>
        </w:tabs>
        <w:ind w:left="709"/>
        <w:rPr>
          <w:rFonts w:asciiTheme="minorHAnsi" w:hAnsiTheme="minorHAnsi" w:cstheme="minorHAnsi"/>
          <w:color w:val="1C2024"/>
          <w:sz w:val="20"/>
          <w:szCs w:val="20"/>
        </w:rPr>
      </w:pPr>
      <w:r w:rsidRPr="00567FF5">
        <w:rPr>
          <w:rFonts w:asciiTheme="minorHAnsi" w:hAnsiTheme="minorHAnsi" w:cstheme="minorHAnsi"/>
          <w:color w:val="1C2024"/>
          <w:sz w:val="20"/>
          <w:szCs w:val="20"/>
        </w:rPr>
        <w:t>tosse 39%</w:t>
      </w:r>
    </w:p>
    <w:p w:rsidR="00567FF5" w:rsidRPr="00567FF5" w:rsidRDefault="00567FF5" w:rsidP="001E7ACB">
      <w:pPr>
        <w:shd w:val="clear" w:color="auto" w:fill="FFFFFF"/>
        <w:tabs>
          <w:tab w:val="left" w:pos="284"/>
        </w:tabs>
        <w:ind w:left="709"/>
        <w:rPr>
          <w:rFonts w:asciiTheme="minorHAnsi" w:hAnsiTheme="minorHAnsi" w:cstheme="minorHAnsi"/>
          <w:color w:val="1C2024"/>
          <w:sz w:val="20"/>
          <w:szCs w:val="20"/>
        </w:rPr>
      </w:pPr>
      <w:r w:rsidRPr="00567FF5">
        <w:rPr>
          <w:rFonts w:asciiTheme="minorHAnsi" w:hAnsiTheme="minorHAnsi" w:cstheme="minorHAnsi"/>
          <w:color w:val="1C2024"/>
          <w:sz w:val="20"/>
          <w:szCs w:val="20"/>
        </w:rPr>
        <w:t>diarrea 6%</w:t>
      </w:r>
    </w:p>
    <w:p w:rsidR="00567FF5" w:rsidRDefault="00567FF5" w:rsidP="001E7ACB">
      <w:pPr>
        <w:shd w:val="clear" w:color="auto" w:fill="FFFFFF"/>
        <w:tabs>
          <w:tab w:val="left" w:pos="284"/>
        </w:tabs>
        <w:ind w:left="709"/>
        <w:rPr>
          <w:rFonts w:asciiTheme="minorHAnsi" w:hAnsiTheme="minorHAnsi" w:cstheme="minorHAnsi"/>
          <w:color w:val="1C2024"/>
          <w:sz w:val="20"/>
          <w:szCs w:val="20"/>
        </w:rPr>
      </w:pPr>
      <w:r w:rsidRPr="00567FF5">
        <w:rPr>
          <w:rFonts w:asciiTheme="minorHAnsi" w:hAnsiTheme="minorHAnsi" w:cstheme="minorHAnsi"/>
          <w:color w:val="1C2024"/>
          <w:sz w:val="20"/>
          <w:szCs w:val="20"/>
        </w:rPr>
        <w:t>emottisi 1%</w:t>
      </w:r>
    </w:p>
    <w:p w:rsidR="000D29F8" w:rsidRDefault="000D29F8" w:rsidP="000D29F8">
      <w:pPr>
        <w:shd w:val="clear" w:color="auto" w:fill="FFFFFF"/>
        <w:jc w:val="both"/>
        <w:rPr>
          <w:rFonts w:asciiTheme="minorHAnsi" w:hAnsiTheme="minorHAnsi" w:cstheme="minorHAnsi"/>
          <w:color w:val="1C2024"/>
          <w:sz w:val="20"/>
          <w:szCs w:val="20"/>
        </w:rPr>
      </w:pPr>
    </w:p>
    <w:p w:rsidR="000D29F8" w:rsidRDefault="000D29F8" w:rsidP="00073D51">
      <w:pPr>
        <w:shd w:val="clear" w:color="auto" w:fill="FFFFFF"/>
        <w:jc w:val="both"/>
        <w:rPr>
          <w:rFonts w:asciiTheme="minorHAnsi" w:hAnsiTheme="minorHAnsi" w:cstheme="minorHAnsi"/>
          <w:color w:val="1C2024"/>
          <w:sz w:val="20"/>
          <w:szCs w:val="20"/>
        </w:rPr>
      </w:pPr>
      <w:r w:rsidRPr="00073D51">
        <w:rPr>
          <w:rFonts w:asciiTheme="minorHAnsi" w:hAnsiTheme="minorHAnsi" w:cstheme="minorHAnsi"/>
          <w:b/>
          <w:bCs/>
          <w:color w:val="1C1E21"/>
          <w:sz w:val="20"/>
          <w:szCs w:val="20"/>
        </w:rPr>
        <w:t>Infografica</w:t>
      </w:r>
      <w:r>
        <w:rPr>
          <w:rFonts w:asciiTheme="minorHAnsi" w:hAnsiTheme="minorHAnsi" w:cstheme="minorHAnsi"/>
          <w:color w:val="1C1E21"/>
          <w:sz w:val="20"/>
          <w:szCs w:val="20"/>
        </w:rPr>
        <w:t>:</w:t>
      </w:r>
      <w:r w:rsidRPr="000D29F8">
        <w:rPr>
          <w:rFonts w:asciiTheme="minorHAnsi" w:hAnsiTheme="minorHAnsi" w:cstheme="minorHAnsi"/>
          <w:color w:val="1C1E21"/>
          <w:sz w:val="20"/>
          <w:szCs w:val="20"/>
        </w:rPr>
        <w:t xml:space="preserve"> </w:t>
      </w:r>
      <w:r w:rsidRPr="000D29F8">
        <w:rPr>
          <w:rStyle w:val="FootnoteReference"/>
          <w:rFonts w:asciiTheme="minorHAnsi" w:hAnsiTheme="minorHAnsi" w:cstheme="minorHAnsi"/>
          <w:color w:val="1C1E21"/>
          <w:sz w:val="20"/>
          <w:szCs w:val="20"/>
        </w:rPr>
        <w:footnoteReference w:id="6"/>
      </w:r>
      <w:r w:rsidRPr="000D29F8">
        <w:rPr>
          <w:rFonts w:asciiTheme="minorHAnsi" w:hAnsiTheme="minorHAnsi" w:cstheme="minorHAnsi"/>
          <w:color w:val="1C1E21"/>
          <w:sz w:val="20"/>
          <w:szCs w:val="20"/>
        </w:rPr>
        <w:t xml:space="preserve"> </w:t>
      </w:r>
    </w:p>
    <w:p w:rsidR="000D29F8" w:rsidRDefault="000D29F8" w:rsidP="000D29F8">
      <w:pPr>
        <w:shd w:val="clear" w:color="auto" w:fill="FFFFFF"/>
        <w:tabs>
          <w:tab w:val="left" w:pos="284"/>
        </w:tabs>
        <w:ind w:right="-7"/>
        <w:rPr>
          <w:rFonts w:asciiTheme="minorHAnsi" w:hAnsiTheme="minorHAnsi" w:cstheme="minorHAnsi"/>
          <w:color w:val="1C2024"/>
          <w:sz w:val="20"/>
          <w:szCs w:val="20"/>
        </w:rPr>
      </w:pPr>
      <w:r>
        <w:rPr>
          <w:rFonts w:asciiTheme="minorHAnsi" w:hAnsiTheme="minorHAnsi" w:cstheme="minorHAnsi"/>
          <w:noProof/>
          <w:color w:val="1C2024"/>
          <w:sz w:val="20"/>
          <w:szCs w:val="20"/>
        </w:rPr>
        <w:drawing>
          <wp:inline distT="0" distB="0" distL="0" distR="0">
            <wp:extent cx="6116320" cy="4310380"/>
            <wp:effectExtent l="0" t="0" r="5080" b="0"/>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hermata 2020-06-15 alle 21.37.32.png"/>
                    <pic:cNvPicPr/>
                  </pic:nvPicPr>
                  <pic:blipFill>
                    <a:blip r:embed="rId14">
                      <a:extLst>
                        <a:ext uri="{28A0092B-C50C-407E-A947-70E740481C1C}">
                          <a14:useLocalDpi xmlns:a14="http://schemas.microsoft.com/office/drawing/2010/main" val="0"/>
                        </a:ext>
                      </a:extLst>
                    </a:blip>
                    <a:stretch>
                      <a:fillRect/>
                    </a:stretch>
                  </pic:blipFill>
                  <pic:spPr>
                    <a:xfrm>
                      <a:off x="0" y="0"/>
                      <a:ext cx="6116320" cy="4310380"/>
                    </a:xfrm>
                    <a:prstGeom prst="rect">
                      <a:avLst/>
                    </a:prstGeom>
                  </pic:spPr>
                </pic:pic>
              </a:graphicData>
            </a:graphic>
          </wp:inline>
        </w:drawing>
      </w:r>
    </w:p>
    <w:p w:rsidR="00073D51" w:rsidRPr="00471D4A" w:rsidRDefault="0052743C" w:rsidP="00471D4A">
      <w:pPr>
        <w:shd w:val="clear" w:color="auto" w:fill="F2F2F2" w:themeFill="background1" w:themeFillShade="F2"/>
        <w:rPr>
          <w:rFonts w:asciiTheme="minorHAnsi" w:hAnsiTheme="minorHAnsi" w:cstheme="minorHAnsi"/>
          <w:color w:val="000000" w:themeColor="text1"/>
          <w:sz w:val="18"/>
          <w:szCs w:val="18"/>
        </w:rPr>
      </w:pPr>
      <w:hyperlink r:id="rId15" w:history="1">
        <w:r w:rsidR="000D29F8" w:rsidRPr="00471D4A">
          <w:rPr>
            <w:rStyle w:val="Hyperlink"/>
            <w:rFonts w:asciiTheme="minorHAnsi" w:eastAsiaTheme="majorEastAsia" w:hAnsiTheme="minorHAnsi" w:cstheme="minorHAnsi"/>
            <w:color w:val="000000" w:themeColor="text1"/>
            <w:sz w:val="18"/>
            <w:szCs w:val="18"/>
            <w:u w:val="none"/>
          </w:rPr>
          <w:t>https://www.epicentro.iss.it/coronavirus/bollettino/Infografica_10giugno%20ITA.pdf</w:t>
        </w:r>
      </w:hyperlink>
    </w:p>
    <w:p w:rsidR="00F77506" w:rsidRDefault="00F77506" w:rsidP="00660C86">
      <w:pPr>
        <w:jc w:val="both"/>
        <w:rPr>
          <w:rFonts w:asciiTheme="minorHAnsi" w:hAnsiTheme="minorHAnsi" w:cstheme="minorHAnsi"/>
          <w:color w:val="1C1E21"/>
          <w:sz w:val="20"/>
          <w:szCs w:val="20"/>
        </w:rPr>
      </w:pPr>
    </w:p>
    <w:p w:rsidR="00073D51" w:rsidRDefault="00073D51" w:rsidP="00660C86">
      <w:pPr>
        <w:jc w:val="both"/>
        <w:rPr>
          <w:rFonts w:asciiTheme="minorHAnsi" w:hAnsiTheme="minorHAnsi" w:cstheme="minorHAnsi"/>
          <w:color w:val="1C1E21"/>
          <w:sz w:val="20"/>
          <w:szCs w:val="20"/>
        </w:rPr>
      </w:pPr>
      <w:r>
        <w:rPr>
          <w:rFonts w:asciiTheme="minorHAnsi" w:hAnsiTheme="minorHAnsi" w:cstheme="minorHAnsi"/>
          <w:color w:val="1C1E21"/>
          <w:sz w:val="20"/>
          <w:szCs w:val="20"/>
        </w:rPr>
        <w:t>V</w:t>
      </w:r>
      <w:r w:rsidRPr="000D29F8">
        <w:rPr>
          <w:rFonts w:asciiTheme="minorHAnsi" w:hAnsiTheme="minorHAnsi" w:cstheme="minorHAnsi"/>
          <w:color w:val="1C1E21"/>
          <w:sz w:val="20"/>
          <w:szCs w:val="20"/>
        </w:rPr>
        <w:t xml:space="preserve">a ricordato che le cause dei decessi non sono state confermate dall’esito dell’autopsia e dalla ricerca del virus nei tessuti per la maggior parte dei deceduti, quindi i dati relativi al numero di decessi per COVID-19 potrebbero non rispecchiare la situazione reale. </w:t>
      </w:r>
      <w:r w:rsidRPr="000D29F8">
        <w:rPr>
          <w:rStyle w:val="FootnoteReference"/>
          <w:rFonts w:asciiTheme="minorHAnsi" w:hAnsiTheme="minorHAnsi" w:cstheme="minorHAnsi"/>
          <w:color w:val="1C1E21"/>
          <w:sz w:val="20"/>
          <w:szCs w:val="20"/>
        </w:rPr>
        <w:footnoteReference w:id="7"/>
      </w:r>
    </w:p>
    <w:p w:rsidR="000D29F8" w:rsidRDefault="00660C86" w:rsidP="00853C57">
      <w:pPr>
        <w:shd w:val="clear" w:color="auto" w:fill="FFFFFF"/>
        <w:tabs>
          <w:tab w:val="left" w:pos="284"/>
        </w:tabs>
        <w:jc w:val="center"/>
        <w:rPr>
          <w:rFonts w:asciiTheme="minorHAnsi" w:hAnsiTheme="minorHAnsi" w:cstheme="minorHAnsi"/>
          <w:color w:val="1C2024"/>
          <w:sz w:val="20"/>
          <w:szCs w:val="20"/>
        </w:rPr>
      </w:pPr>
      <w:r>
        <w:rPr>
          <w:rFonts w:asciiTheme="minorHAnsi" w:hAnsiTheme="minorHAnsi" w:cstheme="minorHAnsi"/>
          <w:noProof/>
          <w:color w:val="1C2024"/>
          <w:sz w:val="20"/>
          <w:szCs w:val="20"/>
        </w:rPr>
        <w:lastRenderedPageBreak/>
        <w:drawing>
          <wp:inline distT="0" distB="0" distL="0" distR="0">
            <wp:extent cx="8270096" cy="6337373"/>
            <wp:effectExtent l="953" t="0" r="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hermata 2020-06-18 alle 01.20.40.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275148" cy="6341245"/>
                    </a:xfrm>
                    <a:prstGeom prst="rect">
                      <a:avLst/>
                    </a:prstGeom>
                  </pic:spPr>
                </pic:pic>
              </a:graphicData>
            </a:graphic>
          </wp:inline>
        </w:drawing>
      </w:r>
    </w:p>
    <w:p w:rsidR="00073D51" w:rsidRPr="00471D4A" w:rsidRDefault="0052743C" w:rsidP="00471D4A">
      <w:pPr>
        <w:shd w:val="clear" w:color="auto" w:fill="F2F2F2" w:themeFill="background1" w:themeFillShade="F2"/>
        <w:rPr>
          <w:rFonts w:asciiTheme="minorHAnsi" w:hAnsiTheme="minorHAnsi"/>
          <w:color w:val="000000" w:themeColor="text1"/>
          <w:sz w:val="18"/>
          <w:szCs w:val="18"/>
        </w:rPr>
      </w:pPr>
      <w:hyperlink r:id="rId17" w:history="1">
        <w:r w:rsidR="00660C86" w:rsidRPr="00471D4A">
          <w:rPr>
            <w:rFonts w:asciiTheme="minorHAnsi" w:hAnsiTheme="minorHAnsi"/>
            <w:color w:val="000000" w:themeColor="text1"/>
            <w:sz w:val="18"/>
            <w:szCs w:val="18"/>
            <w:shd w:val="clear" w:color="auto" w:fill="F2F2F2" w:themeFill="background1" w:themeFillShade="F2"/>
          </w:rPr>
          <w:t>https://www.epicentro.iss.it/coronavirus/bollettino/Report-COVID-2019_11_giugno.pdf</w:t>
        </w:r>
      </w:hyperlink>
    </w:p>
    <w:p w:rsidR="00073D51" w:rsidRDefault="00073D51" w:rsidP="00073D51">
      <w:pPr>
        <w:shd w:val="clear" w:color="auto" w:fill="FFFFFF"/>
        <w:ind w:right="-7"/>
        <w:jc w:val="both"/>
        <w:rPr>
          <w:rFonts w:asciiTheme="minorHAnsi" w:eastAsiaTheme="majorEastAsia" w:hAnsiTheme="minorHAnsi" w:cstheme="minorHAnsi"/>
          <w:color w:val="000000" w:themeColor="text1"/>
          <w:sz w:val="20"/>
          <w:szCs w:val="20"/>
        </w:rPr>
      </w:pPr>
      <w:r w:rsidRPr="00073D51">
        <w:rPr>
          <w:rFonts w:asciiTheme="minorHAnsi" w:eastAsiaTheme="majorEastAsia" w:hAnsiTheme="minorHAnsi" w:cstheme="minorHAnsi"/>
          <w:color w:val="000000" w:themeColor="text1"/>
          <w:sz w:val="20"/>
          <w:szCs w:val="20"/>
        </w:rPr>
        <w:t>Si riportano di seguito anche le seguenti tabelle informative:</w:t>
      </w:r>
    </w:p>
    <w:p w:rsidR="00073D51" w:rsidRDefault="00073D51" w:rsidP="00073D51">
      <w:pPr>
        <w:shd w:val="clear" w:color="auto" w:fill="FFFFFF"/>
        <w:ind w:right="-7"/>
        <w:jc w:val="both"/>
        <w:rPr>
          <w:rFonts w:asciiTheme="minorHAnsi" w:eastAsiaTheme="majorEastAsia" w:hAnsiTheme="minorHAnsi" w:cstheme="minorHAnsi"/>
          <w:color w:val="000000" w:themeColor="text1"/>
          <w:sz w:val="20"/>
          <w:szCs w:val="20"/>
        </w:rPr>
      </w:pPr>
    </w:p>
    <w:p w:rsidR="00073D51" w:rsidRPr="00717D4D" w:rsidRDefault="00073D51" w:rsidP="00073D51">
      <w:pPr>
        <w:shd w:val="clear" w:color="auto" w:fill="FFFFFF"/>
        <w:ind w:right="-7"/>
        <w:jc w:val="center"/>
        <w:rPr>
          <w:rFonts w:asciiTheme="minorHAnsi" w:hAnsiTheme="minorHAnsi"/>
          <w:sz w:val="16"/>
          <w:szCs w:val="16"/>
        </w:rPr>
      </w:pPr>
      <w:r w:rsidRPr="00717D4D">
        <w:rPr>
          <w:rFonts w:asciiTheme="minorHAnsi" w:hAnsiTheme="minorHAnsi" w:cstheme="minorHAnsi"/>
          <w:noProof/>
          <w:color w:val="1C1E21"/>
        </w:rPr>
        <w:lastRenderedPageBreak/>
        <w:drawing>
          <wp:inline distT="0" distB="0" distL="0" distR="0" wp14:anchorId="3319248F" wp14:editId="669C45C2">
            <wp:extent cx="5129671" cy="8432800"/>
            <wp:effectExtent l="0" t="0" r="1270" b="0"/>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jmoa2002032_t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1196" cy="8895606"/>
                    </a:xfrm>
                    <a:prstGeom prst="rect">
                      <a:avLst/>
                    </a:prstGeom>
                  </pic:spPr>
                </pic:pic>
              </a:graphicData>
            </a:graphic>
          </wp:inline>
        </w:drawing>
      </w:r>
    </w:p>
    <w:p w:rsidR="00471D4A" w:rsidRPr="00471D4A" w:rsidRDefault="00471D4A" w:rsidP="00471D4A">
      <w:pPr>
        <w:shd w:val="clear" w:color="auto" w:fill="F2F2F2" w:themeFill="background1" w:themeFillShade="F2"/>
        <w:jc w:val="both"/>
        <w:rPr>
          <w:rFonts w:asciiTheme="minorHAnsi" w:hAnsiTheme="minorHAnsi"/>
          <w:color w:val="000000" w:themeColor="text1"/>
          <w:sz w:val="18"/>
          <w:szCs w:val="18"/>
        </w:rPr>
      </w:pPr>
      <w:r w:rsidRPr="00471D4A">
        <w:rPr>
          <w:rFonts w:asciiTheme="minorHAnsi" w:hAnsiTheme="minorHAnsi" w:cstheme="minorHAnsi"/>
          <w:color w:val="000000" w:themeColor="text1"/>
          <w:sz w:val="18"/>
          <w:szCs w:val="18"/>
        </w:rPr>
        <w:t xml:space="preserve">tabella tratta da: </w:t>
      </w:r>
      <w:hyperlink r:id="rId19" w:history="1">
        <w:r w:rsidRPr="00471D4A">
          <w:rPr>
            <w:rStyle w:val="Hyperlink"/>
            <w:rFonts w:asciiTheme="minorHAnsi" w:eastAsiaTheme="majorEastAsia" w:hAnsiTheme="minorHAnsi"/>
            <w:color w:val="000000" w:themeColor="text1"/>
            <w:sz w:val="18"/>
            <w:szCs w:val="18"/>
            <w:u w:val="none"/>
          </w:rPr>
          <w:t>https://www.nejm.org/doi/full/10.1056/NEJMoa2002032</w:t>
        </w:r>
      </w:hyperlink>
      <w:r w:rsidRPr="00471D4A">
        <w:rPr>
          <w:rFonts w:asciiTheme="minorHAnsi" w:hAnsiTheme="minorHAnsi"/>
          <w:color w:val="000000" w:themeColor="text1"/>
          <w:sz w:val="18"/>
          <w:szCs w:val="18"/>
        </w:rPr>
        <w:t xml:space="preserve"> </w:t>
      </w:r>
      <w:r w:rsidRPr="00471D4A">
        <w:rPr>
          <w:rStyle w:val="FootnoteReference"/>
          <w:rFonts w:asciiTheme="minorHAnsi" w:hAnsiTheme="minorHAnsi"/>
          <w:color w:val="000000" w:themeColor="text1"/>
          <w:sz w:val="18"/>
          <w:szCs w:val="18"/>
        </w:rPr>
        <w:footnoteReference w:id="8"/>
      </w:r>
      <w:r w:rsidRPr="00471D4A">
        <w:rPr>
          <w:rFonts w:asciiTheme="minorHAnsi" w:hAnsiTheme="minorHAnsi"/>
          <w:color w:val="000000" w:themeColor="text1"/>
          <w:sz w:val="18"/>
          <w:szCs w:val="18"/>
        </w:rPr>
        <w:t>.</w:t>
      </w:r>
    </w:p>
    <w:p w:rsidR="00073D51" w:rsidRPr="00471D4A" w:rsidRDefault="00073D51" w:rsidP="00471D4A">
      <w:pPr>
        <w:shd w:val="clear" w:color="auto" w:fill="F2F2F2" w:themeFill="background1" w:themeFillShade="F2"/>
        <w:jc w:val="both"/>
        <w:rPr>
          <w:rFonts w:asciiTheme="minorHAnsi" w:hAnsiTheme="minorHAnsi"/>
          <w:sz w:val="18"/>
          <w:szCs w:val="18"/>
        </w:rPr>
      </w:pPr>
      <w:r w:rsidRPr="00471D4A">
        <w:rPr>
          <w:rFonts w:asciiTheme="minorHAnsi" w:hAnsiTheme="minorHAnsi"/>
          <w:sz w:val="18"/>
          <w:szCs w:val="18"/>
        </w:rPr>
        <w:lastRenderedPageBreak/>
        <w:t xml:space="preserve">Caratteristiche cliniche dei pazienti dello studio, in base alla gravità della malattia e alla presenza o assenza dell'end-point composito primario </w:t>
      </w:r>
    </w:p>
    <w:p w:rsidR="00A078ED" w:rsidRPr="004C77C2" w:rsidRDefault="00A078ED" w:rsidP="00073D51">
      <w:pPr>
        <w:shd w:val="clear" w:color="auto" w:fill="FFFFFF"/>
        <w:jc w:val="both"/>
        <w:rPr>
          <w:rFonts w:asciiTheme="minorHAnsi" w:hAnsiTheme="minorHAnsi"/>
          <w:color w:val="000000" w:themeColor="text1"/>
          <w:sz w:val="16"/>
          <w:szCs w:val="16"/>
        </w:rPr>
      </w:pPr>
    </w:p>
    <w:p w:rsidR="00073D51" w:rsidRDefault="00073D51" w:rsidP="00073D51">
      <w:pPr>
        <w:shd w:val="clear" w:color="auto" w:fill="FFFFFF"/>
        <w:jc w:val="center"/>
        <w:rPr>
          <w:rFonts w:asciiTheme="minorHAnsi" w:hAnsiTheme="minorHAnsi" w:cstheme="minorHAnsi"/>
          <w:color w:val="1C1E21"/>
        </w:rPr>
      </w:pPr>
      <w:r w:rsidRPr="00717D4D">
        <w:rPr>
          <w:rFonts w:asciiTheme="minorHAnsi" w:hAnsiTheme="minorHAnsi" w:cstheme="minorHAnsi"/>
          <w:noProof/>
          <w:color w:val="1C1E21"/>
        </w:rPr>
        <w:drawing>
          <wp:inline distT="0" distB="0" distL="0" distR="0" wp14:anchorId="142D0C14" wp14:editId="1F35249F">
            <wp:extent cx="6116320" cy="2997200"/>
            <wp:effectExtent l="0" t="0" r="5080" b="0"/>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ta 2020-05-23 alle 13.10.5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2997200"/>
                    </a:xfrm>
                    <a:prstGeom prst="rect">
                      <a:avLst/>
                    </a:prstGeom>
                  </pic:spPr>
                </pic:pic>
              </a:graphicData>
            </a:graphic>
          </wp:inline>
        </w:drawing>
      </w:r>
    </w:p>
    <w:p w:rsidR="00471D4A" w:rsidRPr="00471D4A" w:rsidRDefault="00471D4A" w:rsidP="00073D51">
      <w:pPr>
        <w:shd w:val="clear" w:color="auto" w:fill="FFFFFF"/>
        <w:jc w:val="center"/>
        <w:rPr>
          <w:rFonts w:asciiTheme="minorHAnsi" w:hAnsiTheme="minorHAnsi" w:cstheme="minorHAnsi"/>
          <w:color w:val="1C1E21"/>
          <w:sz w:val="18"/>
          <w:szCs w:val="18"/>
        </w:rPr>
      </w:pPr>
    </w:p>
    <w:p w:rsidR="00471D4A" w:rsidRPr="00471D4A" w:rsidRDefault="00471D4A" w:rsidP="00471D4A">
      <w:pPr>
        <w:shd w:val="clear" w:color="auto" w:fill="F2F2F2" w:themeFill="background1" w:themeFillShade="F2"/>
        <w:rPr>
          <w:rFonts w:asciiTheme="minorHAnsi" w:hAnsiTheme="minorHAnsi"/>
          <w:color w:val="000000" w:themeColor="text1"/>
          <w:sz w:val="18"/>
          <w:szCs w:val="18"/>
        </w:rPr>
      </w:pPr>
      <w:r w:rsidRPr="00471D4A">
        <w:rPr>
          <w:rFonts w:asciiTheme="minorHAnsi" w:hAnsiTheme="minorHAnsi" w:cstheme="minorHAnsi"/>
          <w:color w:val="000000" w:themeColor="text1"/>
          <w:sz w:val="18"/>
          <w:szCs w:val="18"/>
        </w:rPr>
        <w:t xml:space="preserve">Tratta da </w:t>
      </w:r>
      <w:hyperlink r:id="rId21" w:history="1">
        <w:r w:rsidRPr="00471D4A">
          <w:rPr>
            <w:rStyle w:val="Hyperlink"/>
            <w:rFonts w:asciiTheme="minorHAnsi" w:eastAsiaTheme="majorEastAsia" w:hAnsiTheme="minorHAnsi"/>
            <w:color w:val="000000" w:themeColor="text1"/>
            <w:sz w:val="18"/>
            <w:szCs w:val="18"/>
            <w:u w:val="none"/>
          </w:rPr>
          <w:t>https://www.thelancet.com/pdfs/journals/lancet/PIIS0140-6736(20)30566-3.pdf</w:t>
        </w:r>
      </w:hyperlink>
      <w:r w:rsidRPr="00471D4A">
        <w:rPr>
          <w:rFonts w:asciiTheme="minorHAnsi" w:hAnsiTheme="minorHAnsi"/>
          <w:color w:val="000000" w:themeColor="text1"/>
          <w:sz w:val="18"/>
          <w:szCs w:val="18"/>
        </w:rPr>
        <w:t xml:space="preserve"> </w:t>
      </w:r>
      <w:r w:rsidRPr="00471D4A">
        <w:rPr>
          <w:rStyle w:val="FootnoteReference"/>
          <w:rFonts w:asciiTheme="minorHAnsi" w:hAnsiTheme="minorHAnsi"/>
          <w:color w:val="000000" w:themeColor="text1"/>
          <w:sz w:val="18"/>
          <w:szCs w:val="18"/>
        </w:rPr>
        <w:footnoteReference w:id="9"/>
      </w:r>
    </w:p>
    <w:p w:rsidR="00073D51" w:rsidRPr="00471D4A" w:rsidRDefault="00073D51" w:rsidP="00471D4A">
      <w:pPr>
        <w:shd w:val="clear" w:color="auto" w:fill="F2F2F2" w:themeFill="background1" w:themeFillShade="F2"/>
        <w:jc w:val="both"/>
        <w:rPr>
          <w:rFonts w:asciiTheme="minorHAnsi" w:hAnsiTheme="minorHAnsi" w:cstheme="minorHAnsi"/>
          <w:b/>
          <w:color w:val="1C1E21"/>
          <w:sz w:val="18"/>
          <w:szCs w:val="18"/>
        </w:rPr>
      </w:pPr>
      <w:r w:rsidRPr="00471D4A">
        <w:rPr>
          <w:rFonts w:asciiTheme="minorHAnsi" w:hAnsiTheme="minorHAnsi" w:cstheme="minorHAnsi"/>
          <w:b/>
          <w:color w:val="1C1E21"/>
          <w:sz w:val="18"/>
          <w:szCs w:val="18"/>
        </w:rPr>
        <w:t xml:space="preserve">Decorsi clinici dei principali sintomi, esiti e durata della diffusione virale dall'insorgenza della malattia in pazienti ospedalizzati con COVID-19 </w:t>
      </w:r>
    </w:p>
    <w:p w:rsidR="00073D51" w:rsidRPr="00471D4A" w:rsidRDefault="00073D51" w:rsidP="00471D4A">
      <w:pPr>
        <w:shd w:val="clear" w:color="auto" w:fill="F2F2F2" w:themeFill="background1" w:themeFillShade="F2"/>
        <w:jc w:val="both"/>
        <w:rPr>
          <w:rFonts w:asciiTheme="minorHAnsi" w:hAnsiTheme="minorHAnsi" w:cstheme="minorHAnsi"/>
          <w:color w:val="1C1E21"/>
          <w:sz w:val="18"/>
          <w:szCs w:val="18"/>
        </w:rPr>
      </w:pPr>
      <w:r w:rsidRPr="00471D4A">
        <w:rPr>
          <w:rFonts w:asciiTheme="minorHAnsi" w:hAnsiTheme="minorHAnsi" w:cstheme="minorHAnsi"/>
          <w:color w:val="1C1E21"/>
          <w:sz w:val="18"/>
          <w:szCs w:val="18"/>
        </w:rPr>
        <w:t>La figura mostra la durata mediana dei sintomi e l'insorgenza di complicanze ed esiti. ICU = unità di terapia intensiva. SARS-CoV-2 = sindrome</w:t>
      </w:r>
      <w:r w:rsidR="00471D4A">
        <w:rPr>
          <w:rFonts w:asciiTheme="minorHAnsi" w:hAnsiTheme="minorHAnsi" w:cstheme="minorHAnsi"/>
          <w:color w:val="1C1E21"/>
          <w:sz w:val="18"/>
          <w:szCs w:val="18"/>
        </w:rPr>
        <w:t xml:space="preserve"> </w:t>
      </w:r>
      <w:r w:rsidRPr="00471D4A">
        <w:rPr>
          <w:rFonts w:asciiTheme="minorHAnsi" w:hAnsiTheme="minorHAnsi" w:cstheme="minorHAnsi"/>
          <w:color w:val="1C1E21"/>
          <w:sz w:val="18"/>
          <w:szCs w:val="18"/>
        </w:rPr>
        <w:t>respiratoria acuta grave da coronavirus 2. ARDS = sindrome da distress respiratorio acuto.  COVID-19 = malattia da coronavirus 2019</w:t>
      </w:r>
    </w:p>
    <w:p w:rsidR="00073D51" w:rsidRDefault="00073D51" w:rsidP="00471D4A">
      <w:pPr>
        <w:jc w:val="both"/>
        <w:rPr>
          <w:rFonts w:asciiTheme="minorHAnsi" w:hAnsiTheme="minorHAnsi" w:cstheme="minorHAnsi"/>
          <w:color w:val="1C1E21"/>
          <w:sz w:val="20"/>
          <w:szCs w:val="20"/>
        </w:rPr>
      </w:pPr>
    </w:p>
    <w:p w:rsidR="00471D4A" w:rsidRDefault="00471D4A" w:rsidP="00471D4A">
      <w:pPr>
        <w:jc w:val="both"/>
        <w:rPr>
          <w:rFonts w:asciiTheme="minorHAnsi" w:hAnsiTheme="minorHAnsi" w:cstheme="minorHAnsi"/>
          <w:color w:val="1C1E21"/>
          <w:sz w:val="20"/>
          <w:szCs w:val="20"/>
        </w:rPr>
      </w:pPr>
    </w:p>
    <w:p w:rsidR="00471D4A" w:rsidRPr="000D29F8" w:rsidRDefault="00471D4A" w:rsidP="00471D4A">
      <w:pPr>
        <w:jc w:val="both"/>
        <w:rPr>
          <w:rFonts w:asciiTheme="minorHAnsi" w:hAnsiTheme="minorHAnsi" w:cstheme="minorHAnsi"/>
          <w:color w:val="1C1E21"/>
          <w:sz w:val="20"/>
          <w:szCs w:val="20"/>
        </w:rPr>
      </w:pPr>
    </w:p>
    <w:p w:rsidR="003A0A95" w:rsidRPr="004C77C2" w:rsidRDefault="003A0A95"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tabs>
          <w:tab w:val="left" w:pos="284"/>
        </w:tabs>
        <w:ind w:left="709" w:right="701"/>
        <w:rPr>
          <w:rFonts w:asciiTheme="minorHAnsi" w:hAnsiTheme="minorHAnsi" w:cstheme="minorHAnsi"/>
          <w:color w:val="2F5496" w:themeColor="accent1" w:themeShade="BF"/>
          <w:sz w:val="20"/>
          <w:szCs w:val="20"/>
        </w:rPr>
      </w:pPr>
    </w:p>
    <w:p w:rsidR="000D29F8" w:rsidRPr="00471D4A" w:rsidRDefault="003A0A95"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tabs>
          <w:tab w:val="left" w:pos="284"/>
        </w:tabs>
        <w:ind w:left="709" w:right="701"/>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Per un approfondimento sulla presentazione clinica del COVID-19 si suggerisce la lettura del documento redatto dal </w:t>
      </w:r>
      <w:r w:rsidRPr="00471D4A">
        <w:rPr>
          <w:rFonts w:asciiTheme="minorHAnsi" w:hAnsiTheme="minorHAnsi" w:cstheme="minorHAnsi"/>
          <w:b/>
          <w:bCs/>
          <w:color w:val="2F5496" w:themeColor="accent1" w:themeShade="BF"/>
          <w:sz w:val="20"/>
          <w:szCs w:val="20"/>
        </w:rPr>
        <w:t>dott. Samuele Ceruti</w:t>
      </w:r>
      <w:r w:rsidRPr="00471D4A">
        <w:rPr>
          <w:rFonts w:asciiTheme="minorHAnsi" w:hAnsiTheme="minorHAnsi" w:cstheme="minorHAnsi"/>
          <w:color w:val="2F5496" w:themeColor="accent1" w:themeShade="BF"/>
          <w:sz w:val="20"/>
          <w:szCs w:val="20"/>
        </w:rPr>
        <w:t xml:space="preserve"> (Medico ospedaliero – Servizio di medicina intensiva)</w:t>
      </w:r>
    </w:p>
    <w:p w:rsidR="003A0A95" w:rsidRPr="00471D4A" w:rsidRDefault="003A0A95"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tabs>
          <w:tab w:val="left" w:pos="284"/>
        </w:tabs>
        <w:ind w:left="709" w:right="701"/>
        <w:rPr>
          <w:rFonts w:asciiTheme="minorHAnsi" w:hAnsiTheme="minorHAnsi" w:cstheme="minorHAnsi"/>
          <w:color w:val="C00000"/>
          <w:sz w:val="20"/>
          <w:szCs w:val="20"/>
        </w:rPr>
      </w:pPr>
    </w:p>
    <w:p w:rsidR="003A0A95" w:rsidRPr="00471D4A" w:rsidRDefault="0052743C"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tabs>
          <w:tab w:val="left" w:pos="284"/>
        </w:tabs>
        <w:ind w:left="709" w:right="701"/>
        <w:jc w:val="center"/>
        <w:rPr>
          <w:rFonts w:asciiTheme="minorHAnsi" w:hAnsiTheme="minorHAnsi" w:cstheme="minorHAnsi"/>
          <w:b/>
          <w:bCs/>
          <w:color w:val="C00000"/>
          <w:sz w:val="20"/>
          <w:szCs w:val="20"/>
        </w:rPr>
      </w:pPr>
      <w:hyperlink r:id="rId22" w:history="1">
        <w:r w:rsidR="003A0A95" w:rsidRPr="00471D4A">
          <w:rPr>
            <w:rStyle w:val="Hyperlink"/>
            <w:rFonts w:asciiTheme="minorHAnsi" w:hAnsiTheme="minorHAnsi" w:cstheme="minorHAnsi"/>
            <w:b/>
            <w:bCs/>
            <w:color w:val="C00000"/>
            <w:sz w:val="20"/>
            <w:szCs w:val="20"/>
            <w:u w:val="none"/>
          </w:rPr>
          <w:t>https://drive.google.com/file/d/1HP5AGTB-HIbdL-T7ob33BDl8giAJPIY0/view</w:t>
        </w:r>
      </w:hyperlink>
    </w:p>
    <w:p w:rsidR="003A0A95" w:rsidRDefault="003A0A95"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tabs>
          <w:tab w:val="left" w:pos="284"/>
        </w:tabs>
        <w:ind w:left="709" w:right="701"/>
        <w:rPr>
          <w:rFonts w:asciiTheme="minorHAnsi" w:hAnsiTheme="minorHAnsi" w:cstheme="minorHAnsi"/>
          <w:color w:val="1C2024"/>
          <w:sz w:val="20"/>
          <w:szCs w:val="20"/>
        </w:rPr>
      </w:pPr>
    </w:p>
    <w:p w:rsidR="000D29F8" w:rsidRDefault="000D29F8" w:rsidP="001E7ACB">
      <w:pPr>
        <w:shd w:val="clear" w:color="auto" w:fill="FFFFFF"/>
        <w:tabs>
          <w:tab w:val="left" w:pos="284"/>
        </w:tabs>
        <w:ind w:left="709"/>
        <w:rPr>
          <w:rFonts w:asciiTheme="minorHAnsi" w:hAnsiTheme="minorHAnsi" w:cstheme="minorHAnsi"/>
          <w:color w:val="1C2024"/>
          <w:sz w:val="20"/>
          <w:szCs w:val="20"/>
        </w:rPr>
      </w:pPr>
    </w:p>
    <w:p w:rsidR="00A078ED" w:rsidRDefault="00A078ED" w:rsidP="001E7ACB">
      <w:pPr>
        <w:shd w:val="clear" w:color="auto" w:fill="FFFFFF"/>
        <w:tabs>
          <w:tab w:val="left" w:pos="284"/>
        </w:tabs>
        <w:ind w:left="709"/>
        <w:rPr>
          <w:rFonts w:asciiTheme="minorHAnsi" w:hAnsiTheme="minorHAnsi" w:cstheme="minorHAnsi"/>
          <w:color w:val="1C2024"/>
          <w:sz w:val="20"/>
          <w:szCs w:val="20"/>
        </w:rPr>
      </w:pPr>
    </w:p>
    <w:p w:rsidR="00A078ED" w:rsidRDefault="00A078ED" w:rsidP="001E7ACB">
      <w:pPr>
        <w:shd w:val="clear" w:color="auto" w:fill="FFFFFF"/>
        <w:tabs>
          <w:tab w:val="left" w:pos="284"/>
        </w:tabs>
        <w:ind w:left="709"/>
        <w:rPr>
          <w:rFonts w:asciiTheme="minorHAnsi" w:hAnsiTheme="minorHAnsi" w:cstheme="minorHAnsi"/>
          <w:color w:val="1C2024"/>
          <w:sz w:val="20"/>
          <w:szCs w:val="20"/>
        </w:rPr>
      </w:pPr>
    </w:p>
    <w:p w:rsidR="00A078ED" w:rsidRDefault="00A078ED" w:rsidP="001E7ACB">
      <w:pPr>
        <w:shd w:val="clear" w:color="auto" w:fill="FFFFFF"/>
        <w:tabs>
          <w:tab w:val="left" w:pos="284"/>
        </w:tabs>
        <w:ind w:left="709"/>
        <w:rPr>
          <w:rFonts w:asciiTheme="minorHAnsi" w:hAnsiTheme="minorHAnsi" w:cstheme="minorHAnsi"/>
          <w:color w:val="1C2024"/>
          <w:sz w:val="20"/>
          <w:szCs w:val="20"/>
        </w:rPr>
      </w:pPr>
    </w:p>
    <w:p w:rsidR="00A078ED" w:rsidRDefault="00A078ED" w:rsidP="001E7ACB">
      <w:pPr>
        <w:shd w:val="clear" w:color="auto" w:fill="FFFFFF"/>
        <w:tabs>
          <w:tab w:val="left" w:pos="284"/>
        </w:tabs>
        <w:ind w:left="709"/>
        <w:rPr>
          <w:rFonts w:asciiTheme="minorHAnsi" w:hAnsiTheme="minorHAnsi" w:cstheme="minorHAnsi"/>
          <w:color w:val="1C2024"/>
          <w:sz w:val="20"/>
          <w:szCs w:val="20"/>
        </w:rPr>
      </w:pPr>
    </w:p>
    <w:p w:rsidR="00A078ED" w:rsidRDefault="00A078ED" w:rsidP="001E7ACB">
      <w:pPr>
        <w:shd w:val="clear" w:color="auto" w:fill="FFFFFF"/>
        <w:tabs>
          <w:tab w:val="left" w:pos="284"/>
        </w:tabs>
        <w:ind w:left="709"/>
        <w:rPr>
          <w:rFonts w:asciiTheme="minorHAnsi" w:hAnsiTheme="minorHAnsi" w:cstheme="minorHAnsi"/>
          <w:color w:val="1C2024"/>
          <w:sz w:val="20"/>
          <w:szCs w:val="20"/>
        </w:rPr>
      </w:pPr>
    </w:p>
    <w:p w:rsidR="00A078ED" w:rsidRDefault="00A078ED" w:rsidP="001E7ACB">
      <w:pPr>
        <w:shd w:val="clear" w:color="auto" w:fill="FFFFFF"/>
        <w:tabs>
          <w:tab w:val="left" w:pos="284"/>
        </w:tabs>
        <w:ind w:left="709"/>
        <w:rPr>
          <w:rFonts w:asciiTheme="minorHAnsi" w:hAnsiTheme="minorHAnsi" w:cstheme="minorHAnsi"/>
          <w:color w:val="1C2024"/>
          <w:sz w:val="20"/>
          <w:szCs w:val="20"/>
        </w:rPr>
      </w:pPr>
    </w:p>
    <w:p w:rsidR="00A078ED" w:rsidRDefault="00A078ED" w:rsidP="001E7ACB">
      <w:pPr>
        <w:shd w:val="clear" w:color="auto" w:fill="FFFFFF"/>
        <w:tabs>
          <w:tab w:val="left" w:pos="284"/>
        </w:tabs>
        <w:ind w:left="709"/>
        <w:rPr>
          <w:rFonts w:asciiTheme="minorHAnsi" w:hAnsiTheme="minorHAnsi" w:cstheme="minorHAnsi"/>
          <w:color w:val="1C2024"/>
          <w:sz w:val="20"/>
          <w:szCs w:val="20"/>
        </w:rPr>
      </w:pPr>
    </w:p>
    <w:p w:rsidR="00A078ED" w:rsidRDefault="00A078ED" w:rsidP="001E7ACB">
      <w:pPr>
        <w:shd w:val="clear" w:color="auto" w:fill="FFFFFF"/>
        <w:tabs>
          <w:tab w:val="left" w:pos="284"/>
        </w:tabs>
        <w:ind w:left="709"/>
        <w:rPr>
          <w:rFonts w:asciiTheme="minorHAnsi" w:hAnsiTheme="minorHAnsi" w:cstheme="minorHAnsi"/>
          <w:color w:val="1C2024"/>
          <w:sz w:val="20"/>
          <w:szCs w:val="20"/>
        </w:rPr>
      </w:pPr>
    </w:p>
    <w:p w:rsidR="00A078ED" w:rsidRDefault="00A078ED" w:rsidP="001E7ACB">
      <w:pPr>
        <w:shd w:val="clear" w:color="auto" w:fill="FFFFFF"/>
        <w:tabs>
          <w:tab w:val="left" w:pos="284"/>
        </w:tabs>
        <w:ind w:left="709"/>
        <w:rPr>
          <w:rFonts w:asciiTheme="minorHAnsi" w:hAnsiTheme="minorHAnsi" w:cstheme="minorHAnsi"/>
          <w:color w:val="1C2024"/>
          <w:sz w:val="20"/>
          <w:szCs w:val="20"/>
        </w:rPr>
      </w:pPr>
    </w:p>
    <w:p w:rsidR="00A078ED" w:rsidRDefault="00A078ED" w:rsidP="001E7ACB">
      <w:pPr>
        <w:shd w:val="clear" w:color="auto" w:fill="FFFFFF"/>
        <w:tabs>
          <w:tab w:val="left" w:pos="284"/>
        </w:tabs>
        <w:ind w:left="709"/>
        <w:rPr>
          <w:rFonts w:asciiTheme="minorHAnsi" w:hAnsiTheme="minorHAnsi" w:cstheme="minorHAnsi"/>
          <w:color w:val="1C2024"/>
          <w:sz w:val="20"/>
          <w:szCs w:val="20"/>
        </w:rPr>
      </w:pPr>
    </w:p>
    <w:p w:rsidR="00BF3B05" w:rsidRDefault="00C720B6" w:rsidP="00C720B6">
      <w:pPr>
        <w:shd w:val="clear" w:color="auto" w:fill="FFFFFF"/>
        <w:tabs>
          <w:tab w:val="left" w:pos="284"/>
        </w:tabs>
        <w:jc w:val="both"/>
        <w:rPr>
          <w:rFonts w:asciiTheme="minorHAnsi" w:hAnsiTheme="minorHAnsi" w:cstheme="minorHAnsi"/>
          <w:b/>
          <w:bCs/>
          <w:i/>
          <w:iCs/>
          <w:color w:val="C00000"/>
        </w:rPr>
      </w:pPr>
      <w:r w:rsidRPr="00A078ED">
        <w:rPr>
          <w:rFonts w:asciiTheme="minorHAnsi" w:hAnsiTheme="minorHAnsi" w:cstheme="minorHAnsi"/>
          <w:b/>
          <w:bCs/>
          <w:i/>
          <w:iCs/>
          <w:color w:val="C00000"/>
        </w:rPr>
        <w:t>La criticità delle autopsie</w:t>
      </w:r>
    </w:p>
    <w:p w:rsidR="00A078ED" w:rsidRPr="00A078ED" w:rsidRDefault="00A078ED" w:rsidP="00C720B6">
      <w:pPr>
        <w:shd w:val="clear" w:color="auto" w:fill="FFFFFF"/>
        <w:tabs>
          <w:tab w:val="left" w:pos="284"/>
        </w:tabs>
        <w:jc w:val="both"/>
        <w:rPr>
          <w:rFonts w:asciiTheme="minorHAnsi" w:hAnsiTheme="minorHAnsi" w:cstheme="minorHAnsi"/>
          <w:b/>
          <w:bCs/>
          <w:i/>
          <w:iCs/>
          <w:color w:val="C00000"/>
        </w:rPr>
      </w:pPr>
    </w:p>
    <w:p w:rsidR="00E6548C" w:rsidRDefault="00BF3B05" w:rsidP="00BF3B05">
      <w:pPr>
        <w:shd w:val="clear" w:color="auto" w:fill="FFFFFF"/>
        <w:tabs>
          <w:tab w:val="left" w:pos="284"/>
        </w:tabs>
        <w:jc w:val="both"/>
        <w:rPr>
          <w:rFonts w:asciiTheme="minorHAnsi" w:hAnsiTheme="minorHAnsi" w:cstheme="minorHAnsi"/>
          <w:color w:val="1C1E21"/>
          <w:sz w:val="20"/>
          <w:szCs w:val="20"/>
        </w:rPr>
      </w:pPr>
      <w:r w:rsidRPr="00BF3B05">
        <w:rPr>
          <w:rFonts w:asciiTheme="minorHAnsi" w:hAnsiTheme="minorHAnsi" w:cstheme="minorHAnsi"/>
          <w:color w:val="1C2024"/>
          <w:sz w:val="20"/>
          <w:szCs w:val="20"/>
        </w:rPr>
        <w:lastRenderedPageBreak/>
        <w:t>Senza entrare nel dettaglio</w:t>
      </w:r>
      <w:r w:rsidR="00E6548C">
        <w:rPr>
          <w:rFonts w:asciiTheme="minorHAnsi" w:hAnsiTheme="minorHAnsi" w:cstheme="minorHAnsi"/>
          <w:color w:val="1C2024"/>
          <w:sz w:val="20"/>
          <w:szCs w:val="20"/>
        </w:rPr>
        <w:t xml:space="preserve"> sulla validità dei</w:t>
      </w:r>
      <w:r w:rsidRPr="00BF3B05">
        <w:rPr>
          <w:rFonts w:asciiTheme="minorHAnsi" w:hAnsiTheme="minorHAnsi" w:cstheme="minorHAnsi"/>
          <w:color w:val="1C2024"/>
          <w:sz w:val="20"/>
          <w:szCs w:val="20"/>
        </w:rPr>
        <w:t xml:space="preserve"> dati epidemiologici </w:t>
      </w:r>
      <w:r w:rsidR="00E6548C">
        <w:rPr>
          <w:rFonts w:asciiTheme="minorHAnsi" w:hAnsiTheme="minorHAnsi" w:cstheme="minorHAnsi"/>
          <w:color w:val="1C2024"/>
          <w:sz w:val="20"/>
          <w:szCs w:val="20"/>
        </w:rPr>
        <w:t>presentati dall’ISS sul</w:t>
      </w:r>
      <w:r w:rsidRPr="00BF3B05">
        <w:rPr>
          <w:rFonts w:asciiTheme="minorHAnsi" w:hAnsiTheme="minorHAnsi" w:cstheme="minorHAnsi"/>
          <w:color w:val="1C2024"/>
          <w:sz w:val="20"/>
          <w:szCs w:val="20"/>
        </w:rPr>
        <w:t xml:space="preserve"> COVID-19</w:t>
      </w:r>
      <w:r>
        <w:rPr>
          <w:rFonts w:asciiTheme="minorHAnsi" w:hAnsiTheme="minorHAnsi" w:cstheme="minorHAnsi"/>
          <w:color w:val="1C2024"/>
          <w:sz w:val="20"/>
          <w:szCs w:val="20"/>
        </w:rPr>
        <w:t>,</w:t>
      </w:r>
      <w:r w:rsidRPr="00BF3B05">
        <w:rPr>
          <w:rFonts w:asciiTheme="minorHAnsi" w:hAnsiTheme="minorHAnsi" w:cstheme="minorHAnsi"/>
          <w:color w:val="1C2024"/>
          <w:sz w:val="20"/>
          <w:szCs w:val="20"/>
        </w:rPr>
        <w:t xml:space="preserve"> </w:t>
      </w:r>
      <w:r w:rsidR="00E6548C">
        <w:rPr>
          <w:rFonts w:asciiTheme="minorHAnsi" w:hAnsiTheme="minorHAnsi" w:cstheme="minorHAnsi"/>
          <w:color w:val="1C2024"/>
          <w:sz w:val="20"/>
          <w:szCs w:val="20"/>
        </w:rPr>
        <w:t>in quanto</w:t>
      </w:r>
      <w:r w:rsidRPr="00BF3B05">
        <w:rPr>
          <w:rFonts w:asciiTheme="minorHAnsi" w:hAnsiTheme="minorHAnsi" w:cstheme="minorHAnsi"/>
          <w:color w:val="1C2024"/>
          <w:sz w:val="20"/>
          <w:szCs w:val="20"/>
        </w:rPr>
        <w:t xml:space="preserve"> verranno discussi nel capitolo dedicato alla trasmissione e al contagio del virus SARS-Cov-2</w:t>
      </w:r>
      <w:r>
        <w:rPr>
          <w:rFonts w:asciiTheme="minorHAnsi" w:hAnsiTheme="minorHAnsi" w:cstheme="minorHAnsi"/>
          <w:color w:val="1C2024"/>
          <w:sz w:val="20"/>
          <w:szCs w:val="20"/>
        </w:rPr>
        <w:t>, va sottolineato per i fini della revisione che si presenterà in questo capitolo che, n</w:t>
      </w:r>
      <w:r w:rsidR="002B7F58" w:rsidRPr="001E7ACB">
        <w:rPr>
          <w:rFonts w:asciiTheme="minorHAnsi" w:hAnsiTheme="minorHAnsi" w:cstheme="minorHAnsi"/>
          <w:color w:val="1C1E21"/>
          <w:sz w:val="20"/>
          <w:szCs w:val="20"/>
        </w:rPr>
        <w:t xml:space="preserve">onostante l’imponente lavoro scientifico </w:t>
      </w:r>
      <w:r w:rsidR="00BC7543" w:rsidRPr="001E7ACB">
        <w:rPr>
          <w:rFonts w:asciiTheme="minorHAnsi" w:hAnsiTheme="minorHAnsi" w:cstheme="minorHAnsi"/>
          <w:color w:val="1C1E21"/>
          <w:sz w:val="20"/>
          <w:szCs w:val="20"/>
        </w:rPr>
        <w:t xml:space="preserve">a livello mondiale </w:t>
      </w:r>
      <w:r w:rsidR="002B7F58" w:rsidRPr="001E7ACB">
        <w:rPr>
          <w:rFonts w:asciiTheme="minorHAnsi" w:hAnsiTheme="minorHAnsi" w:cstheme="minorHAnsi"/>
          <w:color w:val="1C1E21"/>
          <w:sz w:val="20"/>
          <w:szCs w:val="20"/>
        </w:rPr>
        <w:t>per studiare le caratteristiche genetiche del virus, il meccanismo della patologia e le sue terapie,</w:t>
      </w:r>
      <w:r w:rsidR="00FC3D2F" w:rsidRPr="001E7ACB">
        <w:rPr>
          <w:rFonts w:asciiTheme="minorHAnsi" w:hAnsiTheme="minorHAnsi" w:cstheme="minorHAnsi"/>
          <w:color w:val="1C1E21"/>
          <w:sz w:val="20"/>
          <w:szCs w:val="20"/>
        </w:rPr>
        <w:t xml:space="preserve"> </w:t>
      </w:r>
      <w:r w:rsidRPr="00E6548C">
        <w:rPr>
          <w:rFonts w:asciiTheme="minorHAnsi" w:hAnsiTheme="minorHAnsi" w:cstheme="minorHAnsi"/>
          <w:b/>
          <w:bCs/>
          <w:color w:val="1C1E21"/>
          <w:sz w:val="20"/>
          <w:szCs w:val="20"/>
        </w:rPr>
        <w:t xml:space="preserve">mancano ancora dati </w:t>
      </w:r>
      <w:r w:rsidR="00E6548C" w:rsidRPr="00E6548C">
        <w:rPr>
          <w:rFonts w:asciiTheme="minorHAnsi" w:hAnsiTheme="minorHAnsi" w:cstheme="minorHAnsi"/>
          <w:b/>
          <w:bCs/>
          <w:color w:val="1C1E21"/>
          <w:sz w:val="20"/>
          <w:szCs w:val="20"/>
        </w:rPr>
        <w:t xml:space="preserve">clinici e di laboratorio </w:t>
      </w:r>
      <w:r w:rsidRPr="00E6548C">
        <w:rPr>
          <w:rFonts w:asciiTheme="minorHAnsi" w:hAnsiTheme="minorHAnsi" w:cstheme="minorHAnsi"/>
          <w:b/>
          <w:bCs/>
          <w:color w:val="1C1E21"/>
          <w:sz w:val="20"/>
          <w:szCs w:val="20"/>
        </w:rPr>
        <w:t>essenziali</w:t>
      </w:r>
      <w:r w:rsidR="00E6548C">
        <w:rPr>
          <w:rFonts w:asciiTheme="minorHAnsi" w:hAnsiTheme="minorHAnsi" w:cstheme="minorHAnsi"/>
          <w:color w:val="1C1E21"/>
          <w:sz w:val="20"/>
          <w:szCs w:val="20"/>
        </w:rPr>
        <w:t xml:space="preserve"> per poter stabilire il numero reale dei deceduti a causa del COVID-19  e dei contagiati da SARS-Cov-2, come non è ancora possibile definire il reale impatto del lockdown sul contenimento dell’epidemia. </w:t>
      </w:r>
    </w:p>
    <w:p w:rsidR="00E81309" w:rsidRDefault="00E6548C" w:rsidP="00BF3B05">
      <w:pPr>
        <w:shd w:val="clear" w:color="auto" w:fill="FFFFFF"/>
        <w:tabs>
          <w:tab w:val="left" w:pos="284"/>
        </w:tabs>
        <w:jc w:val="both"/>
        <w:rPr>
          <w:rFonts w:asciiTheme="minorHAnsi" w:hAnsiTheme="minorHAnsi" w:cstheme="minorHAnsi"/>
          <w:color w:val="1C1E21"/>
          <w:sz w:val="20"/>
          <w:szCs w:val="20"/>
        </w:rPr>
      </w:pPr>
      <w:r>
        <w:rPr>
          <w:rFonts w:asciiTheme="minorHAnsi" w:hAnsiTheme="minorHAnsi" w:cstheme="minorHAnsi"/>
          <w:color w:val="1C1E21"/>
          <w:sz w:val="20"/>
          <w:szCs w:val="20"/>
        </w:rPr>
        <w:t>In particolare,</w:t>
      </w:r>
      <w:r w:rsidR="00BF3B05">
        <w:rPr>
          <w:rFonts w:asciiTheme="minorHAnsi" w:hAnsiTheme="minorHAnsi" w:cstheme="minorHAnsi"/>
          <w:color w:val="1C1E21"/>
          <w:sz w:val="20"/>
          <w:szCs w:val="20"/>
        </w:rPr>
        <w:t xml:space="preserve"> </w:t>
      </w:r>
      <w:r>
        <w:rPr>
          <w:rFonts w:asciiTheme="minorHAnsi" w:hAnsiTheme="minorHAnsi" w:cstheme="minorHAnsi"/>
          <w:color w:val="1C1E21"/>
          <w:sz w:val="20"/>
          <w:szCs w:val="20"/>
        </w:rPr>
        <w:t xml:space="preserve">è noto che </w:t>
      </w:r>
      <w:r w:rsidR="00B41101" w:rsidRPr="00E81309">
        <w:rPr>
          <w:rFonts w:asciiTheme="minorHAnsi" w:hAnsiTheme="minorHAnsi" w:cstheme="minorHAnsi"/>
          <w:b/>
          <w:bCs/>
          <w:color w:val="1C1E21"/>
          <w:sz w:val="20"/>
          <w:szCs w:val="20"/>
        </w:rPr>
        <w:t>i risultati autoptici sono stati molto carenti</w:t>
      </w:r>
      <w:r w:rsidR="00B41101" w:rsidRPr="001E7ACB">
        <w:rPr>
          <w:rFonts w:asciiTheme="minorHAnsi" w:hAnsiTheme="minorHAnsi" w:cstheme="minorHAnsi"/>
          <w:color w:val="1C1E21"/>
          <w:sz w:val="20"/>
          <w:szCs w:val="20"/>
        </w:rPr>
        <w:t xml:space="preserve"> e</w:t>
      </w:r>
      <w:r w:rsidR="00FC3D2F" w:rsidRPr="001E7ACB">
        <w:rPr>
          <w:rFonts w:asciiTheme="minorHAnsi" w:hAnsiTheme="minorHAnsi" w:cstheme="minorHAnsi"/>
          <w:color w:val="1C1E21"/>
          <w:sz w:val="20"/>
          <w:szCs w:val="20"/>
        </w:rPr>
        <w:t xml:space="preserve"> </w:t>
      </w:r>
      <w:r>
        <w:rPr>
          <w:rFonts w:asciiTheme="minorHAnsi" w:hAnsiTheme="minorHAnsi" w:cstheme="minorHAnsi"/>
          <w:color w:val="1C1E21"/>
          <w:sz w:val="20"/>
          <w:szCs w:val="20"/>
        </w:rPr>
        <w:t xml:space="preserve">che </w:t>
      </w:r>
      <w:r w:rsidR="002B7F58" w:rsidRPr="001E7ACB">
        <w:rPr>
          <w:rFonts w:asciiTheme="minorHAnsi" w:hAnsiTheme="minorHAnsi" w:cstheme="minorHAnsi"/>
          <w:color w:val="1C1E21"/>
          <w:sz w:val="20"/>
          <w:szCs w:val="20"/>
        </w:rPr>
        <w:t>solo recentemente (fine aprile-maggio 20</w:t>
      </w:r>
      <w:r w:rsidR="005C24F1">
        <w:rPr>
          <w:rFonts w:asciiTheme="minorHAnsi" w:hAnsiTheme="minorHAnsi" w:cstheme="minorHAnsi"/>
          <w:color w:val="1C1E21"/>
          <w:sz w:val="20"/>
          <w:szCs w:val="20"/>
        </w:rPr>
        <w:t>20</w:t>
      </w:r>
      <w:r w:rsidR="002B7F58" w:rsidRPr="001E7ACB">
        <w:rPr>
          <w:rFonts w:asciiTheme="minorHAnsi" w:hAnsiTheme="minorHAnsi" w:cstheme="minorHAnsi"/>
          <w:color w:val="1C1E21"/>
          <w:sz w:val="20"/>
          <w:szCs w:val="20"/>
        </w:rPr>
        <w:t xml:space="preserve">, quando </w:t>
      </w:r>
      <w:r>
        <w:rPr>
          <w:rFonts w:asciiTheme="minorHAnsi" w:hAnsiTheme="minorHAnsi" w:cstheme="minorHAnsi"/>
          <w:color w:val="1C1E21"/>
          <w:sz w:val="20"/>
          <w:szCs w:val="20"/>
        </w:rPr>
        <w:t xml:space="preserve">in Italia </w:t>
      </w:r>
      <w:r w:rsidR="002B7F58" w:rsidRPr="001E7ACB">
        <w:rPr>
          <w:rFonts w:asciiTheme="minorHAnsi" w:hAnsiTheme="minorHAnsi" w:cstheme="minorHAnsi"/>
          <w:color w:val="1C1E21"/>
          <w:sz w:val="20"/>
          <w:szCs w:val="20"/>
        </w:rPr>
        <w:t xml:space="preserve">erano già decedute oltre 25.000 persone </w:t>
      </w:r>
      <w:r w:rsidR="002B7F58" w:rsidRPr="001E7ACB">
        <w:rPr>
          <w:rStyle w:val="FootnoteReference"/>
          <w:rFonts w:asciiTheme="minorHAnsi" w:hAnsiTheme="minorHAnsi" w:cstheme="minorHAnsi"/>
          <w:color w:val="1C1E21"/>
          <w:sz w:val="20"/>
          <w:szCs w:val="20"/>
        </w:rPr>
        <w:footnoteReference w:id="10"/>
      </w:r>
      <w:r w:rsidR="00E81309">
        <w:rPr>
          <w:rFonts w:asciiTheme="minorHAnsi" w:hAnsiTheme="minorHAnsi" w:cstheme="minorHAnsi"/>
          <w:color w:val="1C1E21"/>
          <w:sz w:val="20"/>
          <w:szCs w:val="20"/>
        </w:rPr>
        <w:t xml:space="preserve"> </w:t>
      </w:r>
      <w:r w:rsidR="002B7F58" w:rsidRPr="001E7ACB">
        <w:rPr>
          <w:rFonts w:asciiTheme="minorHAnsi" w:hAnsiTheme="minorHAnsi" w:cstheme="minorHAnsi"/>
          <w:color w:val="1C1E21"/>
          <w:sz w:val="20"/>
          <w:szCs w:val="20"/>
        </w:rPr>
        <w:t xml:space="preserve">) sono stati pubblicati i primi risultati dell’analisi istopatologica post-mortem di malati positivi al test in RT-PCR per il </w:t>
      </w:r>
      <w:r w:rsidR="00DC0BB3" w:rsidRPr="001E7ACB">
        <w:rPr>
          <w:rFonts w:asciiTheme="minorHAnsi" w:hAnsiTheme="minorHAnsi" w:cstheme="minorHAnsi"/>
          <w:color w:val="1C1E21"/>
          <w:sz w:val="20"/>
          <w:szCs w:val="20"/>
        </w:rPr>
        <w:t>SARS-Cov-2</w:t>
      </w:r>
      <w:r w:rsidR="002B7F58" w:rsidRPr="001E7ACB">
        <w:rPr>
          <w:rFonts w:asciiTheme="minorHAnsi" w:hAnsiTheme="minorHAnsi" w:cstheme="minorHAnsi"/>
          <w:color w:val="1C1E21"/>
          <w:sz w:val="20"/>
          <w:szCs w:val="20"/>
        </w:rPr>
        <w:t xml:space="preserve"> </w:t>
      </w:r>
      <w:r w:rsidR="002B7F58" w:rsidRPr="001E7ACB">
        <w:rPr>
          <w:rStyle w:val="FootnoteReference"/>
          <w:rFonts w:asciiTheme="minorHAnsi" w:hAnsiTheme="minorHAnsi" w:cstheme="minorHAnsi"/>
          <w:color w:val="1C1E21"/>
          <w:sz w:val="20"/>
          <w:szCs w:val="20"/>
        </w:rPr>
        <w:footnoteReference w:id="11"/>
      </w:r>
      <w:r>
        <w:rPr>
          <w:rFonts w:asciiTheme="minorHAnsi" w:hAnsiTheme="minorHAnsi" w:cstheme="minorHAnsi"/>
          <w:color w:val="1C1E21"/>
          <w:sz w:val="20"/>
          <w:szCs w:val="20"/>
        </w:rPr>
        <w:t xml:space="preserve"> </w:t>
      </w:r>
      <w:r w:rsidR="002B7F58" w:rsidRPr="001E7ACB">
        <w:rPr>
          <w:rFonts w:asciiTheme="minorHAnsi" w:hAnsiTheme="minorHAnsi" w:cstheme="minorHAnsi"/>
          <w:color w:val="1C1E21"/>
          <w:sz w:val="20"/>
          <w:szCs w:val="20"/>
        </w:rPr>
        <w:t xml:space="preserve">. </w:t>
      </w:r>
      <w:r w:rsidR="002B7F58" w:rsidRPr="00E81309">
        <w:rPr>
          <w:rFonts w:asciiTheme="minorHAnsi" w:hAnsiTheme="minorHAnsi" w:cstheme="minorHAnsi"/>
          <w:b/>
          <w:bCs/>
          <w:color w:val="1C1E21"/>
          <w:sz w:val="20"/>
          <w:szCs w:val="20"/>
        </w:rPr>
        <w:t xml:space="preserve">Tali risultati hanno </w:t>
      </w:r>
      <w:r w:rsidRPr="00E81309">
        <w:rPr>
          <w:rFonts w:asciiTheme="minorHAnsi" w:hAnsiTheme="minorHAnsi" w:cstheme="minorHAnsi"/>
          <w:b/>
          <w:bCs/>
          <w:color w:val="1C1E21"/>
          <w:sz w:val="20"/>
          <w:szCs w:val="20"/>
        </w:rPr>
        <w:t>evidenziato un quadro clinico più complesso</w:t>
      </w:r>
      <w:r>
        <w:rPr>
          <w:rFonts w:asciiTheme="minorHAnsi" w:hAnsiTheme="minorHAnsi" w:cstheme="minorHAnsi"/>
          <w:color w:val="1C1E21"/>
          <w:sz w:val="20"/>
          <w:szCs w:val="20"/>
        </w:rPr>
        <w:t xml:space="preserve"> </w:t>
      </w:r>
      <w:r w:rsidR="0048011C">
        <w:rPr>
          <w:rFonts w:asciiTheme="minorHAnsi" w:hAnsiTheme="minorHAnsi" w:cstheme="minorHAnsi"/>
          <w:color w:val="1C1E21"/>
          <w:sz w:val="20"/>
          <w:szCs w:val="20"/>
        </w:rPr>
        <w:t xml:space="preserve">rispetto a quello della sindrome da distress respiratorio, ritenuta la causa principale dei </w:t>
      </w:r>
      <w:r w:rsidR="00E81309">
        <w:rPr>
          <w:rFonts w:asciiTheme="minorHAnsi" w:hAnsiTheme="minorHAnsi" w:cstheme="minorHAnsi"/>
          <w:color w:val="1C1E21"/>
          <w:sz w:val="20"/>
          <w:szCs w:val="20"/>
        </w:rPr>
        <w:t>d</w:t>
      </w:r>
      <w:r w:rsidR="0048011C">
        <w:rPr>
          <w:rFonts w:asciiTheme="minorHAnsi" w:hAnsiTheme="minorHAnsi" w:cstheme="minorHAnsi"/>
          <w:color w:val="1C1E21"/>
          <w:sz w:val="20"/>
          <w:szCs w:val="20"/>
        </w:rPr>
        <w:t xml:space="preserve">ecessi, complicato dalla </w:t>
      </w:r>
      <w:r w:rsidR="0079770A" w:rsidRPr="001E7ACB">
        <w:rPr>
          <w:rFonts w:asciiTheme="minorHAnsi" w:hAnsiTheme="minorHAnsi" w:cstheme="minorHAnsi"/>
          <w:color w:val="1C1E21"/>
          <w:sz w:val="20"/>
          <w:szCs w:val="20"/>
        </w:rPr>
        <w:t xml:space="preserve">tromboembolia disseminata </w:t>
      </w:r>
      <w:r w:rsidR="0079770A" w:rsidRPr="001E7ACB">
        <w:rPr>
          <w:rStyle w:val="FootnoteReference"/>
          <w:rFonts w:asciiTheme="minorHAnsi" w:hAnsiTheme="minorHAnsi" w:cstheme="minorHAnsi"/>
          <w:color w:val="1C1E21"/>
          <w:sz w:val="20"/>
          <w:szCs w:val="20"/>
        </w:rPr>
        <w:footnoteReference w:id="12"/>
      </w:r>
      <w:r w:rsidR="00E81309">
        <w:rPr>
          <w:rFonts w:asciiTheme="minorHAnsi" w:hAnsiTheme="minorHAnsi" w:cstheme="minorHAnsi"/>
          <w:color w:val="1C1E21"/>
          <w:sz w:val="20"/>
          <w:szCs w:val="20"/>
        </w:rPr>
        <w:t>.</w:t>
      </w:r>
      <w:r w:rsidR="002B7F58" w:rsidRPr="001E7ACB">
        <w:rPr>
          <w:rFonts w:asciiTheme="minorHAnsi" w:hAnsiTheme="minorHAnsi" w:cstheme="minorHAnsi"/>
          <w:color w:val="1C1E21"/>
          <w:sz w:val="20"/>
          <w:szCs w:val="20"/>
        </w:rPr>
        <w:t xml:space="preserve"> </w:t>
      </w:r>
    </w:p>
    <w:p w:rsidR="002B7F58" w:rsidRDefault="00E81309" w:rsidP="00BF3B05">
      <w:pPr>
        <w:shd w:val="clear" w:color="auto" w:fill="FFFFFF"/>
        <w:tabs>
          <w:tab w:val="left" w:pos="284"/>
        </w:tabs>
        <w:jc w:val="both"/>
        <w:rPr>
          <w:rFonts w:asciiTheme="minorHAnsi" w:hAnsiTheme="minorHAnsi" w:cstheme="minorHAnsi"/>
          <w:color w:val="1C1E21"/>
          <w:sz w:val="20"/>
          <w:szCs w:val="20"/>
        </w:rPr>
      </w:pPr>
      <w:r>
        <w:rPr>
          <w:rFonts w:asciiTheme="minorHAnsi" w:hAnsiTheme="minorHAnsi" w:cstheme="minorHAnsi"/>
          <w:color w:val="1C1E21"/>
          <w:sz w:val="20"/>
          <w:szCs w:val="20"/>
        </w:rPr>
        <w:t xml:space="preserve">Ciò ha </w:t>
      </w:r>
      <w:r w:rsidR="002B7F58" w:rsidRPr="001E7ACB">
        <w:rPr>
          <w:rFonts w:asciiTheme="minorHAnsi" w:hAnsiTheme="minorHAnsi" w:cstheme="minorHAnsi"/>
          <w:color w:val="1C1E21"/>
          <w:sz w:val="20"/>
          <w:szCs w:val="20"/>
        </w:rPr>
        <w:t xml:space="preserve">permesso </w:t>
      </w:r>
      <w:r>
        <w:rPr>
          <w:rFonts w:asciiTheme="minorHAnsi" w:hAnsiTheme="minorHAnsi" w:cstheme="minorHAnsi"/>
          <w:color w:val="1C1E21"/>
          <w:sz w:val="20"/>
          <w:szCs w:val="20"/>
        </w:rPr>
        <w:t xml:space="preserve">ai clinici </w:t>
      </w:r>
      <w:r w:rsidR="002B7F58" w:rsidRPr="001E7ACB">
        <w:rPr>
          <w:rFonts w:asciiTheme="minorHAnsi" w:hAnsiTheme="minorHAnsi" w:cstheme="minorHAnsi"/>
          <w:color w:val="1C1E21"/>
          <w:sz w:val="20"/>
          <w:szCs w:val="20"/>
        </w:rPr>
        <w:t xml:space="preserve">di </w:t>
      </w:r>
      <w:r w:rsidR="0048011C">
        <w:rPr>
          <w:rFonts w:asciiTheme="minorHAnsi" w:hAnsiTheme="minorHAnsi" w:cstheme="minorHAnsi"/>
          <w:color w:val="1C1E21"/>
          <w:sz w:val="20"/>
          <w:szCs w:val="20"/>
        </w:rPr>
        <w:t xml:space="preserve">modificare </w:t>
      </w:r>
      <w:r w:rsidR="00414DE6">
        <w:rPr>
          <w:rFonts w:asciiTheme="minorHAnsi" w:hAnsiTheme="minorHAnsi" w:cstheme="minorHAnsi"/>
          <w:color w:val="1C1E21"/>
          <w:sz w:val="20"/>
          <w:szCs w:val="20"/>
        </w:rPr>
        <w:t xml:space="preserve">rapidamente </w:t>
      </w:r>
      <w:r w:rsidR="0048011C">
        <w:rPr>
          <w:rFonts w:asciiTheme="minorHAnsi" w:hAnsiTheme="minorHAnsi" w:cstheme="minorHAnsi"/>
          <w:color w:val="1C1E21"/>
          <w:sz w:val="20"/>
          <w:szCs w:val="20"/>
        </w:rPr>
        <w:t xml:space="preserve">la terapia adottata con un impatto positivo importante sulla mortalità dei pazienti </w:t>
      </w:r>
      <w:r w:rsidR="00414DE6">
        <w:rPr>
          <w:rFonts w:asciiTheme="minorHAnsi" w:hAnsiTheme="minorHAnsi" w:cstheme="minorHAnsi"/>
          <w:color w:val="1C1E21"/>
          <w:sz w:val="20"/>
          <w:szCs w:val="20"/>
        </w:rPr>
        <w:t>più critici</w:t>
      </w:r>
      <w:r w:rsidR="002B7F58" w:rsidRPr="001E7ACB">
        <w:rPr>
          <w:rFonts w:asciiTheme="minorHAnsi" w:hAnsiTheme="minorHAnsi" w:cstheme="minorHAnsi"/>
          <w:color w:val="1C1E21"/>
          <w:sz w:val="20"/>
          <w:szCs w:val="20"/>
        </w:rPr>
        <w:t xml:space="preserve">. </w:t>
      </w:r>
      <w:r w:rsidR="0079770A" w:rsidRPr="001E7ACB">
        <w:rPr>
          <w:rStyle w:val="FootnoteReference"/>
          <w:rFonts w:asciiTheme="minorHAnsi" w:hAnsiTheme="minorHAnsi" w:cstheme="minorHAnsi"/>
          <w:color w:val="1C1E21"/>
          <w:sz w:val="20"/>
          <w:szCs w:val="20"/>
        </w:rPr>
        <w:footnoteReference w:id="13"/>
      </w:r>
      <w:r w:rsidR="00124AC1" w:rsidRPr="001E7ACB">
        <w:rPr>
          <w:rFonts w:asciiTheme="minorHAnsi" w:hAnsiTheme="minorHAnsi" w:cstheme="minorHAnsi"/>
          <w:color w:val="1C1E21"/>
          <w:sz w:val="20"/>
          <w:szCs w:val="20"/>
        </w:rPr>
        <w:t xml:space="preserve"> </w:t>
      </w:r>
    </w:p>
    <w:p w:rsidR="00A078ED" w:rsidRDefault="00414DE6" w:rsidP="002B7F58">
      <w:pPr>
        <w:shd w:val="clear" w:color="auto" w:fill="FFFFFF"/>
        <w:jc w:val="both"/>
        <w:rPr>
          <w:rFonts w:asciiTheme="minorHAnsi" w:hAnsiTheme="minorHAnsi" w:cstheme="minorHAnsi"/>
          <w:color w:val="1C1E21"/>
          <w:sz w:val="20"/>
          <w:szCs w:val="20"/>
        </w:rPr>
      </w:pPr>
      <w:r>
        <w:rPr>
          <w:rFonts w:asciiTheme="minorHAnsi" w:hAnsiTheme="minorHAnsi" w:cstheme="minorHAnsi"/>
          <w:color w:val="1C1E21"/>
          <w:sz w:val="20"/>
          <w:szCs w:val="20"/>
        </w:rPr>
        <w:lastRenderedPageBreak/>
        <w:t>Lo studio del Covid-19 è complicato anche dal fatto che a</w:t>
      </w:r>
      <w:r w:rsidR="002B7F58" w:rsidRPr="00E81309">
        <w:rPr>
          <w:rFonts w:asciiTheme="minorHAnsi" w:hAnsiTheme="minorHAnsi" w:cstheme="minorHAnsi"/>
          <w:color w:val="1C1E21"/>
          <w:sz w:val="20"/>
          <w:szCs w:val="20"/>
        </w:rPr>
        <w:t xml:space="preserve">d oggi </w:t>
      </w:r>
      <w:r w:rsidR="005C4583" w:rsidRPr="00E81309">
        <w:rPr>
          <w:rFonts w:asciiTheme="minorHAnsi" w:hAnsiTheme="minorHAnsi" w:cstheme="minorHAnsi"/>
          <w:color w:val="1C1E21"/>
          <w:sz w:val="20"/>
          <w:szCs w:val="20"/>
        </w:rPr>
        <w:t xml:space="preserve">sono </w:t>
      </w:r>
      <w:r w:rsidR="002B7F58" w:rsidRPr="00E81309">
        <w:rPr>
          <w:rFonts w:asciiTheme="minorHAnsi" w:hAnsiTheme="minorHAnsi" w:cstheme="minorHAnsi"/>
          <w:color w:val="1C1E21"/>
          <w:sz w:val="20"/>
          <w:szCs w:val="20"/>
        </w:rPr>
        <w:t>disponibil</w:t>
      </w:r>
      <w:r w:rsidR="005C4583" w:rsidRPr="00E81309">
        <w:rPr>
          <w:rFonts w:asciiTheme="minorHAnsi" w:hAnsiTheme="minorHAnsi" w:cstheme="minorHAnsi"/>
          <w:color w:val="1C1E21"/>
          <w:sz w:val="20"/>
          <w:szCs w:val="20"/>
        </w:rPr>
        <w:t>i</w:t>
      </w:r>
      <w:r w:rsidR="002B7F58" w:rsidRPr="00E81309">
        <w:rPr>
          <w:rFonts w:asciiTheme="minorHAnsi" w:hAnsiTheme="minorHAnsi" w:cstheme="minorHAnsi"/>
          <w:color w:val="1C1E21"/>
          <w:sz w:val="20"/>
          <w:szCs w:val="20"/>
        </w:rPr>
        <w:t xml:space="preserve"> </w:t>
      </w:r>
      <w:r w:rsidR="00B31C82" w:rsidRPr="00E81309">
        <w:rPr>
          <w:rFonts w:asciiTheme="minorHAnsi" w:hAnsiTheme="minorHAnsi" w:cstheme="minorHAnsi"/>
          <w:color w:val="1C1E21"/>
          <w:sz w:val="20"/>
          <w:szCs w:val="20"/>
        </w:rPr>
        <w:t xml:space="preserve">solo </w:t>
      </w:r>
      <w:r>
        <w:rPr>
          <w:rFonts w:asciiTheme="minorHAnsi" w:hAnsiTheme="minorHAnsi" w:cstheme="minorHAnsi"/>
          <w:color w:val="1C1E21"/>
          <w:sz w:val="20"/>
          <w:szCs w:val="20"/>
        </w:rPr>
        <w:t>ricerche</w:t>
      </w:r>
      <w:r w:rsidR="002B7F58" w:rsidRPr="00E81309">
        <w:rPr>
          <w:rFonts w:asciiTheme="minorHAnsi" w:hAnsiTheme="minorHAnsi" w:cstheme="minorHAnsi"/>
          <w:color w:val="1C1E21"/>
          <w:sz w:val="20"/>
          <w:szCs w:val="20"/>
        </w:rPr>
        <w:t xml:space="preserve"> su modelli animali di primati non umani </w:t>
      </w:r>
      <w:r w:rsidR="00B31C82" w:rsidRPr="00E81309">
        <w:rPr>
          <w:rFonts w:asciiTheme="minorHAnsi" w:hAnsiTheme="minorHAnsi" w:cstheme="minorHAnsi"/>
          <w:color w:val="1C1E21"/>
          <w:sz w:val="20"/>
          <w:szCs w:val="20"/>
        </w:rPr>
        <w:t>effettuat</w:t>
      </w:r>
      <w:r>
        <w:rPr>
          <w:rFonts w:asciiTheme="minorHAnsi" w:hAnsiTheme="minorHAnsi" w:cstheme="minorHAnsi"/>
          <w:color w:val="1C1E21"/>
          <w:sz w:val="20"/>
          <w:szCs w:val="20"/>
        </w:rPr>
        <w:t>e</w:t>
      </w:r>
      <w:r w:rsidR="00B31C82" w:rsidRPr="00E81309">
        <w:rPr>
          <w:rFonts w:asciiTheme="minorHAnsi" w:hAnsiTheme="minorHAnsi" w:cstheme="minorHAnsi"/>
          <w:color w:val="1C1E21"/>
          <w:sz w:val="20"/>
          <w:szCs w:val="20"/>
        </w:rPr>
        <w:t xml:space="preserve"> con lo scopo di valutare i</w:t>
      </w:r>
      <w:r w:rsidR="002B7F58" w:rsidRPr="00E81309">
        <w:rPr>
          <w:rFonts w:asciiTheme="minorHAnsi" w:hAnsiTheme="minorHAnsi" w:cstheme="minorHAnsi"/>
          <w:color w:val="1C1E21"/>
          <w:sz w:val="20"/>
          <w:szCs w:val="20"/>
        </w:rPr>
        <w:t>l nesso di causa tra la presenza del virus e l’insorgenza del COVID-19, mediante l’</w:t>
      </w:r>
      <w:r w:rsidR="00330DB8">
        <w:rPr>
          <w:rFonts w:asciiTheme="minorHAnsi" w:hAnsiTheme="minorHAnsi" w:cstheme="minorHAnsi"/>
          <w:color w:val="1C1E21"/>
          <w:sz w:val="20"/>
          <w:szCs w:val="20"/>
        </w:rPr>
        <w:t>esposizione a</w:t>
      </w:r>
      <w:r w:rsidR="002B7F58" w:rsidRPr="00E81309">
        <w:rPr>
          <w:rFonts w:asciiTheme="minorHAnsi" w:hAnsiTheme="minorHAnsi" w:cstheme="minorHAnsi"/>
          <w:color w:val="1C1E21"/>
          <w:sz w:val="20"/>
          <w:szCs w:val="20"/>
        </w:rPr>
        <w:t xml:space="preserve">l virus e l’analisi istopatologica dei tessuti danneggiati </w:t>
      </w:r>
      <w:r w:rsidR="002B7F58" w:rsidRPr="00E81309">
        <w:rPr>
          <w:rStyle w:val="FootnoteReference"/>
          <w:rFonts w:asciiTheme="minorHAnsi" w:hAnsiTheme="minorHAnsi" w:cstheme="minorHAnsi"/>
          <w:color w:val="1C1E21"/>
          <w:sz w:val="20"/>
          <w:szCs w:val="20"/>
        </w:rPr>
        <w:footnoteReference w:id="14"/>
      </w:r>
      <w:r w:rsidR="00B31C82" w:rsidRPr="00E81309">
        <w:rPr>
          <w:rFonts w:asciiTheme="minorHAnsi" w:hAnsiTheme="minorHAnsi" w:cstheme="minorHAnsi"/>
          <w:color w:val="1C1E21"/>
          <w:sz w:val="20"/>
          <w:szCs w:val="20"/>
        </w:rPr>
        <w:t xml:space="preserve">. </w:t>
      </w:r>
    </w:p>
    <w:p w:rsidR="00A078ED" w:rsidRDefault="00A078ED" w:rsidP="002B7F58">
      <w:pPr>
        <w:shd w:val="clear" w:color="auto" w:fill="FFFFFF"/>
        <w:jc w:val="both"/>
        <w:rPr>
          <w:rFonts w:asciiTheme="minorHAnsi" w:hAnsiTheme="minorHAnsi" w:cstheme="minorHAnsi"/>
          <w:color w:val="1C1E21"/>
          <w:sz w:val="20"/>
          <w:szCs w:val="20"/>
        </w:rPr>
      </w:pPr>
    </w:p>
    <w:p w:rsidR="00B31C82" w:rsidRDefault="00B31C82" w:rsidP="002B7F58">
      <w:pPr>
        <w:shd w:val="clear" w:color="auto" w:fill="FFFFFF"/>
        <w:jc w:val="both"/>
        <w:rPr>
          <w:rFonts w:asciiTheme="minorHAnsi" w:hAnsiTheme="minorHAnsi" w:cstheme="minorHAnsi"/>
          <w:color w:val="1C1E21"/>
          <w:sz w:val="20"/>
          <w:szCs w:val="20"/>
        </w:rPr>
      </w:pPr>
      <w:r w:rsidRPr="00E81309">
        <w:rPr>
          <w:rFonts w:asciiTheme="minorHAnsi" w:hAnsiTheme="minorHAnsi" w:cstheme="minorHAnsi"/>
          <w:color w:val="1C1E21"/>
          <w:sz w:val="20"/>
          <w:szCs w:val="20"/>
        </w:rPr>
        <w:t>In tali studi però</w:t>
      </w:r>
      <w:r w:rsidR="001866E8" w:rsidRPr="00E81309">
        <w:rPr>
          <w:rFonts w:asciiTheme="minorHAnsi" w:hAnsiTheme="minorHAnsi" w:cstheme="minorHAnsi"/>
          <w:color w:val="1C1E21"/>
          <w:sz w:val="20"/>
          <w:szCs w:val="20"/>
        </w:rPr>
        <w:t xml:space="preserve">, se da un lato confermano la contagiosità del SARS-Cov-2 e la sua capacità di indurre una patologia simile al COVID-19, </w:t>
      </w:r>
      <w:r w:rsidR="005C4583" w:rsidRPr="00E81309">
        <w:rPr>
          <w:rFonts w:asciiTheme="minorHAnsi" w:hAnsiTheme="minorHAnsi" w:cstheme="minorHAnsi"/>
          <w:color w:val="1C1E21"/>
          <w:sz w:val="20"/>
          <w:szCs w:val="20"/>
        </w:rPr>
        <w:t xml:space="preserve">non è stata riscontrata la presenza di </w:t>
      </w:r>
      <w:r w:rsidR="009E143E" w:rsidRPr="00E81309">
        <w:rPr>
          <w:rFonts w:asciiTheme="minorHAnsi" w:hAnsiTheme="minorHAnsi" w:cstheme="minorHAnsi"/>
          <w:color w:val="1C1E21"/>
          <w:sz w:val="20"/>
          <w:szCs w:val="20"/>
        </w:rPr>
        <w:t>tromboembolia disseminata</w:t>
      </w:r>
      <w:r w:rsidRPr="00E81309">
        <w:rPr>
          <w:rFonts w:asciiTheme="minorHAnsi" w:hAnsiTheme="minorHAnsi" w:cstheme="minorHAnsi"/>
          <w:color w:val="1C1E21"/>
          <w:sz w:val="20"/>
          <w:szCs w:val="20"/>
        </w:rPr>
        <w:t xml:space="preserve">, evidenza che rende più difficile la comparazione con la </w:t>
      </w:r>
      <w:r w:rsidR="001866E8" w:rsidRPr="00E81309">
        <w:rPr>
          <w:rFonts w:asciiTheme="minorHAnsi" w:hAnsiTheme="minorHAnsi" w:cstheme="minorHAnsi"/>
          <w:color w:val="1C1E21"/>
          <w:sz w:val="20"/>
          <w:szCs w:val="20"/>
        </w:rPr>
        <w:t xml:space="preserve">complicazione potenzialmente fatale della </w:t>
      </w:r>
      <w:r w:rsidRPr="00E81309">
        <w:rPr>
          <w:rFonts w:asciiTheme="minorHAnsi" w:hAnsiTheme="minorHAnsi" w:cstheme="minorHAnsi"/>
          <w:color w:val="1C1E21"/>
          <w:sz w:val="20"/>
          <w:szCs w:val="20"/>
        </w:rPr>
        <w:t xml:space="preserve">malattia nell’uomo. </w:t>
      </w:r>
      <w:r w:rsidR="009E143E" w:rsidRPr="00E81309">
        <w:rPr>
          <w:rFonts w:asciiTheme="minorHAnsi" w:hAnsiTheme="minorHAnsi" w:cstheme="minorHAnsi"/>
          <w:color w:val="1C1E21"/>
          <w:sz w:val="20"/>
          <w:szCs w:val="20"/>
        </w:rPr>
        <w:t xml:space="preserve"> </w:t>
      </w:r>
    </w:p>
    <w:p w:rsidR="00A078ED" w:rsidRDefault="00A078ED" w:rsidP="002B7F58">
      <w:pPr>
        <w:shd w:val="clear" w:color="auto" w:fill="FFFFFF"/>
        <w:jc w:val="both"/>
        <w:rPr>
          <w:rFonts w:asciiTheme="minorHAnsi" w:hAnsiTheme="minorHAnsi" w:cstheme="minorHAnsi"/>
          <w:color w:val="1C1E21"/>
          <w:sz w:val="20"/>
          <w:szCs w:val="20"/>
        </w:rPr>
      </w:pPr>
    </w:p>
    <w:p w:rsidR="00652652" w:rsidRDefault="00652652" w:rsidP="00652652">
      <w:pPr>
        <w:shd w:val="clear" w:color="auto" w:fill="FFFFFF"/>
        <w:jc w:val="both"/>
        <w:rPr>
          <w:rFonts w:asciiTheme="minorHAnsi" w:hAnsiTheme="minorHAnsi" w:cstheme="minorHAnsi"/>
          <w:color w:val="1C1E21"/>
          <w:sz w:val="20"/>
          <w:szCs w:val="20"/>
        </w:rPr>
      </w:pPr>
      <w:r w:rsidRPr="00414DE6">
        <w:rPr>
          <w:rFonts w:asciiTheme="minorHAnsi" w:hAnsiTheme="minorHAnsi" w:cstheme="minorHAnsi"/>
          <w:color w:val="1C1E21"/>
          <w:sz w:val="20"/>
          <w:szCs w:val="20"/>
        </w:rPr>
        <w:t xml:space="preserve">Non disponiamo ancora di indici biochimici che potrebbero essere utilizzati come biomarcatori dell'infezione da SARS-CoV-2 correlati con le funzioni degli organi colpiti, e quindi </w:t>
      </w:r>
      <w:r w:rsidRPr="00831A17">
        <w:rPr>
          <w:rFonts w:asciiTheme="minorHAnsi" w:hAnsiTheme="minorHAnsi" w:cstheme="minorHAnsi"/>
          <w:b/>
          <w:bCs/>
          <w:color w:val="1C1E21"/>
          <w:sz w:val="20"/>
          <w:szCs w:val="20"/>
        </w:rPr>
        <w:t>la quantificazione del numero reale dei decessi causati solo dal SARS-Cov-2 e non in presenza del SARS-Cov-2 è tuttora oggetto di discussione</w:t>
      </w:r>
      <w:r w:rsidRPr="00414DE6">
        <w:rPr>
          <w:rFonts w:asciiTheme="minorHAnsi" w:hAnsiTheme="minorHAnsi" w:cstheme="minorHAnsi"/>
          <w:color w:val="1C1E21"/>
          <w:sz w:val="20"/>
          <w:szCs w:val="20"/>
        </w:rPr>
        <w:t xml:space="preserve">. </w:t>
      </w:r>
      <w:r w:rsidRPr="00414DE6">
        <w:rPr>
          <w:rStyle w:val="FootnoteReference"/>
          <w:rFonts w:asciiTheme="minorHAnsi" w:hAnsiTheme="minorHAnsi" w:cstheme="minorHAnsi"/>
          <w:color w:val="1C1E21"/>
          <w:sz w:val="20"/>
          <w:szCs w:val="20"/>
        </w:rPr>
        <w:footnoteReference w:id="15"/>
      </w:r>
    </w:p>
    <w:p w:rsidR="00652652" w:rsidRPr="00414DE6" w:rsidRDefault="00652652" w:rsidP="00652652">
      <w:pPr>
        <w:shd w:val="clear" w:color="auto" w:fill="FFFFFF"/>
        <w:jc w:val="both"/>
        <w:rPr>
          <w:rFonts w:asciiTheme="minorHAnsi" w:hAnsiTheme="minorHAnsi" w:cstheme="minorHAnsi"/>
          <w:color w:val="1C1E21"/>
          <w:sz w:val="20"/>
          <w:szCs w:val="20"/>
        </w:rPr>
      </w:pPr>
    </w:p>
    <w:p w:rsidR="00D94AB1" w:rsidRPr="004C77C2" w:rsidRDefault="00D94AB1" w:rsidP="00D94AB1">
      <w:pPr>
        <w:pBdr>
          <w:top w:val="dashSmallGap" w:sz="6" w:space="1" w:color="2F5496" w:themeColor="accent1" w:themeShade="BF"/>
          <w:left w:val="dashSmallGap" w:sz="6" w:space="4" w:color="2F5496" w:themeColor="accent1" w:themeShade="BF"/>
          <w:bottom w:val="dashSmallGap" w:sz="6" w:space="1" w:color="2F5496" w:themeColor="accent1" w:themeShade="BF"/>
          <w:right w:val="dashSmallGap" w:sz="6" w:space="4" w:color="2F5496" w:themeColor="accent1" w:themeShade="BF"/>
        </w:pBdr>
        <w:ind w:right="-7"/>
        <w:jc w:val="both"/>
        <w:rPr>
          <w:rFonts w:asciiTheme="minorHAnsi" w:hAnsiTheme="minorHAnsi" w:cstheme="minorHAnsi"/>
          <w:color w:val="2F5496" w:themeColor="accent1" w:themeShade="BF"/>
          <w:sz w:val="20"/>
          <w:szCs w:val="20"/>
        </w:rPr>
      </w:pPr>
    </w:p>
    <w:p w:rsidR="00652652" w:rsidRDefault="00414DE6" w:rsidP="00D94AB1">
      <w:pPr>
        <w:pBdr>
          <w:top w:val="dashSmallGap" w:sz="6" w:space="1" w:color="2F5496" w:themeColor="accent1" w:themeShade="BF"/>
          <w:left w:val="dashSmallGap" w:sz="6" w:space="4" w:color="2F5496" w:themeColor="accent1" w:themeShade="BF"/>
          <w:bottom w:val="dashSmallGap" w:sz="6" w:space="1" w:color="2F5496" w:themeColor="accent1" w:themeShade="BF"/>
          <w:right w:val="dashSmallGap" w:sz="6" w:space="4" w:color="2F5496" w:themeColor="accent1" w:themeShade="BF"/>
        </w:pBdr>
        <w:ind w:right="-7"/>
        <w:jc w:val="both"/>
        <w:rPr>
          <w:rFonts w:asciiTheme="minorHAnsi" w:hAnsiTheme="minorHAnsi" w:cstheme="minorHAnsi"/>
          <w:color w:val="2F5496" w:themeColor="accent1" w:themeShade="BF"/>
          <w:sz w:val="18"/>
          <w:szCs w:val="18"/>
          <w:shd w:val="clear" w:color="auto" w:fill="FFFFFF"/>
        </w:rPr>
      </w:pPr>
      <w:r w:rsidRPr="00A078ED">
        <w:rPr>
          <w:rFonts w:asciiTheme="minorHAnsi" w:hAnsiTheme="minorHAnsi" w:cstheme="minorHAnsi"/>
          <w:color w:val="2F5496" w:themeColor="accent1" w:themeShade="BF"/>
          <w:sz w:val="20"/>
          <w:szCs w:val="20"/>
        </w:rPr>
        <w:t xml:space="preserve">I </w:t>
      </w:r>
      <w:r w:rsidRPr="00A078ED">
        <w:rPr>
          <w:rFonts w:asciiTheme="minorHAnsi" w:hAnsiTheme="minorHAnsi" w:cstheme="minorHAnsi"/>
          <w:b/>
          <w:bCs/>
          <w:color w:val="2F5496" w:themeColor="accent1" w:themeShade="BF"/>
          <w:sz w:val="20"/>
          <w:szCs w:val="20"/>
        </w:rPr>
        <w:t xml:space="preserve">postulati di Kock </w:t>
      </w:r>
      <w:r w:rsidR="00DE114F" w:rsidRPr="00A078ED">
        <w:rPr>
          <w:rFonts w:asciiTheme="minorHAnsi" w:hAnsiTheme="minorHAnsi" w:cstheme="minorHAnsi"/>
          <w:b/>
          <w:bCs/>
          <w:color w:val="2F5496" w:themeColor="accent1" w:themeShade="BF"/>
          <w:sz w:val="20"/>
          <w:szCs w:val="20"/>
        </w:rPr>
        <w:t xml:space="preserve"> e di Evans </w:t>
      </w:r>
      <w:r w:rsidR="00DE114F" w:rsidRPr="00A078ED">
        <w:rPr>
          <w:rFonts w:asciiTheme="minorHAnsi" w:hAnsiTheme="minorHAnsi" w:cstheme="minorHAnsi"/>
          <w:color w:val="2F5496" w:themeColor="accent1" w:themeShade="BF"/>
          <w:sz w:val="20"/>
          <w:szCs w:val="20"/>
        </w:rPr>
        <w:t xml:space="preserve">si possono considerare </w:t>
      </w:r>
      <w:r w:rsidRPr="00A078ED">
        <w:rPr>
          <w:rFonts w:asciiTheme="minorHAnsi" w:hAnsiTheme="minorHAnsi" w:cstheme="minorHAnsi"/>
          <w:color w:val="2F5496" w:themeColor="accent1" w:themeShade="BF"/>
          <w:sz w:val="20"/>
          <w:szCs w:val="20"/>
        </w:rPr>
        <w:t xml:space="preserve">i criteri </w:t>
      </w:r>
      <w:r w:rsidR="00DE114F" w:rsidRPr="00A078ED">
        <w:rPr>
          <w:rFonts w:asciiTheme="minorHAnsi" w:hAnsiTheme="minorHAnsi" w:cstheme="minorHAnsi"/>
          <w:color w:val="2F5496" w:themeColor="accent1" w:themeShade="BF"/>
          <w:sz w:val="20"/>
          <w:szCs w:val="20"/>
        </w:rPr>
        <w:t xml:space="preserve">essenziali da </w:t>
      </w:r>
      <w:r w:rsidRPr="00A078ED">
        <w:rPr>
          <w:rFonts w:asciiTheme="minorHAnsi" w:hAnsiTheme="minorHAnsi" w:cstheme="minorHAnsi"/>
          <w:color w:val="2F5496" w:themeColor="accent1" w:themeShade="BF"/>
          <w:sz w:val="20"/>
          <w:szCs w:val="20"/>
        </w:rPr>
        <w:t>utilizza</w:t>
      </w:r>
      <w:r w:rsidR="00DE114F" w:rsidRPr="00A078ED">
        <w:rPr>
          <w:rFonts w:asciiTheme="minorHAnsi" w:hAnsiTheme="minorHAnsi" w:cstheme="minorHAnsi"/>
          <w:color w:val="2F5496" w:themeColor="accent1" w:themeShade="BF"/>
          <w:sz w:val="20"/>
          <w:szCs w:val="20"/>
        </w:rPr>
        <w:t xml:space="preserve">re </w:t>
      </w:r>
      <w:r w:rsidRPr="00A078ED">
        <w:rPr>
          <w:rFonts w:asciiTheme="minorHAnsi" w:hAnsiTheme="minorHAnsi" w:cstheme="minorHAnsi"/>
          <w:color w:val="2F5496" w:themeColor="accent1" w:themeShade="BF"/>
          <w:sz w:val="20"/>
          <w:szCs w:val="20"/>
        </w:rPr>
        <w:t xml:space="preserve">per </w:t>
      </w:r>
      <w:r w:rsidRPr="00A078ED">
        <w:rPr>
          <w:rFonts w:asciiTheme="minorHAnsi" w:hAnsiTheme="minorHAnsi" w:cstheme="minorHAnsi"/>
          <w:color w:val="2F5496" w:themeColor="accent1" w:themeShade="BF"/>
          <w:sz w:val="20"/>
          <w:szCs w:val="20"/>
          <w:shd w:val="clear" w:color="auto" w:fill="FFFFFF"/>
        </w:rPr>
        <w:t>stabilire la relazione di causa-effetto che lega un microrganismo a una malattia</w:t>
      </w:r>
      <w:r w:rsidR="00561771" w:rsidRPr="004C77C2">
        <w:rPr>
          <w:rFonts w:asciiTheme="minorHAnsi" w:hAnsiTheme="minorHAnsi" w:cstheme="minorHAnsi"/>
          <w:color w:val="2F5496" w:themeColor="accent1" w:themeShade="BF"/>
          <w:sz w:val="18"/>
          <w:szCs w:val="18"/>
          <w:shd w:val="clear" w:color="auto" w:fill="FFFFFF"/>
        </w:rPr>
        <w:t>.</w:t>
      </w:r>
      <w:r w:rsidR="00DE114F" w:rsidRPr="004C77C2">
        <w:rPr>
          <w:rFonts w:asciiTheme="minorHAnsi" w:hAnsiTheme="minorHAnsi" w:cstheme="minorHAnsi"/>
          <w:color w:val="2F5496" w:themeColor="accent1" w:themeShade="BF"/>
          <w:sz w:val="18"/>
          <w:szCs w:val="18"/>
          <w:shd w:val="clear" w:color="auto" w:fill="FFFFFF"/>
        </w:rPr>
        <w:t xml:space="preserve"> </w:t>
      </w:r>
      <w:r w:rsidR="00DE114F" w:rsidRPr="004C77C2">
        <w:rPr>
          <w:rStyle w:val="FootnoteReference"/>
          <w:rFonts w:asciiTheme="minorHAnsi" w:hAnsiTheme="minorHAnsi" w:cstheme="minorHAnsi"/>
          <w:color w:val="2F5496" w:themeColor="accent1" w:themeShade="BF"/>
          <w:sz w:val="18"/>
          <w:szCs w:val="18"/>
          <w:shd w:val="clear" w:color="auto" w:fill="FFFFFF"/>
        </w:rPr>
        <w:footnoteReference w:id="16"/>
      </w:r>
      <w:r w:rsidR="00561771" w:rsidRPr="004C77C2">
        <w:rPr>
          <w:rFonts w:asciiTheme="minorHAnsi" w:hAnsiTheme="minorHAnsi" w:cstheme="minorHAnsi"/>
          <w:color w:val="2F5496" w:themeColor="accent1" w:themeShade="BF"/>
          <w:sz w:val="18"/>
          <w:szCs w:val="18"/>
          <w:shd w:val="clear" w:color="auto" w:fill="FFFFFF"/>
        </w:rPr>
        <w:t xml:space="preserve"> </w:t>
      </w:r>
    </w:p>
    <w:p w:rsidR="00A078ED" w:rsidRDefault="00A078ED" w:rsidP="00D94AB1">
      <w:pPr>
        <w:pBdr>
          <w:top w:val="dashSmallGap" w:sz="6" w:space="1" w:color="2F5496" w:themeColor="accent1" w:themeShade="BF"/>
          <w:left w:val="dashSmallGap" w:sz="6" w:space="4" w:color="2F5496" w:themeColor="accent1" w:themeShade="BF"/>
          <w:bottom w:val="dashSmallGap" w:sz="6" w:space="1" w:color="2F5496" w:themeColor="accent1" w:themeShade="BF"/>
          <w:right w:val="dashSmallGap" w:sz="6" w:space="4" w:color="2F5496" w:themeColor="accent1" w:themeShade="BF"/>
        </w:pBdr>
        <w:ind w:right="-7"/>
        <w:jc w:val="both"/>
        <w:rPr>
          <w:rFonts w:asciiTheme="minorHAnsi" w:hAnsiTheme="minorHAnsi" w:cstheme="minorHAnsi"/>
          <w:color w:val="2F5496" w:themeColor="accent1" w:themeShade="BF"/>
          <w:sz w:val="18"/>
          <w:szCs w:val="18"/>
          <w:shd w:val="clear" w:color="auto" w:fill="FFFFFF"/>
        </w:rPr>
      </w:pPr>
    </w:p>
    <w:p w:rsidR="00A078ED" w:rsidRDefault="00A078ED" w:rsidP="00D94AB1">
      <w:pPr>
        <w:pBdr>
          <w:top w:val="dashSmallGap" w:sz="6" w:space="1" w:color="2F5496" w:themeColor="accent1" w:themeShade="BF"/>
          <w:left w:val="dashSmallGap" w:sz="6" w:space="4" w:color="2F5496" w:themeColor="accent1" w:themeShade="BF"/>
          <w:bottom w:val="dashSmallGap" w:sz="6" w:space="1" w:color="2F5496" w:themeColor="accent1" w:themeShade="BF"/>
          <w:right w:val="dashSmallGap" w:sz="6" w:space="4" w:color="2F5496" w:themeColor="accent1" w:themeShade="BF"/>
        </w:pBdr>
        <w:ind w:right="-7"/>
        <w:jc w:val="both"/>
        <w:rPr>
          <w:rFonts w:asciiTheme="minorHAnsi" w:hAnsiTheme="minorHAnsi" w:cstheme="minorHAnsi"/>
          <w:color w:val="2F5496" w:themeColor="accent1" w:themeShade="BF"/>
          <w:sz w:val="18"/>
          <w:szCs w:val="18"/>
          <w:shd w:val="clear" w:color="auto" w:fill="FFFFFF"/>
        </w:rPr>
      </w:pPr>
    </w:p>
    <w:p w:rsidR="00A078ED" w:rsidRPr="004C77C2" w:rsidRDefault="00A078ED" w:rsidP="00D94AB1">
      <w:pPr>
        <w:pBdr>
          <w:top w:val="dashSmallGap" w:sz="6" w:space="1" w:color="2F5496" w:themeColor="accent1" w:themeShade="BF"/>
          <w:left w:val="dashSmallGap" w:sz="6" w:space="4" w:color="2F5496" w:themeColor="accent1" w:themeShade="BF"/>
          <w:bottom w:val="dashSmallGap" w:sz="6" w:space="1" w:color="2F5496" w:themeColor="accent1" w:themeShade="BF"/>
          <w:right w:val="dashSmallGap" w:sz="6" w:space="4" w:color="2F5496" w:themeColor="accent1" w:themeShade="BF"/>
        </w:pBdr>
        <w:ind w:right="-7"/>
        <w:jc w:val="both"/>
        <w:rPr>
          <w:rFonts w:asciiTheme="minorHAnsi" w:hAnsiTheme="minorHAnsi" w:cstheme="minorHAnsi"/>
          <w:color w:val="2F5496" w:themeColor="accent1" w:themeShade="BF"/>
          <w:sz w:val="18"/>
          <w:szCs w:val="18"/>
          <w:shd w:val="clear" w:color="auto" w:fill="FFFFFF"/>
        </w:rPr>
      </w:pPr>
    </w:p>
    <w:p w:rsidR="00652652" w:rsidRPr="004C77C2" w:rsidRDefault="00561771" w:rsidP="00D94AB1">
      <w:pPr>
        <w:pBdr>
          <w:top w:val="dashSmallGap" w:sz="6" w:space="1" w:color="2F5496" w:themeColor="accent1" w:themeShade="BF"/>
          <w:left w:val="dashSmallGap" w:sz="6" w:space="4" w:color="2F5496" w:themeColor="accent1" w:themeShade="BF"/>
          <w:bottom w:val="dashSmallGap" w:sz="6" w:space="1" w:color="2F5496" w:themeColor="accent1" w:themeShade="BF"/>
          <w:right w:val="dashSmallGap" w:sz="6" w:space="4" w:color="2F5496" w:themeColor="accent1" w:themeShade="BF"/>
        </w:pBdr>
        <w:ind w:right="-7"/>
        <w:jc w:val="center"/>
        <w:rPr>
          <w:color w:val="2F5496" w:themeColor="accent1" w:themeShade="BF"/>
          <w:sz w:val="18"/>
          <w:szCs w:val="18"/>
        </w:rPr>
      </w:pPr>
      <w:r w:rsidRPr="004C77C2">
        <w:rPr>
          <w:color w:val="2F5496" w:themeColor="accent1" w:themeShade="BF"/>
          <w:sz w:val="18"/>
          <w:szCs w:val="18"/>
        </w:rPr>
        <w:fldChar w:fldCharType="begin"/>
      </w:r>
      <w:r w:rsidRPr="004C77C2">
        <w:rPr>
          <w:color w:val="2F5496" w:themeColor="accent1" w:themeShade="BF"/>
          <w:sz w:val="18"/>
          <w:szCs w:val="18"/>
        </w:rPr>
        <w:instrText xml:space="preserve"> INCLUDEPICTURE "https://www.quadernodiepidemiologia.it/epi/cause/pos_hk0.gif" \* MERGEFORMATINET </w:instrText>
      </w:r>
      <w:r w:rsidRPr="004C77C2">
        <w:rPr>
          <w:color w:val="2F5496" w:themeColor="accent1" w:themeShade="BF"/>
          <w:sz w:val="18"/>
          <w:szCs w:val="18"/>
        </w:rPr>
        <w:fldChar w:fldCharType="separate"/>
      </w:r>
      <w:r w:rsidRPr="004C77C2">
        <w:rPr>
          <w:noProof/>
          <w:color w:val="2F5496" w:themeColor="accent1" w:themeShade="BF"/>
          <w:sz w:val="18"/>
          <w:szCs w:val="18"/>
        </w:rPr>
        <w:drawing>
          <wp:inline distT="0" distB="0" distL="0" distR="0" wp14:anchorId="574B6172" wp14:editId="01E64655">
            <wp:extent cx="5735243" cy="2055446"/>
            <wp:effectExtent l="0" t="0" r="0" b="2540"/>
            <wp:docPr id="31" name="Immagine 31" descr="Epidemiologia veterinaria: postulati di Henle-K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demiologia veterinaria: postulati di Henle-Ko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8247" cy="2224965"/>
                    </a:xfrm>
                    <a:prstGeom prst="rect">
                      <a:avLst/>
                    </a:prstGeom>
                    <a:noFill/>
                    <a:ln>
                      <a:noFill/>
                    </a:ln>
                  </pic:spPr>
                </pic:pic>
              </a:graphicData>
            </a:graphic>
          </wp:inline>
        </w:drawing>
      </w:r>
      <w:r w:rsidRPr="004C77C2">
        <w:rPr>
          <w:color w:val="2F5496" w:themeColor="accent1" w:themeShade="BF"/>
          <w:sz w:val="18"/>
          <w:szCs w:val="18"/>
        </w:rPr>
        <w:fldChar w:fldCharType="end"/>
      </w:r>
    </w:p>
    <w:p w:rsidR="00414DE6" w:rsidRPr="004C77C2" w:rsidRDefault="00DE114F" w:rsidP="00D94AB1">
      <w:pPr>
        <w:pBdr>
          <w:top w:val="dashSmallGap" w:sz="6" w:space="1" w:color="2F5496" w:themeColor="accent1" w:themeShade="BF"/>
          <w:left w:val="dashSmallGap" w:sz="6" w:space="4" w:color="2F5496" w:themeColor="accent1" w:themeShade="BF"/>
          <w:bottom w:val="dashSmallGap" w:sz="6" w:space="1" w:color="2F5496" w:themeColor="accent1" w:themeShade="BF"/>
          <w:right w:val="dashSmallGap" w:sz="6" w:space="4" w:color="2F5496" w:themeColor="accent1" w:themeShade="BF"/>
        </w:pBdr>
        <w:ind w:right="-7"/>
        <w:jc w:val="center"/>
        <w:rPr>
          <w:color w:val="2F5496" w:themeColor="accent1" w:themeShade="BF"/>
          <w:sz w:val="18"/>
          <w:szCs w:val="18"/>
        </w:rPr>
      </w:pPr>
      <w:r w:rsidRPr="004C77C2">
        <w:rPr>
          <w:color w:val="2F5496" w:themeColor="accent1" w:themeShade="BF"/>
          <w:sz w:val="18"/>
          <w:szCs w:val="18"/>
        </w:rPr>
        <w:lastRenderedPageBreak/>
        <w:fldChar w:fldCharType="begin"/>
      </w:r>
      <w:r w:rsidRPr="004C77C2">
        <w:rPr>
          <w:color w:val="2F5496" w:themeColor="accent1" w:themeShade="BF"/>
          <w:sz w:val="18"/>
          <w:szCs w:val="18"/>
        </w:rPr>
        <w:instrText xml:space="preserve"> INCLUDEPICTURE "https://www.quadernodiepidemiologia.it/epi/cause/pos_eva0.gif" \* MERGEFORMATINET </w:instrText>
      </w:r>
      <w:r w:rsidRPr="004C77C2">
        <w:rPr>
          <w:color w:val="2F5496" w:themeColor="accent1" w:themeShade="BF"/>
          <w:sz w:val="18"/>
          <w:szCs w:val="18"/>
        </w:rPr>
        <w:fldChar w:fldCharType="separate"/>
      </w:r>
      <w:r w:rsidRPr="004C77C2">
        <w:rPr>
          <w:noProof/>
          <w:color w:val="2F5496" w:themeColor="accent1" w:themeShade="BF"/>
          <w:sz w:val="18"/>
          <w:szCs w:val="18"/>
        </w:rPr>
        <w:drawing>
          <wp:inline distT="0" distB="0" distL="0" distR="0">
            <wp:extent cx="5685061" cy="3262184"/>
            <wp:effectExtent l="0" t="0" r="0" b="0"/>
            <wp:docPr id="60" name="Immagine 60" descr="Epidemiologia veterinaria: postulati di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demiologia veterinaria: postulati di Ev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560" cy="3492571"/>
                    </a:xfrm>
                    <a:prstGeom prst="rect">
                      <a:avLst/>
                    </a:prstGeom>
                    <a:noFill/>
                    <a:ln>
                      <a:noFill/>
                    </a:ln>
                  </pic:spPr>
                </pic:pic>
              </a:graphicData>
            </a:graphic>
          </wp:inline>
        </w:drawing>
      </w:r>
      <w:r w:rsidRPr="004C77C2">
        <w:rPr>
          <w:color w:val="2F5496" w:themeColor="accent1" w:themeShade="BF"/>
          <w:sz w:val="18"/>
          <w:szCs w:val="18"/>
        </w:rPr>
        <w:fldChar w:fldCharType="end"/>
      </w:r>
    </w:p>
    <w:p w:rsidR="00652652" w:rsidRPr="00A078ED" w:rsidRDefault="00652652" w:rsidP="00D94AB1">
      <w:pPr>
        <w:pBdr>
          <w:top w:val="dashSmallGap" w:sz="6" w:space="1" w:color="2F5496" w:themeColor="accent1" w:themeShade="BF"/>
          <w:left w:val="dashSmallGap" w:sz="6" w:space="4" w:color="2F5496" w:themeColor="accent1" w:themeShade="BF"/>
          <w:bottom w:val="dashSmallGap" w:sz="6" w:space="1" w:color="2F5496" w:themeColor="accent1" w:themeShade="BF"/>
          <w:right w:val="dashSmallGap" w:sz="6" w:space="4" w:color="2F5496" w:themeColor="accent1" w:themeShade="BF"/>
        </w:pBdr>
        <w:ind w:right="-7"/>
        <w:jc w:val="both"/>
        <w:rPr>
          <w:rFonts w:asciiTheme="minorHAnsi" w:hAnsiTheme="minorHAnsi" w:cstheme="minorHAnsi"/>
          <w:color w:val="2F5496" w:themeColor="accent1" w:themeShade="BF"/>
          <w:sz w:val="20"/>
          <w:szCs w:val="20"/>
        </w:rPr>
      </w:pPr>
      <w:r w:rsidRPr="00A078ED">
        <w:rPr>
          <w:rFonts w:asciiTheme="minorHAnsi" w:hAnsiTheme="minorHAnsi" w:cstheme="minorHAnsi"/>
          <w:color w:val="2F5496" w:themeColor="accent1" w:themeShade="BF"/>
          <w:sz w:val="20"/>
          <w:szCs w:val="20"/>
        </w:rPr>
        <w:t xml:space="preserve">Ad oggi, sono ancora oggetto di discussione </w:t>
      </w:r>
      <w:r w:rsidR="00B01A4D" w:rsidRPr="00A078ED">
        <w:rPr>
          <w:rFonts w:asciiTheme="minorHAnsi" w:hAnsiTheme="minorHAnsi" w:cstheme="minorHAnsi"/>
          <w:color w:val="2F5496" w:themeColor="accent1" w:themeShade="BF"/>
          <w:sz w:val="20"/>
          <w:szCs w:val="20"/>
        </w:rPr>
        <w:t xml:space="preserve">e di indagine </w:t>
      </w:r>
      <w:r w:rsidRPr="00A078ED">
        <w:rPr>
          <w:rFonts w:asciiTheme="minorHAnsi" w:hAnsiTheme="minorHAnsi" w:cstheme="minorHAnsi"/>
          <w:color w:val="2F5496" w:themeColor="accent1" w:themeShade="BF"/>
          <w:sz w:val="20"/>
          <w:szCs w:val="20"/>
        </w:rPr>
        <w:t>le condizioni di isolamento del virus, la sua contagiosità e il nesso causale con il COVID-19.</w:t>
      </w:r>
      <w:r w:rsidR="004C77C2" w:rsidRPr="00A078ED">
        <w:rPr>
          <w:rFonts w:asciiTheme="minorHAnsi" w:hAnsiTheme="minorHAnsi" w:cstheme="minorHAnsi"/>
          <w:color w:val="2F5496" w:themeColor="accent1" w:themeShade="BF"/>
          <w:sz w:val="20"/>
          <w:szCs w:val="20"/>
        </w:rPr>
        <w:t xml:space="preserve"> </w:t>
      </w:r>
    </w:p>
    <w:p w:rsidR="004C77C2" w:rsidRDefault="004C77C2" w:rsidP="00D94AB1">
      <w:pPr>
        <w:pBdr>
          <w:top w:val="dashSmallGap" w:sz="6" w:space="1" w:color="2F5496" w:themeColor="accent1" w:themeShade="BF"/>
          <w:left w:val="dashSmallGap" w:sz="6" w:space="4" w:color="2F5496" w:themeColor="accent1" w:themeShade="BF"/>
          <w:bottom w:val="dashSmallGap" w:sz="6" w:space="1" w:color="2F5496" w:themeColor="accent1" w:themeShade="BF"/>
          <w:right w:val="dashSmallGap" w:sz="6" w:space="4" w:color="2F5496" w:themeColor="accent1" w:themeShade="BF"/>
        </w:pBdr>
        <w:ind w:right="-7"/>
        <w:jc w:val="both"/>
        <w:rPr>
          <w:rFonts w:asciiTheme="minorHAnsi" w:hAnsiTheme="minorHAnsi" w:cstheme="minorHAnsi"/>
          <w:color w:val="2F5496" w:themeColor="accent1" w:themeShade="BF"/>
          <w:sz w:val="18"/>
          <w:szCs w:val="18"/>
        </w:rPr>
      </w:pPr>
    </w:p>
    <w:p w:rsidR="004C77C2" w:rsidRDefault="004C77C2"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ind w:right="-7" w:firstLine="1560"/>
        <w:jc w:val="both"/>
        <w:rPr>
          <w:rFonts w:asciiTheme="minorHAnsi" w:hAnsiTheme="minorHAnsi" w:cstheme="minorHAnsi"/>
          <w:color w:val="2F5496" w:themeColor="accent1" w:themeShade="BF"/>
          <w:sz w:val="18"/>
          <w:szCs w:val="18"/>
        </w:rPr>
      </w:pPr>
    </w:p>
    <w:p w:rsidR="004C77C2" w:rsidRPr="00A078ED" w:rsidRDefault="004C77C2"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ind w:right="-7"/>
        <w:jc w:val="center"/>
        <w:rPr>
          <w:rFonts w:asciiTheme="minorHAnsi" w:hAnsiTheme="minorHAnsi" w:cstheme="minorHAnsi"/>
          <w:b/>
          <w:bCs/>
          <w:color w:val="2F5496" w:themeColor="accent1" w:themeShade="BF"/>
          <w:sz w:val="20"/>
          <w:szCs w:val="20"/>
        </w:rPr>
      </w:pPr>
      <w:r w:rsidRPr="00A078ED">
        <w:rPr>
          <w:rFonts w:asciiTheme="minorHAnsi" w:hAnsiTheme="minorHAnsi" w:cstheme="minorHAnsi"/>
          <w:color w:val="2F5496" w:themeColor="accent1" w:themeShade="BF"/>
          <w:sz w:val="20"/>
          <w:szCs w:val="20"/>
        </w:rPr>
        <w:t xml:space="preserve">Per un approfondimento si suggerisce la lettura del documento del </w:t>
      </w:r>
      <w:r w:rsidRPr="00A078ED">
        <w:rPr>
          <w:rFonts w:asciiTheme="minorHAnsi" w:hAnsiTheme="minorHAnsi" w:cstheme="minorHAnsi"/>
          <w:b/>
          <w:bCs/>
          <w:color w:val="2F5496" w:themeColor="accent1" w:themeShade="BF"/>
          <w:sz w:val="20"/>
          <w:szCs w:val="20"/>
        </w:rPr>
        <w:t>dott. Fabio Franchi</w:t>
      </w:r>
    </w:p>
    <w:p w:rsidR="004C77C2" w:rsidRPr="00A078ED" w:rsidRDefault="004C77C2"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ind w:right="-7"/>
        <w:jc w:val="center"/>
        <w:rPr>
          <w:rFonts w:asciiTheme="minorHAnsi" w:hAnsiTheme="minorHAnsi" w:cstheme="minorHAnsi"/>
          <w:b/>
          <w:bCs/>
          <w:color w:val="2F5496" w:themeColor="accent1" w:themeShade="BF"/>
          <w:sz w:val="20"/>
          <w:szCs w:val="20"/>
        </w:rPr>
      </w:pPr>
      <w:r w:rsidRPr="00A078ED">
        <w:rPr>
          <w:rFonts w:asciiTheme="minorHAnsi" w:hAnsiTheme="minorHAnsi" w:cstheme="minorHAnsi"/>
          <w:b/>
          <w:bCs/>
          <w:color w:val="2F5496" w:themeColor="accent1" w:themeShade="BF"/>
          <w:sz w:val="20"/>
          <w:szCs w:val="20"/>
        </w:rPr>
        <w:t>Covid-19: Coronavirus colpevole senza regolare processo</w:t>
      </w:r>
    </w:p>
    <w:p w:rsidR="004C77C2" w:rsidRPr="00A078ED" w:rsidRDefault="004C77C2"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ind w:right="-7"/>
        <w:jc w:val="center"/>
        <w:rPr>
          <w:rFonts w:asciiTheme="minorHAnsi" w:hAnsiTheme="minorHAnsi" w:cstheme="minorHAnsi"/>
          <w:color w:val="2F5496" w:themeColor="accent1" w:themeShade="BF"/>
          <w:sz w:val="20"/>
          <w:szCs w:val="20"/>
        </w:rPr>
      </w:pPr>
    </w:p>
    <w:p w:rsidR="004C77C2" w:rsidRPr="00A078ED" w:rsidRDefault="0052743C"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ind w:right="-7"/>
        <w:jc w:val="center"/>
        <w:rPr>
          <w:rFonts w:asciiTheme="minorHAnsi" w:hAnsiTheme="minorHAnsi" w:cstheme="minorHAnsi"/>
          <w:b/>
          <w:bCs/>
          <w:color w:val="C00000"/>
          <w:sz w:val="20"/>
          <w:szCs w:val="20"/>
        </w:rPr>
      </w:pPr>
      <w:hyperlink r:id="rId25" w:history="1">
        <w:r w:rsidR="004C77C2" w:rsidRPr="00A078ED">
          <w:rPr>
            <w:rStyle w:val="Hyperlink"/>
            <w:rFonts w:asciiTheme="minorHAnsi" w:eastAsiaTheme="majorEastAsia" w:hAnsiTheme="minorHAnsi" w:cstheme="minorHAnsi"/>
            <w:b/>
            <w:bCs/>
            <w:color w:val="C00000"/>
            <w:sz w:val="20"/>
            <w:szCs w:val="20"/>
            <w:u w:val="none"/>
          </w:rPr>
          <w:t>https://www.dietrolospecchio.it/covid-19-coronavirus-colpevole-senza-regolare-processo</w:t>
        </w:r>
      </w:hyperlink>
    </w:p>
    <w:p w:rsidR="004C77C2" w:rsidRPr="004C77C2" w:rsidRDefault="004C77C2"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FF3F5"/>
        <w:ind w:right="-7" w:firstLine="1560"/>
        <w:jc w:val="both"/>
        <w:rPr>
          <w:rFonts w:asciiTheme="minorHAnsi" w:hAnsiTheme="minorHAnsi" w:cstheme="minorHAnsi"/>
          <w:b/>
          <w:bCs/>
          <w:color w:val="2F5496" w:themeColor="accent1" w:themeShade="BF"/>
          <w:sz w:val="18"/>
          <w:szCs w:val="18"/>
        </w:rPr>
      </w:pPr>
    </w:p>
    <w:p w:rsidR="00652652" w:rsidRDefault="00652652" w:rsidP="00D94AB1">
      <w:pPr>
        <w:ind w:right="-574"/>
        <w:jc w:val="both"/>
      </w:pPr>
    </w:p>
    <w:p w:rsidR="00414DE6" w:rsidRDefault="00414DE6" w:rsidP="002B7F58">
      <w:pPr>
        <w:shd w:val="clear" w:color="auto" w:fill="FFFFFF"/>
        <w:jc w:val="both"/>
        <w:rPr>
          <w:rFonts w:asciiTheme="minorHAnsi" w:hAnsiTheme="minorHAnsi" w:cstheme="minorHAnsi"/>
          <w:color w:val="1C1E21"/>
          <w:sz w:val="20"/>
          <w:szCs w:val="20"/>
        </w:rPr>
      </w:pPr>
    </w:p>
    <w:p w:rsidR="00C720B6" w:rsidRDefault="00047660" w:rsidP="002B7F58">
      <w:pPr>
        <w:jc w:val="both"/>
        <w:rPr>
          <w:rFonts w:asciiTheme="minorHAnsi" w:hAnsiTheme="minorHAnsi" w:cstheme="minorHAnsi"/>
          <w:color w:val="1C1E21"/>
          <w:sz w:val="20"/>
          <w:szCs w:val="20"/>
        </w:rPr>
      </w:pPr>
      <w:r w:rsidRPr="00831A17">
        <w:rPr>
          <w:rFonts w:asciiTheme="minorHAnsi" w:hAnsiTheme="minorHAnsi" w:cstheme="minorHAnsi"/>
          <w:color w:val="1C1E21"/>
          <w:sz w:val="20"/>
          <w:szCs w:val="20"/>
        </w:rPr>
        <w:t>Il ritardo nello svolgimento delle autopsie è stato messo in relazione al</w:t>
      </w:r>
      <w:r w:rsidR="000605C4" w:rsidRPr="00831A17">
        <w:rPr>
          <w:rFonts w:asciiTheme="minorHAnsi" w:hAnsiTheme="minorHAnsi" w:cstheme="minorHAnsi"/>
          <w:color w:val="1C1E21"/>
          <w:sz w:val="20"/>
          <w:szCs w:val="20"/>
        </w:rPr>
        <w:t>l</w:t>
      </w:r>
      <w:r w:rsidR="001F0F85" w:rsidRPr="00831A17">
        <w:rPr>
          <w:rFonts w:asciiTheme="minorHAnsi" w:hAnsiTheme="minorHAnsi" w:cstheme="minorHAnsi"/>
          <w:color w:val="1C1E21"/>
          <w:sz w:val="20"/>
          <w:szCs w:val="20"/>
        </w:rPr>
        <w:t xml:space="preserve">a </w:t>
      </w:r>
      <w:r w:rsidR="000605C4" w:rsidRPr="00831A17">
        <w:rPr>
          <w:rFonts w:asciiTheme="minorHAnsi" w:hAnsiTheme="minorHAnsi" w:cstheme="minorHAnsi"/>
          <w:color w:val="1C1E21"/>
          <w:sz w:val="20"/>
          <w:szCs w:val="20"/>
        </w:rPr>
        <w:t>raccomandazione</w:t>
      </w:r>
      <w:r w:rsidR="001F0F85" w:rsidRPr="00831A17">
        <w:rPr>
          <w:rFonts w:asciiTheme="minorHAnsi" w:hAnsiTheme="minorHAnsi" w:cstheme="minorHAnsi"/>
          <w:color w:val="1C1E21"/>
          <w:sz w:val="20"/>
          <w:szCs w:val="20"/>
        </w:rPr>
        <w:t xml:space="preserve"> </w:t>
      </w:r>
      <w:r w:rsidR="001866E8" w:rsidRPr="00831A17">
        <w:rPr>
          <w:rFonts w:asciiTheme="minorHAnsi" w:hAnsiTheme="minorHAnsi" w:cstheme="minorHAnsi"/>
          <w:color w:val="1C1E21"/>
          <w:sz w:val="20"/>
          <w:szCs w:val="20"/>
        </w:rPr>
        <w:t>d</w:t>
      </w:r>
      <w:r w:rsidR="001F0F85" w:rsidRPr="00831A17">
        <w:rPr>
          <w:rFonts w:asciiTheme="minorHAnsi" w:hAnsiTheme="minorHAnsi" w:cstheme="minorHAnsi"/>
          <w:color w:val="1C1E21"/>
          <w:sz w:val="20"/>
          <w:szCs w:val="20"/>
        </w:rPr>
        <w:t xml:space="preserve">elle autorità italiane </w:t>
      </w:r>
      <w:r w:rsidR="002B7F58" w:rsidRPr="00831A17">
        <w:rPr>
          <w:rFonts w:asciiTheme="minorHAnsi" w:hAnsiTheme="minorHAnsi" w:cstheme="minorHAnsi"/>
          <w:color w:val="1C1E21"/>
          <w:sz w:val="20"/>
          <w:szCs w:val="20"/>
        </w:rPr>
        <w:t xml:space="preserve">preposte alla gestione della pandemia di </w:t>
      </w:r>
      <w:r w:rsidR="000605C4" w:rsidRPr="00831A17">
        <w:rPr>
          <w:rFonts w:asciiTheme="minorHAnsi" w:hAnsiTheme="minorHAnsi" w:cstheme="minorHAnsi"/>
          <w:color w:val="1C1E21"/>
          <w:sz w:val="20"/>
          <w:szCs w:val="20"/>
        </w:rPr>
        <w:t>limitar</w:t>
      </w:r>
      <w:r w:rsidRPr="00831A17">
        <w:rPr>
          <w:rFonts w:asciiTheme="minorHAnsi" w:hAnsiTheme="minorHAnsi" w:cstheme="minorHAnsi"/>
          <w:color w:val="1C1E21"/>
          <w:sz w:val="20"/>
          <w:szCs w:val="20"/>
        </w:rPr>
        <w:t>ne</w:t>
      </w:r>
      <w:r w:rsidR="000605C4" w:rsidRPr="00831A17">
        <w:rPr>
          <w:rFonts w:asciiTheme="minorHAnsi" w:hAnsiTheme="minorHAnsi" w:cstheme="minorHAnsi"/>
          <w:color w:val="1C1E21"/>
          <w:sz w:val="20"/>
          <w:szCs w:val="20"/>
        </w:rPr>
        <w:t xml:space="preserve"> l’effettuazione</w:t>
      </w:r>
      <w:r w:rsidR="00C720B6" w:rsidRPr="00831A17">
        <w:rPr>
          <w:rFonts w:asciiTheme="minorHAnsi" w:hAnsiTheme="minorHAnsi" w:cstheme="minorHAnsi"/>
          <w:color w:val="1C1E21"/>
          <w:sz w:val="20"/>
          <w:szCs w:val="20"/>
        </w:rPr>
        <w:t xml:space="preserve"> </w:t>
      </w:r>
      <w:r w:rsidR="002B7F58" w:rsidRPr="00831A17">
        <w:rPr>
          <w:rStyle w:val="FootnoteReference"/>
          <w:rFonts w:asciiTheme="minorHAnsi" w:hAnsiTheme="minorHAnsi" w:cstheme="minorHAnsi"/>
          <w:color w:val="1C1E21"/>
          <w:sz w:val="20"/>
          <w:szCs w:val="20"/>
        </w:rPr>
        <w:footnoteReference w:id="17"/>
      </w:r>
      <w:r w:rsidR="000605C4" w:rsidRPr="00831A17">
        <w:rPr>
          <w:rFonts w:asciiTheme="minorHAnsi" w:hAnsiTheme="minorHAnsi" w:cstheme="minorHAnsi"/>
          <w:color w:val="1C1E21"/>
          <w:sz w:val="20"/>
          <w:szCs w:val="20"/>
        </w:rPr>
        <w:t xml:space="preserve">, procedura invece prevista </w:t>
      </w:r>
      <w:r w:rsidR="00C720B6" w:rsidRPr="00831A17">
        <w:rPr>
          <w:rFonts w:asciiTheme="minorHAnsi" w:hAnsiTheme="minorHAnsi" w:cstheme="minorHAnsi"/>
          <w:color w:val="1C1E21"/>
          <w:sz w:val="20"/>
          <w:szCs w:val="20"/>
        </w:rPr>
        <w:t xml:space="preserve">per la conferma dei decessi da COVID-19 </w:t>
      </w:r>
      <w:r w:rsidR="002B7F58" w:rsidRPr="00831A17">
        <w:rPr>
          <w:rFonts w:asciiTheme="minorHAnsi" w:hAnsiTheme="minorHAnsi" w:cstheme="minorHAnsi"/>
          <w:color w:val="1C1E21"/>
          <w:sz w:val="20"/>
          <w:szCs w:val="20"/>
        </w:rPr>
        <w:t>dall’OMS nella sua linea guida “</w:t>
      </w:r>
      <w:r w:rsidR="002B7F58" w:rsidRPr="00831A17">
        <w:rPr>
          <w:rFonts w:asciiTheme="minorHAnsi" w:hAnsiTheme="minorHAnsi" w:cstheme="minorHAnsi"/>
          <w:i/>
          <w:sz w:val="20"/>
          <w:szCs w:val="20"/>
        </w:rPr>
        <w:t xml:space="preserve">Laboratory testing for coronavirus disease 2019 (COVID-19) in suspected human cases” </w:t>
      </w:r>
      <w:r w:rsidR="002B7F58" w:rsidRPr="00831A17">
        <w:rPr>
          <w:rFonts w:asciiTheme="minorHAnsi" w:hAnsiTheme="minorHAnsi" w:cstheme="minorHAnsi"/>
          <w:i/>
          <w:color w:val="1C1E21"/>
          <w:sz w:val="20"/>
          <w:szCs w:val="20"/>
        </w:rPr>
        <w:t xml:space="preserve"> </w:t>
      </w:r>
      <w:r w:rsidR="002B7F58" w:rsidRPr="00831A17">
        <w:rPr>
          <w:rFonts w:asciiTheme="minorHAnsi" w:hAnsiTheme="minorHAnsi" w:cstheme="minorHAnsi"/>
          <w:color w:val="1C1E21"/>
          <w:sz w:val="20"/>
          <w:szCs w:val="20"/>
        </w:rPr>
        <w:t xml:space="preserve">(tab.1,2) </w:t>
      </w:r>
      <w:r w:rsidR="002B7F58" w:rsidRPr="00831A17">
        <w:rPr>
          <w:rStyle w:val="FootnoteReference"/>
          <w:rFonts w:asciiTheme="minorHAnsi" w:hAnsiTheme="minorHAnsi" w:cstheme="minorHAnsi"/>
          <w:color w:val="1C1E21"/>
          <w:sz w:val="20"/>
          <w:szCs w:val="20"/>
        </w:rPr>
        <w:footnoteReference w:id="18"/>
      </w:r>
      <w:r w:rsidR="001F0F85" w:rsidRPr="00831A17">
        <w:rPr>
          <w:rFonts w:asciiTheme="minorHAnsi" w:hAnsiTheme="minorHAnsi" w:cstheme="minorHAnsi"/>
          <w:color w:val="1C1E21"/>
          <w:sz w:val="20"/>
          <w:szCs w:val="20"/>
        </w:rPr>
        <w:t xml:space="preserve">, </w:t>
      </w:r>
      <w:r w:rsidRPr="00831A17">
        <w:rPr>
          <w:rFonts w:asciiTheme="minorHAnsi" w:hAnsiTheme="minorHAnsi" w:cstheme="minorHAnsi"/>
          <w:color w:val="1C1E21"/>
          <w:sz w:val="20"/>
          <w:szCs w:val="20"/>
        </w:rPr>
        <w:t xml:space="preserve">e che questo non abbia </w:t>
      </w:r>
      <w:r w:rsidR="002B7F58" w:rsidRPr="00831A17">
        <w:rPr>
          <w:rFonts w:asciiTheme="minorHAnsi" w:hAnsiTheme="minorHAnsi" w:cstheme="minorHAnsi"/>
          <w:color w:val="1C1E21"/>
          <w:sz w:val="20"/>
          <w:szCs w:val="20"/>
        </w:rPr>
        <w:t xml:space="preserve">consentito di chiarire da subito le cause </w:t>
      </w:r>
      <w:r w:rsidRPr="00831A17">
        <w:rPr>
          <w:rFonts w:asciiTheme="minorHAnsi" w:hAnsiTheme="minorHAnsi" w:cstheme="minorHAnsi"/>
          <w:color w:val="1C1E21"/>
          <w:sz w:val="20"/>
          <w:szCs w:val="20"/>
        </w:rPr>
        <w:t xml:space="preserve">dei decessi </w:t>
      </w:r>
      <w:r w:rsidR="002B7F58" w:rsidRPr="00831A17">
        <w:rPr>
          <w:rFonts w:asciiTheme="minorHAnsi" w:hAnsiTheme="minorHAnsi" w:cstheme="minorHAnsi"/>
          <w:color w:val="1C1E21"/>
          <w:sz w:val="20"/>
          <w:szCs w:val="20"/>
        </w:rPr>
        <w:t xml:space="preserve">e </w:t>
      </w:r>
      <w:r w:rsidRPr="00831A17">
        <w:rPr>
          <w:rFonts w:asciiTheme="minorHAnsi" w:hAnsiTheme="minorHAnsi" w:cstheme="minorHAnsi"/>
          <w:color w:val="1C1E21"/>
          <w:sz w:val="20"/>
          <w:szCs w:val="20"/>
        </w:rPr>
        <w:t>di conseguenza</w:t>
      </w:r>
      <w:r w:rsidR="002B7F58" w:rsidRPr="00831A17">
        <w:rPr>
          <w:rFonts w:asciiTheme="minorHAnsi" w:hAnsiTheme="minorHAnsi" w:cstheme="minorHAnsi"/>
          <w:color w:val="1C1E21"/>
          <w:sz w:val="20"/>
          <w:szCs w:val="20"/>
        </w:rPr>
        <w:t xml:space="preserve"> </w:t>
      </w:r>
      <w:r w:rsidRPr="00831A17">
        <w:rPr>
          <w:rFonts w:asciiTheme="minorHAnsi" w:hAnsiTheme="minorHAnsi" w:cstheme="minorHAnsi"/>
          <w:color w:val="1C1E21"/>
          <w:sz w:val="20"/>
          <w:szCs w:val="20"/>
        </w:rPr>
        <w:t>il nesso di causa tra la presenza del virus e la malattia</w:t>
      </w:r>
      <w:r w:rsidR="00C720B6" w:rsidRPr="00831A17">
        <w:rPr>
          <w:rFonts w:asciiTheme="minorHAnsi" w:hAnsiTheme="minorHAnsi" w:cstheme="minorHAnsi"/>
          <w:color w:val="1C1E21"/>
          <w:sz w:val="20"/>
          <w:szCs w:val="20"/>
        </w:rPr>
        <w:t>,</w:t>
      </w:r>
      <w:r w:rsidRPr="00831A17">
        <w:rPr>
          <w:rFonts w:asciiTheme="minorHAnsi" w:hAnsiTheme="minorHAnsi" w:cstheme="minorHAnsi"/>
          <w:color w:val="1C1E21"/>
          <w:sz w:val="20"/>
          <w:szCs w:val="20"/>
        </w:rPr>
        <w:t xml:space="preserve"> </w:t>
      </w:r>
      <w:r w:rsidR="002B7F58" w:rsidRPr="00831A17">
        <w:rPr>
          <w:rFonts w:asciiTheme="minorHAnsi" w:hAnsiTheme="minorHAnsi" w:cstheme="minorHAnsi"/>
          <w:color w:val="1C1E21"/>
          <w:sz w:val="20"/>
          <w:szCs w:val="20"/>
        </w:rPr>
        <w:t>i corretti approcci terapeutici</w:t>
      </w:r>
      <w:r w:rsidR="00C720B6" w:rsidRPr="00831A17">
        <w:rPr>
          <w:rFonts w:asciiTheme="minorHAnsi" w:hAnsiTheme="minorHAnsi" w:cstheme="minorHAnsi"/>
          <w:color w:val="1C1E21"/>
          <w:sz w:val="20"/>
          <w:szCs w:val="20"/>
        </w:rPr>
        <w:t xml:space="preserve"> e di contenimento della diffusione del contagio, con ricadute molto pesanti sia sui pazienti che su tutta la popolazione.</w:t>
      </w:r>
      <w:r w:rsidR="00831A17">
        <w:rPr>
          <w:rFonts w:asciiTheme="minorHAnsi" w:hAnsiTheme="minorHAnsi" w:cstheme="minorHAnsi"/>
          <w:color w:val="1C1E21"/>
          <w:sz w:val="20"/>
          <w:szCs w:val="20"/>
        </w:rPr>
        <w:t xml:space="preserve"> </w:t>
      </w:r>
      <w:r w:rsidR="00831A17">
        <w:rPr>
          <w:rStyle w:val="FootnoteReference"/>
          <w:rFonts w:asciiTheme="minorHAnsi" w:hAnsiTheme="minorHAnsi" w:cstheme="minorHAnsi"/>
          <w:color w:val="1C1E21"/>
          <w:sz w:val="20"/>
          <w:szCs w:val="20"/>
        </w:rPr>
        <w:footnoteReference w:id="19"/>
      </w:r>
    </w:p>
    <w:p w:rsidR="00A078ED" w:rsidRPr="00831A17" w:rsidRDefault="00A078ED" w:rsidP="002B7F58">
      <w:pPr>
        <w:jc w:val="both"/>
        <w:rPr>
          <w:rFonts w:asciiTheme="minorHAnsi" w:hAnsiTheme="minorHAnsi" w:cstheme="minorHAnsi"/>
          <w:color w:val="1C1E21"/>
          <w:sz w:val="20"/>
          <w:szCs w:val="20"/>
        </w:rPr>
      </w:pPr>
    </w:p>
    <w:p w:rsidR="00047660" w:rsidRPr="00831A17" w:rsidRDefault="00047660" w:rsidP="002B7F58">
      <w:pPr>
        <w:jc w:val="both"/>
        <w:rPr>
          <w:rFonts w:asciiTheme="minorHAnsi" w:hAnsiTheme="minorHAnsi" w:cstheme="minorHAnsi"/>
          <w:color w:val="1C1E21"/>
          <w:sz w:val="20"/>
          <w:szCs w:val="20"/>
        </w:rPr>
      </w:pPr>
      <w:r w:rsidRPr="00831A17">
        <w:rPr>
          <w:rFonts w:asciiTheme="minorHAnsi" w:hAnsiTheme="minorHAnsi" w:cstheme="minorHAnsi"/>
          <w:color w:val="1C1E21"/>
          <w:sz w:val="20"/>
          <w:szCs w:val="20"/>
        </w:rPr>
        <w:t xml:space="preserve">Sebbene </w:t>
      </w:r>
      <w:r w:rsidR="00831A17">
        <w:rPr>
          <w:rFonts w:asciiTheme="minorHAnsi" w:hAnsiTheme="minorHAnsi" w:cstheme="minorHAnsi"/>
          <w:color w:val="1C1E21"/>
          <w:sz w:val="20"/>
          <w:szCs w:val="20"/>
        </w:rPr>
        <w:t xml:space="preserve">questa circolare ministeriale </w:t>
      </w:r>
      <w:r w:rsidR="00C720B6" w:rsidRPr="00831A17">
        <w:rPr>
          <w:rFonts w:asciiTheme="minorHAnsi" w:hAnsiTheme="minorHAnsi" w:cstheme="minorHAnsi"/>
          <w:color w:val="1C1E21"/>
          <w:sz w:val="20"/>
          <w:szCs w:val="20"/>
        </w:rPr>
        <w:t>abbia</w:t>
      </w:r>
      <w:r w:rsidRPr="00831A17">
        <w:rPr>
          <w:rFonts w:asciiTheme="minorHAnsi" w:hAnsiTheme="minorHAnsi" w:cstheme="minorHAnsi"/>
          <w:color w:val="1C1E21"/>
          <w:sz w:val="20"/>
          <w:szCs w:val="20"/>
        </w:rPr>
        <w:t xml:space="preserve"> avuto </w:t>
      </w:r>
      <w:r w:rsidR="00831A17" w:rsidRPr="00831A17">
        <w:rPr>
          <w:rFonts w:asciiTheme="minorHAnsi" w:hAnsiTheme="minorHAnsi" w:cstheme="minorHAnsi"/>
          <w:color w:val="1C1E21"/>
          <w:sz w:val="20"/>
          <w:szCs w:val="20"/>
        </w:rPr>
        <w:t xml:space="preserve">sicuramente </w:t>
      </w:r>
      <w:r w:rsidRPr="00831A17">
        <w:rPr>
          <w:rFonts w:asciiTheme="minorHAnsi" w:hAnsiTheme="minorHAnsi" w:cstheme="minorHAnsi"/>
          <w:color w:val="1C1E21"/>
          <w:sz w:val="20"/>
          <w:szCs w:val="20"/>
        </w:rPr>
        <w:t xml:space="preserve">un impatto negativo </w:t>
      </w:r>
      <w:r w:rsidR="00C720B6" w:rsidRPr="00831A17">
        <w:rPr>
          <w:rFonts w:asciiTheme="minorHAnsi" w:hAnsiTheme="minorHAnsi" w:cstheme="minorHAnsi"/>
          <w:color w:val="1C1E21"/>
          <w:sz w:val="20"/>
          <w:szCs w:val="20"/>
        </w:rPr>
        <w:t xml:space="preserve">sulle </w:t>
      </w:r>
      <w:r w:rsidR="00C429FE">
        <w:rPr>
          <w:rFonts w:asciiTheme="minorHAnsi" w:hAnsiTheme="minorHAnsi" w:cstheme="minorHAnsi"/>
          <w:color w:val="1C1E21"/>
          <w:sz w:val="20"/>
          <w:szCs w:val="20"/>
        </w:rPr>
        <w:t>informazioni</w:t>
      </w:r>
      <w:r w:rsidR="00C720B6" w:rsidRPr="00831A17">
        <w:rPr>
          <w:rFonts w:asciiTheme="minorHAnsi" w:hAnsiTheme="minorHAnsi" w:cstheme="minorHAnsi"/>
          <w:color w:val="1C1E21"/>
          <w:sz w:val="20"/>
          <w:szCs w:val="20"/>
        </w:rPr>
        <w:t xml:space="preserve"> urgenti da </w:t>
      </w:r>
      <w:r w:rsidR="00C429FE">
        <w:rPr>
          <w:rFonts w:asciiTheme="minorHAnsi" w:hAnsiTheme="minorHAnsi" w:cstheme="minorHAnsi"/>
          <w:color w:val="1C1E21"/>
          <w:sz w:val="20"/>
          <w:szCs w:val="20"/>
        </w:rPr>
        <w:t xml:space="preserve">acquisire </w:t>
      </w:r>
      <w:r w:rsidR="00C720B6" w:rsidRPr="00831A17">
        <w:rPr>
          <w:rFonts w:asciiTheme="minorHAnsi" w:hAnsiTheme="minorHAnsi" w:cstheme="minorHAnsi"/>
          <w:color w:val="1C1E21"/>
          <w:sz w:val="20"/>
          <w:szCs w:val="20"/>
        </w:rPr>
        <w:t>sulla malattia</w:t>
      </w:r>
      <w:r w:rsidR="000605C4" w:rsidRPr="00831A17">
        <w:rPr>
          <w:rFonts w:asciiTheme="minorHAnsi" w:hAnsiTheme="minorHAnsi" w:cstheme="minorHAnsi"/>
          <w:color w:val="1C1E21"/>
          <w:sz w:val="20"/>
          <w:szCs w:val="20"/>
        </w:rPr>
        <w:t xml:space="preserve">, va </w:t>
      </w:r>
      <w:r w:rsidR="00831A17">
        <w:rPr>
          <w:rFonts w:asciiTheme="minorHAnsi" w:hAnsiTheme="minorHAnsi" w:cstheme="minorHAnsi"/>
          <w:color w:val="1C1E21"/>
          <w:sz w:val="20"/>
          <w:szCs w:val="20"/>
        </w:rPr>
        <w:t xml:space="preserve">però </w:t>
      </w:r>
      <w:r w:rsidR="00D65167">
        <w:rPr>
          <w:rFonts w:asciiTheme="minorHAnsi" w:hAnsiTheme="minorHAnsi" w:cstheme="minorHAnsi"/>
          <w:color w:val="1C1E21"/>
          <w:sz w:val="20"/>
          <w:szCs w:val="20"/>
        </w:rPr>
        <w:t xml:space="preserve">considerato </w:t>
      </w:r>
      <w:r w:rsidR="000605C4" w:rsidRPr="00831A17">
        <w:rPr>
          <w:rFonts w:asciiTheme="minorHAnsi" w:hAnsiTheme="minorHAnsi" w:cstheme="minorHAnsi"/>
          <w:color w:val="1C1E21"/>
          <w:sz w:val="20"/>
          <w:szCs w:val="20"/>
        </w:rPr>
        <w:t xml:space="preserve">che </w:t>
      </w:r>
      <w:r w:rsidR="00D65167">
        <w:rPr>
          <w:rFonts w:asciiTheme="minorHAnsi" w:hAnsiTheme="minorHAnsi" w:cstheme="minorHAnsi"/>
          <w:color w:val="1C1E21"/>
          <w:sz w:val="20"/>
          <w:szCs w:val="20"/>
        </w:rPr>
        <w:t>le</w:t>
      </w:r>
      <w:r w:rsidR="000605C4" w:rsidRPr="00831A17">
        <w:rPr>
          <w:rFonts w:asciiTheme="minorHAnsi" w:hAnsiTheme="minorHAnsi" w:cstheme="minorHAnsi"/>
          <w:color w:val="1C1E21"/>
          <w:sz w:val="20"/>
          <w:szCs w:val="20"/>
        </w:rPr>
        <w:t xml:space="preserve"> raccomandazion</w:t>
      </w:r>
      <w:r w:rsidR="00D65167">
        <w:rPr>
          <w:rFonts w:asciiTheme="minorHAnsi" w:hAnsiTheme="minorHAnsi" w:cstheme="minorHAnsi"/>
          <w:color w:val="1C1E21"/>
          <w:sz w:val="20"/>
          <w:szCs w:val="20"/>
        </w:rPr>
        <w:t>i</w:t>
      </w:r>
      <w:r w:rsidR="000605C4" w:rsidRPr="00831A17">
        <w:rPr>
          <w:rFonts w:asciiTheme="minorHAnsi" w:hAnsiTheme="minorHAnsi" w:cstheme="minorHAnsi"/>
          <w:color w:val="1C1E21"/>
          <w:sz w:val="20"/>
          <w:szCs w:val="20"/>
        </w:rPr>
        <w:t xml:space="preserve"> </w:t>
      </w:r>
      <w:r w:rsidR="00D65167">
        <w:rPr>
          <w:rFonts w:asciiTheme="minorHAnsi" w:hAnsiTheme="minorHAnsi" w:cstheme="minorHAnsi"/>
          <w:color w:val="1C1E21"/>
          <w:sz w:val="20"/>
          <w:szCs w:val="20"/>
        </w:rPr>
        <w:t>contenute sono di tipo precauzionale e avevano, ed hanno tuttora,  lo scopo di proteggere</w:t>
      </w:r>
      <w:r w:rsidR="000605C4" w:rsidRPr="00831A17">
        <w:rPr>
          <w:rFonts w:asciiTheme="minorHAnsi" w:hAnsiTheme="minorHAnsi" w:cstheme="minorHAnsi"/>
          <w:color w:val="1C1E21"/>
          <w:sz w:val="20"/>
          <w:szCs w:val="20"/>
        </w:rPr>
        <w:t xml:space="preserve"> dal contagio gli operatori sanitari </w:t>
      </w:r>
      <w:r w:rsidR="00D65167">
        <w:rPr>
          <w:rFonts w:asciiTheme="minorHAnsi" w:hAnsiTheme="minorHAnsi" w:cstheme="minorHAnsi"/>
          <w:color w:val="1C1E21"/>
          <w:sz w:val="20"/>
          <w:szCs w:val="20"/>
        </w:rPr>
        <w:t>adibiti</w:t>
      </w:r>
      <w:r w:rsidR="000605C4" w:rsidRPr="00831A17">
        <w:rPr>
          <w:rFonts w:asciiTheme="minorHAnsi" w:hAnsiTheme="minorHAnsi" w:cstheme="minorHAnsi"/>
          <w:color w:val="1C1E21"/>
          <w:sz w:val="20"/>
          <w:szCs w:val="20"/>
        </w:rPr>
        <w:t xml:space="preserve"> allo svolgimento delle autopsie.</w:t>
      </w:r>
    </w:p>
    <w:p w:rsidR="00C720B6" w:rsidRDefault="000605C4" w:rsidP="002B7F58">
      <w:pPr>
        <w:jc w:val="both"/>
        <w:rPr>
          <w:rFonts w:asciiTheme="minorHAnsi" w:hAnsiTheme="minorHAnsi" w:cstheme="minorHAnsi"/>
          <w:color w:val="1C1E21"/>
          <w:sz w:val="20"/>
          <w:szCs w:val="20"/>
        </w:rPr>
      </w:pPr>
      <w:r w:rsidRPr="00831A17">
        <w:rPr>
          <w:rFonts w:asciiTheme="minorHAnsi" w:hAnsiTheme="minorHAnsi" w:cstheme="minorHAnsi"/>
          <w:color w:val="1C1E21"/>
          <w:sz w:val="20"/>
          <w:szCs w:val="20"/>
        </w:rPr>
        <w:lastRenderedPageBreak/>
        <w:t xml:space="preserve">Il Sars-Cov-2 è infatti classificato come </w:t>
      </w:r>
      <w:r w:rsidRPr="00A078ED">
        <w:rPr>
          <w:rFonts w:asciiTheme="minorHAnsi" w:hAnsiTheme="minorHAnsi" w:cstheme="minorHAnsi"/>
          <w:b/>
          <w:bCs/>
          <w:color w:val="1C1E21"/>
          <w:sz w:val="20"/>
          <w:szCs w:val="20"/>
        </w:rPr>
        <w:t>agente infettivo di classe 3</w:t>
      </w:r>
      <w:r w:rsidRPr="00831A17">
        <w:rPr>
          <w:rFonts w:asciiTheme="minorHAnsi" w:hAnsiTheme="minorHAnsi" w:cstheme="minorHAnsi"/>
          <w:color w:val="1C1E21"/>
          <w:sz w:val="20"/>
          <w:szCs w:val="20"/>
        </w:rPr>
        <w:t xml:space="preserve"> e </w:t>
      </w:r>
      <w:r w:rsidR="00C720B6" w:rsidRPr="00831A17">
        <w:rPr>
          <w:rFonts w:asciiTheme="minorHAnsi" w:hAnsiTheme="minorHAnsi" w:cstheme="minorHAnsi"/>
          <w:color w:val="1C1E21"/>
          <w:sz w:val="20"/>
          <w:szCs w:val="20"/>
        </w:rPr>
        <w:t xml:space="preserve">come tale </w:t>
      </w:r>
      <w:r w:rsidRPr="00831A17">
        <w:rPr>
          <w:rFonts w:asciiTheme="minorHAnsi" w:hAnsiTheme="minorHAnsi" w:cstheme="minorHAnsi"/>
          <w:color w:val="1C1E21"/>
          <w:sz w:val="20"/>
          <w:szCs w:val="20"/>
        </w:rPr>
        <w:t xml:space="preserve">richiede attualmente un </w:t>
      </w:r>
      <w:r w:rsidRPr="00A078ED">
        <w:rPr>
          <w:rFonts w:asciiTheme="minorHAnsi" w:hAnsiTheme="minorHAnsi" w:cstheme="minorHAnsi"/>
          <w:b/>
          <w:bCs/>
          <w:color w:val="1C1E21"/>
          <w:sz w:val="20"/>
          <w:szCs w:val="20"/>
        </w:rPr>
        <w:t>livello di biosicurezza 3</w:t>
      </w:r>
      <w:r w:rsidRPr="00831A17">
        <w:rPr>
          <w:rFonts w:asciiTheme="minorHAnsi" w:hAnsiTheme="minorHAnsi" w:cstheme="minorHAnsi"/>
          <w:color w:val="1C1E21"/>
          <w:sz w:val="20"/>
          <w:szCs w:val="20"/>
        </w:rPr>
        <w:t xml:space="preserve"> molto stringente, </w:t>
      </w:r>
      <w:r w:rsidR="0036745E">
        <w:rPr>
          <w:rStyle w:val="FootnoteReference"/>
          <w:rFonts w:asciiTheme="minorHAnsi" w:hAnsiTheme="minorHAnsi" w:cstheme="minorHAnsi"/>
          <w:color w:val="1C1E21"/>
          <w:sz w:val="20"/>
          <w:szCs w:val="20"/>
        </w:rPr>
        <w:footnoteReference w:id="20"/>
      </w:r>
      <w:r w:rsidR="0036745E">
        <w:rPr>
          <w:rFonts w:asciiTheme="minorHAnsi" w:hAnsiTheme="minorHAnsi" w:cstheme="minorHAnsi"/>
          <w:color w:val="1C1E21"/>
          <w:sz w:val="20"/>
          <w:szCs w:val="20"/>
        </w:rPr>
        <w:t xml:space="preserve"> </w:t>
      </w:r>
      <w:r w:rsidR="00725151">
        <w:rPr>
          <w:rFonts w:asciiTheme="minorHAnsi" w:hAnsiTheme="minorHAnsi" w:cstheme="minorHAnsi"/>
          <w:color w:val="1C1E21"/>
          <w:sz w:val="20"/>
          <w:szCs w:val="20"/>
        </w:rPr>
        <w:t>per il quale</w:t>
      </w:r>
      <w:r w:rsidRPr="00831A17">
        <w:rPr>
          <w:rFonts w:asciiTheme="minorHAnsi" w:hAnsiTheme="minorHAnsi" w:cstheme="minorHAnsi"/>
          <w:color w:val="1C1E21"/>
          <w:sz w:val="20"/>
          <w:szCs w:val="20"/>
        </w:rPr>
        <w:t xml:space="preserve"> gran parte delle strutture ospedaliere e di ricerca non </w:t>
      </w:r>
      <w:r w:rsidR="00725151">
        <w:rPr>
          <w:rFonts w:asciiTheme="minorHAnsi" w:hAnsiTheme="minorHAnsi" w:cstheme="minorHAnsi"/>
          <w:color w:val="1C1E21"/>
          <w:sz w:val="20"/>
          <w:szCs w:val="20"/>
        </w:rPr>
        <w:t xml:space="preserve">sono né attrezzate né autorizzate. </w:t>
      </w:r>
    </w:p>
    <w:p w:rsidR="003A0A95" w:rsidRDefault="003A0A95" w:rsidP="002B7F58">
      <w:pPr>
        <w:jc w:val="both"/>
        <w:rPr>
          <w:rFonts w:asciiTheme="minorHAnsi" w:hAnsiTheme="minorHAnsi" w:cstheme="minorHAnsi"/>
          <w:color w:val="1C1E21"/>
          <w:sz w:val="20"/>
          <w:szCs w:val="20"/>
        </w:rPr>
      </w:pPr>
    </w:p>
    <w:p w:rsidR="001314C7"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both"/>
        <w:rPr>
          <w:rFonts w:asciiTheme="minorHAnsi" w:hAnsiTheme="minorHAnsi" w:cstheme="minorHAnsi"/>
          <w:b/>
          <w:bCs/>
          <w:color w:val="C00000"/>
          <w:sz w:val="18"/>
          <w:szCs w:val="18"/>
        </w:rPr>
      </w:pPr>
    </w:p>
    <w:p w:rsidR="001314C7" w:rsidRPr="00790721"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center"/>
        <w:rPr>
          <w:rFonts w:asciiTheme="minorHAnsi" w:hAnsiTheme="minorHAnsi" w:cstheme="minorHAnsi"/>
          <w:b/>
          <w:bCs/>
          <w:color w:val="C00000"/>
          <w:sz w:val="22"/>
          <w:szCs w:val="22"/>
        </w:rPr>
      </w:pPr>
      <w:r w:rsidRPr="00790721">
        <w:rPr>
          <w:rFonts w:asciiTheme="minorHAnsi" w:hAnsiTheme="minorHAnsi" w:cstheme="minorHAnsi"/>
          <w:b/>
          <w:bCs/>
          <w:color w:val="C00000"/>
          <w:sz w:val="22"/>
          <w:szCs w:val="22"/>
        </w:rPr>
        <w:t>Il Rischio biologico</w:t>
      </w:r>
    </w:p>
    <w:p w:rsidR="001314C7" w:rsidRPr="00471D4A"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both"/>
        <w:rPr>
          <w:rFonts w:asciiTheme="minorHAnsi" w:hAnsiTheme="minorHAnsi" w:cstheme="minorHAnsi"/>
          <w:b/>
          <w:bCs/>
          <w:color w:val="2F5496" w:themeColor="accent1" w:themeShade="BF"/>
          <w:sz w:val="20"/>
          <w:szCs w:val="20"/>
        </w:rPr>
      </w:pPr>
      <w:r w:rsidRPr="00471D4A">
        <w:rPr>
          <w:rFonts w:asciiTheme="minorHAnsi" w:hAnsiTheme="minorHAnsi" w:cstheme="minorHAnsi"/>
          <w:b/>
          <w:bCs/>
          <w:color w:val="2F5496" w:themeColor="accent1" w:themeShade="BF"/>
          <w:sz w:val="20"/>
          <w:szCs w:val="20"/>
        </w:rPr>
        <w:t xml:space="preserve">Definizioni </w:t>
      </w:r>
    </w:p>
    <w:p w:rsidR="001314C7" w:rsidRPr="00471D4A"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both"/>
        <w:rPr>
          <w:rFonts w:asciiTheme="minorHAnsi" w:hAnsiTheme="minorHAnsi" w:cstheme="minorHAnsi"/>
          <w:color w:val="2F5496" w:themeColor="accent1" w:themeShade="BF"/>
          <w:sz w:val="20"/>
          <w:szCs w:val="20"/>
        </w:rPr>
      </w:pPr>
    </w:p>
    <w:p w:rsidR="001314C7" w:rsidRPr="00471D4A"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Il D. Lgs. 626/94 riporta le seguenti definizioni: </w:t>
      </w:r>
    </w:p>
    <w:p w:rsidR="001314C7" w:rsidRPr="00471D4A" w:rsidRDefault="001314C7" w:rsidP="009A3865">
      <w:pPr>
        <w:pStyle w:val="ListParagraph"/>
        <w:numPr>
          <w:ilvl w:val="0"/>
          <w:numId w:val="13"/>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Agente biologico: “qualsiasi microrganismo anche se geneticamente modificato, coltura cellulare ed endoparassita umano che potrebbe provocare infezioni, allergie o intossicazioni”. </w:t>
      </w:r>
    </w:p>
    <w:p w:rsidR="001314C7" w:rsidRPr="00471D4A" w:rsidRDefault="001314C7" w:rsidP="009A3865">
      <w:pPr>
        <w:pStyle w:val="ListParagraph"/>
        <w:numPr>
          <w:ilvl w:val="0"/>
          <w:numId w:val="13"/>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Microrganismo: “qualsiasi entità microbiologica, cellulare o meno, in grado di riprodursi o trasferire materiale genetico”. </w:t>
      </w:r>
    </w:p>
    <w:p w:rsidR="001314C7" w:rsidRPr="00471D4A" w:rsidRDefault="001314C7" w:rsidP="009A3865">
      <w:pPr>
        <w:pStyle w:val="ListParagraph"/>
        <w:numPr>
          <w:ilvl w:val="0"/>
          <w:numId w:val="13"/>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Coltura cellulare “il risultato della crescita in vitro di cellule derivate da organismi pluricellulari”. Microrganismo geneticamente modificato (MOGM):“organismo il cui materiale genetico è stato modificato in laboratorio, in un modo che non avviene in natura mediante incrocio e/o ricombinazione naturale”</w:t>
      </w:r>
    </w:p>
    <w:p w:rsidR="001314C7" w:rsidRPr="00471D4A"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284"/>
        </w:tabs>
        <w:jc w:val="both"/>
        <w:rPr>
          <w:rFonts w:asciiTheme="minorHAnsi" w:hAnsiTheme="minorHAnsi" w:cstheme="minorHAnsi"/>
          <w:color w:val="2F5496" w:themeColor="accent1" w:themeShade="BF"/>
          <w:sz w:val="20"/>
          <w:szCs w:val="20"/>
        </w:rPr>
      </w:pPr>
    </w:p>
    <w:p w:rsidR="001314C7" w:rsidRPr="00471D4A"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both"/>
        <w:rPr>
          <w:rFonts w:asciiTheme="minorHAnsi" w:hAnsiTheme="minorHAnsi" w:cstheme="minorHAnsi"/>
          <w:b/>
          <w:bCs/>
          <w:color w:val="2F5496" w:themeColor="accent1" w:themeShade="BF"/>
          <w:sz w:val="20"/>
          <w:szCs w:val="20"/>
        </w:rPr>
      </w:pPr>
      <w:r w:rsidRPr="00471D4A">
        <w:rPr>
          <w:rFonts w:asciiTheme="minorHAnsi" w:hAnsiTheme="minorHAnsi" w:cstheme="minorHAnsi"/>
          <w:b/>
          <w:bCs/>
          <w:color w:val="2F5496" w:themeColor="accent1" w:themeShade="BF"/>
          <w:sz w:val="20"/>
          <w:szCs w:val="20"/>
        </w:rPr>
        <w:t xml:space="preserve">Classificazione degli agenti biologici </w:t>
      </w:r>
    </w:p>
    <w:p w:rsidR="001314C7" w:rsidRPr="00471D4A"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La valutazione del rischio da agenti biologici deve iniziare con una corretta individuazione dei microrganismi cui il lavoratore può essere esposto. Il rischio di sviluppare un’infezione in seguito all’esposizione ad un agente biologico è, infatti, legata alle seguenti variabili: </w:t>
      </w:r>
    </w:p>
    <w:p w:rsidR="001314C7" w:rsidRPr="00471D4A" w:rsidRDefault="001314C7" w:rsidP="009A3865">
      <w:pPr>
        <w:pStyle w:val="ListParagraph"/>
        <w:numPr>
          <w:ilvl w:val="0"/>
          <w:numId w:val="14"/>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infettività, capacità di un microrganismo di penetrare e moltiplicarsi nell’ospite; </w:t>
      </w:r>
    </w:p>
    <w:p w:rsidR="001314C7" w:rsidRPr="00471D4A" w:rsidRDefault="001314C7" w:rsidP="009A3865">
      <w:pPr>
        <w:pStyle w:val="ListParagraph"/>
        <w:numPr>
          <w:ilvl w:val="0"/>
          <w:numId w:val="14"/>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patogenicità, capacità di produrre malattia a seguito di infezione; </w:t>
      </w:r>
    </w:p>
    <w:p w:rsidR="001314C7" w:rsidRPr="00471D4A" w:rsidRDefault="001314C7" w:rsidP="009A3865">
      <w:pPr>
        <w:pStyle w:val="ListParagraph"/>
        <w:numPr>
          <w:ilvl w:val="0"/>
          <w:numId w:val="14"/>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trasmissibilità, capacità di un microrganismo di essere trasmesso da un soggetto infetto ad un soggetto suscettibile; </w:t>
      </w:r>
    </w:p>
    <w:p w:rsidR="001314C7" w:rsidRPr="00471D4A" w:rsidRDefault="001314C7" w:rsidP="009A3865">
      <w:pPr>
        <w:pStyle w:val="ListParagraph"/>
        <w:numPr>
          <w:ilvl w:val="0"/>
          <w:numId w:val="14"/>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neutralizzabilità, disponibilità di efficaci misure profilattiche, per prevenire la malattia, o terapeutiche per la cura; </w:t>
      </w:r>
    </w:p>
    <w:p w:rsidR="001314C7" w:rsidRPr="00471D4A" w:rsidRDefault="001314C7" w:rsidP="009A3865">
      <w:pPr>
        <w:pStyle w:val="ListParagraph"/>
        <w:numPr>
          <w:ilvl w:val="0"/>
          <w:numId w:val="14"/>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virulenza, insieme delle caratteristiche di infettività e patogenicità. </w:t>
      </w:r>
    </w:p>
    <w:p w:rsidR="001314C7" w:rsidRPr="00471D4A" w:rsidRDefault="001314C7" w:rsidP="00D94AB1">
      <w:pPr>
        <w:pStyle w:val="ListParagraph"/>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s>
        <w:ind w:left="0"/>
        <w:jc w:val="both"/>
        <w:rPr>
          <w:rFonts w:asciiTheme="minorHAnsi" w:hAnsiTheme="minorHAnsi" w:cstheme="minorHAnsi"/>
          <w:color w:val="2F5496" w:themeColor="accent1" w:themeShade="BF"/>
          <w:sz w:val="20"/>
          <w:szCs w:val="20"/>
        </w:rPr>
      </w:pPr>
    </w:p>
    <w:p w:rsidR="001314C7" w:rsidRPr="00471D4A" w:rsidRDefault="001314C7" w:rsidP="00D94AB1">
      <w:pPr>
        <w:pStyle w:val="ListParagraph"/>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s>
        <w:ind w:left="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In base a tutti questi fattori è stata proposta una classificazione degli agenti biologici in 4 gruppi di rischio che il D. Lgs. 626/94, con l’esclusione del 1 gruppo, ha riportato nell’articolo 75 e nell’allegato XI. </w:t>
      </w:r>
    </w:p>
    <w:p w:rsidR="001314C7" w:rsidRPr="00471D4A" w:rsidRDefault="001314C7" w:rsidP="009A3865">
      <w:pPr>
        <w:pStyle w:val="ListParagraph"/>
        <w:numPr>
          <w:ilvl w:val="0"/>
          <w:numId w:val="14"/>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I microrganismi del </w:t>
      </w:r>
      <w:r w:rsidRPr="00471D4A">
        <w:rPr>
          <w:rFonts w:asciiTheme="minorHAnsi" w:hAnsiTheme="minorHAnsi" w:cstheme="minorHAnsi"/>
          <w:b/>
          <w:bCs/>
          <w:color w:val="2F5496" w:themeColor="accent1" w:themeShade="BF"/>
          <w:sz w:val="20"/>
          <w:szCs w:val="20"/>
        </w:rPr>
        <w:t xml:space="preserve">gruppo 1 </w:t>
      </w:r>
      <w:r w:rsidRPr="00471D4A">
        <w:rPr>
          <w:rFonts w:asciiTheme="minorHAnsi" w:hAnsiTheme="minorHAnsi" w:cstheme="minorHAnsi"/>
          <w:color w:val="2F5496" w:themeColor="accent1" w:themeShade="BF"/>
          <w:sz w:val="20"/>
          <w:szCs w:val="20"/>
        </w:rPr>
        <w:t xml:space="preserve">sono generalmente non patogeni e presentano poche probabilità di causare malattie nell’uomo, quindi rappresentano un basso rischio sia individuale che collettivo; in tale gruppo sono considerati, per esclusione, tutti gli agenti non riportati nei gruppi 2, 3 e 4; generalmente questi microrganismi costituiscono la </w:t>
      </w:r>
      <w:r w:rsidRPr="00471D4A">
        <w:rPr>
          <w:rFonts w:asciiTheme="minorHAnsi" w:hAnsiTheme="minorHAnsi" w:cstheme="minorHAnsi"/>
          <w:i/>
          <w:iCs/>
          <w:color w:val="2F5496" w:themeColor="accent1" w:themeShade="BF"/>
          <w:sz w:val="20"/>
          <w:szCs w:val="20"/>
        </w:rPr>
        <w:t>normale flora microbica.</w:t>
      </w:r>
      <w:r w:rsidRPr="00471D4A">
        <w:rPr>
          <w:rFonts w:asciiTheme="minorHAnsi" w:hAnsiTheme="minorHAnsi" w:cstheme="minorHAnsi"/>
          <w:color w:val="2F5496" w:themeColor="accent1" w:themeShade="BF"/>
          <w:sz w:val="20"/>
          <w:szCs w:val="20"/>
        </w:rPr>
        <w:t xml:space="preserve"> </w:t>
      </w:r>
    </w:p>
    <w:p w:rsidR="001314C7" w:rsidRPr="00471D4A" w:rsidRDefault="001314C7" w:rsidP="00D94AB1">
      <w:pPr>
        <w:pStyle w:val="ListParagraph"/>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jc w:val="both"/>
        <w:rPr>
          <w:rFonts w:asciiTheme="minorHAnsi" w:hAnsiTheme="minorHAnsi" w:cstheme="minorHAnsi"/>
          <w:color w:val="2F5496" w:themeColor="accent1" w:themeShade="BF"/>
          <w:sz w:val="20"/>
          <w:szCs w:val="20"/>
        </w:rPr>
      </w:pPr>
    </w:p>
    <w:p w:rsidR="001314C7" w:rsidRPr="00471D4A" w:rsidRDefault="001314C7" w:rsidP="009A3865">
      <w:pPr>
        <w:pStyle w:val="ListParagraph"/>
        <w:numPr>
          <w:ilvl w:val="0"/>
          <w:numId w:val="14"/>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I microrganismi del </w:t>
      </w:r>
      <w:r w:rsidRPr="00471D4A">
        <w:rPr>
          <w:rFonts w:asciiTheme="minorHAnsi" w:hAnsiTheme="minorHAnsi" w:cstheme="minorHAnsi"/>
          <w:b/>
          <w:bCs/>
          <w:color w:val="2F5496" w:themeColor="accent1" w:themeShade="BF"/>
          <w:sz w:val="20"/>
          <w:szCs w:val="20"/>
        </w:rPr>
        <w:t>gruppo 2</w:t>
      </w:r>
      <w:r w:rsidRPr="00471D4A">
        <w:rPr>
          <w:rFonts w:asciiTheme="minorHAnsi" w:hAnsiTheme="minorHAnsi" w:cstheme="minorHAnsi"/>
          <w:color w:val="2F5496" w:themeColor="accent1" w:themeShade="BF"/>
          <w:sz w:val="20"/>
          <w:szCs w:val="20"/>
        </w:rPr>
        <w:t xml:space="preserve"> possono causare malattie a seguito di esposizione, quindi costituiscono un moderato rischio individuale. Di norma, per questi sono disponibili efficaci misure profilattiche e terapeutiche, per cui rappresentano un limitato rischio per la collettività. I microrganismi di questo gruppo comprendono sia agenti che si trasmettono per via oro-fecale, come il </w:t>
      </w:r>
      <w:r w:rsidRPr="00471D4A">
        <w:rPr>
          <w:rFonts w:asciiTheme="minorHAnsi" w:hAnsiTheme="minorHAnsi" w:cstheme="minorHAnsi"/>
          <w:i/>
          <w:iCs/>
          <w:color w:val="2F5496" w:themeColor="accent1" w:themeShade="BF"/>
          <w:sz w:val="20"/>
          <w:szCs w:val="20"/>
        </w:rPr>
        <w:t>Vibrio cholerae, la Salmonella ed il virus dell’epatite A</w:t>
      </w:r>
      <w:r w:rsidRPr="00471D4A">
        <w:rPr>
          <w:rFonts w:asciiTheme="minorHAnsi" w:hAnsiTheme="minorHAnsi" w:cstheme="minorHAnsi"/>
          <w:color w:val="2F5496" w:themeColor="accent1" w:themeShade="BF"/>
          <w:sz w:val="20"/>
          <w:szCs w:val="20"/>
        </w:rPr>
        <w:t xml:space="preserve">, sia agenti a trasmissione aerogena (questi vengono eliminati con la tosse, la fonazione, gli starnuti e penetrano nell’organismo per via respiratoria), come </w:t>
      </w:r>
      <w:r w:rsidRPr="00471D4A">
        <w:rPr>
          <w:rFonts w:asciiTheme="minorHAnsi" w:hAnsiTheme="minorHAnsi" w:cstheme="minorHAnsi"/>
          <w:i/>
          <w:iCs/>
          <w:color w:val="2F5496" w:themeColor="accent1" w:themeShade="BF"/>
          <w:sz w:val="20"/>
          <w:szCs w:val="20"/>
        </w:rPr>
        <w:t>i virus influenzali ed il virus del morbillo.</w:t>
      </w:r>
      <w:r w:rsidRPr="00471D4A">
        <w:rPr>
          <w:rFonts w:asciiTheme="minorHAnsi" w:hAnsiTheme="minorHAnsi" w:cstheme="minorHAnsi"/>
          <w:color w:val="2F5496" w:themeColor="accent1" w:themeShade="BF"/>
          <w:sz w:val="20"/>
          <w:szCs w:val="20"/>
        </w:rPr>
        <w:t xml:space="preserve"> </w:t>
      </w:r>
    </w:p>
    <w:p w:rsidR="001314C7" w:rsidRPr="00471D4A" w:rsidRDefault="001314C7" w:rsidP="00D94AB1">
      <w:pPr>
        <w:pStyle w:val="ListParagraph"/>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jc w:val="both"/>
        <w:rPr>
          <w:rFonts w:asciiTheme="minorHAnsi" w:hAnsiTheme="minorHAnsi" w:cstheme="minorHAnsi"/>
          <w:color w:val="2F5496" w:themeColor="accent1" w:themeShade="BF"/>
          <w:sz w:val="20"/>
          <w:szCs w:val="20"/>
        </w:rPr>
      </w:pPr>
    </w:p>
    <w:p w:rsidR="001314C7" w:rsidRPr="00471D4A" w:rsidRDefault="001314C7" w:rsidP="009A3865">
      <w:pPr>
        <w:pStyle w:val="ListParagraph"/>
        <w:numPr>
          <w:ilvl w:val="0"/>
          <w:numId w:val="14"/>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lastRenderedPageBreak/>
        <w:t xml:space="preserve">I microrganismi del </w:t>
      </w:r>
      <w:r w:rsidRPr="00471D4A">
        <w:rPr>
          <w:rFonts w:asciiTheme="minorHAnsi" w:hAnsiTheme="minorHAnsi" w:cstheme="minorHAnsi"/>
          <w:b/>
          <w:bCs/>
          <w:color w:val="2F5496" w:themeColor="accent1" w:themeShade="BF"/>
          <w:sz w:val="20"/>
          <w:szCs w:val="20"/>
        </w:rPr>
        <w:t>gruppo 3</w:t>
      </w:r>
      <w:r w:rsidRPr="00471D4A">
        <w:rPr>
          <w:rFonts w:asciiTheme="minorHAnsi" w:hAnsiTheme="minorHAnsi" w:cstheme="minorHAnsi"/>
          <w:color w:val="2F5496" w:themeColor="accent1" w:themeShade="BF"/>
          <w:sz w:val="20"/>
          <w:szCs w:val="20"/>
        </w:rPr>
        <w:t xml:space="preserve"> possono causare gravi malattie e costituiscono un elevato rischio individuale; questi possono propagarsi nella comunità, ma di norma sono disponibili efficaci misure profilattiche e terapeutiche quindi rappresentano un basso rischio collettivo.</w:t>
      </w:r>
      <w:r w:rsidR="00D94AB1" w:rsidRPr="00471D4A">
        <w:rPr>
          <w:rFonts w:asciiTheme="minorHAnsi" w:hAnsiTheme="minorHAnsi" w:cstheme="minorHAnsi"/>
          <w:color w:val="2F5496" w:themeColor="accent1" w:themeShade="BF"/>
          <w:sz w:val="20"/>
          <w:szCs w:val="20"/>
        </w:rPr>
        <w:t xml:space="preserve"> </w:t>
      </w:r>
      <w:r w:rsidRPr="00471D4A">
        <w:rPr>
          <w:rFonts w:asciiTheme="minorHAnsi" w:hAnsiTheme="minorHAnsi" w:cstheme="minorHAnsi"/>
          <w:color w:val="2F5496" w:themeColor="accent1" w:themeShade="BF"/>
          <w:sz w:val="20"/>
          <w:szCs w:val="20"/>
        </w:rPr>
        <w:t xml:space="preserve">Tra gli appartenenti a questo gruppo troviamo microrganismi che riconoscono molteplici vie di contagio (respiratorie, digerente e contatto diretto), come per esempio </w:t>
      </w:r>
      <w:r w:rsidRPr="00471D4A">
        <w:rPr>
          <w:rFonts w:asciiTheme="minorHAnsi" w:hAnsiTheme="minorHAnsi" w:cstheme="minorHAnsi"/>
          <w:i/>
          <w:iCs/>
          <w:color w:val="2F5496" w:themeColor="accent1" w:themeShade="BF"/>
          <w:sz w:val="20"/>
          <w:szCs w:val="20"/>
        </w:rPr>
        <w:t>Salmonella typhi,</w:t>
      </w:r>
      <w:r w:rsidR="00D94AB1" w:rsidRPr="00471D4A">
        <w:rPr>
          <w:rFonts w:asciiTheme="minorHAnsi" w:hAnsiTheme="minorHAnsi" w:cstheme="minorHAnsi"/>
          <w:i/>
          <w:iCs/>
          <w:color w:val="2F5496" w:themeColor="accent1" w:themeShade="BF"/>
          <w:sz w:val="20"/>
          <w:szCs w:val="20"/>
        </w:rPr>
        <w:t xml:space="preserve"> </w:t>
      </w:r>
      <w:r w:rsidRPr="00471D4A">
        <w:rPr>
          <w:rFonts w:asciiTheme="minorHAnsi" w:hAnsiTheme="minorHAnsi" w:cstheme="minorHAnsi"/>
          <w:i/>
          <w:iCs/>
          <w:color w:val="2F5496" w:themeColor="accent1" w:themeShade="BF"/>
          <w:sz w:val="20"/>
          <w:szCs w:val="20"/>
        </w:rPr>
        <w:t>Virus epatite B,</w:t>
      </w:r>
      <w:r w:rsidR="00D94AB1" w:rsidRPr="00471D4A">
        <w:rPr>
          <w:rFonts w:asciiTheme="minorHAnsi" w:hAnsiTheme="minorHAnsi" w:cstheme="minorHAnsi"/>
          <w:i/>
          <w:iCs/>
          <w:color w:val="2F5496" w:themeColor="accent1" w:themeShade="BF"/>
          <w:sz w:val="20"/>
          <w:szCs w:val="20"/>
        </w:rPr>
        <w:t xml:space="preserve"> </w:t>
      </w:r>
      <w:r w:rsidRPr="00471D4A">
        <w:rPr>
          <w:rFonts w:asciiTheme="minorHAnsi" w:hAnsiTheme="minorHAnsi" w:cstheme="minorHAnsi"/>
          <w:i/>
          <w:iCs/>
          <w:color w:val="2F5496" w:themeColor="accent1" w:themeShade="BF"/>
          <w:sz w:val="20"/>
          <w:szCs w:val="20"/>
        </w:rPr>
        <w:t>Virus dell’AIDS.</w:t>
      </w:r>
      <w:r w:rsidRPr="00471D4A">
        <w:rPr>
          <w:rFonts w:asciiTheme="minorHAnsi" w:hAnsiTheme="minorHAnsi" w:cstheme="minorHAnsi"/>
          <w:color w:val="2F5496" w:themeColor="accent1" w:themeShade="BF"/>
          <w:sz w:val="20"/>
          <w:szCs w:val="20"/>
        </w:rPr>
        <w:t xml:space="preserve"> </w:t>
      </w:r>
    </w:p>
    <w:p w:rsidR="001314C7" w:rsidRPr="00471D4A" w:rsidRDefault="001314C7" w:rsidP="00D94AB1">
      <w:pPr>
        <w:pStyle w:val="ListParagraph"/>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jc w:val="both"/>
        <w:rPr>
          <w:rFonts w:asciiTheme="minorHAnsi" w:hAnsiTheme="minorHAnsi" w:cstheme="minorHAnsi"/>
          <w:color w:val="2F5496" w:themeColor="accent1" w:themeShade="BF"/>
          <w:sz w:val="20"/>
          <w:szCs w:val="20"/>
        </w:rPr>
      </w:pPr>
    </w:p>
    <w:p w:rsidR="001314C7" w:rsidRPr="00471D4A" w:rsidRDefault="001314C7" w:rsidP="009A3865">
      <w:pPr>
        <w:pStyle w:val="ListParagraph"/>
        <w:numPr>
          <w:ilvl w:val="0"/>
          <w:numId w:val="14"/>
        </w:num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 w:val="left" w:pos="284"/>
          <w:tab w:val="left" w:pos="426"/>
        </w:tabs>
        <w:ind w:left="0" w:firstLine="0"/>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 xml:space="preserve">I microrganismi del </w:t>
      </w:r>
      <w:r w:rsidRPr="00471D4A">
        <w:rPr>
          <w:rFonts w:asciiTheme="minorHAnsi" w:hAnsiTheme="minorHAnsi" w:cstheme="minorHAnsi"/>
          <w:b/>
          <w:bCs/>
          <w:color w:val="2F5496" w:themeColor="accent1" w:themeShade="BF"/>
          <w:sz w:val="20"/>
          <w:szCs w:val="20"/>
        </w:rPr>
        <w:t>gruppo 4</w:t>
      </w:r>
      <w:r w:rsidRPr="00471D4A">
        <w:rPr>
          <w:rFonts w:asciiTheme="minorHAnsi" w:hAnsiTheme="minorHAnsi" w:cstheme="minorHAnsi"/>
          <w:color w:val="2F5496" w:themeColor="accent1" w:themeShade="BF"/>
          <w:sz w:val="20"/>
          <w:szCs w:val="20"/>
        </w:rPr>
        <w:t xml:space="preserve"> causano gravi malattie e costituiscono un elevato rischio individuale, questi si propagano facilmente e rapidamente nella comunità, non sono disponibili misure profilattiche e terapeutiche quindi rappresentano un elevato rischio collettivo. Un esempio è dato dal </w:t>
      </w:r>
      <w:r w:rsidRPr="00471D4A">
        <w:rPr>
          <w:rFonts w:asciiTheme="minorHAnsi" w:hAnsiTheme="minorHAnsi" w:cstheme="minorHAnsi"/>
          <w:i/>
          <w:iCs/>
          <w:color w:val="2F5496" w:themeColor="accent1" w:themeShade="BF"/>
          <w:sz w:val="20"/>
          <w:szCs w:val="20"/>
        </w:rPr>
        <w:t>Virus Ebola.</w:t>
      </w:r>
      <w:r w:rsidRPr="00471D4A">
        <w:rPr>
          <w:rFonts w:asciiTheme="minorHAnsi" w:hAnsiTheme="minorHAnsi" w:cstheme="minorHAnsi"/>
          <w:color w:val="2F5496" w:themeColor="accent1" w:themeShade="BF"/>
          <w:sz w:val="20"/>
          <w:szCs w:val="20"/>
        </w:rPr>
        <w:t xml:space="preserve"> </w:t>
      </w:r>
    </w:p>
    <w:p w:rsidR="001314C7" w:rsidRPr="00471D4A" w:rsidRDefault="001314C7" w:rsidP="00D94AB1">
      <w:pPr>
        <w:pStyle w:val="ListParagraph"/>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142"/>
        </w:tabs>
        <w:ind w:left="0"/>
        <w:jc w:val="both"/>
        <w:rPr>
          <w:rFonts w:asciiTheme="minorHAnsi" w:hAnsiTheme="minorHAnsi" w:cstheme="minorHAnsi"/>
          <w:color w:val="2F5496" w:themeColor="accent1" w:themeShade="BF"/>
          <w:sz w:val="20"/>
          <w:szCs w:val="20"/>
        </w:rPr>
      </w:pPr>
    </w:p>
    <w:p w:rsidR="00D94AB1" w:rsidRPr="00471D4A"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Nella valutazione del rischio bisogna, comunque, considerare non solo il tipo di microrganismo cui si può essere esposti ma anche le modalità con le quali l’agente biologico viene manipolato, cioè le procedure adottate, e le quantità cui il lavoratore è esposto durante l’attività lavorativa</w:t>
      </w:r>
      <w:r w:rsidR="00D94AB1" w:rsidRPr="00471D4A">
        <w:rPr>
          <w:rFonts w:asciiTheme="minorHAnsi" w:hAnsiTheme="minorHAnsi" w:cstheme="minorHAnsi"/>
          <w:color w:val="2F5496" w:themeColor="accent1" w:themeShade="BF"/>
          <w:sz w:val="20"/>
          <w:szCs w:val="20"/>
        </w:rPr>
        <w:t>.</w:t>
      </w:r>
    </w:p>
    <w:p w:rsidR="00D94AB1" w:rsidRPr="00471D4A" w:rsidRDefault="00D94AB1"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both"/>
        <w:rPr>
          <w:rFonts w:asciiTheme="minorHAnsi" w:hAnsiTheme="minorHAnsi" w:cstheme="minorHAnsi"/>
          <w:color w:val="2F5496" w:themeColor="accent1" w:themeShade="BF"/>
          <w:sz w:val="20"/>
          <w:szCs w:val="20"/>
        </w:rPr>
      </w:pPr>
    </w:p>
    <w:p w:rsidR="00D94AB1" w:rsidRPr="00471D4A" w:rsidRDefault="0052743C"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both"/>
        <w:rPr>
          <w:rFonts w:asciiTheme="minorHAnsi" w:hAnsiTheme="minorHAnsi" w:cstheme="minorHAnsi"/>
          <w:i/>
          <w:iCs/>
          <w:color w:val="2F5496" w:themeColor="accent1" w:themeShade="BF"/>
          <w:sz w:val="20"/>
          <w:szCs w:val="20"/>
        </w:rPr>
      </w:pPr>
      <w:hyperlink r:id="rId26" w:history="1">
        <w:r w:rsidR="00D94AB1" w:rsidRPr="00471D4A">
          <w:rPr>
            <w:rStyle w:val="Hyperlink"/>
            <w:rFonts w:asciiTheme="minorHAnsi" w:eastAsiaTheme="majorEastAsia" w:hAnsiTheme="minorHAnsi" w:cstheme="minorHAnsi"/>
            <w:i/>
            <w:iCs/>
            <w:color w:val="2F5496" w:themeColor="accent1" w:themeShade="BF"/>
            <w:sz w:val="20"/>
            <w:szCs w:val="20"/>
            <w:u w:val="none"/>
          </w:rPr>
          <w:t>http://www.aslcn2.it/media/2013/07/Informazioni-testo-unico-rischio-biologico.pdf</w:t>
        </w:r>
      </w:hyperlink>
    </w:p>
    <w:p w:rsidR="001314C7" w:rsidRPr="001314C7"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tabs>
          <w:tab w:val="left" w:pos="284"/>
        </w:tabs>
        <w:jc w:val="both"/>
        <w:rPr>
          <w:rFonts w:asciiTheme="minorHAnsi" w:hAnsiTheme="minorHAnsi" w:cstheme="minorHAnsi"/>
          <w:sz w:val="18"/>
          <w:szCs w:val="18"/>
        </w:rPr>
      </w:pPr>
    </w:p>
    <w:p w:rsidR="001314C7" w:rsidRDefault="001314C7" w:rsidP="00D94AB1">
      <w:pPr>
        <w:pBdr>
          <w:top w:val="dashSmallGap" w:sz="4" w:space="1" w:color="2F5496" w:themeColor="accent1" w:themeShade="BF"/>
          <w:left w:val="dashSmallGap" w:sz="4" w:space="4" w:color="2F5496" w:themeColor="accent1" w:themeShade="BF"/>
          <w:bottom w:val="dashSmallGap" w:sz="4" w:space="1" w:color="2F5496" w:themeColor="accent1" w:themeShade="BF"/>
          <w:right w:val="dashSmallGap" w:sz="4" w:space="4" w:color="2F5496" w:themeColor="accent1" w:themeShade="BF"/>
        </w:pBdr>
        <w:jc w:val="center"/>
        <w:rPr>
          <w:rFonts w:asciiTheme="minorHAnsi" w:hAnsiTheme="minorHAnsi" w:cstheme="minorHAnsi"/>
          <w:color w:val="1C1E21"/>
          <w:sz w:val="20"/>
          <w:szCs w:val="20"/>
        </w:rPr>
      </w:pPr>
      <w:r>
        <w:rPr>
          <w:rFonts w:asciiTheme="minorHAnsi" w:hAnsiTheme="minorHAnsi" w:cstheme="minorHAnsi"/>
          <w:noProof/>
          <w:color w:val="1C1E21"/>
          <w:sz w:val="20"/>
          <w:szCs w:val="20"/>
        </w:rPr>
        <w:drawing>
          <wp:inline distT="0" distB="0" distL="0" distR="0">
            <wp:extent cx="3990109" cy="2985125"/>
            <wp:effectExtent l="0" t="0" r="0" b="0"/>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chermata 2020-06-15 alle 20.58.40.png"/>
                    <pic:cNvPicPr/>
                  </pic:nvPicPr>
                  <pic:blipFill>
                    <a:blip r:embed="rId27">
                      <a:extLst>
                        <a:ext uri="{28A0092B-C50C-407E-A947-70E740481C1C}">
                          <a14:useLocalDpi xmlns:a14="http://schemas.microsoft.com/office/drawing/2010/main" val="0"/>
                        </a:ext>
                      </a:extLst>
                    </a:blip>
                    <a:stretch>
                      <a:fillRect/>
                    </a:stretch>
                  </pic:blipFill>
                  <pic:spPr>
                    <a:xfrm>
                      <a:off x="0" y="0"/>
                      <a:ext cx="4011639" cy="3001232"/>
                    </a:xfrm>
                    <a:prstGeom prst="rect">
                      <a:avLst/>
                    </a:prstGeom>
                  </pic:spPr>
                </pic:pic>
              </a:graphicData>
            </a:graphic>
          </wp:inline>
        </w:drawing>
      </w:r>
    </w:p>
    <w:p w:rsidR="00C429FE" w:rsidRDefault="00C429FE" w:rsidP="002B7F58">
      <w:pPr>
        <w:jc w:val="both"/>
        <w:rPr>
          <w:rFonts w:asciiTheme="minorHAnsi" w:hAnsiTheme="minorHAnsi" w:cstheme="minorHAnsi"/>
          <w:color w:val="1C1E21"/>
          <w:sz w:val="20"/>
          <w:szCs w:val="20"/>
        </w:rPr>
      </w:pPr>
    </w:p>
    <w:p w:rsidR="0036745E" w:rsidRDefault="0036745E" w:rsidP="002B7F58">
      <w:pPr>
        <w:jc w:val="both"/>
        <w:rPr>
          <w:rFonts w:asciiTheme="minorHAnsi" w:hAnsiTheme="minorHAnsi" w:cstheme="minorHAnsi"/>
          <w:color w:val="1C1E21"/>
          <w:sz w:val="20"/>
          <w:szCs w:val="20"/>
        </w:rPr>
      </w:pPr>
    </w:p>
    <w:p w:rsidR="002B7F58" w:rsidRDefault="002B7F58" w:rsidP="002B7F58">
      <w:pPr>
        <w:jc w:val="both"/>
        <w:rPr>
          <w:rFonts w:asciiTheme="minorHAnsi" w:hAnsiTheme="minorHAnsi" w:cstheme="minorHAnsi"/>
          <w:color w:val="1C1E21"/>
          <w:sz w:val="20"/>
          <w:szCs w:val="20"/>
        </w:rPr>
      </w:pPr>
      <w:r w:rsidRPr="00831A17">
        <w:rPr>
          <w:rFonts w:asciiTheme="minorHAnsi" w:hAnsiTheme="minorHAnsi" w:cstheme="minorHAnsi"/>
          <w:color w:val="1C1E21"/>
          <w:sz w:val="20"/>
          <w:szCs w:val="20"/>
        </w:rPr>
        <w:t>A quest</w:t>
      </w:r>
      <w:r w:rsidR="001F0F85" w:rsidRPr="00831A17">
        <w:rPr>
          <w:rFonts w:asciiTheme="minorHAnsi" w:hAnsiTheme="minorHAnsi" w:cstheme="minorHAnsi"/>
          <w:color w:val="1C1E21"/>
          <w:sz w:val="20"/>
          <w:szCs w:val="20"/>
        </w:rPr>
        <w:t xml:space="preserve">a limitazione importante </w:t>
      </w:r>
      <w:r w:rsidRPr="00831A17">
        <w:rPr>
          <w:rFonts w:asciiTheme="minorHAnsi" w:hAnsiTheme="minorHAnsi" w:cstheme="minorHAnsi"/>
          <w:color w:val="1C1E21"/>
          <w:sz w:val="20"/>
          <w:szCs w:val="20"/>
        </w:rPr>
        <w:t xml:space="preserve">si aggiunge un inspiegabile </w:t>
      </w:r>
      <w:r w:rsidRPr="00D94AB1">
        <w:rPr>
          <w:rFonts w:asciiTheme="minorHAnsi" w:hAnsiTheme="minorHAnsi" w:cstheme="minorHAnsi"/>
          <w:b/>
          <w:bCs/>
          <w:color w:val="1C1E21"/>
          <w:sz w:val="20"/>
          <w:szCs w:val="20"/>
        </w:rPr>
        <w:t>ritardo nell’esecuzione dell’analisi genetica del virus tramite sequenziamento</w:t>
      </w:r>
      <w:r w:rsidR="00D94AB1">
        <w:rPr>
          <w:rFonts w:asciiTheme="minorHAnsi" w:hAnsiTheme="minorHAnsi" w:cstheme="minorHAnsi"/>
          <w:color w:val="1C1E21"/>
          <w:sz w:val="20"/>
          <w:szCs w:val="20"/>
        </w:rPr>
        <w:t xml:space="preserve"> su un numero ampio di campioni,</w:t>
      </w:r>
      <w:r w:rsidRPr="00831A17">
        <w:rPr>
          <w:rFonts w:asciiTheme="minorHAnsi" w:hAnsiTheme="minorHAnsi" w:cstheme="minorHAnsi"/>
          <w:color w:val="1C1E21"/>
          <w:sz w:val="20"/>
          <w:szCs w:val="20"/>
        </w:rPr>
        <w:t xml:space="preserve"> che avrebbe consentito di definire l’accuratezza del test in RT-PCR, la dinamica dell’evoluzione del virus (velocità di mutazione) e</w:t>
      </w:r>
      <w:r w:rsidR="00D702D7" w:rsidRPr="00831A17">
        <w:rPr>
          <w:rFonts w:asciiTheme="minorHAnsi" w:hAnsiTheme="minorHAnsi" w:cstheme="minorHAnsi"/>
          <w:color w:val="1C1E21"/>
          <w:sz w:val="20"/>
          <w:szCs w:val="20"/>
        </w:rPr>
        <w:t>,</w:t>
      </w:r>
      <w:r w:rsidRPr="00831A17">
        <w:rPr>
          <w:rFonts w:asciiTheme="minorHAnsi" w:hAnsiTheme="minorHAnsi" w:cstheme="minorHAnsi"/>
          <w:color w:val="1C1E21"/>
          <w:sz w:val="20"/>
          <w:szCs w:val="20"/>
        </w:rPr>
        <w:t xml:space="preserve"> se effettuato sui tessuti autoptici (studio ad oggi non ancora svolto!)</w:t>
      </w:r>
      <w:r w:rsidR="00D702D7" w:rsidRPr="00831A17">
        <w:rPr>
          <w:rFonts w:asciiTheme="minorHAnsi" w:hAnsiTheme="minorHAnsi" w:cstheme="minorHAnsi"/>
          <w:color w:val="1C1E21"/>
          <w:sz w:val="20"/>
          <w:szCs w:val="20"/>
        </w:rPr>
        <w:t>,</w:t>
      </w:r>
      <w:r w:rsidRPr="00831A17">
        <w:rPr>
          <w:rFonts w:asciiTheme="minorHAnsi" w:hAnsiTheme="minorHAnsi" w:cstheme="minorHAnsi"/>
          <w:color w:val="1C1E21"/>
          <w:sz w:val="20"/>
          <w:szCs w:val="20"/>
        </w:rPr>
        <w:t xml:space="preserve">  di definire in maniera molto più informativa le caratteristiche della malattia. </w:t>
      </w:r>
    </w:p>
    <w:p w:rsidR="00C429FE" w:rsidRPr="00831A17" w:rsidRDefault="00C429FE" w:rsidP="002B7F58">
      <w:pPr>
        <w:jc w:val="both"/>
        <w:rPr>
          <w:rFonts w:asciiTheme="minorHAnsi" w:hAnsiTheme="minorHAnsi" w:cstheme="minorHAnsi"/>
          <w:color w:val="1C1E21"/>
          <w:sz w:val="20"/>
          <w:szCs w:val="20"/>
        </w:rPr>
      </w:pPr>
    </w:p>
    <w:p w:rsidR="0036745E" w:rsidRPr="00A078ED" w:rsidRDefault="0036745E" w:rsidP="00A078ED">
      <w:pPr>
        <w:pBdr>
          <w:top w:val="double" w:sz="4" w:space="1" w:color="4472C4" w:themeColor="accent1"/>
          <w:left w:val="double" w:sz="4" w:space="5" w:color="4472C4" w:themeColor="accent1"/>
          <w:bottom w:val="double" w:sz="4" w:space="1" w:color="4472C4" w:themeColor="accent1"/>
          <w:right w:val="double" w:sz="4" w:space="4" w:color="4472C4" w:themeColor="accent1"/>
        </w:pBdr>
        <w:shd w:val="clear" w:color="auto" w:fill="FBF9E1"/>
        <w:ind w:left="426" w:right="418"/>
        <w:jc w:val="both"/>
        <w:rPr>
          <w:rFonts w:asciiTheme="minorHAnsi" w:hAnsiTheme="minorHAnsi" w:cstheme="minorHAnsi"/>
          <w:color w:val="2F5496" w:themeColor="accent1" w:themeShade="BF"/>
          <w:sz w:val="20"/>
          <w:szCs w:val="20"/>
        </w:rPr>
      </w:pPr>
    </w:p>
    <w:p w:rsidR="00C429FE" w:rsidRPr="00A078ED" w:rsidRDefault="0036745E" w:rsidP="00A078ED">
      <w:pPr>
        <w:pBdr>
          <w:top w:val="double" w:sz="4" w:space="1" w:color="4472C4" w:themeColor="accent1"/>
          <w:left w:val="double" w:sz="4" w:space="5" w:color="4472C4" w:themeColor="accent1"/>
          <w:bottom w:val="double" w:sz="4" w:space="1" w:color="4472C4" w:themeColor="accent1"/>
          <w:right w:val="double" w:sz="4" w:space="4" w:color="4472C4" w:themeColor="accent1"/>
        </w:pBdr>
        <w:shd w:val="clear" w:color="auto" w:fill="FBF9E1"/>
        <w:ind w:left="426" w:right="418"/>
        <w:jc w:val="both"/>
        <w:rPr>
          <w:rFonts w:asciiTheme="minorHAnsi" w:hAnsiTheme="minorHAnsi" w:cstheme="minorHAnsi"/>
          <w:i/>
          <w:iCs/>
          <w:color w:val="2F5496" w:themeColor="accent1" w:themeShade="BF"/>
          <w:sz w:val="20"/>
          <w:szCs w:val="20"/>
        </w:rPr>
      </w:pPr>
      <w:r w:rsidRPr="00A078ED">
        <w:rPr>
          <w:rFonts w:asciiTheme="minorHAnsi" w:hAnsiTheme="minorHAnsi" w:cstheme="minorHAnsi"/>
          <w:i/>
          <w:iCs/>
          <w:color w:val="2F5496" w:themeColor="accent1" w:themeShade="BF"/>
          <w:sz w:val="20"/>
          <w:szCs w:val="20"/>
        </w:rPr>
        <w:t>R</w:t>
      </w:r>
      <w:r w:rsidR="00C429FE" w:rsidRPr="00A078ED">
        <w:rPr>
          <w:rFonts w:asciiTheme="minorHAnsi" w:hAnsiTheme="minorHAnsi" w:cstheme="minorHAnsi"/>
          <w:i/>
          <w:iCs/>
          <w:color w:val="2F5496" w:themeColor="accent1" w:themeShade="BF"/>
          <w:sz w:val="20"/>
          <w:szCs w:val="20"/>
        </w:rPr>
        <w:t xml:space="preserve">imane </w:t>
      </w:r>
      <w:r w:rsidRPr="00A078ED">
        <w:rPr>
          <w:rFonts w:asciiTheme="minorHAnsi" w:hAnsiTheme="minorHAnsi" w:cstheme="minorHAnsi"/>
          <w:i/>
          <w:iCs/>
          <w:color w:val="2F5496" w:themeColor="accent1" w:themeShade="BF"/>
          <w:sz w:val="20"/>
          <w:szCs w:val="20"/>
        </w:rPr>
        <w:t xml:space="preserve">quindi </w:t>
      </w:r>
      <w:r w:rsidR="00C429FE" w:rsidRPr="00A078ED">
        <w:rPr>
          <w:rFonts w:asciiTheme="minorHAnsi" w:hAnsiTheme="minorHAnsi" w:cstheme="minorHAnsi"/>
          <w:i/>
          <w:iCs/>
          <w:color w:val="2F5496" w:themeColor="accent1" w:themeShade="BF"/>
          <w:sz w:val="20"/>
          <w:szCs w:val="20"/>
        </w:rPr>
        <w:t xml:space="preserve">ancora da approfondire e </w:t>
      </w:r>
      <w:r w:rsidRPr="00A078ED">
        <w:rPr>
          <w:rFonts w:asciiTheme="minorHAnsi" w:hAnsiTheme="minorHAnsi" w:cstheme="minorHAnsi"/>
          <w:i/>
          <w:iCs/>
          <w:color w:val="2F5496" w:themeColor="accent1" w:themeShade="BF"/>
          <w:sz w:val="20"/>
          <w:szCs w:val="20"/>
        </w:rPr>
        <w:t>da quantificare</w:t>
      </w:r>
      <w:r w:rsidR="00C429FE" w:rsidRPr="00A078ED">
        <w:rPr>
          <w:rFonts w:asciiTheme="minorHAnsi" w:hAnsiTheme="minorHAnsi" w:cstheme="minorHAnsi"/>
          <w:i/>
          <w:iCs/>
          <w:color w:val="2F5496" w:themeColor="accent1" w:themeShade="BF"/>
          <w:sz w:val="20"/>
          <w:szCs w:val="20"/>
        </w:rPr>
        <w:t xml:space="preserve"> l’impatto sulla mortalità </w:t>
      </w:r>
      <w:r w:rsidRPr="00A078ED">
        <w:rPr>
          <w:rFonts w:asciiTheme="minorHAnsi" w:hAnsiTheme="minorHAnsi" w:cstheme="minorHAnsi"/>
          <w:i/>
          <w:iCs/>
          <w:color w:val="2F5496" w:themeColor="accent1" w:themeShade="BF"/>
          <w:sz w:val="20"/>
          <w:szCs w:val="20"/>
        </w:rPr>
        <w:t>dovuto da un lato ai dati limitati sulle</w:t>
      </w:r>
      <w:r w:rsidR="00C429FE" w:rsidRPr="00A078ED">
        <w:rPr>
          <w:rFonts w:asciiTheme="minorHAnsi" w:hAnsiTheme="minorHAnsi" w:cstheme="minorHAnsi"/>
          <w:i/>
          <w:iCs/>
          <w:color w:val="2F5496" w:themeColor="accent1" w:themeShade="BF"/>
          <w:sz w:val="20"/>
          <w:szCs w:val="20"/>
        </w:rPr>
        <w:t xml:space="preserve"> autopsie e </w:t>
      </w:r>
      <w:r w:rsidRPr="00A078ED">
        <w:rPr>
          <w:rFonts w:asciiTheme="minorHAnsi" w:hAnsiTheme="minorHAnsi" w:cstheme="minorHAnsi"/>
          <w:i/>
          <w:iCs/>
          <w:color w:val="2F5496" w:themeColor="accent1" w:themeShade="BF"/>
          <w:sz w:val="20"/>
          <w:szCs w:val="20"/>
        </w:rPr>
        <w:t>al</w:t>
      </w:r>
      <w:r w:rsidR="00C429FE" w:rsidRPr="00A078ED">
        <w:rPr>
          <w:rFonts w:asciiTheme="minorHAnsi" w:hAnsiTheme="minorHAnsi" w:cstheme="minorHAnsi"/>
          <w:i/>
          <w:iCs/>
          <w:color w:val="2F5496" w:themeColor="accent1" w:themeShade="BF"/>
          <w:sz w:val="20"/>
          <w:szCs w:val="20"/>
        </w:rPr>
        <w:t>l’impossibilità di effettuarle a posteriori per la disposizione di procedere con la cremazione di gran parte dei deceduti</w:t>
      </w:r>
      <w:r w:rsidRPr="00A078ED">
        <w:rPr>
          <w:rFonts w:asciiTheme="minorHAnsi" w:hAnsiTheme="minorHAnsi" w:cstheme="minorHAnsi"/>
          <w:i/>
          <w:iCs/>
          <w:color w:val="2F5496" w:themeColor="accent1" w:themeShade="BF"/>
          <w:sz w:val="20"/>
          <w:szCs w:val="20"/>
        </w:rPr>
        <w:t>,</w:t>
      </w:r>
      <w:r w:rsidR="00C429FE" w:rsidRPr="00A078ED">
        <w:rPr>
          <w:rFonts w:asciiTheme="minorHAnsi" w:hAnsiTheme="minorHAnsi" w:cstheme="minorHAnsi"/>
          <w:i/>
          <w:iCs/>
          <w:color w:val="2F5496" w:themeColor="accent1" w:themeShade="BF"/>
          <w:sz w:val="20"/>
          <w:szCs w:val="20"/>
        </w:rPr>
        <w:t xml:space="preserve"> e </w:t>
      </w:r>
      <w:r w:rsidRPr="00A078ED">
        <w:rPr>
          <w:rFonts w:asciiTheme="minorHAnsi" w:hAnsiTheme="minorHAnsi" w:cstheme="minorHAnsi"/>
          <w:i/>
          <w:iCs/>
          <w:color w:val="2F5496" w:themeColor="accent1" w:themeShade="BF"/>
          <w:sz w:val="20"/>
          <w:szCs w:val="20"/>
        </w:rPr>
        <w:t>dall’altro a</w:t>
      </w:r>
      <w:r w:rsidR="00C429FE" w:rsidRPr="00A078ED">
        <w:rPr>
          <w:rFonts w:asciiTheme="minorHAnsi" w:hAnsiTheme="minorHAnsi" w:cstheme="minorHAnsi"/>
          <w:i/>
          <w:iCs/>
          <w:color w:val="2F5496" w:themeColor="accent1" w:themeShade="BF"/>
          <w:sz w:val="20"/>
          <w:szCs w:val="20"/>
        </w:rPr>
        <w:t>lla modifica della terapia farmacologica in seguito al</w:t>
      </w:r>
      <w:r w:rsidRPr="00A078ED">
        <w:rPr>
          <w:rFonts w:asciiTheme="minorHAnsi" w:hAnsiTheme="minorHAnsi" w:cstheme="minorHAnsi"/>
          <w:i/>
          <w:iCs/>
          <w:color w:val="2F5496" w:themeColor="accent1" w:themeShade="BF"/>
          <w:sz w:val="20"/>
          <w:szCs w:val="20"/>
        </w:rPr>
        <w:t xml:space="preserve"> miglioramento della diagnosi.   </w:t>
      </w:r>
    </w:p>
    <w:p w:rsidR="0036745E" w:rsidRDefault="0036745E" w:rsidP="00A078ED">
      <w:pPr>
        <w:pBdr>
          <w:top w:val="double" w:sz="4" w:space="1" w:color="4472C4" w:themeColor="accent1"/>
          <w:left w:val="double" w:sz="4" w:space="5" w:color="4472C4" w:themeColor="accent1"/>
          <w:bottom w:val="double" w:sz="4" w:space="1" w:color="4472C4" w:themeColor="accent1"/>
          <w:right w:val="double" w:sz="4" w:space="4" w:color="4472C4" w:themeColor="accent1"/>
        </w:pBdr>
        <w:shd w:val="clear" w:color="auto" w:fill="FBF9E1"/>
        <w:ind w:left="426" w:right="418"/>
        <w:jc w:val="both"/>
        <w:rPr>
          <w:rFonts w:asciiTheme="minorHAnsi" w:hAnsiTheme="minorHAnsi" w:cstheme="minorHAnsi"/>
          <w:color w:val="1C1E21"/>
          <w:sz w:val="20"/>
          <w:szCs w:val="20"/>
        </w:rPr>
      </w:pPr>
    </w:p>
    <w:p w:rsidR="00C429FE" w:rsidRPr="00831A17" w:rsidRDefault="00C429FE" w:rsidP="00C429FE">
      <w:pPr>
        <w:jc w:val="both"/>
        <w:rPr>
          <w:rFonts w:asciiTheme="minorHAnsi" w:hAnsiTheme="minorHAnsi" w:cstheme="minorHAnsi"/>
          <w:color w:val="1C1E21"/>
          <w:sz w:val="20"/>
          <w:szCs w:val="20"/>
        </w:rPr>
      </w:pPr>
    </w:p>
    <w:p w:rsidR="00C720B6" w:rsidRDefault="00C720B6" w:rsidP="002B7F58">
      <w:pPr>
        <w:shd w:val="clear" w:color="auto" w:fill="FFFFFF"/>
        <w:jc w:val="both"/>
        <w:rPr>
          <w:rFonts w:asciiTheme="minorHAnsi" w:hAnsiTheme="minorHAnsi" w:cstheme="minorHAnsi"/>
          <w:b/>
          <w:bCs/>
          <w:color w:val="C00000"/>
          <w:sz w:val="22"/>
          <w:szCs w:val="22"/>
        </w:rPr>
      </w:pPr>
    </w:p>
    <w:p w:rsidR="00A078ED" w:rsidRDefault="00A078ED" w:rsidP="002B7F58">
      <w:pPr>
        <w:shd w:val="clear" w:color="auto" w:fill="FFFFFF"/>
        <w:jc w:val="both"/>
        <w:rPr>
          <w:rFonts w:asciiTheme="minorHAnsi" w:hAnsiTheme="minorHAnsi" w:cstheme="minorHAnsi"/>
          <w:b/>
          <w:bCs/>
          <w:color w:val="C00000"/>
          <w:sz w:val="22"/>
          <w:szCs w:val="22"/>
        </w:rPr>
      </w:pPr>
    </w:p>
    <w:p w:rsidR="00A078ED" w:rsidRDefault="00A078ED" w:rsidP="002B7F58">
      <w:pPr>
        <w:shd w:val="clear" w:color="auto" w:fill="FFFFFF"/>
        <w:jc w:val="both"/>
        <w:rPr>
          <w:rFonts w:asciiTheme="minorHAnsi" w:hAnsiTheme="minorHAnsi" w:cstheme="minorHAnsi"/>
          <w:b/>
          <w:bCs/>
          <w:color w:val="C00000"/>
          <w:sz w:val="22"/>
          <w:szCs w:val="22"/>
        </w:rPr>
      </w:pPr>
    </w:p>
    <w:p w:rsidR="00A078ED" w:rsidRDefault="00A078ED" w:rsidP="002B7F58">
      <w:pPr>
        <w:shd w:val="clear" w:color="auto" w:fill="FFFFFF"/>
        <w:jc w:val="both"/>
        <w:rPr>
          <w:rFonts w:asciiTheme="minorHAnsi" w:hAnsiTheme="minorHAnsi" w:cstheme="minorHAnsi"/>
          <w:b/>
          <w:bCs/>
          <w:color w:val="C00000"/>
          <w:sz w:val="22"/>
          <w:szCs w:val="22"/>
        </w:rPr>
      </w:pPr>
    </w:p>
    <w:p w:rsidR="00A078ED" w:rsidRDefault="00A078ED" w:rsidP="002B7F58">
      <w:pPr>
        <w:shd w:val="clear" w:color="auto" w:fill="FFFFFF"/>
        <w:jc w:val="both"/>
        <w:rPr>
          <w:rFonts w:asciiTheme="minorHAnsi" w:hAnsiTheme="minorHAnsi" w:cstheme="minorHAnsi"/>
          <w:b/>
          <w:bCs/>
          <w:color w:val="C00000"/>
          <w:sz w:val="22"/>
          <w:szCs w:val="22"/>
        </w:rPr>
      </w:pPr>
    </w:p>
    <w:p w:rsidR="00A078ED" w:rsidRDefault="00A078ED" w:rsidP="002B7F58">
      <w:pPr>
        <w:shd w:val="clear" w:color="auto" w:fill="FFFFFF"/>
        <w:jc w:val="both"/>
        <w:rPr>
          <w:rFonts w:asciiTheme="minorHAnsi" w:hAnsiTheme="minorHAnsi" w:cstheme="minorHAnsi"/>
          <w:b/>
          <w:bCs/>
          <w:color w:val="C00000"/>
          <w:sz w:val="22"/>
          <w:szCs w:val="22"/>
        </w:rPr>
      </w:pPr>
    </w:p>
    <w:p w:rsidR="00A078ED" w:rsidRDefault="00A078ED" w:rsidP="002B7F58">
      <w:pPr>
        <w:shd w:val="clear" w:color="auto" w:fill="FFFFFF"/>
        <w:jc w:val="both"/>
        <w:rPr>
          <w:rFonts w:asciiTheme="minorHAnsi" w:hAnsiTheme="minorHAnsi" w:cstheme="minorHAnsi"/>
          <w:b/>
          <w:bCs/>
          <w:color w:val="C00000"/>
          <w:sz w:val="22"/>
          <w:szCs w:val="22"/>
        </w:rPr>
      </w:pPr>
    </w:p>
    <w:p w:rsidR="00D94AB1" w:rsidRDefault="00D94AB1" w:rsidP="002B7F58">
      <w:pPr>
        <w:shd w:val="clear" w:color="auto" w:fill="FFFFFF"/>
        <w:jc w:val="both"/>
        <w:rPr>
          <w:rFonts w:asciiTheme="minorHAnsi" w:hAnsiTheme="minorHAnsi" w:cstheme="minorHAnsi"/>
          <w:b/>
          <w:bCs/>
          <w:i/>
          <w:iCs/>
          <w:color w:val="C00000"/>
        </w:rPr>
      </w:pPr>
      <w:r w:rsidRPr="00A078ED">
        <w:rPr>
          <w:rFonts w:asciiTheme="minorHAnsi" w:hAnsiTheme="minorHAnsi" w:cstheme="minorHAnsi"/>
          <w:b/>
          <w:bCs/>
          <w:i/>
          <w:iCs/>
          <w:color w:val="C00000"/>
        </w:rPr>
        <w:lastRenderedPageBreak/>
        <w:t>Le caratteristiche patologiche del COVID-19 erano già note?</w:t>
      </w:r>
    </w:p>
    <w:p w:rsidR="00A078ED" w:rsidRPr="00A078ED" w:rsidRDefault="00A078ED" w:rsidP="002B7F58">
      <w:pPr>
        <w:shd w:val="clear" w:color="auto" w:fill="FFFFFF"/>
        <w:jc w:val="both"/>
        <w:rPr>
          <w:rFonts w:asciiTheme="minorHAnsi" w:hAnsiTheme="minorHAnsi" w:cstheme="minorHAnsi"/>
          <w:b/>
          <w:bCs/>
          <w:i/>
          <w:iCs/>
          <w:color w:val="C00000"/>
        </w:rPr>
      </w:pPr>
    </w:p>
    <w:p w:rsidR="00CA0959" w:rsidRDefault="002B7F58" w:rsidP="002B7F58">
      <w:pPr>
        <w:shd w:val="clear" w:color="auto" w:fill="FFFFFF"/>
        <w:jc w:val="both"/>
        <w:rPr>
          <w:rFonts w:asciiTheme="minorHAnsi" w:hAnsiTheme="minorHAnsi" w:cstheme="minorHAnsi"/>
          <w:color w:val="1C1E21"/>
          <w:sz w:val="20"/>
          <w:szCs w:val="20"/>
        </w:rPr>
      </w:pPr>
      <w:r w:rsidRPr="00D94AB1">
        <w:rPr>
          <w:rFonts w:asciiTheme="minorHAnsi" w:hAnsiTheme="minorHAnsi" w:cstheme="minorHAnsi"/>
          <w:color w:val="1C1E21"/>
          <w:sz w:val="20"/>
          <w:szCs w:val="20"/>
        </w:rPr>
        <w:t xml:space="preserve">Sebbene sia stato coniato un nuovo nome (COVID-19) per la malattia causata dal SARS-Cov-2, in realtà era già noto dalle caratteristiche delle patologie associate all’infezione di SARS-Cov-1 e dei coronavirus umani </w:t>
      </w:r>
      <w:r w:rsidRPr="00D94AB1">
        <w:rPr>
          <w:rStyle w:val="FootnoteReference"/>
          <w:rFonts w:asciiTheme="minorHAnsi" w:hAnsiTheme="minorHAnsi" w:cstheme="minorHAnsi"/>
          <w:color w:val="1C1E21"/>
          <w:sz w:val="20"/>
          <w:szCs w:val="20"/>
        </w:rPr>
        <w:footnoteReference w:id="21"/>
      </w:r>
      <w:r w:rsidRPr="00D94AB1">
        <w:rPr>
          <w:rFonts w:asciiTheme="minorHAnsi" w:hAnsiTheme="minorHAnsi" w:cstheme="minorHAnsi"/>
          <w:color w:val="1C1E21"/>
          <w:sz w:val="20"/>
          <w:szCs w:val="20"/>
        </w:rPr>
        <w:t xml:space="preserve"> che il meccanismo che porta alla complicazione anche fatale è una </w:t>
      </w:r>
      <w:r w:rsidRPr="00A078ED">
        <w:rPr>
          <w:rFonts w:asciiTheme="minorHAnsi" w:hAnsiTheme="minorHAnsi" w:cstheme="minorHAnsi"/>
          <w:b/>
          <w:bCs/>
          <w:color w:val="1C1E21"/>
          <w:sz w:val="20"/>
          <w:szCs w:val="20"/>
        </w:rPr>
        <w:t>reazione autoimmune/infiammatoria</w:t>
      </w:r>
      <w:r w:rsidRPr="00D94AB1">
        <w:rPr>
          <w:rFonts w:asciiTheme="minorHAnsi" w:hAnsiTheme="minorHAnsi" w:cstheme="minorHAnsi"/>
          <w:color w:val="1C1E21"/>
          <w:sz w:val="20"/>
          <w:szCs w:val="20"/>
        </w:rPr>
        <w:t xml:space="preserve"> con le caratteristiche </w:t>
      </w:r>
      <w:r w:rsidR="001866E8" w:rsidRPr="00D94AB1">
        <w:rPr>
          <w:rFonts w:asciiTheme="minorHAnsi" w:hAnsiTheme="minorHAnsi" w:cstheme="minorHAnsi"/>
          <w:color w:val="1C1E21"/>
          <w:sz w:val="20"/>
          <w:szCs w:val="20"/>
        </w:rPr>
        <w:t xml:space="preserve">cliniche </w:t>
      </w:r>
      <w:r w:rsidRPr="00D94AB1">
        <w:rPr>
          <w:rFonts w:asciiTheme="minorHAnsi" w:hAnsiTheme="minorHAnsi" w:cstheme="minorHAnsi"/>
          <w:color w:val="1C1E21"/>
          <w:sz w:val="20"/>
          <w:szCs w:val="20"/>
        </w:rPr>
        <w:t xml:space="preserve">della </w:t>
      </w:r>
      <w:r w:rsidRPr="00A078ED">
        <w:rPr>
          <w:rFonts w:asciiTheme="minorHAnsi" w:hAnsiTheme="minorHAnsi" w:cstheme="minorHAnsi"/>
          <w:b/>
          <w:bCs/>
          <w:i/>
          <w:color w:val="1C1E21"/>
          <w:sz w:val="20"/>
          <w:szCs w:val="20"/>
        </w:rPr>
        <w:t>sindrome da tempesta d</w:t>
      </w:r>
      <w:r w:rsidR="00395E02">
        <w:rPr>
          <w:rFonts w:asciiTheme="minorHAnsi" w:hAnsiTheme="minorHAnsi" w:cstheme="minorHAnsi"/>
          <w:b/>
          <w:bCs/>
          <w:i/>
          <w:color w:val="1C1E21"/>
          <w:sz w:val="20"/>
          <w:szCs w:val="20"/>
        </w:rPr>
        <w:t>i</w:t>
      </w:r>
      <w:r w:rsidRPr="00A078ED">
        <w:rPr>
          <w:rFonts w:asciiTheme="minorHAnsi" w:hAnsiTheme="minorHAnsi" w:cstheme="minorHAnsi"/>
          <w:b/>
          <w:bCs/>
          <w:i/>
          <w:color w:val="1C1E21"/>
          <w:sz w:val="20"/>
          <w:szCs w:val="20"/>
        </w:rPr>
        <w:t xml:space="preserve"> (o da rilascio di) citochine </w:t>
      </w:r>
      <w:r w:rsidRPr="00A078ED">
        <w:rPr>
          <w:rFonts w:asciiTheme="minorHAnsi" w:hAnsiTheme="minorHAnsi" w:cstheme="minorHAnsi"/>
          <w:b/>
          <w:bCs/>
          <w:color w:val="1C1E21"/>
          <w:sz w:val="20"/>
          <w:szCs w:val="20"/>
        </w:rPr>
        <w:t>e nei suoi sottotipi</w:t>
      </w:r>
      <w:r w:rsidRPr="00D94AB1">
        <w:rPr>
          <w:rFonts w:asciiTheme="minorHAnsi" w:hAnsiTheme="minorHAnsi" w:cstheme="minorHAnsi"/>
          <w:color w:val="1C1E21"/>
          <w:sz w:val="20"/>
          <w:szCs w:val="20"/>
        </w:rPr>
        <w:t xml:space="preserve"> (sindrome da attivazione macrofagica – MAS </w:t>
      </w:r>
      <w:r w:rsidRPr="00D94AB1">
        <w:rPr>
          <w:rStyle w:val="FootnoteReference"/>
          <w:rFonts w:asciiTheme="minorHAnsi" w:hAnsiTheme="minorHAnsi" w:cstheme="minorHAnsi"/>
          <w:color w:val="1C1E21"/>
          <w:sz w:val="20"/>
          <w:szCs w:val="20"/>
        </w:rPr>
        <w:footnoteReference w:id="22"/>
      </w:r>
      <w:r w:rsidRPr="00D94AB1">
        <w:rPr>
          <w:rFonts w:asciiTheme="minorHAnsi" w:hAnsiTheme="minorHAnsi" w:cstheme="minorHAnsi"/>
          <w:color w:val="1C1E21"/>
          <w:sz w:val="20"/>
          <w:szCs w:val="20"/>
        </w:rPr>
        <w:t xml:space="preserve">  e linfoistiocitosi emofagocitica – HLS </w:t>
      </w:r>
      <w:r w:rsidRPr="00D94AB1">
        <w:rPr>
          <w:rStyle w:val="FootnoteReference"/>
          <w:rFonts w:asciiTheme="minorHAnsi" w:hAnsiTheme="minorHAnsi" w:cstheme="minorHAnsi"/>
          <w:color w:val="1C1E21"/>
          <w:sz w:val="20"/>
          <w:szCs w:val="20"/>
        </w:rPr>
        <w:footnoteReference w:id="23"/>
      </w:r>
      <w:r w:rsidRPr="00D94AB1">
        <w:rPr>
          <w:rFonts w:asciiTheme="minorHAnsi" w:hAnsiTheme="minorHAnsi" w:cstheme="minorHAnsi"/>
          <w:color w:val="1C1E21"/>
          <w:sz w:val="20"/>
          <w:szCs w:val="20"/>
        </w:rPr>
        <w:t xml:space="preserve">) . </w:t>
      </w:r>
    </w:p>
    <w:p w:rsidR="00A078ED" w:rsidRPr="00D94AB1" w:rsidRDefault="00A078ED" w:rsidP="002B7F58">
      <w:pPr>
        <w:shd w:val="clear" w:color="auto" w:fill="FFFFFF"/>
        <w:jc w:val="both"/>
        <w:rPr>
          <w:rFonts w:asciiTheme="minorHAnsi" w:hAnsiTheme="minorHAnsi" w:cstheme="minorHAnsi"/>
          <w:color w:val="1C1E21"/>
          <w:sz w:val="20"/>
          <w:szCs w:val="20"/>
        </w:rPr>
      </w:pPr>
    </w:p>
    <w:p w:rsidR="002B7F58" w:rsidRDefault="002B7F58" w:rsidP="002B7F58">
      <w:pPr>
        <w:shd w:val="clear" w:color="auto" w:fill="FFFFFF"/>
        <w:jc w:val="both"/>
        <w:rPr>
          <w:rFonts w:asciiTheme="minorHAnsi" w:hAnsiTheme="minorHAnsi" w:cstheme="minorHAnsi"/>
          <w:color w:val="1C1E21"/>
          <w:sz w:val="20"/>
          <w:szCs w:val="20"/>
        </w:rPr>
      </w:pPr>
      <w:r w:rsidRPr="000D29F8">
        <w:rPr>
          <w:rFonts w:asciiTheme="minorHAnsi" w:hAnsiTheme="minorHAnsi" w:cstheme="minorHAnsi"/>
          <w:color w:val="1C1E21"/>
          <w:sz w:val="20"/>
          <w:szCs w:val="20"/>
        </w:rPr>
        <w:t xml:space="preserve">In questa patologia </w:t>
      </w:r>
      <w:r w:rsidRPr="00A078ED">
        <w:rPr>
          <w:rFonts w:asciiTheme="minorHAnsi" w:hAnsiTheme="minorHAnsi" w:cstheme="minorHAnsi"/>
          <w:b/>
          <w:bCs/>
          <w:color w:val="1C1E21"/>
          <w:sz w:val="20"/>
          <w:szCs w:val="20"/>
        </w:rPr>
        <w:t>lo stimolo infiammatorio eccessivo dovuto alla tempesta di citochine porta al danno multiorgano</w:t>
      </w:r>
      <w:r w:rsidRPr="000D29F8">
        <w:rPr>
          <w:rFonts w:asciiTheme="minorHAnsi" w:hAnsiTheme="minorHAnsi" w:cstheme="minorHAnsi"/>
          <w:color w:val="1C1E21"/>
          <w:sz w:val="20"/>
          <w:szCs w:val="20"/>
        </w:rPr>
        <w:t xml:space="preserve"> (polmoni, intestino, cervello, cuore, reni ect.) che rappresenta la fase finale del processo patologico indotto dal sistema immunitario stesso contro le strutture dell’organismo. </w:t>
      </w:r>
      <w:r w:rsidRPr="000D29F8">
        <w:rPr>
          <w:rStyle w:val="FootnoteReference"/>
          <w:rFonts w:asciiTheme="minorHAnsi" w:hAnsiTheme="minorHAnsi" w:cstheme="minorHAnsi"/>
          <w:sz w:val="20"/>
          <w:szCs w:val="20"/>
        </w:rPr>
        <w:footnoteReference w:id="24"/>
      </w:r>
      <w:r w:rsidRPr="000D29F8">
        <w:rPr>
          <w:rFonts w:asciiTheme="minorHAnsi" w:hAnsiTheme="minorHAnsi" w:cstheme="minorHAnsi"/>
          <w:color w:val="1C1E21"/>
          <w:sz w:val="20"/>
          <w:szCs w:val="20"/>
        </w:rPr>
        <w:t xml:space="preserve"> </w:t>
      </w:r>
      <w:r w:rsidR="000D29F8">
        <w:rPr>
          <w:rFonts w:asciiTheme="minorHAnsi" w:hAnsiTheme="minorHAnsi" w:cstheme="minorHAnsi"/>
          <w:color w:val="1C1E21"/>
          <w:sz w:val="20"/>
          <w:szCs w:val="20"/>
        </w:rPr>
        <w:t>L’approfondimento dell’immunopatologia del COVID-19 è l’oggetto di questo capitolo.</w:t>
      </w:r>
    </w:p>
    <w:p w:rsidR="002B7F58" w:rsidRPr="00FC3D2F" w:rsidRDefault="003E5744" w:rsidP="00FC3D2F">
      <w:pPr>
        <w:shd w:val="clear" w:color="auto" w:fill="FFFFFF"/>
        <w:jc w:val="center"/>
        <w:rPr>
          <w:rFonts w:asciiTheme="minorHAnsi" w:hAnsiTheme="minorHAnsi" w:cstheme="minorHAnsi"/>
          <w:b/>
          <w:color w:val="1C1E21"/>
        </w:rPr>
      </w:pPr>
      <w:bookmarkStart w:id="4" w:name="_Toc43342364"/>
      <w:r w:rsidRPr="007F48B7">
        <w:rPr>
          <w:rStyle w:val="Heading1Char"/>
          <w:rFonts w:asciiTheme="minorHAnsi" w:hAnsiTheme="minorHAnsi" w:cstheme="minorHAnsi"/>
          <w:b/>
          <w:color w:val="000000" w:themeColor="text1"/>
          <w:sz w:val="24"/>
          <w:szCs w:val="24"/>
        </w:rPr>
        <w:lastRenderedPageBreak/>
        <w:t>RISULTATI ISTOPATOLOGICI DELLE AUTOPSIE</w:t>
      </w:r>
      <w:bookmarkEnd w:id="4"/>
      <w:r w:rsidRPr="007F48B7">
        <w:rPr>
          <w:rFonts w:asciiTheme="minorHAnsi" w:hAnsiTheme="minorHAnsi" w:cstheme="minorHAnsi"/>
          <w:b/>
          <w:color w:val="000000" w:themeColor="text1"/>
        </w:rPr>
        <w:t xml:space="preserve"> </w:t>
      </w:r>
      <w:r w:rsidR="002B7F58" w:rsidRPr="00717D4D">
        <w:rPr>
          <w:rStyle w:val="FootnoteReference"/>
          <w:rFonts w:asciiTheme="minorHAnsi" w:hAnsiTheme="minorHAnsi" w:cstheme="minorHAnsi"/>
          <w:b/>
          <w:color w:val="1C1E21"/>
        </w:rPr>
        <w:footnoteReference w:id="25"/>
      </w:r>
    </w:p>
    <w:p w:rsidR="00FC3D2F" w:rsidRDefault="002B7F58" w:rsidP="002B7F58">
      <w:pPr>
        <w:shd w:val="clear" w:color="auto" w:fill="FFFFFF"/>
        <w:jc w:val="both"/>
        <w:rPr>
          <w:rFonts w:asciiTheme="minorHAnsi" w:hAnsiTheme="minorHAnsi" w:cstheme="minorHAnsi"/>
          <w:color w:val="1C1E21"/>
          <w:sz w:val="20"/>
          <w:szCs w:val="20"/>
        </w:rPr>
      </w:pPr>
      <w:r w:rsidRPr="004C77C2">
        <w:rPr>
          <w:rFonts w:asciiTheme="minorHAnsi" w:hAnsiTheme="minorHAnsi" w:cstheme="minorHAnsi"/>
          <w:color w:val="1C1E21"/>
          <w:sz w:val="20"/>
          <w:szCs w:val="20"/>
        </w:rPr>
        <w:lastRenderedPageBreak/>
        <w:t>Nonostante il calo della frequenza degli esami post</w:t>
      </w:r>
      <w:r w:rsidR="00E92497" w:rsidRPr="004C77C2">
        <w:rPr>
          <w:rFonts w:asciiTheme="minorHAnsi" w:hAnsiTheme="minorHAnsi" w:cstheme="minorHAnsi"/>
          <w:color w:val="1C1E21"/>
          <w:sz w:val="20"/>
          <w:szCs w:val="20"/>
        </w:rPr>
        <w:t xml:space="preserve"> </w:t>
      </w:r>
      <w:r w:rsidRPr="004C77C2">
        <w:rPr>
          <w:rFonts w:asciiTheme="minorHAnsi" w:hAnsiTheme="minorHAnsi" w:cstheme="minorHAnsi"/>
          <w:color w:val="1C1E21"/>
          <w:sz w:val="20"/>
          <w:szCs w:val="20"/>
        </w:rPr>
        <w:t xml:space="preserve">mortem, </w:t>
      </w:r>
      <w:r w:rsidRPr="007D5FF1">
        <w:rPr>
          <w:rFonts w:asciiTheme="minorHAnsi" w:hAnsiTheme="minorHAnsi" w:cstheme="minorHAnsi"/>
          <w:b/>
          <w:bCs/>
          <w:color w:val="1C1E21"/>
          <w:sz w:val="20"/>
          <w:szCs w:val="20"/>
        </w:rPr>
        <w:t xml:space="preserve">l'autopsia rimane il gold standard per determinare </w:t>
      </w:r>
      <w:r w:rsidR="00F86965" w:rsidRPr="007D5FF1">
        <w:rPr>
          <w:rFonts w:asciiTheme="minorHAnsi" w:hAnsiTheme="minorHAnsi" w:cstheme="minorHAnsi"/>
          <w:b/>
          <w:bCs/>
          <w:color w:val="1C1E21"/>
          <w:sz w:val="20"/>
          <w:szCs w:val="20"/>
        </w:rPr>
        <w:t>le cause del</w:t>
      </w:r>
      <w:r w:rsidRPr="007D5FF1">
        <w:rPr>
          <w:rFonts w:asciiTheme="minorHAnsi" w:hAnsiTheme="minorHAnsi" w:cstheme="minorHAnsi"/>
          <w:b/>
          <w:bCs/>
          <w:color w:val="1C1E21"/>
          <w:sz w:val="20"/>
          <w:szCs w:val="20"/>
        </w:rPr>
        <w:t>la morte</w:t>
      </w:r>
      <w:r w:rsidRPr="004C77C2">
        <w:rPr>
          <w:rFonts w:asciiTheme="minorHAnsi" w:hAnsiTheme="minorHAnsi" w:cstheme="minorHAnsi"/>
          <w:color w:val="1C1E21"/>
          <w:sz w:val="20"/>
          <w:szCs w:val="20"/>
        </w:rPr>
        <w:t>. La definizione della fisiopatologia della morte non si limita solo a considerazioni forensi</w:t>
      </w:r>
      <w:r w:rsidR="00F86965" w:rsidRPr="004C77C2">
        <w:rPr>
          <w:rFonts w:asciiTheme="minorHAnsi" w:hAnsiTheme="minorHAnsi" w:cstheme="minorHAnsi"/>
          <w:color w:val="1C1E21"/>
          <w:sz w:val="20"/>
          <w:szCs w:val="20"/>
        </w:rPr>
        <w:t xml:space="preserve"> ma</w:t>
      </w:r>
      <w:r w:rsidRPr="004C77C2">
        <w:rPr>
          <w:rFonts w:asciiTheme="minorHAnsi" w:hAnsiTheme="minorHAnsi" w:cstheme="minorHAnsi"/>
          <w:color w:val="1C1E21"/>
          <w:sz w:val="20"/>
          <w:szCs w:val="20"/>
        </w:rPr>
        <w:t xml:space="preserve"> può anche fornire utili spunti clinici ed epidemiologici. Approcci selettivi alla diagnosi post mortem, come un limitato campionamento post mortem sull'autopsia completa, p</w:t>
      </w:r>
      <w:r w:rsidR="00F86965" w:rsidRPr="004C77C2">
        <w:rPr>
          <w:rFonts w:asciiTheme="minorHAnsi" w:hAnsiTheme="minorHAnsi" w:cstheme="minorHAnsi"/>
          <w:color w:val="1C1E21"/>
          <w:sz w:val="20"/>
          <w:szCs w:val="20"/>
        </w:rPr>
        <w:t xml:space="preserve">ossono </w:t>
      </w:r>
      <w:r w:rsidRPr="004C77C2">
        <w:rPr>
          <w:rFonts w:asciiTheme="minorHAnsi" w:hAnsiTheme="minorHAnsi" w:cstheme="minorHAnsi"/>
          <w:color w:val="1C1E21"/>
          <w:sz w:val="20"/>
          <w:szCs w:val="20"/>
        </w:rPr>
        <w:t xml:space="preserve">fornire preziose conoscenze per la gestione di adeguate misure di controllo. </w:t>
      </w:r>
    </w:p>
    <w:p w:rsidR="00790721" w:rsidRPr="004C77C2" w:rsidRDefault="00790721" w:rsidP="002B7F58">
      <w:pPr>
        <w:shd w:val="clear" w:color="auto" w:fill="FFFFFF"/>
        <w:jc w:val="both"/>
        <w:rPr>
          <w:rFonts w:asciiTheme="minorHAnsi" w:hAnsiTheme="minorHAnsi" w:cstheme="minorHAnsi"/>
          <w:color w:val="1C1E21"/>
          <w:sz w:val="20"/>
          <w:szCs w:val="20"/>
        </w:rPr>
      </w:pPr>
    </w:p>
    <w:p w:rsidR="002B7F58" w:rsidRDefault="00FC3D2F" w:rsidP="002B7F58">
      <w:pPr>
        <w:shd w:val="clear" w:color="auto" w:fill="FFFFFF"/>
        <w:jc w:val="both"/>
        <w:rPr>
          <w:rFonts w:asciiTheme="minorHAnsi" w:hAnsiTheme="minorHAnsi" w:cstheme="minorHAnsi"/>
          <w:color w:val="1C1E21"/>
          <w:sz w:val="20"/>
          <w:szCs w:val="20"/>
        </w:rPr>
      </w:pPr>
      <w:r w:rsidRPr="004C77C2">
        <w:rPr>
          <w:rFonts w:asciiTheme="minorHAnsi" w:hAnsiTheme="minorHAnsi" w:cstheme="minorHAnsi"/>
          <w:color w:val="1C1E21"/>
          <w:sz w:val="20"/>
          <w:szCs w:val="20"/>
        </w:rPr>
        <w:t>È</w:t>
      </w:r>
      <w:r w:rsidR="00E92497" w:rsidRPr="004C77C2">
        <w:rPr>
          <w:rFonts w:asciiTheme="minorHAnsi" w:hAnsiTheme="minorHAnsi" w:cstheme="minorHAnsi"/>
          <w:color w:val="1C1E21"/>
          <w:sz w:val="20"/>
          <w:szCs w:val="20"/>
        </w:rPr>
        <w:t xml:space="preserve"> quindi indispensabile</w:t>
      </w:r>
      <w:r w:rsidR="002B7F58" w:rsidRPr="004C77C2">
        <w:rPr>
          <w:rFonts w:asciiTheme="minorHAnsi" w:hAnsiTheme="minorHAnsi" w:cstheme="minorHAnsi"/>
          <w:color w:val="1C1E21"/>
          <w:sz w:val="20"/>
          <w:szCs w:val="20"/>
        </w:rPr>
        <w:t xml:space="preserve"> eseguire autopsie </w:t>
      </w:r>
      <w:r w:rsidR="00F86965" w:rsidRPr="004C77C2">
        <w:rPr>
          <w:rFonts w:asciiTheme="minorHAnsi" w:hAnsiTheme="minorHAnsi" w:cstheme="minorHAnsi"/>
          <w:color w:val="1C1E21"/>
          <w:sz w:val="20"/>
          <w:szCs w:val="20"/>
        </w:rPr>
        <w:t>il più possibile accurate</w:t>
      </w:r>
      <w:r w:rsidR="002B7F58" w:rsidRPr="004C77C2">
        <w:rPr>
          <w:rFonts w:asciiTheme="minorHAnsi" w:hAnsiTheme="minorHAnsi" w:cstheme="minorHAnsi"/>
          <w:color w:val="1C1E21"/>
          <w:sz w:val="20"/>
          <w:szCs w:val="20"/>
        </w:rPr>
        <w:t xml:space="preserve"> su pazienti deceduti con sospetta o confermata infezione da COVID-19, in particolare in presenza di numerose co-morbilità. Solo lavorando con un set completo di campioni istologici ottenuti attraverso l'autopsia si possono accertare le cause esatte della morte, ottimizzare la gestione clinica e aiutare i clinici a segnalare tempestivamente il trattamento efficace per ridurre la mortalità.</w:t>
      </w:r>
      <w:r w:rsidR="002B7F58" w:rsidRPr="004C77C2">
        <w:rPr>
          <w:rStyle w:val="FootnoteReference"/>
          <w:rFonts w:asciiTheme="minorHAnsi" w:hAnsiTheme="minorHAnsi" w:cstheme="minorHAnsi"/>
          <w:color w:val="1C1E21"/>
          <w:sz w:val="20"/>
          <w:szCs w:val="20"/>
        </w:rPr>
        <w:footnoteReference w:id="26"/>
      </w:r>
    </w:p>
    <w:p w:rsidR="00790721" w:rsidRPr="004C77C2" w:rsidRDefault="00790721" w:rsidP="002B7F58">
      <w:pPr>
        <w:shd w:val="clear" w:color="auto" w:fill="FFFFFF"/>
        <w:jc w:val="both"/>
        <w:rPr>
          <w:rFonts w:asciiTheme="minorHAnsi" w:hAnsiTheme="minorHAnsi" w:cstheme="minorHAnsi"/>
          <w:color w:val="1C1E21"/>
          <w:sz w:val="20"/>
          <w:szCs w:val="20"/>
        </w:rPr>
      </w:pPr>
    </w:p>
    <w:p w:rsidR="002B7F58" w:rsidRPr="004C77C2" w:rsidRDefault="002B7F58" w:rsidP="002B7F58">
      <w:pPr>
        <w:pStyle w:val="p"/>
        <w:shd w:val="clear" w:color="auto" w:fill="FFFFFF"/>
        <w:spacing w:before="0" w:beforeAutospacing="0" w:after="0" w:afterAutospacing="0"/>
        <w:jc w:val="both"/>
        <w:rPr>
          <w:rFonts w:asciiTheme="minorHAnsi" w:hAnsiTheme="minorHAnsi" w:cstheme="minorHAnsi"/>
          <w:color w:val="333333"/>
          <w:sz w:val="20"/>
          <w:szCs w:val="20"/>
        </w:rPr>
      </w:pPr>
      <w:r w:rsidRPr="004C77C2">
        <w:rPr>
          <w:rFonts w:asciiTheme="minorHAnsi" w:hAnsiTheme="minorHAnsi" w:cstheme="minorHAnsi"/>
          <w:color w:val="333333"/>
          <w:sz w:val="20"/>
          <w:szCs w:val="20"/>
        </w:rPr>
        <w:t xml:space="preserve">Inoltre, lo studio autoptico della via di trasmissione e della colonizzazione del virus nei vari tessuti è di grande rilevanza per comprendere se le azioni di contenimento e di gestione dell’epidemia tramite il distanziamento fisico e sociale e l’uso di dispositivi di protezione sono stati realmente efficaci nell’evitare la diffusione del contagio. </w:t>
      </w:r>
    </w:p>
    <w:p w:rsidR="002B7F58" w:rsidRPr="007F48B7" w:rsidRDefault="002B7F58" w:rsidP="002B7F58">
      <w:pPr>
        <w:shd w:val="clear" w:color="auto" w:fill="FFFFFF"/>
        <w:jc w:val="both"/>
        <w:rPr>
          <w:rFonts w:asciiTheme="minorHAnsi" w:hAnsiTheme="minorHAnsi" w:cstheme="minorHAnsi"/>
          <w:color w:val="1C1E21"/>
          <w:sz w:val="22"/>
          <w:szCs w:val="22"/>
        </w:rPr>
      </w:pPr>
    </w:p>
    <w:p w:rsidR="008255DB" w:rsidRDefault="002B7F58" w:rsidP="002B7F58">
      <w:pPr>
        <w:shd w:val="clear" w:color="auto" w:fill="FFFFFF"/>
        <w:jc w:val="both"/>
        <w:rPr>
          <w:rFonts w:asciiTheme="minorHAnsi" w:hAnsiTheme="minorHAnsi" w:cstheme="minorHAnsi"/>
          <w:color w:val="1C1E21"/>
          <w:sz w:val="20"/>
          <w:szCs w:val="20"/>
        </w:rPr>
      </w:pPr>
      <w:r w:rsidRPr="007D5FF1">
        <w:rPr>
          <w:rFonts w:asciiTheme="minorHAnsi" w:hAnsiTheme="minorHAnsi" w:cstheme="minorHAnsi"/>
          <w:color w:val="1C1E21"/>
          <w:sz w:val="20"/>
          <w:szCs w:val="20"/>
        </w:rPr>
        <w:lastRenderedPageBreak/>
        <w:t xml:space="preserve">Negli studi sulle biopsie o autopsie, la </w:t>
      </w:r>
      <w:r w:rsidRPr="007D5FF1">
        <w:rPr>
          <w:rFonts w:asciiTheme="minorHAnsi" w:hAnsiTheme="minorHAnsi" w:cstheme="minorHAnsi"/>
          <w:b/>
          <w:bCs/>
          <w:color w:val="1C1E21"/>
          <w:sz w:val="20"/>
          <w:szCs w:val="20"/>
        </w:rPr>
        <w:t>patologia polmonare</w:t>
      </w:r>
      <w:r w:rsidRPr="007D5FF1">
        <w:rPr>
          <w:rFonts w:asciiTheme="minorHAnsi" w:hAnsiTheme="minorHAnsi" w:cstheme="minorHAnsi"/>
          <w:color w:val="1C1E21"/>
          <w:sz w:val="20"/>
          <w:szCs w:val="20"/>
        </w:rPr>
        <w:t xml:space="preserve"> </w:t>
      </w:r>
      <w:r w:rsidRPr="007D5FF1">
        <w:rPr>
          <w:rStyle w:val="FootnoteReference"/>
          <w:rFonts w:asciiTheme="minorHAnsi" w:hAnsiTheme="minorHAnsi" w:cstheme="minorHAnsi"/>
          <w:color w:val="1C1E21"/>
          <w:sz w:val="20"/>
          <w:szCs w:val="20"/>
        </w:rPr>
        <w:footnoteReference w:id="27"/>
      </w:r>
      <w:r w:rsidRPr="007D5FF1">
        <w:rPr>
          <w:rFonts w:asciiTheme="minorHAnsi" w:hAnsiTheme="minorHAnsi" w:cstheme="minorHAnsi"/>
          <w:color w:val="1C1E21"/>
          <w:sz w:val="20"/>
          <w:szCs w:val="20"/>
        </w:rPr>
        <w:t xml:space="preserve"> nei pazienti COVID-19 sia nella fase iniziale che in quella avanzata, </w:t>
      </w:r>
      <w:r w:rsidR="00F86965" w:rsidRPr="007D5FF1">
        <w:rPr>
          <w:rFonts w:asciiTheme="minorHAnsi" w:hAnsiTheme="minorHAnsi" w:cstheme="minorHAnsi"/>
          <w:color w:val="1C1E21"/>
          <w:sz w:val="20"/>
          <w:szCs w:val="20"/>
        </w:rPr>
        <w:t>si è manifestata</w:t>
      </w:r>
      <w:r w:rsidR="008255DB" w:rsidRPr="007D5FF1">
        <w:rPr>
          <w:rFonts w:asciiTheme="minorHAnsi" w:hAnsiTheme="minorHAnsi" w:cstheme="minorHAnsi"/>
          <w:color w:val="1C1E21"/>
          <w:sz w:val="20"/>
          <w:szCs w:val="20"/>
        </w:rPr>
        <w:t xml:space="preserve"> con</w:t>
      </w:r>
      <w:r w:rsidRPr="007D5FF1">
        <w:rPr>
          <w:rFonts w:asciiTheme="minorHAnsi" w:hAnsiTheme="minorHAnsi" w:cstheme="minorHAnsi"/>
          <w:color w:val="1C1E21"/>
          <w:sz w:val="20"/>
          <w:szCs w:val="20"/>
        </w:rPr>
        <w:t xml:space="preserve"> un </w:t>
      </w:r>
      <w:r w:rsidRPr="007D5FF1">
        <w:rPr>
          <w:rFonts w:asciiTheme="minorHAnsi" w:hAnsiTheme="minorHAnsi" w:cstheme="minorHAnsi"/>
          <w:b/>
          <w:bCs/>
          <w:color w:val="1C1E21"/>
          <w:sz w:val="20"/>
          <w:szCs w:val="20"/>
        </w:rPr>
        <w:t>danno alveolare diffuso</w:t>
      </w:r>
      <w:r w:rsidRPr="007D5FF1">
        <w:rPr>
          <w:rFonts w:asciiTheme="minorHAnsi" w:hAnsiTheme="minorHAnsi" w:cstheme="minorHAnsi"/>
          <w:color w:val="1C1E21"/>
          <w:sz w:val="20"/>
          <w:szCs w:val="20"/>
        </w:rPr>
        <w:t xml:space="preserve"> con la formazione di membrane ialine, cellule mononucleari e macrofagi </w:t>
      </w:r>
      <w:r w:rsidR="008255DB" w:rsidRPr="007D5FF1">
        <w:rPr>
          <w:rFonts w:asciiTheme="minorHAnsi" w:hAnsiTheme="minorHAnsi" w:cstheme="minorHAnsi"/>
          <w:color w:val="1C1E21"/>
          <w:sz w:val="20"/>
          <w:szCs w:val="20"/>
        </w:rPr>
        <w:t>infiltrate</w:t>
      </w:r>
      <w:r w:rsidRPr="007D5FF1">
        <w:rPr>
          <w:rFonts w:asciiTheme="minorHAnsi" w:hAnsiTheme="minorHAnsi" w:cstheme="minorHAnsi"/>
          <w:color w:val="1C1E21"/>
          <w:sz w:val="20"/>
          <w:szCs w:val="20"/>
        </w:rPr>
        <w:t xml:space="preserve"> negli spazi aerei e un ispessimento diffuso della parete alveolare. </w:t>
      </w:r>
    </w:p>
    <w:p w:rsidR="007F72B2" w:rsidRPr="007D5FF1" w:rsidRDefault="007F72B2" w:rsidP="002B7F58">
      <w:pPr>
        <w:shd w:val="clear" w:color="auto" w:fill="FFFFFF"/>
        <w:jc w:val="both"/>
        <w:rPr>
          <w:rFonts w:asciiTheme="minorHAnsi" w:hAnsiTheme="minorHAnsi" w:cstheme="minorHAnsi"/>
          <w:color w:val="1C1E21"/>
          <w:sz w:val="20"/>
          <w:szCs w:val="20"/>
        </w:rPr>
      </w:pPr>
    </w:p>
    <w:p w:rsidR="008255DB" w:rsidRDefault="008255DB" w:rsidP="002B7F58">
      <w:pPr>
        <w:shd w:val="clear" w:color="auto" w:fill="FFFFFF"/>
        <w:jc w:val="both"/>
        <w:rPr>
          <w:rFonts w:asciiTheme="minorHAnsi" w:hAnsiTheme="minorHAnsi" w:cstheme="minorHAnsi"/>
          <w:color w:val="1C1E21"/>
          <w:sz w:val="20"/>
          <w:szCs w:val="20"/>
        </w:rPr>
      </w:pPr>
      <w:r w:rsidRPr="007D5FF1">
        <w:rPr>
          <w:rFonts w:asciiTheme="minorHAnsi" w:hAnsiTheme="minorHAnsi" w:cstheme="minorHAnsi"/>
          <w:color w:val="1C1E21"/>
          <w:sz w:val="20"/>
          <w:szCs w:val="20"/>
        </w:rPr>
        <w:t>S</w:t>
      </w:r>
      <w:r w:rsidR="002B7F58" w:rsidRPr="007D5FF1">
        <w:rPr>
          <w:rFonts w:asciiTheme="minorHAnsi" w:hAnsiTheme="minorHAnsi" w:cstheme="minorHAnsi"/>
          <w:color w:val="1C1E21"/>
          <w:sz w:val="20"/>
          <w:szCs w:val="20"/>
        </w:rPr>
        <w:t xml:space="preserve">ono state osservate mediante microscopia elettronica particelle virali nelle cellule epiteliali bronchiali e alveolari di tipo 2. Inoltre, erano presenti in alcuni pazienti </w:t>
      </w:r>
      <w:r w:rsidR="002B7F58" w:rsidRPr="007D5FF1">
        <w:rPr>
          <w:rFonts w:asciiTheme="minorHAnsi" w:hAnsiTheme="minorHAnsi" w:cstheme="minorHAnsi"/>
          <w:b/>
          <w:bCs/>
          <w:color w:val="1C1E21"/>
          <w:sz w:val="20"/>
          <w:szCs w:val="20"/>
        </w:rPr>
        <w:t>atrofia della milza</w:t>
      </w:r>
      <w:r w:rsidR="002B7F58" w:rsidRPr="007D5FF1">
        <w:rPr>
          <w:rFonts w:asciiTheme="minorHAnsi" w:hAnsiTheme="minorHAnsi" w:cstheme="minorHAnsi"/>
          <w:color w:val="1C1E21"/>
          <w:sz w:val="20"/>
          <w:szCs w:val="20"/>
        </w:rPr>
        <w:t xml:space="preserve">, </w:t>
      </w:r>
      <w:r w:rsidR="002B7F58" w:rsidRPr="007D5FF1">
        <w:rPr>
          <w:rFonts w:asciiTheme="minorHAnsi" w:hAnsiTheme="minorHAnsi" w:cstheme="minorHAnsi"/>
          <w:b/>
          <w:bCs/>
          <w:color w:val="1C1E21"/>
          <w:sz w:val="20"/>
          <w:szCs w:val="20"/>
        </w:rPr>
        <w:t>necrosi del linfonodo ilare</w:t>
      </w:r>
      <w:r w:rsidR="002B7F58" w:rsidRPr="007D5FF1">
        <w:rPr>
          <w:rFonts w:asciiTheme="minorHAnsi" w:hAnsiTheme="minorHAnsi" w:cstheme="minorHAnsi"/>
          <w:color w:val="1C1E21"/>
          <w:sz w:val="20"/>
          <w:szCs w:val="20"/>
        </w:rPr>
        <w:t xml:space="preserve">, </w:t>
      </w:r>
      <w:r w:rsidR="002B7F58" w:rsidRPr="007D5FF1">
        <w:rPr>
          <w:rFonts w:asciiTheme="minorHAnsi" w:hAnsiTheme="minorHAnsi" w:cstheme="minorHAnsi"/>
          <w:b/>
          <w:bCs/>
          <w:color w:val="1C1E21"/>
          <w:sz w:val="20"/>
          <w:szCs w:val="20"/>
        </w:rPr>
        <w:t>emorragia focale nel rene</w:t>
      </w:r>
      <w:r w:rsidR="002B7F58" w:rsidRPr="007D5FF1">
        <w:rPr>
          <w:rFonts w:asciiTheme="minorHAnsi" w:hAnsiTheme="minorHAnsi" w:cstheme="minorHAnsi"/>
          <w:color w:val="1C1E21"/>
          <w:sz w:val="20"/>
          <w:szCs w:val="20"/>
        </w:rPr>
        <w:t xml:space="preserve">, </w:t>
      </w:r>
      <w:r w:rsidR="002B7F58" w:rsidRPr="007D5FF1">
        <w:rPr>
          <w:rFonts w:asciiTheme="minorHAnsi" w:hAnsiTheme="minorHAnsi" w:cstheme="minorHAnsi"/>
          <w:b/>
          <w:bCs/>
          <w:color w:val="1C1E21"/>
          <w:sz w:val="20"/>
          <w:szCs w:val="20"/>
        </w:rPr>
        <w:t>ingrossamento del fegato</w:t>
      </w:r>
      <w:r w:rsidR="002B7F58" w:rsidRPr="007D5FF1">
        <w:rPr>
          <w:rFonts w:asciiTheme="minorHAnsi" w:hAnsiTheme="minorHAnsi" w:cstheme="minorHAnsi"/>
          <w:color w:val="1C1E21"/>
          <w:sz w:val="20"/>
          <w:szCs w:val="20"/>
        </w:rPr>
        <w:t xml:space="preserve"> con infiltrazione cellulare infiammatoria, </w:t>
      </w:r>
      <w:r w:rsidR="002B7F58" w:rsidRPr="007D5FF1">
        <w:rPr>
          <w:rFonts w:asciiTheme="minorHAnsi" w:hAnsiTheme="minorHAnsi" w:cstheme="minorHAnsi"/>
          <w:b/>
          <w:bCs/>
          <w:color w:val="1C1E21"/>
          <w:sz w:val="20"/>
          <w:szCs w:val="20"/>
        </w:rPr>
        <w:t>edema e degenerazione diffusa dei neuroni nel cervello</w:t>
      </w:r>
      <w:r w:rsidR="002B7F58" w:rsidRPr="007D5FF1">
        <w:rPr>
          <w:rFonts w:asciiTheme="minorHAnsi" w:hAnsiTheme="minorHAnsi" w:cstheme="minorHAnsi"/>
          <w:color w:val="1C1E21"/>
          <w:sz w:val="20"/>
          <w:szCs w:val="20"/>
        </w:rPr>
        <w:t xml:space="preserve">. </w:t>
      </w:r>
    </w:p>
    <w:p w:rsidR="007F72B2" w:rsidRPr="007D5FF1" w:rsidRDefault="007F72B2" w:rsidP="002B7F58">
      <w:pPr>
        <w:shd w:val="clear" w:color="auto" w:fill="FFFFFF"/>
        <w:jc w:val="both"/>
        <w:rPr>
          <w:rFonts w:asciiTheme="minorHAnsi" w:hAnsiTheme="minorHAnsi" w:cstheme="minorHAnsi"/>
          <w:color w:val="1C1E21"/>
          <w:sz w:val="20"/>
          <w:szCs w:val="20"/>
        </w:rPr>
      </w:pPr>
    </w:p>
    <w:p w:rsidR="002B7F58" w:rsidRPr="007D5FF1" w:rsidRDefault="002B7F58" w:rsidP="002B7F58">
      <w:pPr>
        <w:shd w:val="clear" w:color="auto" w:fill="FFFFFF"/>
        <w:jc w:val="both"/>
        <w:rPr>
          <w:rFonts w:asciiTheme="minorHAnsi" w:hAnsiTheme="minorHAnsi" w:cstheme="minorHAnsi"/>
          <w:color w:val="1C1E21"/>
          <w:sz w:val="20"/>
          <w:szCs w:val="20"/>
        </w:rPr>
      </w:pPr>
      <w:r w:rsidRPr="007D5FF1">
        <w:rPr>
          <w:rFonts w:asciiTheme="minorHAnsi" w:hAnsiTheme="minorHAnsi" w:cstheme="minorHAnsi"/>
          <w:b/>
          <w:bCs/>
          <w:color w:val="1C1E21"/>
          <w:sz w:val="20"/>
          <w:szCs w:val="20"/>
        </w:rPr>
        <w:t>Particelle d</w:t>
      </w:r>
      <w:r w:rsidR="008255DB" w:rsidRPr="007D5FF1">
        <w:rPr>
          <w:rFonts w:asciiTheme="minorHAnsi" w:hAnsiTheme="minorHAnsi" w:cstheme="minorHAnsi"/>
          <w:b/>
          <w:bCs/>
          <w:color w:val="1C1E21"/>
          <w:sz w:val="20"/>
          <w:szCs w:val="20"/>
        </w:rPr>
        <w:t>el</w:t>
      </w:r>
      <w:r w:rsidRPr="007D5FF1">
        <w:rPr>
          <w:rFonts w:asciiTheme="minorHAnsi" w:hAnsiTheme="minorHAnsi" w:cstheme="minorHAnsi"/>
          <w:b/>
          <w:bCs/>
          <w:color w:val="1C1E21"/>
          <w:sz w:val="20"/>
          <w:szCs w:val="20"/>
        </w:rPr>
        <w:t xml:space="preserve"> virus SARS-CoV-2 sono state isolate da campioni respiratori, nonché da feci e campioni di urina da pazienti COVID-19</w:t>
      </w:r>
      <w:r w:rsidRPr="007D5FF1">
        <w:rPr>
          <w:rFonts w:asciiTheme="minorHAnsi" w:hAnsiTheme="minorHAnsi" w:cstheme="minorHAnsi"/>
          <w:color w:val="1C1E21"/>
          <w:sz w:val="20"/>
          <w:szCs w:val="20"/>
        </w:rPr>
        <w:t>, suggerendo che la disfunzione multipla di organi nei pazienti con COVID-19 grave è almeno in parte causata da un attacco diretto da parte del virus</w:t>
      </w:r>
      <w:r w:rsidR="008255DB" w:rsidRPr="007D5FF1">
        <w:rPr>
          <w:rFonts w:asciiTheme="minorHAnsi" w:hAnsiTheme="minorHAnsi" w:cstheme="minorHAnsi"/>
          <w:color w:val="1C1E21"/>
          <w:sz w:val="20"/>
          <w:szCs w:val="20"/>
        </w:rPr>
        <w:t xml:space="preserve">. </w:t>
      </w:r>
      <w:r w:rsidRPr="007D5FF1">
        <w:rPr>
          <w:rStyle w:val="FootnoteReference"/>
          <w:rFonts w:asciiTheme="minorHAnsi" w:hAnsiTheme="minorHAnsi" w:cstheme="minorHAnsi"/>
          <w:color w:val="1C1E21"/>
          <w:sz w:val="20"/>
          <w:szCs w:val="20"/>
        </w:rPr>
        <w:footnoteReference w:id="28"/>
      </w:r>
      <w:r w:rsidRPr="007D5FF1">
        <w:rPr>
          <w:rFonts w:asciiTheme="minorHAnsi" w:hAnsiTheme="minorHAnsi" w:cstheme="minorHAnsi"/>
          <w:color w:val="1C1E21"/>
          <w:sz w:val="20"/>
          <w:szCs w:val="20"/>
        </w:rPr>
        <w:t xml:space="preserve"> </w:t>
      </w:r>
    </w:p>
    <w:p w:rsidR="002B7F58" w:rsidRPr="007D5FF1" w:rsidRDefault="002B7F58" w:rsidP="002B7F58">
      <w:pPr>
        <w:shd w:val="clear" w:color="auto" w:fill="FFFFFF"/>
        <w:jc w:val="both"/>
        <w:rPr>
          <w:rFonts w:asciiTheme="minorHAnsi" w:hAnsiTheme="minorHAnsi" w:cstheme="minorHAnsi"/>
          <w:color w:val="1C1E21"/>
          <w:sz w:val="20"/>
          <w:szCs w:val="20"/>
        </w:rPr>
      </w:pPr>
    </w:p>
    <w:p w:rsidR="007D5FF1" w:rsidRDefault="002B7F58" w:rsidP="002B7F58">
      <w:pPr>
        <w:jc w:val="both"/>
        <w:rPr>
          <w:rFonts w:asciiTheme="minorHAnsi" w:hAnsiTheme="minorHAnsi" w:cstheme="minorHAnsi"/>
          <w:color w:val="333333"/>
          <w:sz w:val="20"/>
          <w:szCs w:val="20"/>
          <w:shd w:val="clear" w:color="auto" w:fill="FFFFFF"/>
        </w:rPr>
      </w:pPr>
      <w:r w:rsidRPr="007D5FF1">
        <w:rPr>
          <w:rFonts w:asciiTheme="minorHAnsi" w:hAnsiTheme="minorHAnsi" w:cstheme="minorHAnsi"/>
          <w:color w:val="1C1E21"/>
          <w:sz w:val="20"/>
          <w:szCs w:val="20"/>
        </w:rPr>
        <w:t>Per rispondere ai quesiti ancora aperti</w:t>
      </w:r>
      <w:r w:rsidR="008255DB" w:rsidRPr="007D5FF1">
        <w:rPr>
          <w:rFonts w:asciiTheme="minorHAnsi" w:hAnsiTheme="minorHAnsi" w:cstheme="minorHAnsi"/>
          <w:color w:val="1C1E21"/>
          <w:sz w:val="20"/>
          <w:szCs w:val="20"/>
        </w:rPr>
        <w:t xml:space="preserve"> sul meccanismo d’induzione del COVID-19,</w:t>
      </w:r>
      <w:r w:rsidRPr="007D5FF1">
        <w:rPr>
          <w:rFonts w:asciiTheme="minorHAnsi" w:hAnsiTheme="minorHAnsi" w:cstheme="minorHAnsi"/>
          <w:color w:val="1C1E21"/>
          <w:sz w:val="20"/>
          <w:szCs w:val="20"/>
        </w:rPr>
        <w:t xml:space="preserve"> un importante contributo proviene dai risultati autoptici dei casi di SARS-Cov </w:t>
      </w:r>
      <w:r w:rsidRPr="007D5FF1">
        <w:rPr>
          <w:rStyle w:val="FootnoteReference"/>
          <w:rFonts w:asciiTheme="minorHAnsi" w:hAnsiTheme="minorHAnsi" w:cstheme="minorHAnsi"/>
          <w:color w:val="1C1E21"/>
          <w:sz w:val="20"/>
          <w:szCs w:val="20"/>
        </w:rPr>
        <w:footnoteReference w:id="29"/>
      </w:r>
      <w:r w:rsidRPr="007D5FF1">
        <w:rPr>
          <w:rFonts w:asciiTheme="minorHAnsi" w:hAnsiTheme="minorHAnsi" w:cstheme="minorHAnsi"/>
          <w:color w:val="1C1E21"/>
          <w:sz w:val="20"/>
          <w:szCs w:val="20"/>
        </w:rPr>
        <w:t xml:space="preserve">: i risultati ottenuti da pazienti deceduti durante l’epidemia di SARS nel 2003 confermano che, come per il COVID-19,  </w:t>
      </w:r>
      <w:r w:rsidRPr="007D5FF1">
        <w:rPr>
          <w:rFonts w:asciiTheme="minorHAnsi" w:hAnsiTheme="minorHAnsi" w:cstheme="minorHAnsi"/>
          <w:color w:val="333333"/>
          <w:sz w:val="20"/>
          <w:szCs w:val="20"/>
          <w:shd w:val="clear" w:color="auto" w:fill="FFFFFF"/>
        </w:rPr>
        <w:t xml:space="preserve">i cambiamenti patologici della SARS sono riassumibili in quattro aspetti: </w:t>
      </w:r>
    </w:p>
    <w:p w:rsidR="007D5FF1" w:rsidRDefault="007D5FF1" w:rsidP="003E3300">
      <w:pPr>
        <w:tabs>
          <w:tab w:val="left" w:pos="284"/>
        </w:tabs>
        <w:jc w:val="both"/>
        <w:rPr>
          <w:rFonts w:asciiTheme="minorHAnsi" w:hAnsiTheme="minorHAnsi" w:cstheme="minorHAnsi"/>
          <w:color w:val="333333"/>
          <w:sz w:val="20"/>
          <w:szCs w:val="20"/>
          <w:shd w:val="clear" w:color="auto" w:fill="FFFFFF"/>
        </w:rPr>
      </w:pPr>
    </w:p>
    <w:p w:rsidR="007D5FF1" w:rsidRPr="003E3300" w:rsidRDefault="002B7F58" w:rsidP="003E3300">
      <w:pPr>
        <w:pStyle w:val="ListParagraph"/>
        <w:numPr>
          <w:ilvl w:val="0"/>
          <w:numId w:val="15"/>
        </w:numPr>
        <w:shd w:val="clear" w:color="auto" w:fill="FBF9E1"/>
        <w:tabs>
          <w:tab w:val="left" w:pos="284"/>
          <w:tab w:val="left" w:pos="567"/>
        </w:tabs>
        <w:ind w:left="284" w:right="-7" w:firstLine="0"/>
        <w:jc w:val="both"/>
        <w:rPr>
          <w:rFonts w:asciiTheme="minorHAnsi" w:hAnsiTheme="minorHAnsi" w:cstheme="minorHAnsi"/>
          <w:color w:val="2F5496" w:themeColor="accent1" w:themeShade="BF"/>
          <w:sz w:val="20"/>
          <w:szCs w:val="20"/>
          <w:shd w:val="clear" w:color="auto" w:fill="FFFFFF"/>
        </w:rPr>
      </w:pPr>
      <w:r w:rsidRPr="003E3300">
        <w:rPr>
          <w:rFonts w:asciiTheme="minorHAnsi" w:hAnsiTheme="minorHAnsi" w:cstheme="minorHAnsi"/>
          <w:color w:val="2F5496" w:themeColor="accent1" w:themeShade="BF"/>
          <w:sz w:val="20"/>
          <w:szCs w:val="20"/>
          <w:shd w:val="clear" w:color="auto" w:fill="FBF9E1"/>
        </w:rPr>
        <w:t>lesioni polmonari</w:t>
      </w:r>
      <w:r w:rsidRPr="003E3300">
        <w:rPr>
          <w:rFonts w:asciiTheme="minorHAnsi" w:hAnsiTheme="minorHAnsi" w:cstheme="minorHAnsi"/>
          <w:color w:val="2F5496" w:themeColor="accent1" w:themeShade="BF"/>
          <w:sz w:val="20"/>
          <w:szCs w:val="20"/>
          <w:shd w:val="clear" w:color="auto" w:fill="FFFFFF"/>
        </w:rPr>
        <w:t xml:space="preserve">, </w:t>
      </w:r>
    </w:p>
    <w:p w:rsidR="007D5FF1" w:rsidRPr="003E3300" w:rsidRDefault="002B7F58" w:rsidP="003E3300">
      <w:pPr>
        <w:pStyle w:val="ListParagraph"/>
        <w:numPr>
          <w:ilvl w:val="0"/>
          <w:numId w:val="15"/>
        </w:numPr>
        <w:shd w:val="clear" w:color="auto" w:fill="FBF9E1"/>
        <w:tabs>
          <w:tab w:val="left" w:pos="284"/>
          <w:tab w:val="left" w:pos="567"/>
        </w:tabs>
        <w:ind w:left="284" w:right="-7" w:firstLine="0"/>
        <w:jc w:val="both"/>
        <w:rPr>
          <w:rFonts w:asciiTheme="minorHAnsi" w:hAnsiTheme="minorHAnsi" w:cstheme="minorHAnsi"/>
          <w:color w:val="2F5496" w:themeColor="accent1" w:themeShade="BF"/>
          <w:sz w:val="20"/>
          <w:szCs w:val="20"/>
          <w:shd w:val="clear" w:color="auto" w:fill="FFFFFF"/>
        </w:rPr>
      </w:pPr>
      <w:r w:rsidRPr="003E3300">
        <w:rPr>
          <w:rFonts w:asciiTheme="minorHAnsi" w:hAnsiTheme="minorHAnsi" w:cstheme="minorHAnsi"/>
          <w:color w:val="2F5496" w:themeColor="accent1" w:themeShade="BF"/>
          <w:sz w:val="20"/>
          <w:szCs w:val="20"/>
          <w:shd w:val="clear" w:color="auto" w:fill="FBF9E1"/>
        </w:rPr>
        <w:t>danno agli organi immunitari,</w:t>
      </w:r>
      <w:r w:rsidRPr="003E3300">
        <w:rPr>
          <w:rFonts w:asciiTheme="minorHAnsi" w:hAnsiTheme="minorHAnsi" w:cstheme="minorHAnsi"/>
          <w:color w:val="2F5496" w:themeColor="accent1" w:themeShade="BF"/>
          <w:sz w:val="20"/>
          <w:szCs w:val="20"/>
          <w:shd w:val="clear" w:color="auto" w:fill="FFFFFF"/>
        </w:rPr>
        <w:t xml:space="preserve"> </w:t>
      </w:r>
    </w:p>
    <w:p w:rsidR="007D5FF1" w:rsidRPr="003E3300" w:rsidRDefault="002B7F58" w:rsidP="003E3300">
      <w:pPr>
        <w:pStyle w:val="ListParagraph"/>
        <w:numPr>
          <w:ilvl w:val="0"/>
          <w:numId w:val="15"/>
        </w:numPr>
        <w:shd w:val="clear" w:color="auto" w:fill="FBF9E1"/>
        <w:tabs>
          <w:tab w:val="left" w:pos="284"/>
          <w:tab w:val="left" w:pos="567"/>
          <w:tab w:val="left" w:pos="851"/>
        </w:tabs>
        <w:ind w:left="284" w:right="-7" w:firstLine="0"/>
        <w:jc w:val="both"/>
        <w:rPr>
          <w:rFonts w:asciiTheme="minorHAnsi" w:hAnsiTheme="minorHAnsi" w:cstheme="minorHAnsi"/>
          <w:color w:val="2F5496" w:themeColor="accent1" w:themeShade="BF"/>
          <w:sz w:val="20"/>
          <w:szCs w:val="20"/>
          <w:shd w:val="clear" w:color="auto" w:fill="FFFFFF"/>
        </w:rPr>
      </w:pPr>
      <w:r w:rsidRPr="003E3300">
        <w:rPr>
          <w:rFonts w:asciiTheme="minorHAnsi" w:hAnsiTheme="minorHAnsi" w:cstheme="minorHAnsi"/>
          <w:color w:val="2F5496" w:themeColor="accent1" w:themeShade="BF"/>
          <w:sz w:val="20"/>
          <w:szCs w:val="20"/>
          <w:shd w:val="clear" w:color="auto" w:fill="FBF9E1"/>
        </w:rPr>
        <w:t>vasculite sistemica</w:t>
      </w:r>
      <w:r w:rsidR="007D5FF1" w:rsidRPr="003E3300">
        <w:rPr>
          <w:rFonts w:asciiTheme="minorHAnsi" w:hAnsiTheme="minorHAnsi" w:cstheme="minorHAnsi"/>
          <w:color w:val="2F5496" w:themeColor="accent1" w:themeShade="BF"/>
          <w:sz w:val="20"/>
          <w:szCs w:val="20"/>
          <w:shd w:val="clear" w:color="auto" w:fill="FBF9E1"/>
        </w:rPr>
        <w:t>,</w:t>
      </w:r>
      <w:r w:rsidRPr="003E3300">
        <w:rPr>
          <w:rFonts w:asciiTheme="minorHAnsi" w:hAnsiTheme="minorHAnsi" w:cstheme="minorHAnsi"/>
          <w:color w:val="2F5496" w:themeColor="accent1" w:themeShade="BF"/>
          <w:sz w:val="20"/>
          <w:szCs w:val="20"/>
          <w:shd w:val="clear" w:color="auto" w:fill="FFFFFF"/>
        </w:rPr>
        <w:t xml:space="preserve"> </w:t>
      </w:r>
    </w:p>
    <w:p w:rsidR="007D5FF1" w:rsidRPr="003E3300" w:rsidRDefault="002B7F58" w:rsidP="003E3300">
      <w:pPr>
        <w:pStyle w:val="ListParagraph"/>
        <w:numPr>
          <w:ilvl w:val="0"/>
          <w:numId w:val="15"/>
        </w:numPr>
        <w:shd w:val="clear" w:color="auto" w:fill="FBF9E1"/>
        <w:tabs>
          <w:tab w:val="left" w:pos="284"/>
          <w:tab w:val="left" w:pos="567"/>
        </w:tabs>
        <w:ind w:left="284" w:right="-7" w:firstLine="0"/>
        <w:jc w:val="both"/>
        <w:rPr>
          <w:rFonts w:asciiTheme="minorHAnsi" w:hAnsiTheme="minorHAnsi" w:cstheme="minorHAnsi"/>
          <w:color w:val="2F5496" w:themeColor="accent1" w:themeShade="BF"/>
          <w:sz w:val="20"/>
          <w:szCs w:val="20"/>
          <w:shd w:val="clear" w:color="auto" w:fill="FFFFFF"/>
        </w:rPr>
      </w:pPr>
      <w:r w:rsidRPr="003E3300">
        <w:rPr>
          <w:rFonts w:asciiTheme="minorHAnsi" w:hAnsiTheme="minorHAnsi" w:cstheme="minorHAnsi"/>
          <w:color w:val="2F5496" w:themeColor="accent1" w:themeShade="BF"/>
          <w:sz w:val="20"/>
          <w:szCs w:val="20"/>
          <w:shd w:val="clear" w:color="auto" w:fill="FBF9E1"/>
        </w:rPr>
        <w:t>reazioni di tossicità sistemica</w:t>
      </w:r>
      <w:r w:rsidRPr="003E3300">
        <w:rPr>
          <w:rFonts w:asciiTheme="minorHAnsi" w:hAnsiTheme="minorHAnsi" w:cstheme="minorHAnsi"/>
          <w:color w:val="2F5496" w:themeColor="accent1" w:themeShade="BF"/>
          <w:sz w:val="20"/>
          <w:szCs w:val="20"/>
          <w:shd w:val="clear" w:color="auto" w:fill="FFFFFF"/>
        </w:rPr>
        <w:t xml:space="preserve"> </w:t>
      </w:r>
    </w:p>
    <w:p w:rsidR="007D5FF1" w:rsidRDefault="007D5FF1" w:rsidP="007D5FF1">
      <w:pPr>
        <w:pStyle w:val="ListParagraph"/>
        <w:jc w:val="both"/>
        <w:rPr>
          <w:rFonts w:asciiTheme="minorHAnsi" w:hAnsiTheme="minorHAnsi" w:cstheme="minorHAnsi"/>
          <w:color w:val="333333"/>
          <w:sz w:val="20"/>
          <w:szCs w:val="20"/>
          <w:shd w:val="clear" w:color="auto" w:fill="FFFFFF"/>
        </w:rPr>
      </w:pPr>
    </w:p>
    <w:p w:rsidR="008255DB" w:rsidRPr="007D5FF1" w:rsidRDefault="002B7F58" w:rsidP="007D5FF1">
      <w:pPr>
        <w:jc w:val="both"/>
        <w:rPr>
          <w:rFonts w:asciiTheme="minorHAnsi" w:hAnsiTheme="minorHAnsi" w:cstheme="minorHAnsi"/>
          <w:color w:val="333333"/>
          <w:sz w:val="20"/>
          <w:szCs w:val="20"/>
          <w:shd w:val="clear" w:color="auto" w:fill="FFFFFF"/>
        </w:rPr>
      </w:pPr>
      <w:r w:rsidRPr="007D5FF1">
        <w:rPr>
          <w:rFonts w:asciiTheme="minorHAnsi" w:hAnsiTheme="minorHAnsi" w:cstheme="minorHAnsi"/>
          <w:color w:val="333333"/>
          <w:sz w:val="20"/>
          <w:szCs w:val="20"/>
          <w:shd w:val="clear" w:color="auto" w:fill="FFFFFF"/>
        </w:rPr>
        <w:t xml:space="preserve">Le </w:t>
      </w:r>
      <w:r w:rsidRPr="007D5FF1">
        <w:rPr>
          <w:rFonts w:asciiTheme="minorHAnsi" w:hAnsiTheme="minorHAnsi" w:cstheme="minorHAnsi"/>
          <w:b/>
          <w:bCs/>
          <w:color w:val="333333"/>
          <w:sz w:val="20"/>
          <w:szCs w:val="20"/>
          <w:shd w:val="clear" w:color="auto" w:fill="FFFFFF"/>
        </w:rPr>
        <w:t>lesioni polmonari</w:t>
      </w:r>
      <w:r w:rsidRPr="007D5FF1">
        <w:rPr>
          <w:rFonts w:asciiTheme="minorHAnsi" w:hAnsiTheme="minorHAnsi" w:cstheme="minorHAnsi"/>
          <w:color w:val="333333"/>
          <w:sz w:val="20"/>
          <w:szCs w:val="20"/>
          <w:shd w:val="clear" w:color="auto" w:fill="FFFFFF"/>
        </w:rPr>
        <w:t xml:space="preserve"> coinvolgono principalmente gli alveoli e sono principalmente composte da alveolite polmonare desquamativa e bronchite, poiché nella maggior parte delle pareti alveolari o dei setti interlobulari non sono state osservate variazioni significative della larghezza. </w:t>
      </w:r>
    </w:p>
    <w:p w:rsidR="008255DB" w:rsidRDefault="002B7F58" w:rsidP="002B7F58">
      <w:pPr>
        <w:jc w:val="both"/>
        <w:rPr>
          <w:rFonts w:asciiTheme="minorHAnsi" w:hAnsiTheme="minorHAnsi" w:cstheme="minorHAnsi"/>
          <w:color w:val="333333"/>
          <w:sz w:val="20"/>
          <w:szCs w:val="20"/>
          <w:shd w:val="clear" w:color="auto" w:fill="FFFFFF"/>
        </w:rPr>
      </w:pPr>
      <w:r w:rsidRPr="007D5FF1">
        <w:rPr>
          <w:rFonts w:asciiTheme="minorHAnsi" w:hAnsiTheme="minorHAnsi" w:cstheme="minorHAnsi"/>
          <w:color w:val="333333"/>
          <w:sz w:val="20"/>
          <w:szCs w:val="20"/>
          <w:shd w:val="clear" w:color="auto" w:fill="FFFFFF"/>
        </w:rPr>
        <w:t xml:space="preserve">Altre lesioni sono la formazione di membrane ialine, l'essudazione massiccia di cellule infiammatorie negli alveoli, l'emorragia irregolare e la necrosi focale e l'organizzazione degli essudati negli alveoli nei pazienti con un decorso prolungato della malattia (fino a 20 giorni). </w:t>
      </w:r>
    </w:p>
    <w:p w:rsidR="007D5FF1" w:rsidRPr="007D5FF1" w:rsidRDefault="007D5FF1" w:rsidP="002B7F58">
      <w:pPr>
        <w:jc w:val="both"/>
        <w:rPr>
          <w:rFonts w:asciiTheme="minorHAnsi" w:hAnsiTheme="minorHAnsi" w:cstheme="minorHAnsi"/>
          <w:color w:val="333333"/>
          <w:sz w:val="20"/>
          <w:szCs w:val="20"/>
          <w:shd w:val="clear" w:color="auto" w:fill="FFFFFF"/>
        </w:rPr>
      </w:pPr>
    </w:p>
    <w:p w:rsidR="008255DB" w:rsidRDefault="002B7F58" w:rsidP="002B7F58">
      <w:pPr>
        <w:jc w:val="both"/>
        <w:rPr>
          <w:rFonts w:asciiTheme="minorHAnsi" w:hAnsiTheme="minorHAnsi" w:cstheme="minorHAnsi"/>
          <w:color w:val="333333"/>
          <w:sz w:val="20"/>
          <w:szCs w:val="20"/>
          <w:shd w:val="clear" w:color="auto" w:fill="FFFFFF"/>
        </w:rPr>
      </w:pPr>
      <w:r w:rsidRPr="007D5FF1">
        <w:rPr>
          <w:rFonts w:asciiTheme="minorHAnsi" w:hAnsiTheme="minorHAnsi" w:cstheme="minorHAnsi"/>
          <w:color w:val="333333"/>
          <w:sz w:val="20"/>
          <w:szCs w:val="20"/>
          <w:shd w:val="clear" w:color="auto" w:fill="FFFFFF"/>
        </w:rPr>
        <w:t xml:space="preserve">Le principali </w:t>
      </w:r>
      <w:r w:rsidRPr="007D5FF1">
        <w:rPr>
          <w:rFonts w:asciiTheme="minorHAnsi" w:hAnsiTheme="minorHAnsi" w:cstheme="minorHAnsi"/>
          <w:b/>
          <w:bCs/>
          <w:color w:val="333333"/>
          <w:sz w:val="20"/>
          <w:szCs w:val="20"/>
          <w:shd w:val="clear" w:color="auto" w:fill="FFFFFF"/>
        </w:rPr>
        <w:t>lesioni degli organi immunitari</w:t>
      </w:r>
      <w:r w:rsidRPr="007D5FF1">
        <w:rPr>
          <w:rFonts w:asciiTheme="minorHAnsi" w:hAnsiTheme="minorHAnsi" w:cstheme="minorHAnsi"/>
          <w:color w:val="333333"/>
          <w:sz w:val="20"/>
          <w:szCs w:val="20"/>
          <w:shd w:val="clear" w:color="auto" w:fill="FFFFFF"/>
        </w:rPr>
        <w:t xml:space="preserve"> sono la necrosi massiccia nella milza e la necrosi locale nei linfonodi. </w:t>
      </w:r>
    </w:p>
    <w:p w:rsidR="007D5FF1" w:rsidRPr="007D5FF1" w:rsidRDefault="007D5FF1" w:rsidP="002B7F58">
      <w:pPr>
        <w:jc w:val="both"/>
        <w:rPr>
          <w:rFonts w:asciiTheme="minorHAnsi" w:hAnsiTheme="minorHAnsi" w:cstheme="minorHAnsi"/>
          <w:color w:val="333333"/>
          <w:sz w:val="20"/>
          <w:szCs w:val="20"/>
          <w:shd w:val="clear" w:color="auto" w:fill="FFFFFF"/>
        </w:rPr>
      </w:pPr>
    </w:p>
    <w:p w:rsidR="008255DB" w:rsidRDefault="002B7F58" w:rsidP="002B7F58">
      <w:pPr>
        <w:jc w:val="both"/>
        <w:rPr>
          <w:rFonts w:asciiTheme="minorHAnsi" w:hAnsiTheme="minorHAnsi" w:cstheme="minorHAnsi"/>
          <w:color w:val="333333"/>
          <w:sz w:val="20"/>
          <w:szCs w:val="20"/>
          <w:shd w:val="clear" w:color="auto" w:fill="FFFFFF"/>
        </w:rPr>
      </w:pPr>
      <w:r w:rsidRPr="007D5FF1">
        <w:rPr>
          <w:rFonts w:asciiTheme="minorHAnsi" w:hAnsiTheme="minorHAnsi" w:cstheme="minorHAnsi"/>
          <w:color w:val="333333"/>
          <w:sz w:val="20"/>
          <w:szCs w:val="20"/>
          <w:shd w:val="clear" w:color="auto" w:fill="FFFFFF"/>
        </w:rPr>
        <w:t xml:space="preserve">La </w:t>
      </w:r>
      <w:r w:rsidRPr="007D5FF1">
        <w:rPr>
          <w:rFonts w:asciiTheme="minorHAnsi" w:hAnsiTheme="minorHAnsi" w:cstheme="minorHAnsi"/>
          <w:b/>
          <w:bCs/>
          <w:color w:val="333333"/>
          <w:sz w:val="20"/>
          <w:szCs w:val="20"/>
          <w:shd w:val="clear" w:color="auto" w:fill="FFFFFF"/>
        </w:rPr>
        <w:t>vasculite sistemica</w:t>
      </w:r>
      <w:r w:rsidRPr="007D5FF1">
        <w:rPr>
          <w:rFonts w:asciiTheme="minorHAnsi" w:hAnsiTheme="minorHAnsi" w:cstheme="minorHAnsi"/>
          <w:color w:val="333333"/>
          <w:sz w:val="20"/>
          <w:szCs w:val="20"/>
          <w:shd w:val="clear" w:color="auto" w:fill="FFFFFF"/>
        </w:rPr>
        <w:t xml:space="preserve"> comporta </w:t>
      </w:r>
      <w:r w:rsidR="008255DB" w:rsidRPr="007D5FF1">
        <w:rPr>
          <w:rFonts w:asciiTheme="minorHAnsi" w:hAnsiTheme="minorHAnsi" w:cstheme="minorHAnsi"/>
          <w:color w:val="333333"/>
          <w:sz w:val="20"/>
          <w:szCs w:val="20"/>
          <w:shd w:val="clear" w:color="auto" w:fill="FFFFFF"/>
        </w:rPr>
        <w:t xml:space="preserve">la </w:t>
      </w:r>
      <w:r w:rsidRPr="007D5FF1">
        <w:rPr>
          <w:rFonts w:asciiTheme="minorHAnsi" w:hAnsiTheme="minorHAnsi" w:cstheme="minorHAnsi"/>
          <w:color w:val="333333"/>
          <w:sz w:val="20"/>
          <w:szCs w:val="20"/>
          <w:shd w:val="clear" w:color="auto" w:fill="FFFFFF"/>
        </w:rPr>
        <w:t xml:space="preserve">proliferazione, </w:t>
      </w:r>
      <w:r w:rsidR="008255DB" w:rsidRPr="007D5FF1">
        <w:rPr>
          <w:rFonts w:asciiTheme="minorHAnsi" w:hAnsiTheme="minorHAnsi" w:cstheme="minorHAnsi"/>
          <w:color w:val="333333"/>
          <w:sz w:val="20"/>
          <w:szCs w:val="20"/>
          <w:shd w:val="clear" w:color="auto" w:fill="FFFFFF"/>
        </w:rPr>
        <w:t>il rigonfiamento</w:t>
      </w:r>
      <w:r w:rsidRPr="007D5FF1">
        <w:rPr>
          <w:rFonts w:asciiTheme="minorHAnsi" w:hAnsiTheme="minorHAnsi" w:cstheme="minorHAnsi"/>
          <w:color w:val="333333"/>
          <w:sz w:val="20"/>
          <w:szCs w:val="20"/>
          <w:shd w:val="clear" w:color="auto" w:fill="FFFFFF"/>
        </w:rPr>
        <w:t xml:space="preserve"> e </w:t>
      </w:r>
      <w:r w:rsidR="008255DB" w:rsidRPr="007D5FF1">
        <w:rPr>
          <w:rFonts w:asciiTheme="minorHAnsi" w:hAnsiTheme="minorHAnsi" w:cstheme="minorHAnsi"/>
          <w:color w:val="333333"/>
          <w:sz w:val="20"/>
          <w:szCs w:val="20"/>
          <w:shd w:val="clear" w:color="auto" w:fill="FFFFFF"/>
        </w:rPr>
        <w:t>l’</w:t>
      </w:r>
      <w:r w:rsidRPr="007D5FF1">
        <w:rPr>
          <w:rFonts w:asciiTheme="minorHAnsi" w:hAnsiTheme="minorHAnsi" w:cstheme="minorHAnsi"/>
          <w:color w:val="333333"/>
          <w:sz w:val="20"/>
          <w:szCs w:val="20"/>
          <w:shd w:val="clear" w:color="auto" w:fill="FFFFFF"/>
        </w:rPr>
        <w:t xml:space="preserve">apoptosi </w:t>
      </w:r>
      <w:r w:rsidR="008255DB" w:rsidRPr="007D5FF1">
        <w:rPr>
          <w:rFonts w:asciiTheme="minorHAnsi" w:hAnsiTheme="minorHAnsi" w:cstheme="minorHAnsi"/>
          <w:color w:val="333333"/>
          <w:sz w:val="20"/>
          <w:szCs w:val="20"/>
          <w:shd w:val="clear" w:color="auto" w:fill="FFFFFF"/>
        </w:rPr>
        <w:t xml:space="preserve">(morte cellulare programmata) </w:t>
      </w:r>
      <w:r w:rsidRPr="007D5FF1">
        <w:rPr>
          <w:rFonts w:asciiTheme="minorHAnsi" w:hAnsiTheme="minorHAnsi" w:cstheme="minorHAnsi"/>
          <w:color w:val="333333"/>
          <w:sz w:val="20"/>
          <w:szCs w:val="20"/>
          <w:shd w:val="clear" w:color="auto" w:fill="FFFFFF"/>
        </w:rPr>
        <w:t xml:space="preserve">delle cellule endoteliali, con infiltrazione di monociti, linfociti e plasmacellule sia attorno alla circonferenza delle piccole vene che nelle pareti vascolari del cuore, polmone, fegato, rene, ghiandola surrenale e interstizio di muscoli striati. La necrosi e la trombosi fibrinoide si sono verificate in parti di piccole vene. </w:t>
      </w:r>
    </w:p>
    <w:p w:rsidR="007D5FF1" w:rsidRPr="007D5FF1" w:rsidRDefault="007D5FF1" w:rsidP="002B7F58">
      <w:pPr>
        <w:jc w:val="both"/>
        <w:rPr>
          <w:rFonts w:asciiTheme="minorHAnsi" w:hAnsiTheme="minorHAnsi" w:cstheme="minorHAnsi"/>
          <w:color w:val="333333"/>
          <w:sz w:val="20"/>
          <w:szCs w:val="20"/>
          <w:shd w:val="clear" w:color="auto" w:fill="FFFFFF"/>
        </w:rPr>
      </w:pPr>
    </w:p>
    <w:p w:rsidR="002B7F58" w:rsidRDefault="002B7F58" w:rsidP="002B7F58">
      <w:pPr>
        <w:jc w:val="both"/>
        <w:rPr>
          <w:rFonts w:asciiTheme="minorHAnsi" w:hAnsiTheme="minorHAnsi" w:cstheme="minorHAnsi"/>
          <w:color w:val="333333"/>
          <w:sz w:val="20"/>
          <w:szCs w:val="20"/>
          <w:shd w:val="clear" w:color="auto" w:fill="FFFFFF"/>
        </w:rPr>
      </w:pPr>
      <w:r w:rsidRPr="007D5FF1">
        <w:rPr>
          <w:rFonts w:asciiTheme="minorHAnsi" w:hAnsiTheme="minorHAnsi" w:cstheme="minorHAnsi"/>
          <w:color w:val="333333"/>
          <w:sz w:val="20"/>
          <w:szCs w:val="20"/>
          <w:shd w:val="clear" w:color="auto" w:fill="FFFFFF"/>
        </w:rPr>
        <w:lastRenderedPageBreak/>
        <w:t xml:space="preserve">Le </w:t>
      </w:r>
      <w:r w:rsidRPr="007D5FF1">
        <w:rPr>
          <w:rFonts w:asciiTheme="minorHAnsi" w:hAnsiTheme="minorHAnsi" w:cstheme="minorHAnsi"/>
          <w:b/>
          <w:bCs/>
          <w:color w:val="333333"/>
          <w:sz w:val="20"/>
          <w:szCs w:val="20"/>
          <w:shd w:val="clear" w:color="auto" w:fill="FFFFFF"/>
        </w:rPr>
        <w:t>reazioni tossiche sistemiche</w:t>
      </w:r>
      <w:r w:rsidRPr="007D5FF1">
        <w:rPr>
          <w:rFonts w:asciiTheme="minorHAnsi" w:hAnsiTheme="minorHAnsi" w:cstheme="minorHAnsi"/>
          <w:color w:val="333333"/>
          <w:sz w:val="20"/>
          <w:szCs w:val="20"/>
          <w:shd w:val="clear" w:color="auto" w:fill="FFFFFF"/>
        </w:rPr>
        <w:t xml:space="preserve"> includevano la degenerazione e la necrosi delle cellule del parenchima nel polmone, nel fegato, nei reni, nel cuore e nella ghiandola surrenale, nonché la degenerazione delle cellule nervose nel cervello.</w:t>
      </w:r>
    </w:p>
    <w:p w:rsidR="007D5FF1" w:rsidRPr="007D5FF1" w:rsidRDefault="007D5FF1" w:rsidP="002B7F58">
      <w:pPr>
        <w:jc w:val="both"/>
        <w:rPr>
          <w:rFonts w:asciiTheme="minorHAnsi" w:hAnsiTheme="minorHAnsi"/>
          <w:sz w:val="20"/>
          <w:szCs w:val="20"/>
        </w:rPr>
      </w:pPr>
    </w:p>
    <w:p w:rsidR="002B7F58" w:rsidRDefault="002B7F58" w:rsidP="002B7F58">
      <w:pPr>
        <w:pStyle w:val="p"/>
        <w:shd w:val="clear" w:color="auto" w:fill="FFFFFF"/>
        <w:spacing w:before="0" w:beforeAutospacing="0" w:after="0" w:afterAutospacing="0"/>
        <w:jc w:val="both"/>
        <w:rPr>
          <w:rFonts w:asciiTheme="minorHAnsi" w:hAnsiTheme="minorHAnsi" w:cstheme="minorHAnsi"/>
          <w:color w:val="333333"/>
          <w:sz w:val="20"/>
          <w:szCs w:val="20"/>
        </w:rPr>
      </w:pPr>
      <w:r w:rsidRPr="007D5FF1">
        <w:rPr>
          <w:rFonts w:asciiTheme="minorHAnsi" w:hAnsiTheme="minorHAnsi" w:cstheme="minorHAnsi"/>
          <w:color w:val="1C1E21"/>
          <w:sz w:val="20"/>
          <w:szCs w:val="20"/>
        </w:rPr>
        <w:t>La r</w:t>
      </w:r>
      <w:r w:rsidRPr="007D5FF1">
        <w:rPr>
          <w:rFonts w:asciiTheme="minorHAnsi" w:hAnsiTheme="minorHAnsi" w:cstheme="minorHAnsi"/>
          <w:color w:val="333333"/>
          <w:sz w:val="20"/>
          <w:szCs w:val="20"/>
        </w:rPr>
        <w:t xml:space="preserve">ilevazione della proteina </w:t>
      </w:r>
      <w:r w:rsidR="008255DB" w:rsidRPr="007D5FF1">
        <w:rPr>
          <w:rFonts w:asciiTheme="minorHAnsi" w:hAnsiTheme="minorHAnsi" w:cstheme="minorHAnsi"/>
          <w:color w:val="333333"/>
          <w:sz w:val="20"/>
          <w:szCs w:val="20"/>
        </w:rPr>
        <w:t xml:space="preserve">del </w:t>
      </w:r>
      <w:r w:rsidRPr="007D5FF1">
        <w:rPr>
          <w:rFonts w:asciiTheme="minorHAnsi" w:hAnsiTheme="minorHAnsi" w:cstheme="minorHAnsi"/>
          <w:color w:val="333333"/>
          <w:sz w:val="20"/>
          <w:szCs w:val="20"/>
        </w:rPr>
        <w:t xml:space="preserve">nucleocapside </w:t>
      </w:r>
      <w:r w:rsidR="009F2920" w:rsidRPr="007D5FF1">
        <w:rPr>
          <w:rFonts w:asciiTheme="minorHAnsi" w:hAnsiTheme="minorHAnsi" w:cstheme="minorHAnsi"/>
          <w:color w:val="333333"/>
          <w:sz w:val="20"/>
          <w:szCs w:val="20"/>
        </w:rPr>
        <w:t xml:space="preserve">e dell'RNA </w:t>
      </w:r>
      <w:r w:rsidR="008255DB" w:rsidRPr="007D5FF1">
        <w:rPr>
          <w:rFonts w:asciiTheme="minorHAnsi" w:hAnsiTheme="minorHAnsi" w:cstheme="minorHAnsi"/>
          <w:color w:val="333333"/>
          <w:sz w:val="20"/>
          <w:szCs w:val="20"/>
        </w:rPr>
        <w:t xml:space="preserve">del </w:t>
      </w:r>
      <w:r w:rsidRPr="007D5FF1">
        <w:rPr>
          <w:rFonts w:asciiTheme="minorHAnsi" w:hAnsiTheme="minorHAnsi" w:cstheme="minorHAnsi"/>
          <w:color w:val="333333"/>
          <w:sz w:val="20"/>
          <w:szCs w:val="20"/>
        </w:rPr>
        <w:t xml:space="preserve">SARS-CoV nell'epitelio gastrointestinale, </w:t>
      </w:r>
      <w:r w:rsidR="009F2920" w:rsidRPr="007D5FF1">
        <w:rPr>
          <w:rFonts w:asciiTheme="minorHAnsi" w:hAnsiTheme="minorHAnsi" w:cstheme="minorHAnsi"/>
          <w:color w:val="333333"/>
          <w:sz w:val="20"/>
          <w:szCs w:val="20"/>
        </w:rPr>
        <w:t>n</w:t>
      </w:r>
      <w:r w:rsidRPr="007D5FF1">
        <w:rPr>
          <w:rFonts w:asciiTheme="minorHAnsi" w:hAnsiTheme="minorHAnsi" w:cstheme="minorHAnsi"/>
          <w:color w:val="333333"/>
          <w:sz w:val="20"/>
          <w:szCs w:val="20"/>
        </w:rPr>
        <w:t xml:space="preserve">ell’epitelio del tubulo renale distale e </w:t>
      </w:r>
      <w:r w:rsidR="009F2920" w:rsidRPr="007D5FF1">
        <w:rPr>
          <w:rFonts w:asciiTheme="minorHAnsi" w:hAnsiTheme="minorHAnsi" w:cstheme="minorHAnsi"/>
          <w:color w:val="333333"/>
          <w:sz w:val="20"/>
          <w:szCs w:val="20"/>
        </w:rPr>
        <w:t>n</w:t>
      </w:r>
      <w:r w:rsidRPr="007D5FF1">
        <w:rPr>
          <w:rFonts w:asciiTheme="minorHAnsi" w:hAnsiTheme="minorHAnsi" w:cstheme="minorHAnsi"/>
          <w:color w:val="333333"/>
          <w:sz w:val="20"/>
          <w:szCs w:val="20"/>
        </w:rPr>
        <w:t xml:space="preserve">elle cellule delle ghiandole sudoripare ha fornito prove dirette per la </w:t>
      </w:r>
      <w:r w:rsidR="009F2920" w:rsidRPr="007D5FF1">
        <w:rPr>
          <w:rFonts w:asciiTheme="minorHAnsi" w:hAnsiTheme="minorHAnsi" w:cstheme="minorHAnsi"/>
          <w:color w:val="333333"/>
          <w:sz w:val="20"/>
          <w:szCs w:val="20"/>
        </w:rPr>
        <w:t xml:space="preserve">modalità di </w:t>
      </w:r>
      <w:r w:rsidRPr="007D5FF1">
        <w:rPr>
          <w:rFonts w:asciiTheme="minorHAnsi" w:hAnsiTheme="minorHAnsi" w:cstheme="minorHAnsi"/>
          <w:color w:val="333333"/>
          <w:sz w:val="20"/>
          <w:szCs w:val="20"/>
        </w:rPr>
        <w:t xml:space="preserve">trasmissione della SARS ed è stato proposto che, </w:t>
      </w:r>
      <w:r w:rsidRPr="007D5FF1">
        <w:rPr>
          <w:rFonts w:asciiTheme="minorHAnsi" w:hAnsiTheme="minorHAnsi" w:cstheme="minorHAnsi"/>
          <w:b/>
          <w:bCs/>
          <w:color w:val="333333"/>
          <w:sz w:val="20"/>
          <w:szCs w:val="20"/>
        </w:rPr>
        <w:t>oltre alla trasmissione respiratoria, la SARS può essere trasmessa attraverso il contatto con escre</w:t>
      </w:r>
      <w:r w:rsidR="009F2920" w:rsidRPr="007D5FF1">
        <w:rPr>
          <w:rFonts w:asciiTheme="minorHAnsi" w:hAnsiTheme="minorHAnsi" w:cstheme="minorHAnsi"/>
          <w:b/>
          <w:bCs/>
          <w:color w:val="333333"/>
          <w:sz w:val="20"/>
          <w:szCs w:val="20"/>
        </w:rPr>
        <w:t xml:space="preserve">zioni </w:t>
      </w:r>
      <w:r w:rsidRPr="007D5FF1">
        <w:rPr>
          <w:rFonts w:asciiTheme="minorHAnsi" w:hAnsiTheme="minorHAnsi" w:cstheme="minorHAnsi"/>
          <w:b/>
          <w:bCs/>
          <w:color w:val="333333"/>
          <w:sz w:val="20"/>
          <w:szCs w:val="20"/>
        </w:rPr>
        <w:t>e secrezioni del paziente</w:t>
      </w:r>
      <w:r w:rsidRPr="007D5FF1">
        <w:rPr>
          <w:rFonts w:asciiTheme="minorHAnsi" w:hAnsiTheme="minorHAnsi" w:cstheme="minorHAnsi"/>
          <w:color w:val="333333"/>
          <w:sz w:val="20"/>
          <w:szCs w:val="20"/>
        </w:rPr>
        <w:t xml:space="preserve"> (feci, urina, sudore). </w:t>
      </w:r>
    </w:p>
    <w:p w:rsidR="00790721" w:rsidRPr="007D5FF1" w:rsidRDefault="00790721" w:rsidP="002B7F58">
      <w:pPr>
        <w:pStyle w:val="p"/>
        <w:shd w:val="clear" w:color="auto" w:fill="FFFFFF"/>
        <w:spacing w:before="0" w:beforeAutospacing="0" w:after="0" w:afterAutospacing="0"/>
        <w:jc w:val="both"/>
        <w:rPr>
          <w:rFonts w:asciiTheme="minorHAnsi" w:hAnsiTheme="minorHAnsi" w:cstheme="minorHAnsi"/>
          <w:color w:val="333333"/>
          <w:sz w:val="20"/>
          <w:szCs w:val="20"/>
        </w:rPr>
      </w:pPr>
    </w:p>
    <w:p w:rsidR="002B7F58" w:rsidRDefault="002B7F58" w:rsidP="002B7F58">
      <w:pPr>
        <w:pStyle w:val="p"/>
        <w:shd w:val="clear" w:color="auto" w:fill="FFFFFF"/>
        <w:spacing w:before="0" w:beforeAutospacing="0" w:after="0" w:afterAutospacing="0"/>
        <w:jc w:val="both"/>
        <w:rPr>
          <w:rFonts w:asciiTheme="minorHAnsi" w:hAnsiTheme="minorHAnsi" w:cstheme="minorHAnsi"/>
          <w:color w:val="333333"/>
          <w:sz w:val="20"/>
          <w:szCs w:val="20"/>
        </w:rPr>
      </w:pPr>
      <w:r w:rsidRPr="007D5FF1">
        <w:rPr>
          <w:rFonts w:asciiTheme="minorHAnsi" w:hAnsiTheme="minorHAnsi" w:cstheme="minorHAnsi"/>
          <w:color w:val="333333"/>
          <w:sz w:val="20"/>
          <w:szCs w:val="20"/>
        </w:rPr>
        <w:t xml:space="preserve">In particolare, l’apparato gastrointestinale può essere </w:t>
      </w:r>
      <w:r w:rsidR="009F2920" w:rsidRPr="007D5FF1">
        <w:rPr>
          <w:rFonts w:asciiTheme="minorHAnsi" w:hAnsiTheme="minorHAnsi" w:cstheme="minorHAnsi"/>
          <w:color w:val="333333"/>
          <w:sz w:val="20"/>
          <w:szCs w:val="20"/>
        </w:rPr>
        <w:t xml:space="preserve">considerato </w:t>
      </w:r>
      <w:r w:rsidRPr="007D5FF1">
        <w:rPr>
          <w:rFonts w:asciiTheme="minorHAnsi" w:hAnsiTheme="minorHAnsi" w:cstheme="minorHAnsi"/>
          <w:color w:val="333333"/>
          <w:sz w:val="20"/>
          <w:szCs w:val="20"/>
        </w:rPr>
        <w:t xml:space="preserve">un bersaglio primario del SARS-CoV, </w:t>
      </w:r>
      <w:r w:rsidR="009F2920" w:rsidRPr="007D5FF1">
        <w:rPr>
          <w:rFonts w:asciiTheme="minorHAnsi" w:hAnsiTheme="minorHAnsi" w:cstheme="minorHAnsi"/>
          <w:color w:val="333333"/>
          <w:sz w:val="20"/>
          <w:szCs w:val="20"/>
        </w:rPr>
        <w:t>in quanto</w:t>
      </w:r>
      <w:r w:rsidRPr="007D5FF1">
        <w:rPr>
          <w:rFonts w:asciiTheme="minorHAnsi" w:hAnsiTheme="minorHAnsi" w:cstheme="minorHAnsi"/>
          <w:color w:val="333333"/>
          <w:sz w:val="20"/>
          <w:szCs w:val="20"/>
        </w:rPr>
        <w:t xml:space="preserve"> il virus presente </w:t>
      </w:r>
      <w:r w:rsidR="009F2920" w:rsidRPr="007D5FF1">
        <w:rPr>
          <w:rFonts w:asciiTheme="minorHAnsi" w:hAnsiTheme="minorHAnsi" w:cstheme="minorHAnsi"/>
          <w:color w:val="333333"/>
          <w:sz w:val="20"/>
          <w:szCs w:val="20"/>
        </w:rPr>
        <w:t xml:space="preserve">in </w:t>
      </w:r>
      <w:r w:rsidRPr="007D5FF1">
        <w:rPr>
          <w:rFonts w:asciiTheme="minorHAnsi" w:hAnsiTheme="minorHAnsi" w:cstheme="minorHAnsi"/>
          <w:color w:val="333333"/>
          <w:sz w:val="20"/>
          <w:szCs w:val="20"/>
        </w:rPr>
        <w:t xml:space="preserve">alimenti e acqua contaminati può entrare nel corpo umano attraverso le cellule epiteliali che ricoprono la superficie del tratto gastrointestinale </w:t>
      </w:r>
      <w:r w:rsidRPr="007D5FF1">
        <w:rPr>
          <w:rStyle w:val="FootnoteReference"/>
          <w:rFonts w:asciiTheme="minorHAnsi" w:hAnsiTheme="minorHAnsi" w:cstheme="minorHAnsi"/>
          <w:color w:val="333333"/>
          <w:sz w:val="20"/>
          <w:szCs w:val="20"/>
        </w:rPr>
        <w:footnoteReference w:id="30"/>
      </w:r>
      <w:r w:rsidRPr="007D5FF1">
        <w:rPr>
          <w:rFonts w:asciiTheme="minorHAnsi" w:hAnsiTheme="minorHAnsi" w:cstheme="minorHAnsi"/>
          <w:color w:val="333333"/>
          <w:sz w:val="20"/>
          <w:szCs w:val="20"/>
        </w:rPr>
        <w:t>.</w:t>
      </w:r>
    </w:p>
    <w:p w:rsidR="00790721" w:rsidRDefault="00790721" w:rsidP="002B7F58">
      <w:pPr>
        <w:pStyle w:val="p"/>
        <w:shd w:val="clear" w:color="auto" w:fill="FFFFFF"/>
        <w:spacing w:before="0" w:beforeAutospacing="0" w:after="0" w:afterAutospacing="0"/>
        <w:jc w:val="both"/>
        <w:rPr>
          <w:rFonts w:asciiTheme="minorHAnsi" w:hAnsiTheme="minorHAnsi" w:cstheme="minorHAnsi"/>
          <w:color w:val="333333"/>
          <w:sz w:val="20"/>
          <w:szCs w:val="20"/>
        </w:rPr>
      </w:pPr>
    </w:p>
    <w:p w:rsidR="002B7F58" w:rsidRDefault="002B7F58" w:rsidP="002B7F58">
      <w:pPr>
        <w:pStyle w:val="p"/>
        <w:shd w:val="clear" w:color="auto" w:fill="FFFFFF"/>
        <w:spacing w:before="0" w:beforeAutospacing="0" w:after="0" w:afterAutospacing="0"/>
        <w:jc w:val="both"/>
        <w:rPr>
          <w:rFonts w:asciiTheme="minorHAnsi" w:hAnsiTheme="minorHAnsi" w:cstheme="minorHAnsi"/>
          <w:color w:val="333333"/>
          <w:sz w:val="20"/>
          <w:szCs w:val="20"/>
        </w:rPr>
      </w:pPr>
      <w:r w:rsidRPr="007D5FF1">
        <w:rPr>
          <w:rFonts w:asciiTheme="minorHAnsi" w:hAnsiTheme="minorHAnsi" w:cstheme="minorHAnsi"/>
          <w:color w:val="333333"/>
          <w:sz w:val="20"/>
          <w:szCs w:val="20"/>
        </w:rPr>
        <w:t xml:space="preserve">Inoltre, è stato scoperto che anche nelle </w:t>
      </w:r>
      <w:r w:rsidRPr="007D5FF1">
        <w:rPr>
          <w:rFonts w:asciiTheme="minorHAnsi" w:hAnsiTheme="minorHAnsi" w:cstheme="minorHAnsi"/>
          <w:b/>
          <w:bCs/>
          <w:color w:val="333333"/>
          <w:sz w:val="20"/>
          <w:szCs w:val="20"/>
        </w:rPr>
        <w:t>ghiandole endocrine</w:t>
      </w:r>
      <w:r w:rsidRPr="007D5FF1">
        <w:rPr>
          <w:rFonts w:asciiTheme="minorHAnsi" w:hAnsiTheme="minorHAnsi" w:cstheme="minorHAnsi"/>
          <w:color w:val="333333"/>
          <w:sz w:val="20"/>
          <w:szCs w:val="20"/>
        </w:rPr>
        <w:t xml:space="preserve"> (eosinofili paratiroidei e ipofisari, cellule della corteccia surrenale, cellule parietali gastriche) e nelle </w:t>
      </w:r>
      <w:r w:rsidRPr="007D5FF1">
        <w:rPr>
          <w:rFonts w:asciiTheme="minorHAnsi" w:hAnsiTheme="minorHAnsi" w:cstheme="minorHAnsi"/>
          <w:b/>
          <w:bCs/>
          <w:color w:val="333333"/>
          <w:sz w:val="20"/>
          <w:szCs w:val="20"/>
        </w:rPr>
        <w:t>ghiandole esocrine</w:t>
      </w:r>
      <w:r w:rsidRPr="007D5FF1">
        <w:rPr>
          <w:rFonts w:asciiTheme="minorHAnsi" w:hAnsiTheme="minorHAnsi" w:cstheme="minorHAnsi"/>
          <w:color w:val="333333"/>
          <w:sz w:val="20"/>
          <w:szCs w:val="20"/>
        </w:rPr>
        <w:t xml:space="preserve"> (ghiandole sudoripare della pelle, trachea e ghiandole sierose tracheali, cellule acinose del pancreas) è possibile rilevare la proteina del capside e l'RNA polimerasi, quale indice d’infezione. </w:t>
      </w:r>
    </w:p>
    <w:p w:rsidR="00790721" w:rsidRPr="007D5FF1" w:rsidRDefault="00790721" w:rsidP="002B7F58">
      <w:pPr>
        <w:pStyle w:val="p"/>
        <w:shd w:val="clear" w:color="auto" w:fill="FFFFFF"/>
        <w:spacing w:before="0" w:beforeAutospacing="0" w:after="0" w:afterAutospacing="0"/>
        <w:jc w:val="both"/>
        <w:rPr>
          <w:rFonts w:asciiTheme="minorHAnsi" w:hAnsiTheme="minorHAnsi" w:cstheme="minorHAnsi"/>
          <w:color w:val="333333"/>
          <w:sz w:val="20"/>
          <w:szCs w:val="20"/>
        </w:rPr>
      </w:pPr>
    </w:p>
    <w:p w:rsidR="002B7F58" w:rsidRPr="007D5FF1" w:rsidRDefault="009F2920" w:rsidP="002B7F58">
      <w:pPr>
        <w:jc w:val="both"/>
        <w:rPr>
          <w:rFonts w:asciiTheme="minorHAnsi" w:hAnsiTheme="minorHAnsi" w:cstheme="minorHAnsi"/>
          <w:color w:val="000000" w:themeColor="text1"/>
          <w:sz w:val="20"/>
          <w:szCs w:val="20"/>
        </w:rPr>
      </w:pPr>
      <w:r w:rsidRPr="007D5FF1">
        <w:rPr>
          <w:rFonts w:asciiTheme="minorHAnsi" w:hAnsiTheme="minorHAnsi" w:cstheme="minorHAnsi"/>
          <w:color w:val="000000" w:themeColor="text1"/>
          <w:sz w:val="20"/>
          <w:szCs w:val="20"/>
        </w:rPr>
        <w:t>È</w:t>
      </w:r>
      <w:r w:rsidR="002B7F58" w:rsidRPr="007D5FF1">
        <w:rPr>
          <w:rFonts w:asciiTheme="minorHAnsi" w:hAnsiTheme="minorHAnsi" w:cstheme="minorHAnsi"/>
          <w:color w:val="000000" w:themeColor="text1"/>
          <w:sz w:val="20"/>
          <w:szCs w:val="20"/>
        </w:rPr>
        <w:t xml:space="preserve"> degno di nota che </w:t>
      </w:r>
      <w:r w:rsidR="002B7F58" w:rsidRPr="007D5FF1">
        <w:rPr>
          <w:rFonts w:asciiTheme="minorHAnsi" w:hAnsiTheme="minorHAnsi" w:cstheme="minorHAnsi"/>
          <w:b/>
          <w:bCs/>
          <w:color w:val="000000" w:themeColor="text1"/>
          <w:sz w:val="20"/>
          <w:szCs w:val="20"/>
        </w:rPr>
        <w:t>studi in vivo con il MERS-Cov</w:t>
      </w:r>
      <w:r w:rsidR="002B7F58" w:rsidRPr="007D5FF1">
        <w:rPr>
          <w:rFonts w:asciiTheme="minorHAnsi" w:hAnsiTheme="minorHAnsi" w:cstheme="minorHAnsi"/>
          <w:color w:val="000000" w:themeColor="text1"/>
          <w:sz w:val="20"/>
          <w:szCs w:val="20"/>
        </w:rPr>
        <w:t xml:space="preserve"> hanno </w:t>
      </w:r>
      <w:r w:rsidRPr="007D5FF1">
        <w:rPr>
          <w:rFonts w:asciiTheme="minorHAnsi" w:hAnsiTheme="minorHAnsi" w:cstheme="minorHAnsi"/>
          <w:color w:val="000000" w:themeColor="text1"/>
          <w:sz w:val="20"/>
          <w:szCs w:val="20"/>
        </w:rPr>
        <w:t>di</w:t>
      </w:r>
      <w:r w:rsidR="002B7F58" w:rsidRPr="007D5FF1">
        <w:rPr>
          <w:rFonts w:asciiTheme="minorHAnsi" w:hAnsiTheme="minorHAnsi" w:cstheme="minorHAnsi"/>
          <w:color w:val="000000" w:themeColor="text1"/>
          <w:sz w:val="20"/>
          <w:szCs w:val="20"/>
        </w:rPr>
        <w:t xml:space="preserve">mostrato </w:t>
      </w:r>
      <w:r w:rsidRPr="007D5FF1">
        <w:rPr>
          <w:rFonts w:asciiTheme="minorHAnsi" w:hAnsiTheme="minorHAnsi" w:cstheme="minorHAnsi"/>
          <w:color w:val="000000" w:themeColor="text1"/>
          <w:sz w:val="20"/>
          <w:szCs w:val="20"/>
        </w:rPr>
        <w:t>che l’</w:t>
      </w:r>
      <w:r w:rsidR="002B7F58" w:rsidRPr="007D5FF1">
        <w:rPr>
          <w:rFonts w:asciiTheme="minorHAnsi" w:hAnsiTheme="minorHAnsi" w:cstheme="minorHAnsi"/>
          <w:color w:val="000000" w:themeColor="text1"/>
          <w:sz w:val="20"/>
          <w:szCs w:val="20"/>
        </w:rPr>
        <w:t xml:space="preserve">infiammazione e </w:t>
      </w:r>
      <w:r w:rsidRPr="007D5FF1">
        <w:rPr>
          <w:rFonts w:asciiTheme="minorHAnsi" w:hAnsiTheme="minorHAnsi" w:cstheme="minorHAnsi"/>
          <w:color w:val="000000" w:themeColor="text1"/>
          <w:sz w:val="20"/>
          <w:szCs w:val="20"/>
        </w:rPr>
        <w:t xml:space="preserve">la </w:t>
      </w:r>
      <w:r w:rsidR="002B7F58" w:rsidRPr="007D5FF1">
        <w:rPr>
          <w:rFonts w:asciiTheme="minorHAnsi" w:hAnsiTheme="minorHAnsi" w:cstheme="minorHAnsi"/>
          <w:color w:val="000000" w:themeColor="text1"/>
          <w:sz w:val="20"/>
          <w:szCs w:val="20"/>
        </w:rPr>
        <w:t xml:space="preserve">degenerazione epiteliale nell'intestino tenue, </w:t>
      </w:r>
      <w:r w:rsidRPr="007D5FF1">
        <w:rPr>
          <w:rFonts w:asciiTheme="minorHAnsi" w:hAnsiTheme="minorHAnsi" w:cstheme="minorHAnsi"/>
          <w:color w:val="000000" w:themeColor="text1"/>
          <w:sz w:val="20"/>
          <w:szCs w:val="20"/>
        </w:rPr>
        <w:t xml:space="preserve">era associata allo </w:t>
      </w:r>
      <w:r w:rsidR="002B7F58" w:rsidRPr="007D5FF1">
        <w:rPr>
          <w:rFonts w:asciiTheme="minorHAnsi" w:hAnsiTheme="minorHAnsi" w:cstheme="minorHAnsi"/>
          <w:color w:val="000000" w:themeColor="text1"/>
          <w:sz w:val="20"/>
          <w:szCs w:val="20"/>
        </w:rPr>
        <w:t>sviluppo di polmonite e infezione cerebrale</w:t>
      </w:r>
      <w:r w:rsidRPr="007D5FF1">
        <w:rPr>
          <w:rFonts w:asciiTheme="minorHAnsi" w:hAnsiTheme="minorHAnsi" w:cstheme="minorHAnsi"/>
          <w:color w:val="000000" w:themeColor="text1"/>
          <w:sz w:val="20"/>
          <w:szCs w:val="20"/>
        </w:rPr>
        <w:t xml:space="preserve">, e in particolare che </w:t>
      </w:r>
      <w:r w:rsidR="002B7F58" w:rsidRPr="007D5FF1">
        <w:rPr>
          <w:rFonts w:asciiTheme="minorHAnsi" w:hAnsiTheme="minorHAnsi" w:cstheme="minorHAnsi"/>
          <w:color w:val="000000" w:themeColor="text1"/>
          <w:sz w:val="20"/>
          <w:szCs w:val="20"/>
        </w:rPr>
        <w:t xml:space="preserve">l'infezione polmonare </w:t>
      </w:r>
      <w:r w:rsidRPr="007D5FF1">
        <w:rPr>
          <w:rFonts w:asciiTheme="minorHAnsi" w:hAnsiTheme="minorHAnsi" w:cstheme="minorHAnsi"/>
          <w:color w:val="000000" w:themeColor="text1"/>
          <w:sz w:val="20"/>
          <w:szCs w:val="20"/>
        </w:rPr>
        <w:t xml:space="preserve">da </w:t>
      </w:r>
      <w:r w:rsidR="002B7F58" w:rsidRPr="007D5FF1">
        <w:rPr>
          <w:rFonts w:asciiTheme="minorHAnsi" w:hAnsiTheme="minorHAnsi" w:cstheme="minorHAnsi"/>
          <w:color w:val="000000" w:themeColor="text1"/>
          <w:sz w:val="20"/>
          <w:szCs w:val="20"/>
        </w:rPr>
        <w:t xml:space="preserve">MERS-CoV era </w:t>
      </w:r>
      <w:r w:rsidRPr="007D5FF1">
        <w:rPr>
          <w:rFonts w:asciiTheme="minorHAnsi" w:hAnsiTheme="minorHAnsi" w:cstheme="minorHAnsi"/>
          <w:color w:val="000000" w:themeColor="text1"/>
          <w:sz w:val="20"/>
          <w:szCs w:val="20"/>
        </w:rPr>
        <w:t xml:space="preserve">una manifestazione </w:t>
      </w:r>
      <w:r w:rsidR="002B7F58" w:rsidRPr="007D5FF1">
        <w:rPr>
          <w:rFonts w:asciiTheme="minorHAnsi" w:hAnsiTheme="minorHAnsi" w:cstheme="minorHAnsi"/>
          <w:color w:val="000000" w:themeColor="text1"/>
          <w:sz w:val="20"/>
          <w:szCs w:val="20"/>
        </w:rPr>
        <w:t xml:space="preserve">secondaria all'infezione intestinale. </w:t>
      </w:r>
      <w:r w:rsidR="002B7F58" w:rsidRPr="007D5FF1">
        <w:rPr>
          <w:rStyle w:val="FootnoteReference"/>
          <w:rFonts w:asciiTheme="minorHAnsi" w:hAnsiTheme="minorHAnsi" w:cstheme="minorHAnsi"/>
          <w:color w:val="000000" w:themeColor="text1"/>
          <w:sz w:val="20"/>
          <w:szCs w:val="20"/>
        </w:rPr>
        <w:footnoteReference w:id="31"/>
      </w:r>
    </w:p>
    <w:p w:rsidR="009F2920" w:rsidRPr="007D5FF1" w:rsidRDefault="009F2920" w:rsidP="002B7F58">
      <w:pPr>
        <w:jc w:val="both"/>
        <w:rPr>
          <w:rFonts w:asciiTheme="minorHAnsi" w:hAnsiTheme="minorHAnsi" w:cstheme="minorHAnsi"/>
          <w:color w:val="1C1E21"/>
          <w:sz w:val="20"/>
          <w:szCs w:val="20"/>
        </w:rPr>
      </w:pPr>
    </w:p>
    <w:p w:rsidR="009F2920" w:rsidRPr="007D5FF1" w:rsidRDefault="00A948D5" w:rsidP="00FE6E3A">
      <w:pPr>
        <w:jc w:val="both"/>
        <w:rPr>
          <w:rFonts w:asciiTheme="minorHAnsi" w:hAnsiTheme="minorHAnsi" w:cstheme="minorHAnsi"/>
          <w:color w:val="1C1E21"/>
          <w:sz w:val="20"/>
          <w:szCs w:val="20"/>
        </w:rPr>
      </w:pPr>
      <w:r w:rsidRPr="007D5FF1">
        <w:rPr>
          <w:rFonts w:asciiTheme="minorHAnsi" w:hAnsiTheme="minorHAnsi" w:cstheme="minorHAnsi"/>
          <w:color w:val="1C1E21"/>
          <w:sz w:val="20"/>
          <w:szCs w:val="20"/>
        </w:rPr>
        <w:t>Nel suo commento all’articolo “</w:t>
      </w:r>
      <w:r w:rsidRPr="007D5FF1">
        <w:rPr>
          <w:rFonts w:asciiTheme="minorHAnsi" w:hAnsiTheme="minorHAnsi" w:cstheme="minorHAnsi"/>
          <w:i/>
          <w:iCs/>
          <w:color w:val="1C1E21"/>
          <w:sz w:val="20"/>
          <w:szCs w:val="20"/>
        </w:rPr>
        <w:t>Covid-19: a puzzle with many missing pieces</w:t>
      </w:r>
      <w:r w:rsidRPr="007D5FF1">
        <w:rPr>
          <w:rFonts w:asciiTheme="minorHAnsi" w:hAnsiTheme="minorHAnsi" w:cstheme="minorHAnsi"/>
          <w:color w:val="1C1E21"/>
          <w:sz w:val="20"/>
          <w:szCs w:val="20"/>
        </w:rPr>
        <w:t>” il dott. G. Ghinga rafforza</w:t>
      </w:r>
      <w:r w:rsidR="00673486" w:rsidRPr="007D5FF1">
        <w:rPr>
          <w:rFonts w:asciiTheme="minorHAnsi" w:hAnsiTheme="minorHAnsi" w:cstheme="minorHAnsi"/>
          <w:color w:val="1C1E21"/>
          <w:sz w:val="20"/>
          <w:szCs w:val="20"/>
        </w:rPr>
        <w:t xml:space="preserve"> </w:t>
      </w:r>
      <w:r w:rsidRPr="007D5FF1">
        <w:rPr>
          <w:rFonts w:asciiTheme="minorHAnsi" w:hAnsiTheme="minorHAnsi" w:cstheme="minorHAnsi"/>
          <w:color w:val="1C1E21"/>
          <w:sz w:val="20"/>
          <w:szCs w:val="20"/>
        </w:rPr>
        <w:t>ulteriormente l‘</w:t>
      </w:r>
      <w:r w:rsidRPr="007D5FF1">
        <w:rPr>
          <w:rFonts w:asciiTheme="minorHAnsi" w:hAnsiTheme="minorHAnsi" w:cstheme="minorHAnsi"/>
          <w:b/>
          <w:bCs/>
          <w:color w:val="1C1E21"/>
          <w:sz w:val="20"/>
          <w:szCs w:val="20"/>
        </w:rPr>
        <w:t>ipotesi che la sede primaria dell’infezione di SARS-Cov-2 sia il tratto gastrointestinale</w:t>
      </w:r>
      <w:r w:rsidR="00673486" w:rsidRPr="007D5FF1">
        <w:rPr>
          <w:rFonts w:asciiTheme="minorHAnsi" w:hAnsiTheme="minorHAnsi" w:cstheme="minorHAnsi"/>
          <w:color w:val="1C1E21"/>
          <w:sz w:val="20"/>
          <w:szCs w:val="20"/>
        </w:rPr>
        <w:t xml:space="preserve">. </w:t>
      </w:r>
    </w:p>
    <w:p w:rsidR="009F2920" w:rsidRPr="007D5FF1" w:rsidRDefault="00673486" w:rsidP="00FE6E3A">
      <w:pPr>
        <w:jc w:val="both"/>
        <w:rPr>
          <w:rFonts w:asciiTheme="minorHAnsi" w:hAnsiTheme="minorHAnsi" w:cstheme="minorHAnsi"/>
          <w:color w:val="1C1E21"/>
          <w:sz w:val="20"/>
          <w:szCs w:val="20"/>
        </w:rPr>
      </w:pPr>
      <w:r w:rsidRPr="007D5FF1">
        <w:rPr>
          <w:rFonts w:asciiTheme="minorHAnsi" w:hAnsiTheme="minorHAnsi" w:cstheme="minorHAnsi"/>
          <w:color w:val="1C1E21"/>
          <w:sz w:val="20"/>
          <w:szCs w:val="20"/>
        </w:rPr>
        <w:t xml:space="preserve">Osserva infatti che se il SARS-COV-2 si diffondesse </w:t>
      </w:r>
      <w:r w:rsidR="009F2920" w:rsidRPr="007D5FF1">
        <w:rPr>
          <w:rFonts w:asciiTheme="minorHAnsi" w:hAnsiTheme="minorHAnsi" w:cstheme="minorHAnsi"/>
          <w:color w:val="1C1E21"/>
          <w:sz w:val="20"/>
          <w:szCs w:val="20"/>
        </w:rPr>
        <w:t>nel</w:t>
      </w:r>
      <w:r w:rsidRPr="007D5FF1">
        <w:rPr>
          <w:rFonts w:asciiTheme="minorHAnsi" w:hAnsiTheme="minorHAnsi" w:cstheme="minorHAnsi"/>
          <w:color w:val="1C1E21"/>
          <w:sz w:val="20"/>
          <w:szCs w:val="20"/>
        </w:rPr>
        <w:t xml:space="preserve"> polmone </w:t>
      </w:r>
      <w:r w:rsidR="009F2920" w:rsidRPr="007D5FF1">
        <w:rPr>
          <w:rFonts w:asciiTheme="minorHAnsi" w:hAnsiTheme="minorHAnsi" w:cstheme="minorHAnsi"/>
          <w:color w:val="1C1E21"/>
          <w:sz w:val="20"/>
          <w:szCs w:val="20"/>
        </w:rPr>
        <w:t>in seguito alla sua</w:t>
      </w:r>
      <w:r w:rsidRPr="007D5FF1">
        <w:rPr>
          <w:rFonts w:asciiTheme="minorHAnsi" w:hAnsiTheme="minorHAnsi" w:cstheme="minorHAnsi"/>
          <w:color w:val="1C1E21"/>
          <w:sz w:val="20"/>
          <w:szCs w:val="20"/>
        </w:rPr>
        <w:t xml:space="preserve"> inalazione, ci si dovrebbe aspettare una predominanza </w:t>
      </w:r>
      <w:r w:rsidR="009F2920" w:rsidRPr="007D5FF1">
        <w:rPr>
          <w:rFonts w:asciiTheme="minorHAnsi" w:hAnsiTheme="minorHAnsi" w:cstheme="minorHAnsi"/>
          <w:color w:val="1C1E21"/>
          <w:sz w:val="20"/>
          <w:szCs w:val="20"/>
        </w:rPr>
        <w:t>delle lesioni n</w:t>
      </w:r>
      <w:r w:rsidRPr="007D5FF1">
        <w:rPr>
          <w:rFonts w:asciiTheme="minorHAnsi" w:hAnsiTheme="minorHAnsi" w:cstheme="minorHAnsi"/>
          <w:color w:val="1C1E21"/>
          <w:sz w:val="20"/>
          <w:szCs w:val="20"/>
        </w:rPr>
        <w:t xml:space="preserve">el lobo superiore, mentre in realtà </w:t>
      </w:r>
      <w:r w:rsidRPr="007D5FF1">
        <w:rPr>
          <w:rFonts w:asciiTheme="minorHAnsi" w:hAnsiTheme="minorHAnsi" w:cstheme="minorHAnsi"/>
          <w:b/>
          <w:bCs/>
          <w:color w:val="1C1E21"/>
          <w:sz w:val="20"/>
          <w:szCs w:val="20"/>
        </w:rPr>
        <w:t xml:space="preserve">la maggior parte delle lesioni </w:t>
      </w:r>
      <w:r w:rsidR="009F2920" w:rsidRPr="007D5FF1">
        <w:rPr>
          <w:rFonts w:asciiTheme="minorHAnsi" w:hAnsiTheme="minorHAnsi" w:cstheme="minorHAnsi"/>
          <w:b/>
          <w:bCs/>
          <w:color w:val="1C1E21"/>
          <w:sz w:val="20"/>
          <w:szCs w:val="20"/>
        </w:rPr>
        <w:t>in</w:t>
      </w:r>
      <w:r w:rsidR="007D5FF1">
        <w:rPr>
          <w:rFonts w:asciiTheme="minorHAnsi" w:hAnsiTheme="minorHAnsi" w:cstheme="minorHAnsi"/>
          <w:b/>
          <w:bCs/>
          <w:color w:val="1C1E21"/>
          <w:sz w:val="20"/>
          <w:szCs w:val="20"/>
        </w:rPr>
        <w:t>i</w:t>
      </w:r>
      <w:r w:rsidR="009F2920" w:rsidRPr="007D5FF1">
        <w:rPr>
          <w:rFonts w:asciiTheme="minorHAnsi" w:hAnsiTheme="minorHAnsi" w:cstheme="minorHAnsi"/>
          <w:b/>
          <w:bCs/>
          <w:color w:val="1C1E21"/>
          <w:sz w:val="20"/>
          <w:szCs w:val="20"/>
        </w:rPr>
        <w:t>ziali si trova</w:t>
      </w:r>
      <w:r w:rsidRPr="007D5FF1">
        <w:rPr>
          <w:rFonts w:asciiTheme="minorHAnsi" w:hAnsiTheme="minorHAnsi" w:cstheme="minorHAnsi"/>
          <w:b/>
          <w:bCs/>
          <w:color w:val="1C1E21"/>
          <w:sz w:val="20"/>
          <w:szCs w:val="20"/>
        </w:rPr>
        <w:t xml:space="preserve"> </w:t>
      </w:r>
      <w:r w:rsidR="009F2920" w:rsidRPr="007D5FF1">
        <w:rPr>
          <w:rFonts w:asciiTheme="minorHAnsi" w:hAnsiTheme="minorHAnsi" w:cstheme="minorHAnsi"/>
          <w:b/>
          <w:bCs/>
          <w:color w:val="1C1E21"/>
          <w:sz w:val="20"/>
          <w:szCs w:val="20"/>
        </w:rPr>
        <w:t>nella</w:t>
      </w:r>
      <w:r w:rsidRPr="007D5FF1">
        <w:rPr>
          <w:rFonts w:asciiTheme="minorHAnsi" w:hAnsiTheme="minorHAnsi" w:cstheme="minorHAnsi"/>
          <w:b/>
          <w:bCs/>
          <w:color w:val="1C1E21"/>
          <w:sz w:val="20"/>
          <w:szCs w:val="20"/>
        </w:rPr>
        <w:t xml:space="preserve"> periferia</w:t>
      </w:r>
      <w:r w:rsidRPr="007D5FF1">
        <w:rPr>
          <w:rFonts w:asciiTheme="minorHAnsi" w:hAnsiTheme="minorHAnsi" w:cstheme="minorHAnsi"/>
          <w:color w:val="1C1E21"/>
          <w:sz w:val="20"/>
          <w:szCs w:val="20"/>
        </w:rPr>
        <w:t xml:space="preserve">, in particolare </w:t>
      </w:r>
      <w:r w:rsidR="009F2920" w:rsidRPr="007D5FF1">
        <w:rPr>
          <w:rFonts w:asciiTheme="minorHAnsi" w:hAnsiTheme="minorHAnsi" w:cstheme="minorHAnsi"/>
          <w:color w:val="1C1E21"/>
          <w:sz w:val="20"/>
          <w:szCs w:val="20"/>
        </w:rPr>
        <w:t>nel</w:t>
      </w:r>
      <w:r w:rsidRPr="007D5FF1">
        <w:rPr>
          <w:rFonts w:asciiTheme="minorHAnsi" w:hAnsiTheme="minorHAnsi" w:cstheme="minorHAnsi"/>
          <w:color w:val="1C1E21"/>
          <w:sz w:val="20"/>
          <w:szCs w:val="20"/>
        </w:rPr>
        <w:t xml:space="preserve">la regione subpleurica nel lobo inferiore. </w:t>
      </w:r>
    </w:p>
    <w:p w:rsidR="006E1992" w:rsidRPr="007D5FF1" w:rsidRDefault="00673486" w:rsidP="00FE6E3A">
      <w:pPr>
        <w:jc w:val="both"/>
        <w:rPr>
          <w:rFonts w:asciiTheme="minorHAnsi" w:hAnsiTheme="minorHAnsi" w:cstheme="minorHAnsi"/>
          <w:color w:val="1C1E21"/>
          <w:sz w:val="20"/>
          <w:szCs w:val="20"/>
        </w:rPr>
      </w:pPr>
      <w:r w:rsidRPr="007D5FF1">
        <w:rPr>
          <w:rFonts w:asciiTheme="minorHAnsi" w:hAnsiTheme="minorHAnsi" w:cstheme="minorHAnsi"/>
          <w:color w:val="1C1E21"/>
          <w:sz w:val="20"/>
          <w:szCs w:val="20"/>
        </w:rPr>
        <w:t>La periferia e il lobo inferiore sono i più frequentemente colpiti anche nei casi asintomatici. Come dimostrato nel caso del virus della SARS, il virus potrebbe essere trasportato al</w:t>
      </w:r>
      <w:r w:rsidR="00B33DFC" w:rsidRPr="007D5FF1">
        <w:rPr>
          <w:rFonts w:asciiTheme="minorHAnsi" w:hAnsiTheme="minorHAnsi" w:cstheme="minorHAnsi"/>
          <w:color w:val="1C1E21"/>
          <w:sz w:val="20"/>
          <w:szCs w:val="20"/>
        </w:rPr>
        <w:t xml:space="preserve">la parte destra del </w:t>
      </w:r>
      <w:r w:rsidRPr="007D5FF1">
        <w:rPr>
          <w:rFonts w:asciiTheme="minorHAnsi" w:hAnsiTheme="minorHAnsi" w:cstheme="minorHAnsi"/>
          <w:color w:val="1C1E21"/>
          <w:sz w:val="20"/>
          <w:szCs w:val="20"/>
        </w:rPr>
        <w:t>cuore attraverso il dotto toracico e la vena cava superiore e diffondersi principalmente al polmone inferiore</w:t>
      </w:r>
      <w:r w:rsidR="00B33DFC" w:rsidRPr="007D5FF1">
        <w:rPr>
          <w:rFonts w:asciiTheme="minorHAnsi" w:hAnsiTheme="minorHAnsi" w:cstheme="minorHAnsi"/>
          <w:color w:val="1C1E21"/>
          <w:sz w:val="20"/>
          <w:szCs w:val="20"/>
        </w:rPr>
        <w:t xml:space="preserve"> a</w:t>
      </w:r>
      <w:r w:rsidRPr="007D5FF1">
        <w:rPr>
          <w:rFonts w:asciiTheme="minorHAnsi" w:hAnsiTheme="minorHAnsi" w:cstheme="minorHAnsi"/>
          <w:color w:val="1C1E21"/>
          <w:sz w:val="20"/>
          <w:szCs w:val="20"/>
        </w:rPr>
        <w:t>ttraverso gli abbondanti vasi linfatici e le venule nella lamina propria dell'intestino tenue</w:t>
      </w:r>
      <w:r w:rsidR="00B33DFC" w:rsidRPr="007D5FF1">
        <w:rPr>
          <w:rFonts w:asciiTheme="minorHAnsi" w:hAnsiTheme="minorHAnsi" w:cstheme="minorHAnsi"/>
          <w:color w:val="1C1E21"/>
          <w:sz w:val="20"/>
          <w:szCs w:val="20"/>
        </w:rPr>
        <w:t>.</w:t>
      </w:r>
      <w:r w:rsidR="00B33DFC" w:rsidRPr="007D5FF1">
        <w:rPr>
          <w:rStyle w:val="FootnoteReference"/>
          <w:rFonts w:asciiTheme="minorHAnsi" w:hAnsiTheme="minorHAnsi" w:cstheme="minorHAnsi"/>
          <w:color w:val="1C1E21"/>
          <w:sz w:val="20"/>
          <w:szCs w:val="20"/>
        </w:rPr>
        <w:t xml:space="preserve"> </w:t>
      </w:r>
      <w:r w:rsidR="00B33DFC" w:rsidRPr="007D5FF1">
        <w:rPr>
          <w:rStyle w:val="FootnoteReference"/>
          <w:rFonts w:asciiTheme="minorHAnsi" w:hAnsiTheme="minorHAnsi" w:cstheme="minorHAnsi"/>
          <w:color w:val="1C1E21"/>
          <w:sz w:val="20"/>
          <w:szCs w:val="20"/>
        </w:rPr>
        <w:footnoteReference w:id="32"/>
      </w:r>
    </w:p>
    <w:p w:rsidR="00730D4E" w:rsidRPr="007D5FF1" w:rsidRDefault="00730D4E" w:rsidP="00FE6E3A">
      <w:pPr>
        <w:jc w:val="both"/>
        <w:rPr>
          <w:rFonts w:asciiTheme="minorHAnsi" w:hAnsiTheme="minorHAnsi" w:cstheme="minorHAnsi"/>
          <w:color w:val="1C1E21"/>
          <w:sz w:val="20"/>
          <w:szCs w:val="20"/>
        </w:rPr>
      </w:pPr>
    </w:p>
    <w:p w:rsidR="00B33DFC" w:rsidRPr="007D5FF1" w:rsidRDefault="00B33DFC" w:rsidP="00FE6E3A">
      <w:pPr>
        <w:jc w:val="both"/>
        <w:rPr>
          <w:rFonts w:asciiTheme="minorHAnsi" w:hAnsiTheme="minorHAnsi" w:cstheme="minorHAnsi"/>
          <w:sz w:val="20"/>
          <w:szCs w:val="20"/>
        </w:rPr>
      </w:pPr>
      <w:r w:rsidRPr="007D5FF1">
        <w:rPr>
          <w:rFonts w:asciiTheme="minorHAnsi" w:hAnsiTheme="minorHAnsi" w:cstheme="minorHAnsi"/>
          <w:sz w:val="20"/>
          <w:szCs w:val="20"/>
        </w:rPr>
        <w:t xml:space="preserve">La colonizzazione primaria dell’intestino </w:t>
      </w:r>
      <w:r w:rsidR="00730D4E" w:rsidRPr="007D5FF1">
        <w:rPr>
          <w:rFonts w:asciiTheme="minorHAnsi" w:hAnsiTheme="minorHAnsi" w:cstheme="minorHAnsi"/>
          <w:sz w:val="20"/>
          <w:szCs w:val="20"/>
        </w:rPr>
        <w:t xml:space="preserve">da parte del SARS-Cov-2 </w:t>
      </w:r>
      <w:r w:rsidRPr="007D5FF1">
        <w:rPr>
          <w:rFonts w:asciiTheme="minorHAnsi" w:hAnsiTheme="minorHAnsi" w:cstheme="minorHAnsi"/>
          <w:sz w:val="20"/>
          <w:szCs w:val="20"/>
        </w:rPr>
        <w:t xml:space="preserve">potrebbe spiegare anche il suo </w:t>
      </w:r>
      <w:r w:rsidRPr="007D5FF1">
        <w:rPr>
          <w:rFonts w:asciiTheme="minorHAnsi" w:hAnsiTheme="minorHAnsi" w:cstheme="minorHAnsi"/>
          <w:b/>
          <w:bCs/>
          <w:sz w:val="20"/>
          <w:szCs w:val="20"/>
        </w:rPr>
        <w:t xml:space="preserve">potenziale neuroinvasivo </w:t>
      </w:r>
      <w:r w:rsidR="00730D4E" w:rsidRPr="007D5FF1">
        <w:rPr>
          <w:rFonts w:asciiTheme="minorHAnsi" w:hAnsiTheme="minorHAnsi" w:cstheme="minorHAnsi"/>
          <w:b/>
          <w:bCs/>
          <w:sz w:val="20"/>
          <w:szCs w:val="20"/>
        </w:rPr>
        <w:t>a partire dal</w:t>
      </w:r>
      <w:r w:rsidRPr="007D5FF1">
        <w:rPr>
          <w:rFonts w:asciiTheme="minorHAnsi" w:hAnsiTheme="minorHAnsi" w:cstheme="minorHAnsi"/>
          <w:b/>
          <w:bCs/>
          <w:sz w:val="20"/>
          <w:szCs w:val="20"/>
        </w:rPr>
        <w:t xml:space="preserve"> sistema nervoso enterico</w:t>
      </w:r>
      <w:r w:rsidRPr="007D5FF1">
        <w:rPr>
          <w:rFonts w:asciiTheme="minorHAnsi" w:hAnsiTheme="minorHAnsi" w:cstheme="minorHAnsi"/>
          <w:sz w:val="20"/>
          <w:szCs w:val="20"/>
        </w:rPr>
        <w:t xml:space="preserve"> e </w:t>
      </w:r>
      <w:r w:rsidR="00730D4E" w:rsidRPr="007D5FF1">
        <w:rPr>
          <w:rFonts w:asciiTheme="minorHAnsi" w:hAnsiTheme="minorHAnsi" w:cstheme="minorHAnsi"/>
          <w:sz w:val="20"/>
          <w:szCs w:val="20"/>
        </w:rPr>
        <w:t xml:space="preserve">attraverso </w:t>
      </w:r>
      <w:r w:rsidRPr="007D5FF1">
        <w:rPr>
          <w:rFonts w:asciiTheme="minorHAnsi" w:hAnsiTheme="minorHAnsi" w:cstheme="minorHAnsi"/>
          <w:sz w:val="20"/>
          <w:szCs w:val="20"/>
        </w:rPr>
        <w:t xml:space="preserve">le afferenze vagali e simpatiche </w:t>
      </w:r>
      <w:r w:rsidR="00730D4E" w:rsidRPr="007D5FF1">
        <w:rPr>
          <w:rFonts w:asciiTheme="minorHAnsi" w:hAnsiTheme="minorHAnsi" w:cstheme="minorHAnsi"/>
          <w:sz w:val="20"/>
          <w:szCs w:val="20"/>
        </w:rPr>
        <w:t xml:space="preserve">fino al </w:t>
      </w:r>
      <w:r w:rsidRPr="007D5FF1">
        <w:rPr>
          <w:rFonts w:asciiTheme="minorHAnsi" w:hAnsiTheme="minorHAnsi" w:cstheme="minorHAnsi"/>
          <w:sz w:val="20"/>
          <w:szCs w:val="20"/>
        </w:rPr>
        <w:t xml:space="preserve">sistema </w:t>
      </w:r>
      <w:r w:rsidRPr="007D5FF1">
        <w:rPr>
          <w:rFonts w:asciiTheme="minorHAnsi" w:hAnsiTheme="minorHAnsi" w:cstheme="minorHAnsi"/>
          <w:sz w:val="20"/>
          <w:szCs w:val="20"/>
        </w:rPr>
        <w:lastRenderedPageBreak/>
        <w:t xml:space="preserve">nervoso centrale. Precedenti lavori sperimentali sui coronavirus hanno </w:t>
      </w:r>
      <w:r w:rsidR="00730D4E" w:rsidRPr="007D5FF1">
        <w:rPr>
          <w:rFonts w:asciiTheme="minorHAnsi" w:hAnsiTheme="minorHAnsi" w:cstheme="minorHAnsi"/>
          <w:sz w:val="20"/>
          <w:szCs w:val="20"/>
        </w:rPr>
        <w:t>di</w:t>
      </w:r>
      <w:r w:rsidRPr="007D5FF1">
        <w:rPr>
          <w:rFonts w:asciiTheme="minorHAnsi" w:hAnsiTheme="minorHAnsi" w:cstheme="minorHAnsi"/>
          <w:sz w:val="20"/>
          <w:szCs w:val="20"/>
        </w:rPr>
        <w:t xml:space="preserve">mostrato il trasporto neuronale retrogrado come via possibile per l'invasione virale, e ciò può quindi essere plausibile anche per il SARS-CoV-2. </w:t>
      </w:r>
      <w:r w:rsidRPr="007D5FF1">
        <w:rPr>
          <w:rStyle w:val="FootnoteReference"/>
          <w:rFonts w:asciiTheme="minorHAnsi" w:hAnsiTheme="minorHAnsi" w:cstheme="minorHAnsi"/>
          <w:sz w:val="20"/>
          <w:szCs w:val="20"/>
        </w:rPr>
        <w:footnoteReference w:id="33"/>
      </w:r>
    </w:p>
    <w:p w:rsidR="00B33DFC" w:rsidRPr="007D5FF1" w:rsidRDefault="00B33DFC" w:rsidP="00FE6E3A">
      <w:pPr>
        <w:jc w:val="both"/>
        <w:rPr>
          <w:rFonts w:asciiTheme="minorHAnsi" w:hAnsiTheme="minorHAnsi" w:cstheme="minorHAnsi"/>
          <w:sz w:val="20"/>
          <w:szCs w:val="20"/>
        </w:rPr>
      </w:pPr>
    </w:p>
    <w:p w:rsidR="006E1992" w:rsidRPr="007D5FF1" w:rsidRDefault="00730D4E" w:rsidP="002B7F58">
      <w:pPr>
        <w:jc w:val="both"/>
        <w:rPr>
          <w:rFonts w:asciiTheme="minorHAnsi" w:hAnsiTheme="minorHAnsi" w:cstheme="minorHAnsi"/>
          <w:color w:val="1C1E21"/>
          <w:sz w:val="20"/>
          <w:szCs w:val="20"/>
        </w:rPr>
      </w:pPr>
      <w:r w:rsidRPr="007D5FF1">
        <w:rPr>
          <w:rFonts w:asciiTheme="minorHAnsi" w:hAnsiTheme="minorHAnsi" w:cstheme="minorHAnsi"/>
          <w:sz w:val="20"/>
          <w:szCs w:val="20"/>
        </w:rPr>
        <w:t>U</w:t>
      </w:r>
      <w:r w:rsidR="008308CB" w:rsidRPr="007D5FF1">
        <w:rPr>
          <w:rFonts w:asciiTheme="minorHAnsi" w:hAnsiTheme="minorHAnsi" w:cstheme="minorHAnsi"/>
          <w:sz w:val="20"/>
          <w:szCs w:val="20"/>
        </w:rPr>
        <w:t xml:space="preserve">n numero crescente di studi </w:t>
      </w:r>
      <w:r w:rsidRPr="007D5FF1">
        <w:rPr>
          <w:rFonts w:asciiTheme="minorHAnsi" w:hAnsiTheme="minorHAnsi" w:cstheme="minorHAnsi"/>
          <w:sz w:val="20"/>
          <w:szCs w:val="20"/>
        </w:rPr>
        <w:t>rafforza</w:t>
      </w:r>
      <w:r w:rsidR="008308CB" w:rsidRPr="007D5FF1">
        <w:rPr>
          <w:rFonts w:asciiTheme="minorHAnsi" w:hAnsiTheme="minorHAnsi" w:cstheme="minorHAnsi"/>
          <w:sz w:val="20"/>
          <w:szCs w:val="20"/>
        </w:rPr>
        <w:t xml:space="preserve"> l’ipotesi che</w:t>
      </w:r>
      <w:r w:rsidR="00B33DFC" w:rsidRPr="007D5FF1">
        <w:rPr>
          <w:rFonts w:asciiTheme="minorHAnsi" w:hAnsiTheme="minorHAnsi" w:cstheme="minorHAnsi"/>
          <w:sz w:val="20"/>
          <w:szCs w:val="20"/>
        </w:rPr>
        <w:t xml:space="preserve"> </w:t>
      </w:r>
      <w:r w:rsidR="00B33DFC" w:rsidRPr="007D5FF1">
        <w:rPr>
          <w:rFonts w:asciiTheme="minorHAnsi" w:hAnsiTheme="minorHAnsi" w:cstheme="minorHAnsi"/>
          <w:b/>
          <w:bCs/>
          <w:sz w:val="20"/>
          <w:szCs w:val="20"/>
        </w:rPr>
        <w:t xml:space="preserve">il sistema gastrointestinale </w:t>
      </w:r>
      <w:r w:rsidR="008308CB" w:rsidRPr="007D5FF1">
        <w:rPr>
          <w:rFonts w:asciiTheme="minorHAnsi" w:hAnsiTheme="minorHAnsi" w:cstheme="minorHAnsi"/>
          <w:b/>
          <w:bCs/>
          <w:sz w:val="20"/>
          <w:szCs w:val="20"/>
        </w:rPr>
        <w:t>ha</w:t>
      </w:r>
      <w:r w:rsidR="00B33DFC" w:rsidRPr="007D5FF1">
        <w:rPr>
          <w:rFonts w:asciiTheme="minorHAnsi" w:hAnsiTheme="minorHAnsi" w:cstheme="minorHAnsi"/>
          <w:b/>
          <w:bCs/>
          <w:sz w:val="20"/>
          <w:szCs w:val="20"/>
        </w:rPr>
        <w:t xml:space="preserve"> un ruolo </w:t>
      </w:r>
      <w:r w:rsidR="008308CB" w:rsidRPr="007D5FF1">
        <w:rPr>
          <w:rFonts w:asciiTheme="minorHAnsi" w:hAnsiTheme="minorHAnsi" w:cstheme="minorHAnsi"/>
          <w:b/>
          <w:bCs/>
          <w:sz w:val="20"/>
          <w:szCs w:val="20"/>
        </w:rPr>
        <w:t>preponderante</w:t>
      </w:r>
      <w:r w:rsidR="00B33DFC" w:rsidRPr="007D5FF1">
        <w:rPr>
          <w:rFonts w:asciiTheme="minorHAnsi" w:hAnsiTheme="minorHAnsi" w:cstheme="minorHAnsi"/>
          <w:b/>
          <w:bCs/>
          <w:sz w:val="20"/>
          <w:szCs w:val="20"/>
        </w:rPr>
        <w:t xml:space="preserve"> nella patogenesi </w:t>
      </w:r>
      <w:r w:rsidR="008308CB" w:rsidRPr="007D5FF1">
        <w:rPr>
          <w:rFonts w:asciiTheme="minorHAnsi" w:hAnsiTheme="minorHAnsi" w:cstheme="minorHAnsi"/>
          <w:b/>
          <w:bCs/>
          <w:sz w:val="20"/>
          <w:szCs w:val="20"/>
        </w:rPr>
        <w:t xml:space="preserve">e nella trasmissione </w:t>
      </w:r>
      <w:r w:rsidR="00B33DFC" w:rsidRPr="007D5FF1">
        <w:rPr>
          <w:rFonts w:asciiTheme="minorHAnsi" w:hAnsiTheme="minorHAnsi" w:cstheme="minorHAnsi"/>
          <w:b/>
          <w:bCs/>
          <w:sz w:val="20"/>
          <w:szCs w:val="20"/>
        </w:rPr>
        <w:t>dell'infezione da SARS-CoV-2</w:t>
      </w:r>
      <w:r w:rsidR="00B33DFC" w:rsidRPr="007D5FF1">
        <w:rPr>
          <w:rFonts w:asciiTheme="minorHAnsi" w:hAnsiTheme="minorHAnsi" w:cstheme="minorHAnsi"/>
          <w:sz w:val="20"/>
          <w:szCs w:val="20"/>
        </w:rPr>
        <w:t>,</w:t>
      </w:r>
      <w:r w:rsidR="008308CB" w:rsidRPr="007D5FF1">
        <w:rPr>
          <w:rFonts w:asciiTheme="minorHAnsi" w:hAnsiTheme="minorHAnsi" w:cstheme="minorHAnsi"/>
          <w:sz w:val="20"/>
          <w:szCs w:val="20"/>
        </w:rPr>
        <w:t xml:space="preserve"> e ciò è di grande rilevanza sia per quanto riguarda la modalità di contenimento e di distanziamento sociale da attuare in caso di epidemia, che per orientare </w:t>
      </w:r>
      <w:r w:rsidR="00B33DFC" w:rsidRPr="007D5FF1">
        <w:rPr>
          <w:rFonts w:asciiTheme="minorHAnsi" w:hAnsiTheme="minorHAnsi" w:cstheme="minorHAnsi"/>
          <w:sz w:val="20"/>
          <w:szCs w:val="20"/>
        </w:rPr>
        <w:t xml:space="preserve"> </w:t>
      </w:r>
      <w:r w:rsidR="008308CB" w:rsidRPr="007D5FF1">
        <w:rPr>
          <w:rFonts w:asciiTheme="minorHAnsi" w:hAnsiTheme="minorHAnsi" w:cstheme="minorHAnsi"/>
          <w:sz w:val="20"/>
          <w:szCs w:val="20"/>
        </w:rPr>
        <w:t>la terapia verso il</w:t>
      </w:r>
      <w:r w:rsidR="00B33DFC" w:rsidRPr="007D5FF1">
        <w:rPr>
          <w:rFonts w:asciiTheme="minorHAnsi" w:hAnsiTheme="minorHAnsi" w:cstheme="minorHAnsi"/>
          <w:sz w:val="20"/>
          <w:szCs w:val="20"/>
        </w:rPr>
        <w:t xml:space="preserve"> potenziamento dell'immunità innata intestinale come strategia efficace per superare l'insufficienza dell'immunità antivirale</w:t>
      </w:r>
      <w:r w:rsidR="008308CB" w:rsidRPr="007D5FF1">
        <w:rPr>
          <w:rFonts w:asciiTheme="minorHAnsi" w:hAnsiTheme="minorHAnsi" w:cstheme="minorHAnsi"/>
          <w:sz w:val="20"/>
          <w:szCs w:val="20"/>
        </w:rPr>
        <w:t>.</w:t>
      </w:r>
      <w:r w:rsidR="00BA3928" w:rsidRPr="007D5FF1">
        <w:rPr>
          <w:rFonts w:asciiTheme="minorHAnsi" w:hAnsiTheme="minorHAnsi" w:cstheme="minorHAnsi"/>
          <w:sz w:val="20"/>
          <w:szCs w:val="20"/>
        </w:rPr>
        <w:t xml:space="preserve"> </w:t>
      </w:r>
    </w:p>
    <w:p w:rsidR="007F72B2" w:rsidRDefault="007F72B2" w:rsidP="00801324">
      <w:pPr>
        <w:shd w:val="clear" w:color="auto" w:fill="FFFFFF"/>
        <w:jc w:val="center"/>
        <w:rPr>
          <w:rStyle w:val="Heading1Char"/>
          <w:rFonts w:asciiTheme="minorHAnsi" w:hAnsiTheme="minorHAnsi" w:cstheme="minorHAnsi"/>
          <w:b/>
          <w:color w:val="000000" w:themeColor="text1"/>
          <w:sz w:val="24"/>
          <w:szCs w:val="24"/>
        </w:rPr>
      </w:pPr>
      <w:bookmarkStart w:id="5" w:name="_Toc43342365"/>
    </w:p>
    <w:p w:rsidR="007F72B2" w:rsidRDefault="007F72B2" w:rsidP="00801324">
      <w:pPr>
        <w:shd w:val="clear" w:color="auto" w:fill="FFFFFF"/>
        <w:jc w:val="center"/>
        <w:rPr>
          <w:rStyle w:val="Heading1Char"/>
          <w:rFonts w:asciiTheme="minorHAnsi" w:hAnsiTheme="minorHAnsi" w:cstheme="minorHAnsi"/>
          <w:b/>
          <w:color w:val="000000" w:themeColor="text1"/>
          <w:sz w:val="24"/>
          <w:szCs w:val="24"/>
        </w:rPr>
      </w:pPr>
    </w:p>
    <w:p w:rsidR="007F72B2" w:rsidRDefault="0052743C" w:rsidP="00801324">
      <w:pPr>
        <w:shd w:val="clear" w:color="auto" w:fill="FFFFFF"/>
        <w:jc w:val="center"/>
        <w:rPr>
          <w:rStyle w:val="Heading1Char"/>
          <w:rFonts w:asciiTheme="minorHAnsi" w:hAnsiTheme="minorHAnsi" w:cstheme="minorHAnsi"/>
          <w:b/>
          <w:color w:val="000000" w:themeColor="text1"/>
          <w:sz w:val="24"/>
          <w:szCs w:val="24"/>
        </w:rPr>
      </w:pPr>
      <w:r w:rsidRPr="0052743C">
        <w:rPr>
          <w:rStyle w:val="Heading1Char"/>
          <w:rFonts w:asciiTheme="minorHAnsi" w:hAnsiTheme="minorHAnsi" w:cstheme="minorHAnsi"/>
          <w:b/>
          <w:noProof/>
          <w:color w:val="000000" w:themeColor="text1"/>
          <w:sz w:val="24"/>
          <w:szCs w:val="24"/>
        </w:rPr>
        <w:pict>
          <v:rect id="_x0000_i1029" alt="" style="width:481.1pt;height:.05pt;mso-width-percent:0;mso-height-percent:0;mso-width-percent:0;mso-height-percent:0" o:hrpct="999" o:hralign="center" o:hrstd="t" o:hr="t" fillcolor="#a0a0a0" stroked="f"/>
        </w:pict>
      </w:r>
    </w:p>
    <w:p w:rsidR="003E3300" w:rsidRDefault="003E3300" w:rsidP="00801324">
      <w:pPr>
        <w:shd w:val="clear" w:color="auto" w:fill="FFFFFF"/>
        <w:jc w:val="center"/>
        <w:rPr>
          <w:rStyle w:val="Heading1Char"/>
          <w:rFonts w:asciiTheme="minorHAnsi" w:hAnsiTheme="minorHAnsi" w:cstheme="minorHAnsi"/>
          <w:b/>
          <w:color w:val="000000" w:themeColor="text1"/>
          <w:sz w:val="24"/>
          <w:szCs w:val="24"/>
        </w:rPr>
      </w:pPr>
    </w:p>
    <w:p w:rsidR="003E3300" w:rsidRDefault="003E3300" w:rsidP="00801324">
      <w:pPr>
        <w:shd w:val="clear" w:color="auto" w:fill="FFFFFF"/>
        <w:jc w:val="center"/>
        <w:rPr>
          <w:rStyle w:val="Heading1Char"/>
          <w:rFonts w:asciiTheme="minorHAnsi" w:hAnsiTheme="minorHAnsi" w:cstheme="minorHAnsi"/>
          <w:b/>
          <w:color w:val="000000" w:themeColor="text1"/>
          <w:sz w:val="24"/>
          <w:szCs w:val="24"/>
        </w:rPr>
      </w:pPr>
    </w:p>
    <w:p w:rsidR="00801324" w:rsidRDefault="003E3300" w:rsidP="00801324">
      <w:pPr>
        <w:shd w:val="clear" w:color="auto" w:fill="FFFFFF"/>
        <w:jc w:val="center"/>
        <w:rPr>
          <w:rStyle w:val="Heading1Char"/>
          <w:rFonts w:asciiTheme="minorHAnsi" w:hAnsiTheme="minorHAnsi" w:cstheme="minorHAnsi"/>
          <w:b/>
          <w:color w:val="000000" w:themeColor="text1"/>
          <w:sz w:val="24"/>
          <w:szCs w:val="24"/>
        </w:rPr>
      </w:pPr>
      <w:r>
        <w:rPr>
          <w:rStyle w:val="Heading1Char"/>
          <w:rFonts w:asciiTheme="minorHAnsi" w:hAnsiTheme="minorHAnsi" w:cstheme="minorHAnsi"/>
          <w:b/>
          <w:color w:val="000000" w:themeColor="text1"/>
          <w:sz w:val="24"/>
          <w:szCs w:val="24"/>
        </w:rPr>
        <w:t>I</w:t>
      </w:r>
      <w:r w:rsidR="003E5744" w:rsidRPr="007F48B7">
        <w:rPr>
          <w:rStyle w:val="Heading1Char"/>
          <w:rFonts w:asciiTheme="minorHAnsi" w:hAnsiTheme="minorHAnsi" w:cstheme="minorHAnsi"/>
          <w:b/>
          <w:color w:val="000000" w:themeColor="text1"/>
          <w:sz w:val="24"/>
          <w:szCs w:val="24"/>
        </w:rPr>
        <w:t>MMUNOPATOGENESI</w:t>
      </w:r>
      <w:bookmarkEnd w:id="5"/>
      <w:r w:rsidR="003E5744" w:rsidRPr="00717D4D">
        <w:rPr>
          <w:rStyle w:val="Heading1Char"/>
          <w:rFonts w:asciiTheme="minorHAnsi" w:hAnsiTheme="minorHAnsi" w:cstheme="minorHAnsi"/>
          <w:b/>
          <w:color w:val="000000" w:themeColor="text1"/>
          <w:sz w:val="24"/>
          <w:szCs w:val="24"/>
        </w:rPr>
        <w:t xml:space="preserve"> </w:t>
      </w:r>
      <w:r w:rsidR="002B7F58" w:rsidRPr="00717D4D">
        <w:rPr>
          <w:rStyle w:val="FootnoteReference"/>
          <w:rFonts w:asciiTheme="minorHAnsi" w:hAnsiTheme="minorHAnsi" w:cstheme="minorHAnsi"/>
          <w:b/>
          <w:color w:val="1C1E21"/>
        </w:rPr>
        <w:footnoteReference w:id="34"/>
      </w:r>
    </w:p>
    <w:p w:rsidR="000547D3" w:rsidRDefault="000547D3" w:rsidP="00E35C51">
      <w:pPr>
        <w:shd w:val="clear" w:color="auto" w:fill="FFFFFF"/>
        <w:jc w:val="both"/>
        <w:rPr>
          <w:rFonts w:asciiTheme="minorHAnsi" w:hAnsiTheme="minorHAnsi" w:cstheme="minorHAnsi"/>
          <w:color w:val="1C1E21"/>
          <w:sz w:val="20"/>
          <w:szCs w:val="20"/>
        </w:rPr>
      </w:pPr>
    </w:p>
    <w:p w:rsidR="003E5744" w:rsidRDefault="003E5744" w:rsidP="00E35C51">
      <w:pPr>
        <w:shd w:val="clear" w:color="auto" w:fill="FFFFFF"/>
        <w:jc w:val="both"/>
        <w:rPr>
          <w:rFonts w:asciiTheme="minorHAnsi" w:hAnsiTheme="minorHAnsi" w:cstheme="minorHAnsi"/>
          <w:color w:val="1C1E21"/>
          <w:sz w:val="20"/>
          <w:szCs w:val="20"/>
        </w:rPr>
      </w:pPr>
      <w:r w:rsidRPr="00A342DB">
        <w:rPr>
          <w:rFonts w:asciiTheme="minorHAnsi" w:hAnsiTheme="minorHAnsi" w:cstheme="minorHAnsi"/>
          <w:color w:val="1C1E21"/>
          <w:sz w:val="20"/>
          <w:szCs w:val="20"/>
        </w:rPr>
        <w:t>Si analizzeranno nel dettaglio gli aspetti relativi alla modalità con cui l’infezione da SARS-Cov-2 porta al Covid-19 e l’interazione tra il virus e il sistema immunitario.</w:t>
      </w:r>
    </w:p>
    <w:p w:rsidR="00E35C51" w:rsidRPr="00A342DB" w:rsidRDefault="00E35C51" w:rsidP="00E35C51">
      <w:pPr>
        <w:shd w:val="clear" w:color="auto" w:fill="FFFFFF"/>
        <w:jc w:val="both"/>
        <w:rPr>
          <w:rFonts w:asciiTheme="minorHAnsi" w:hAnsiTheme="minorHAnsi" w:cstheme="minorHAnsi"/>
          <w:color w:val="1C1E21"/>
          <w:sz w:val="20"/>
          <w:szCs w:val="20"/>
        </w:rPr>
      </w:pPr>
    </w:p>
    <w:p w:rsidR="00790721" w:rsidRDefault="00C931C2" w:rsidP="003E3300">
      <w:pPr>
        <w:shd w:val="clear" w:color="auto" w:fill="FFFFFF"/>
        <w:ind w:right="-7"/>
        <w:jc w:val="both"/>
        <w:rPr>
          <w:rFonts w:asciiTheme="minorHAnsi" w:hAnsiTheme="minorHAnsi" w:cstheme="minorHAnsi"/>
          <w:i/>
          <w:iCs/>
          <w:color w:val="2F5496" w:themeColor="accent1" w:themeShade="BF"/>
          <w:sz w:val="18"/>
          <w:szCs w:val="18"/>
        </w:rPr>
      </w:pPr>
      <w:r w:rsidRPr="003E3300">
        <w:rPr>
          <w:rFonts w:asciiTheme="minorHAnsi" w:hAnsiTheme="minorHAnsi" w:cstheme="minorHAnsi"/>
          <w:i/>
          <w:iCs/>
          <w:color w:val="2F5496" w:themeColor="accent1" w:themeShade="BF"/>
          <w:sz w:val="20"/>
          <w:szCs w:val="20"/>
        </w:rPr>
        <w:t xml:space="preserve">Per quanto riguarda la genetica e la struttura del virus si riportano alcune informazioni essenziali, in quanto l’argomento </w:t>
      </w:r>
      <w:r w:rsidR="00E35C51" w:rsidRPr="003E3300">
        <w:rPr>
          <w:rFonts w:asciiTheme="minorHAnsi" w:hAnsiTheme="minorHAnsi" w:cstheme="minorHAnsi"/>
          <w:i/>
          <w:iCs/>
          <w:color w:val="2F5496" w:themeColor="accent1" w:themeShade="BF"/>
          <w:sz w:val="20"/>
          <w:szCs w:val="20"/>
        </w:rPr>
        <w:t>v</w:t>
      </w:r>
      <w:r w:rsidRPr="003E3300">
        <w:rPr>
          <w:rFonts w:asciiTheme="minorHAnsi" w:hAnsiTheme="minorHAnsi" w:cstheme="minorHAnsi"/>
          <w:i/>
          <w:iCs/>
          <w:color w:val="2F5496" w:themeColor="accent1" w:themeShade="BF"/>
          <w:sz w:val="20"/>
          <w:szCs w:val="20"/>
        </w:rPr>
        <w:t>errà trattato n</w:t>
      </w:r>
      <w:r w:rsidR="003E3300" w:rsidRPr="003E3300">
        <w:rPr>
          <w:rFonts w:asciiTheme="minorHAnsi" w:hAnsiTheme="minorHAnsi" w:cstheme="minorHAnsi"/>
          <w:i/>
          <w:iCs/>
          <w:color w:val="2F5496" w:themeColor="accent1" w:themeShade="BF"/>
          <w:sz w:val="20"/>
          <w:szCs w:val="20"/>
        </w:rPr>
        <w:t>el capitolo</w:t>
      </w:r>
      <w:r w:rsidRPr="00E35C51">
        <w:rPr>
          <w:rFonts w:asciiTheme="minorHAnsi" w:hAnsiTheme="minorHAnsi" w:cstheme="minorHAnsi"/>
          <w:i/>
          <w:iCs/>
          <w:color w:val="2F5496" w:themeColor="accent1" w:themeShade="BF"/>
          <w:sz w:val="18"/>
          <w:szCs w:val="18"/>
        </w:rPr>
        <w:t xml:space="preserve"> dedicato al SARS-Cov-2</w:t>
      </w:r>
      <w:bookmarkStart w:id="6" w:name="_Toc43342366"/>
    </w:p>
    <w:p w:rsidR="003E3300" w:rsidRDefault="003E3300" w:rsidP="003E3300">
      <w:pPr>
        <w:shd w:val="clear" w:color="auto" w:fill="FFFFFF"/>
        <w:ind w:right="-7"/>
        <w:jc w:val="both"/>
        <w:rPr>
          <w:rFonts w:asciiTheme="minorHAnsi" w:hAnsiTheme="minorHAnsi" w:cstheme="minorHAnsi"/>
          <w:i/>
          <w:iCs/>
          <w:color w:val="2F5496" w:themeColor="accent1" w:themeShade="BF"/>
          <w:sz w:val="18"/>
          <w:szCs w:val="18"/>
        </w:rPr>
      </w:pPr>
    </w:p>
    <w:p w:rsidR="003E3300" w:rsidRDefault="003E3300" w:rsidP="003E3300">
      <w:pPr>
        <w:shd w:val="clear" w:color="auto" w:fill="FFFFFF"/>
        <w:ind w:right="-7"/>
        <w:jc w:val="both"/>
        <w:rPr>
          <w:rFonts w:asciiTheme="minorHAnsi" w:hAnsiTheme="minorHAnsi" w:cstheme="minorHAnsi"/>
          <w:i/>
          <w:iCs/>
          <w:color w:val="2F5496" w:themeColor="accent1" w:themeShade="BF"/>
          <w:sz w:val="18"/>
          <w:szCs w:val="18"/>
        </w:rPr>
      </w:pPr>
    </w:p>
    <w:p w:rsidR="003E3300" w:rsidRDefault="003E3300" w:rsidP="003E3300">
      <w:pPr>
        <w:shd w:val="clear" w:color="auto" w:fill="FFFFFF"/>
        <w:ind w:right="-7"/>
        <w:jc w:val="both"/>
        <w:rPr>
          <w:rFonts w:asciiTheme="minorHAnsi" w:hAnsiTheme="minorHAnsi" w:cstheme="minorHAnsi"/>
          <w:i/>
          <w:iCs/>
          <w:color w:val="2F5496" w:themeColor="accent1" w:themeShade="BF"/>
          <w:sz w:val="18"/>
          <w:szCs w:val="18"/>
        </w:rPr>
      </w:pPr>
    </w:p>
    <w:p w:rsidR="003E3300" w:rsidRDefault="003E3300" w:rsidP="003E3300">
      <w:pPr>
        <w:shd w:val="clear" w:color="auto" w:fill="FFFFFF"/>
        <w:ind w:right="-7"/>
        <w:jc w:val="both"/>
        <w:rPr>
          <w:rFonts w:asciiTheme="minorHAnsi" w:hAnsiTheme="minorHAnsi" w:cstheme="minorHAnsi"/>
          <w:i/>
          <w:iCs/>
          <w:color w:val="2F5496" w:themeColor="accent1" w:themeShade="BF"/>
          <w:sz w:val="18"/>
          <w:szCs w:val="18"/>
        </w:rPr>
      </w:pPr>
    </w:p>
    <w:p w:rsidR="003E3300" w:rsidRDefault="003E3300" w:rsidP="003E3300">
      <w:pPr>
        <w:shd w:val="clear" w:color="auto" w:fill="FFFFFF"/>
        <w:ind w:right="-7"/>
        <w:jc w:val="both"/>
        <w:rPr>
          <w:rStyle w:val="Heading2Char"/>
          <w:rFonts w:asciiTheme="minorHAnsi" w:hAnsiTheme="minorHAnsi" w:cstheme="minorHAnsi"/>
          <w:b/>
          <w:color w:val="000000" w:themeColor="text1"/>
          <w:sz w:val="24"/>
          <w:szCs w:val="24"/>
        </w:rPr>
      </w:pPr>
    </w:p>
    <w:p w:rsidR="004D1A1B" w:rsidRDefault="00E15022" w:rsidP="003E5744">
      <w:pPr>
        <w:shd w:val="clear" w:color="auto" w:fill="FFFFFF"/>
        <w:jc w:val="center"/>
        <w:rPr>
          <w:rFonts w:asciiTheme="minorHAnsi" w:hAnsiTheme="minorHAnsi" w:cstheme="minorHAnsi"/>
          <w:b/>
          <w:color w:val="000000" w:themeColor="text1"/>
        </w:rPr>
      </w:pPr>
      <w:r w:rsidRPr="007F48B7">
        <w:rPr>
          <w:rStyle w:val="Heading2Char"/>
          <w:rFonts w:asciiTheme="minorHAnsi" w:hAnsiTheme="minorHAnsi" w:cstheme="minorHAnsi"/>
          <w:b/>
          <w:color w:val="000000" w:themeColor="text1"/>
          <w:sz w:val="24"/>
          <w:szCs w:val="24"/>
        </w:rPr>
        <w:lastRenderedPageBreak/>
        <w:t>Struttura del SARS-Cov-2</w:t>
      </w:r>
      <w:bookmarkEnd w:id="6"/>
      <w:r w:rsidRPr="00717D4D">
        <w:rPr>
          <w:rFonts w:asciiTheme="minorHAnsi" w:hAnsiTheme="minorHAnsi" w:cstheme="minorHAnsi"/>
          <w:b/>
          <w:color w:val="000000" w:themeColor="text1"/>
        </w:rPr>
        <w:t xml:space="preserve"> </w:t>
      </w:r>
      <w:r w:rsidRPr="00717D4D">
        <w:rPr>
          <w:rStyle w:val="FootnoteReference"/>
          <w:rFonts w:asciiTheme="minorHAnsi" w:hAnsiTheme="minorHAnsi" w:cstheme="minorHAnsi"/>
          <w:b/>
          <w:color w:val="1C1E21"/>
        </w:rPr>
        <w:footnoteReference w:id="35"/>
      </w:r>
    </w:p>
    <w:p w:rsidR="002B7F58" w:rsidRPr="00717D4D" w:rsidRDefault="004D1A1B" w:rsidP="004D1A1B">
      <w:pPr>
        <w:jc w:val="center"/>
        <w:rPr>
          <w:rFonts w:asciiTheme="minorHAnsi" w:hAnsiTheme="minorHAnsi"/>
        </w:rPr>
      </w:pPr>
      <w:r w:rsidRPr="00717D4D">
        <w:rPr>
          <w:rFonts w:asciiTheme="minorHAnsi" w:hAnsiTheme="minorHAnsi"/>
        </w:rPr>
        <w:fldChar w:fldCharType="begin"/>
      </w:r>
      <w:r w:rsidRPr="00717D4D">
        <w:rPr>
          <w:rFonts w:asciiTheme="minorHAnsi" w:hAnsiTheme="minorHAnsi"/>
        </w:rPr>
        <w:instrText xml:space="preserve"> INCLUDEPICTURE "https://www.nejm.org/na101/home/literatum/publisher/mms/journals/content/nejm/2003/nejm_2003.348.issue-20/nejmp030078/production/images/img_medium/nejmp030078_f1.jpeg" \* MERGEFORMATINET </w:instrText>
      </w:r>
      <w:r w:rsidRPr="00717D4D">
        <w:rPr>
          <w:rFonts w:asciiTheme="minorHAnsi" w:hAnsiTheme="minorHAnsi"/>
        </w:rPr>
        <w:fldChar w:fldCharType="separate"/>
      </w:r>
      <w:r w:rsidRPr="00717D4D">
        <w:rPr>
          <w:rFonts w:asciiTheme="minorHAnsi" w:hAnsiTheme="minorHAnsi"/>
          <w:noProof/>
        </w:rPr>
        <w:drawing>
          <wp:inline distT="0" distB="0" distL="0" distR="0" wp14:anchorId="2DDD7F6C" wp14:editId="256E20B0">
            <wp:extent cx="3253659" cy="2922954"/>
            <wp:effectExtent l="0" t="0" r="0" b="0"/>
            <wp:docPr id="51" name="Immagine 51" descr="https://www.nejm.org/na101/home/literatum/publisher/mms/journals/content/nejm/2003/nejm_2003.348.issue-20/nejmp030078/production/images/img_medium/nejmp030078_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jm.org/na101/home/literatum/publisher/mms/journals/content/nejm/2003/nejm_2003.348.issue-20/nejmp030078/production/images/img_medium/nejmp030078_f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7085" cy="3150622"/>
                    </a:xfrm>
                    <a:prstGeom prst="rect">
                      <a:avLst/>
                    </a:prstGeom>
                    <a:noFill/>
                    <a:ln>
                      <a:noFill/>
                    </a:ln>
                  </pic:spPr>
                </pic:pic>
              </a:graphicData>
            </a:graphic>
          </wp:inline>
        </w:drawing>
      </w:r>
      <w:r w:rsidRPr="00717D4D">
        <w:rPr>
          <w:rFonts w:asciiTheme="minorHAnsi" w:hAnsiTheme="minorHAnsi"/>
        </w:rPr>
        <w:fldChar w:fldCharType="end"/>
      </w:r>
    </w:p>
    <w:p w:rsidR="002B7F58" w:rsidRPr="00471D4A" w:rsidRDefault="002B7F58" w:rsidP="00471D4A">
      <w:pPr>
        <w:shd w:val="clear" w:color="auto" w:fill="F2F2F2" w:themeFill="background1" w:themeFillShade="F2"/>
        <w:rPr>
          <w:rFonts w:asciiTheme="minorHAnsi" w:hAnsiTheme="minorHAnsi" w:cstheme="minorHAnsi"/>
          <w:color w:val="000000" w:themeColor="text1"/>
          <w:sz w:val="18"/>
          <w:szCs w:val="18"/>
        </w:rPr>
      </w:pPr>
      <w:r w:rsidRPr="00471D4A">
        <w:rPr>
          <w:rFonts w:asciiTheme="minorHAnsi" w:hAnsiTheme="minorHAnsi" w:cstheme="minorHAnsi"/>
          <w:color w:val="000000" w:themeColor="text1"/>
          <w:sz w:val="18"/>
          <w:szCs w:val="18"/>
        </w:rPr>
        <w:t xml:space="preserve">Tratta da </w:t>
      </w:r>
      <w:hyperlink r:id="rId29" w:history="1">
        <w:r w:rsidRPr="00471D4A">
          <w:rPr>
            <w:rStyle w:val="Hyperlink"/>
            <w:rFonts w:asciiTheme="minorHAnsi" w:eastAsiaTheme="majorEastAsia" w:hAnsiTheme="minorHAnsi" w:cstheme="minorHAnsi"/>
            <w:color w:val="000000" w:themeColor="text1"/>
            <w:sz w:val="18"/>
            <w:szCs w:val="18"/>
            <w:u w:val="none"/>
          </w:rPr>
          <w:t>https://www.nejm.org/doi/full/10.1056/NEJMp030078</w:t>
        </w:r>
      </w:hyperlink>
      <w:r w:rsidRPr="00471D4A">
        <w:rPr>
          <w:rFonts w:asciiTheme="minorHAnsi" w:hAnsiTheme="minorHAnsi" w:cstheme="minorHAnsi"/>
          <w:color w:val="000000" w:themeColor="text1"/>
          <w:sz w:val="18"/>
          <w:szCs w:val="18"/>
        </w:rPr>
        <w:t xml:space="preserve"> </w:t>
      </w:r>
    </w:p>
    <w:p w:rsidR="003E3300" w:rsidRDefault="003E3300" w:rsidP="00B222C9">
      <w:pPr>
        <w:jc w:val="both"/>
        <w:rPr>
          <w:rFonts w:asciiTheme="minorHAnsi" w:hAnsiTheme="minorHAnsi" w:cstheme="minorHAnsi"/>
          <w:color w:val="1C1E21"/>
          <w:sz w:val="20"/>
          <w:szCs w:val="20"/>
        </w:rPr>
      </w:pPr>
    </w:p>
    <w:p w:rsidR="003E3300" w:rsidRDefault="004D1A1B" w:rsidP="00B222C9">
      <w:pPr>
        <w:jc w:val="both"/>
        <w:rPr>
          <w:rFonts w:asciiTheme="minorHAnsi" w:hAnsiTheme="minorHAnsi" w:cstheme="minorHAnsi"/>
          <w:color w:val="1C1E21"/>
          <w:sz w:val="20"/>
          <w:szCs w:val="20"/>
        </w:rPr>
      </w:pPr>
      <w:r w:rsidRPr="00A342DB">
        <w:rPr>
          <w:rFonts w:asciiTheme="minorHAnsi" w:hAnsiTheme="minorHAnsi" w:cstheme="minorHAnsi"/>
          <w:color w:val="1C1E21"/>
          <w:sz w:val="20"/>
          <w:szCs w:val="20"/>
        </w:rPr>
        <w:t xml:space="preserve">I coronavirus sono </w:t>
      </w:r>
      <w:r w:rsidRPr="00A342DB">
        <w:rPr>
          <w:rFonts w:asciiTheme="minorHAnsi" w:hAnsiTheme="minorHAnsi" w:cstheme="minorHAnsi"/>
          <w:b/>
          <w:bCs/>
          <w:color w:val="1C1E21"/>
          <w:sz w:val="20"/>
          <w:szCs w:val="20"/>
        </w:rPr>
        <w:t xml:space="preserve">virus </w:t>
      </w:r>
      <w:r w:rsidR="00E35C51">
        <w:rPr>
          <w:rFonts w:asciiTheme="minorHAnsi" w:hAnsiTheme="minorHAnsi" w:cstheme="minorHAnsi"/>
          <w:b/>
          <w:bCs/>
          <w:color w:val="1C1E21"/>
          <w:sz w:val="20"/>
          <w:szCs w:val="20"/>
        </w:rPr>
        <w:t>a</w:t>
      </w:r>
      <w:r w:rsidR="00A342DB">
        <w:rPr>
          <w:rFonts w:asciiTheme="minorHAnsi" w:hAnsiTheme="minorHAnsi" w:cstheme="minorHAnsi"/>
          <w:b/>
          <w:bCs/>
          <w:color w:val="1C1E21"/>
          <w:sz w:val="20"/>
          <w:szCs w:val="20"/>
        </w:rPr>
        <w:t xml:space="preserve"> RNA a singolo filamento di polarità positiva </w:t>
      </w:r>
      <w:r w:rsidRPr="00A342DB">
        <w:rPr>
          <w:rFonts w:asciiTheme="minorHAnsi" w:hAnsiTheme="minorHAnsi" w:cstheme="minorHAnsi"/>
          <w:b/>
          <w:bCs/>
          <w:color w:val="1C1E21"/>
          <w:sz w:val="20"/>
          <w:szCs w:val="20"/>
        </w:rPr>
        <w:t>con involucro lipidico con struttura pleiomorfica</w:t>
      </w:r>
      <w:r w:rsidRPr="00A342DB">
        <w:rPr>
          <w:rFonts w:asciiTheme="minorHAnsi" w:hAnsiTheme="minorHAnsi" w:cstheme="minorHAnsi"/>
          <w:color w:val="1C1E21"/>
          <w:sz w:val="20"/>
          <w:szCs w:val="20"/>
        </w:rPr>
        <w:t xml:space="preserve"> * o di forma sferica e la loro caratteristica </w:t>
      </w:r>
      <w:r w:rsidR="00801324" w:rsidRPr="00A342DB">
        <w:rPr>
          <w:rFonts w:asciiTheme="minorHAnsi" w:hAnsiTheme="minorHAnsi" w:cstheme="minorHAnsi"/>
          <w:color w:val="1C1E21"/>
          <w:sz w:val="20"/>
          <w:szCs w:val="20"/>
        </w:rPr>
        <w:t>peculiare</w:t>
      </w:r>
      <w:r w:rsidRPr="00A342DB">
        <w:rPr>
          <w:rFonts w:asciiTheme="minorHAnsi" w:hAnsiTheme="minorHAnsi" w:cstheme="minorHAnsi"/>
          <w:color w:val="1C1E21"/>
          <w:sz w:val="20"/>
          <w:szCs w:val="20"/>
        </w:rPr>
        <w:t xml:space="preserve"> sono le proiezioni a forma di clava sulla superficie del virus che vengono definite "punte" (spike). </w:t>
      </w:r>
    </w:p>
    <w:p w:rsidR="003E3300" w:rsidRDefault="003E3300" w:rsidP="00B222C9">
      <w:pPr>
        <w:jc w:val="both"/>
        <w:rPr>
          <w:rFonts w:asciiTheme="minorHAnsi" w:hAnsiTheme="minorHAnsi" w:cstheme="minorHAnsi"/>
          <w:color w:val="1C1E21"/>
          <w:sz w:val="20"/>
          <w:szCs w:val="20"/>
        </w:rPr>
      </w:pPr>
    </w:p>
    <w:p w:rsidR="003E3300" w:rsidRDefault="004D1A1B" w:rsidP="00B222C9">
      <w:pPr>
        <w:jc w:val="both"/>
        <w:rPr>
          <w:rFonts w:asciiTheme="minorHAnsi" w:hAnsiTheme="minorHAnsi" w:cstheme="minorHAnsi"/>
          <w:color w:val="1C1E21"/>
          <w:sz w:val="20"/>
          <w:szCs w:val="20"/>
        </w:rPr>
      </w:pPr>
      <w:r w:rsidRPr="00A342DB">
        <w:rPr>
          <w:rFonts w:asciiTheme="minorHAnsi" w:hAnsiTheme="minorHAnsi" w:cstheme="minorHAnsi"/>
          <w:color w:val="1C1E21"/>
          <w:sz w:val="20"/>
          <w:szCs w:val="20"/>
        </w:rPr>
        <w:t xml:space="preserve">L’involucro del virus contiene quattro componenti proteiche strutturali, la </w:t>
      </w:r>
      <w:r w:rsidRPr="00A342DB">
        <w:rPr>
          <w:rFonts w:asciiTheme="minorHAnsi" w:hAnsiTheme="minorHAnsi" w:cstheme="minorHAnsi"/>
          <w:b/>
          <w:bCs/>
          <w:color w:val="1C1E21"/>
          <w:sz w:val="20"/>
          <w:szCs w:val="20"/>
        </w:rPr>
        <w:t>proteina S (spike)</w:t>
      </w:r>
      <w:r w:rsidRPr="00A342DB">
        <w:rPr>
          <w:rFonts w:asciiTheme="minorHAnsi" w:hAnsiTheme="minorHAnsi" w:cstheme="minorHAnsi"/>
          <w:color w:val="1C1E21"/>
          <w:sz w:val="20"/>
          <w:szCs w:val="20"/>
        </w:rPr>
        <w:t xml:space="preserve">, la </w:t>
      </w:r>
      <w:r w:rsidRPr="00A342DB">
        <w:rPr>
          <w:rFonts w:asciiTheme="minorHAnsi" w:hAnsiTheme="minorHAnsi" w:cstheme="minorHAnsi"/>
          <w:b/>
          <w:bCs/>
          <w:color w:val="1C1E21"/>
          <w:sz w:val="20"/>
          <w:szCs w:val="20"/>
        </w:rPr>
        <w:t>proteina dell’involucro (E - envelope)</w:t>
      </w:r>
      <w:r w:rsidRPr="00A342DB">
        <w:rPr>
          <w:rFonts w:asciiTheme="minorHAnsi" w:hAnsiTheme="minorHAnsi" w:cstheme="minorHAnsi"/>
          <w:color w:val="1C1E21"/>
          <w:sz w:val="20"/>
          <w:szCs w:val="20"/>
        </w:rPr>
        <w:t xml:space="preserve">, la </w:t>
      </w:r>
      <w:r w:rsidRPr="00A342DB">
        <w:rPr>
          <w:rFonts w:asciiTheme="minorHAnsi" w:hAnsiTheme="minorHAnsi" w:cstheme="minorHAnsi"/>
          <w:b/>
          <w:bCs/>
          <w:color w:val="1C1E21"/>
          <w:sz w:val="20"/>
          <w:szCs w:val="20"/>
        </w:rPr>
        <w:t>proteina di membrana (M)</w:t>
      </w:r>
      <w:r w:rsidRPr="00A342DB">
        <w:rPr>
          <w:rFonts w:asciiTheme="minorHAnsi" w:hAnsiTheme="minorHAnsi" w:cstheme="minorHAnsi"/>
          <w:color w:val="1C1E21"/>
          <w:sz w:val="20"/>
          <w:szCs w:val="20"/>
        </w:rPr>
        <w:t xml:space="preserve"> e la </w:t>
      </w:r>
      <w:r w:rsidRPr="00A342DB">
        <w:rPr>
          <w:rFonts w:asciiTheme="minorHAnsi" w:hAnsiTheme="minorHAnsi" w:cstheme="minorHAnsi"/>
          <w:b/>
          <w:bCs/>
          <w:color w:val="1C1E21"/>
          <w:sz w:val="20"/>
          <w:szCs w:val="20"/>
        </w:rPr>
        <w:t>proteina del nucleocapside (N)</w:t>
      </w:r>
      <w:r w:rsidRPr="00A342DB">
        <w:rPr>
          <w:rFonts w:asciiTheme="minorHAnsi" w:hAnsiTheme="minorHAnsi" w:cstheme="minorHAnsi"/>
          <w:color w:val="1C1E21"/>
          <w:sz w:val="20"/>
          <w:szCs w:val="20"/>
        </w:rPr>
        <w:t>. Per SARS-CoV e SARS-CoV2, la proteina S è il fattore determinante principale per il tropismo e la patogenicità dell'ospite.</w:t>
      </w:r>
    </w:p>
    <w:p w:rsidR="003E3300" w:rsidRDefault="003E3300" w:rsidP="00B222C9">
      <w:pPr>
        <w:jc w:val="both"/>
        <w:rPr>
          <w:rFonts w:asciiTheme="minorHAnsi" w:hAnsiTheme="minorHAnsi" w:cstheme="minorHAnsi"/>
          <w:color w:val="1C1E21"/>
          <w:sz w:val="20"/>
          <w:szCs w:val="20"/>
        </w:rPr>
      </w:pPr>
    </w:p>
    <w:p w:rsidR="004D1A1B" w:rsidRDefault="004D1A1B" w:rsidP="00B222C9">
      <w:pPr>
        <w:jc w:val="both"/>
        <w:rPr>
          <w:rFonts w:asciiTheme="minorHAnsi" w:hAnsiTheme="minorHAnsi" w:cstheme="minorHAnsi"/>
          <w:color w:val="1C1E21"/>
          <w:sz w:val="20"/>
          <w:szCs w:val="20"/>
        </w:rPr>
      </w:pPr>
      <w:r w:rsidRPr="00A342DB">
        <w:rPr>
          <w:rFonts w:asciiTheme="minorHAnsi" w:hAnsiTheme="minorHAnsi" w:cstheme="minorHAnsi"/>
          <w:color w:val="1C1E21"/>
          <w:sz w:val="20"/>
          <w:szCs w:val="20"/>
        </w:rPr>
        <w:t xml:space="preserve">È il principale obiettivo degli anticorpi neutralizzanti e quindi di grande interesse in termini di risposta immunologica e progettazione dei vaccini. La proteina S è costituita da due subunità, di cui S1 costituisce la parte coinvolta nel riconoscimento dei recettori e S2 è altamente conservata, </w:t>
      </w:r>
      <w:r w:rsidR="00801324" w:rsidRPr="00A342DB">
        <w:rPr>
          <w:rFonts w:asciiTheme="minorHAnsi" w:hAnsiTheme="minorHAnsi" w:cstheme="minorHAnsi"/>
          <w:color w:val="1C1E21"/>
          <w:sz w:val="20"/>
          <w:szCs w:val="20"/>
        </w:rPr>
        <w:t>à</w:t>
      </w:r>
      <w:r w:rsidRPr="00A342DB">
        <w:rPr>
          <w:rFonts w:asciiTheme="minorHAnsi" w:hAnsiTheme="minorHAnsi" w:cstheme="minorHAnsi"/>
          <w:color w:val="1C1E21"/>
          <w:sz w:val="20"/>
          <w:szCs w:val="20"/>
        </w:rPr>
        <w:t>ncora la proteina nella membrana virale e facilita la fusione virale.</w:t>
      </w:r>
    </w:p>
    <w:p w:rsidR="00E35C51" w:rsidRDefault="00E35C51" w:rsidP="00B222C9">
      <w:pPr>
        <w:jc w:val="both"/>
        <w:rPr>
          <w:rFonts w:asciiTheme="minorHAnsi" w:hAnsiTheme="minorHAnsi" w:cstheme="minorHAnsi"/>
          <w:color w:val="1C1E21"/>
          <w:sz w:val="20"/>
          <w:szCs w:val="20"/>
        </w:rPr>
      </w:pPr>
    </w:p>
    <w:p w:rsidR="00E35C51" w:rsidRDefault="00E35C51" w:rsidP="00E35C51">
      <w:pPr>
        <w:jc w:val="both"/>
        <w:rPr>
          <w:rFonts w:asciiTheme="minorHAnsi" w:hAnsiTheme="minorHAnsi" w:cstheme="minorHAnsi"/>
          <w:i/>
          <w:color w:val="2F5496" w:themeColor="accent1" w:themeShade="BF"/>
          <w:sz w:val="20"/>
          <w:szCs w:val="20"/>
        </w:rPr>
      </w:pPr>
      <w:r w:rsidRPr="003E3300">
        <w:rPr>
          <w:rFonts w:asciiTheme="minorHAnsi" w:hAnsiTheme="minorHAnsi"/>
          <w:color w:val="2F5496" w:themeColor="accent1" w:themeShade="BF"/>
          <w:sz w:val="20"/>
          <w:szCs w:val="20"/>
        </w:rPr>
        <w:t>*</w:t>
      </w:r>
      <w:r w:rsidRPr="003E3300">
        <w:rPr>
          <w:rFonts w:asciiTheme="minorHAnsi" w:hAnsiTheme="minorHAnsi" w:cstheme="minorHAnsi"/>
          <w:b/>
          <w:bCs/>
          <w:i/>
          <w:color w:val="2F5496" w:themeColor="accent1" w:themeShade="BF"/>
          <w:sz w:val="20"/>
          <w:szCs w:val="20"/>
        </w:rPr>
        <w:t>pleiomorfismo</w:t>
      </w:r>
      <w:r w:rsidRPr="003E3300">
        <w:rPr>
          <w:rFonts w:asciiTheme="minorHAnsi" w:hAnsiTheme="minorHAnsi" w:cstheme="minorHAnsi"/>
          <w:i/>
          <w:color w:val="2F5496" w:themeColor="accent1" w:themeShade="BF"/>
          <w:sz w:val="20"/>
          <w:szCs w:val="20"/>
        </w:rPr>
        <w:t>: caratteristica di cellule e microorganismi, virus compresi, di modificare la loro morfologia a seconda dell’ambiente in cui si trovano. La struttura sferica del SARS-Cov-2 è quella rilevabile in coltura, mentre in vivo può formare strutture bacilliformi.</w:t>
      </w:r>
      <w:r w:rsidRPr="003E3300">
        <w:rPr>
          <w:rStyle w:val="FootnoteReference"/>
          <w:rFonts w:asciiTheme="minorHAnsi" w:hAnsiTheme="minorHAnsi" w:cstheme="minorHAnsi"/>
          <w:i/>
          <w:color w:val="2F5496" w:themeColor="accent1" w:themeShade="BF"/>
          <w:sz w:val="20"/>
          <w:szCs w:val="20"/>
        </w:rPr>
        <w:footnoteReference w:id="36"/>
      </w:r>
      <w:r w:rsidRPr="003E3300">
        <w:rPr>
          <w:rFonts w:asciiTheme="minorHAnsi" w:hAnsiTheme="minorHAnsi" w:cstheme="minorHAnsi"/>
          <w:i/>
          <w:color w:val="2F5496" w:themeColor="accent1" w:themeShade="BF"/>
          <w:sz w:val="20"/>
          <w:szCs w:val="20"/>
        </w:rPr>
        <w:t xml:space="preserve"> </w:t>
      </w:r>
    </w:p>
    <w:p w:rsidR="003E3300" w:rsidRPr="003E3300" w:rsidRDefault="003E3300" w:rsidP="00E35C51">
      <w:pPr>
        <w:jc w:val="both"/>
        <w:rPr>
          <w:rFonts w:asciiTheme="minorHAnsi" w:hAnsiTheme="minorHAnsi"/>
          <w:color w:val="2F5496" w:themeColor="accent1" w:themeShade="BF"/>
          <w:sz w:val="20"/>
          <w:szCs w:val="20"/>
        </w:rPr>
      </w:pPr>
    </w:p>
    <w:p w:rsidR="00E35C51" w:rsidRDefault="00E35C51" w:rsidP="00EA0840">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426" w:right="-7"/>
        <w:jc w:val="center"/>
        <w:rPr>
          <w:rFonts w:asciiTheme="minorHAnsi" w:hAnsiTheme="minorHAnsi" w:cstheme="minorHAnsi"/>
          <w:sz w:val="18"/>
          <w:szCs w:val="18"/>
        </w:rPr>
      </w:pPr>
    </w:p>
    <w:p w:rsidR="00E35C51" w:rsidRPr="00EA0840" w:rsidRDefault="00E35C51" w:rsidP="00EA0840">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426" w:right="-7"/>
        <w:jc w:val="center"/>
        <w:rPr>
          <w:rFonts w:asciiTheme="minorHAnsi" w:hAnsiTheme="minorHAnsi" w:cstheme="minorHAnsi"/>
          <w:color w:val="2F5496" w:themeColor="accent1" w:themeShade="BF"/>
          <w:sz w:val="20"/>
          <w:szCs w:val="20"/>
        </w:rPr>
      </w:pPr>
      <w:r w:rsidRPr="00EA0840">
        <w:rPr>
          <w:rFonts w:asciiTheme="minorHAnsi" w:hAnsiTheme="minorHAnsi" w:cstheme="minorHAnsi"/>
          <w:color w:val="2F5496" w:themeColor="accent1" w:themeShade="BF"/>
          <w:sz w:val="20"/>
          <w:szCs w:val="20"/>
        </w:rPr>
        <w:t>Per approfondire si suggerisce di leggere l’articolo</w:t>
      </w:r>
    </w:p>
    <w:p w:rsidR="00E35C51" w:rsidRPr="00EA0840" w:rsidRDefault="00E35C51" w:rsidP="00EA0840">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426" w:right="-7"/>
        <w:jc w:val="center"/>
        <w:rPr>
          <w:rFonts w:asciiTheme="minorHAnsi" w:hAnsiTheme="minorHAnsi" w:cstheme="minorHAnsi"/>
          <w:b/>
          <w:bCs/>
          <w:color w:val="2F5496" w:themeColor="accent1" w:themeShade="BF"/>
          <w:sz w:val="20"/>
          <w:szCs w:val="20"/>
        </w:rPr>
      </w:pPr>
      <w:r w:rsidRPr="00EA0840">
        <w:rPr>
          <w:rFonts w:asciiTheme="minorHAnsi" w:hAnsiTheme="minorHAnsi" w:cstheme="minorHAnsi"/>
          <w:b/>
          <w:bCs/>
          <w:color w:val="2F5496" w:themeColor="accent1" w:themeShade="BF"/>
          <w:sz w:val="20"/>
          <w:szCs w:val="20"/>
        </w:rPr>
        <w:t>Viaggio al centro del virus: com’è fatto SARS-CoV-2</w:t>
      </w:r>
    </w:p>
    <w:p w:rsidR="00E35C51" w:rsidRPr="00EA0840" w:rsidRDefault="00E35C51" w:rsidP="00EA0840">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426" w:right="-7"/>
        <w:jc w:val="center"/>
        <w:rPr>
          <w:rFonts w:asciiTheme="minorHAnsi" w:hAnsiTheme="minorHAnsi" w:cstheme="minorHAnsi"/>
          <w:sz w:val="20"/>
          <w:szCs w:val="20"/>
        </w:rPr>
      </w:pPr>
    </w:p>
    <w:p w:rsidR="00E35C51" w:rsidRDefault="0052743C" w:rsidP="00EA0840">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426" w:right="-7"/>
        <w:jc w:val="center"/>
        <w:rPr>
          <w:rStyle w:val="Hyperlink"/>
          <w:rFonts w:asciiTheme="minorHAnsi" w:eastAsiaTheme="majorEastAsia" w:hAnsiTheme="minorHAnsi" w:cstheme="minorHAnsi"/>
          <w:b/>
          <w:bCs/>
          <w:color w:val="C00000"/>
          <w:sz w:val="20"/>
          <w:szCs w:val="20"/>
          <w:u w:val="none"/>
        </w:rPr>
      </w:pPr>
      <w:hyperlink r:id="rId30" w:history="1">
        <w:r w:rsidR="00E35C51" w:rsidRPr="00EA0840">
          <w:rPr>
            <w:rStyle w:val="Hyperlink"/>
            <w:rFonts w:asciiTheme="minorHAnsi" w:eastAsiaTheme="majorEastAsia" w:hAnsiTheme="minorHAnsi" w:cstheme="minorHAnsi"/>
            <w:b/>
            <w:bCs/>
            <w:color w:val="C00000"/>
            <w:sz w:val="20"/>
            <w:szCs w:val="20"/>
            <w:u w:val="none"/>
          </w:rPr>
          <w:t>https://www.unisr.it/en/news/2020/3/viaggio-al-centro-del-virus-come-e-fatto-sars-cov-2</w:t>
        </w:r>
      </w:hyperlink>
    </w:p>
    <w:p w:rsidR="00EA0840" w:rsidRPr="00EA0840" w:rsidRDefault="00EA0840" w:rsidP="00EA0840">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426" w:right="-7"/>
        <w:jc w:val="center"/>
        <w:rPr>
          <w:rFonts w:asciiTheme="minorHAnsi" w:eastAsiaTheme="majorEastAsia" w:hAnsiTheme="minorHAnsi" w:cstheme="minorHAnsi"/>
          <w:b/>
          <w:bCs/>
          <w:color w:val="C00000"/>
          <w:sz w:val="20"/>
          <w:szCs w:val="20"/>
        </w:rPr>
      </w:pPr>
    </w:p>
    <w:p w:rsidR="00395E02" w:rsidRDefault="002B7F58" w:rsidP="002B7F58">
      <w:pPr>
        <w:shd w:val="clear" w:color="auto" w:fill="FFFFFF"/>
        <w:jc w:val="both"/>
        <w:rPr>
          <w:rFonts w:asciiTheme="minorHAnsi" w:hAnsiTheme="minorHAnsi" w:cstheme="minorHAnsi"/>
          <w:color w:val="1C1E21"/>
          <w:sz w:val="20"/>
          <w:szCs w:val="20"/>
        </w:rPr>
      </w:pPr>
      <w:r w:rsidRPr="00E35C51">
        <w:rPr>
          <w:rFonts w:asciiTheme="minorHAnsi" w:hAnsiTheme="minorHAnsi" w:cstheme="minorHAnsi"/>
          <w:color w:val="1C1E21"/>
          <w:sz w:val="20"/>
          <w:szCs w:val="20"/>
        </w:rPr>
        <w:lastRenderedPageBreak/>
        <w:t xml:space="preserve">I coronavirus correlati alla SARS condividono la proteina S che contiene un dominio variabile di legame con il recettore (RBD). </w:t>
      </w:r>
    </w:p>
    <w:p w:rsidR="002B7F58" w:rsidRPr="00E35C51" w:rsidRDefault="00395E02" w:rsidP="002B7F58">
      <w:pPr>
        <w:shd w:val="clear" w:color="auto" w:fill="FFFFFF"/>
        <w:jc w:val="both"/>
        <w:rPr>
          <w:rFonts w:asciiTheme="minorHAnsi" w:hAnsiTheme="minorHAnsi" w:cstheme="minorHAnsi"/>
          <w:color w:val="1C1E21"/>
          <w:sz w:val="20"/>
          <w:szCs w:val="20"/>
        </w:rPr>
      </w:pPr>
      <w:r>
        <w:rPr>
          <w:rFonts w:asciiTheme="minorHAnsi" w:hAnsiTheme="minorHAnsi" w:cstheme="minorHAnsi"/>
          <w:color w:val="1C1E21"/>
          <w:sz w:val="20"/>
          <w:szCs w:val="20"/>
        </w:rPr>
        <w:t>Q</w:t>
      </w:r>
      <w:r w:rsidR="002B7F58" w:rsidRPr="00E35C51">
        <w:rPr>
          <w:rFonts w:asciiTheme="minorHAnsi" w:hAnsiTheme="minorHAnsi" w:cstheme="minorHAnsi"/>
          <w:color w:val="1C1E21"/>
          <w:sz w:val="20"/>
          <w:szCs w:val="20"/>
        </w:rPr>
        <w:t xml:space="preserve">uesto RBD si lega al </w:t>
      </w:r>
      <w:r w:rsidR="002B7F58" w:rsidRPr="00E35C51">
        <w:rPr>
          <w:rFonts w:asciiTheme="minorHAnsi" w:hAnsiTheme="minorHAnsi" w:cstheme="minorHAnsi"/>
          <w:b/>
          <w:bCs/>
          <w:color w:val="1C1E21"/>
          <w:sz w:val="20"/>
          <w:szCs w:val="20"/>
        </w:rPr>
        <w:t>recettore dell'enzima</w:t>
      </w:r>
      <w:r w:rsidR="00801324" w:rsidRPr="00E35C51">
        <w:rPr>
          <w:rFonts w:asciiTheme="minorHAnsi" w:hAnsiTheme="minorHAnsi" w:cstheme="minorHAnsi"/>
          <w:b/>
          <w:bCs/>
          <w:color w:val="1C1E21"/>
          <w:sz w:val="20"/>
          <w:szCs w:val="20"/>
        </w:rPr>
        <w:t xml:space="preserve"> di conversione dell’angiotensina</w:t>
      </w:r>
      <w:r w:rsidR="002B7F58" w:rsidRPr="00E35C51">
        <w:rPr>
          <w:rFonts w:asciiTheme="minorHAnsi" w:hAnsiTheme="minorHAnsi" w:cstheme="minorHAnsi"/>
          <w:b/>
          <w:bCs/>
          <w:color w:val="1C1E21"/>
          <w:sz w:val="20"/>
          <w:szCs w:val="20"/>
        </w:rPr>
        <w:t>-2</w:t>
      </w:r>
      <w:r w:rsidR="002B7F58" w:rsidRPr="00E35C51">
        <w:rPr>
          <w:rFonts w:asciiTheme="minorHAnsi" w:hAnsiTheme="minorHAnsi" w:cstheme="minorHAnsi"/>
          <w:color w:val="1C1E21"/>
          <w:sz w:val="20"/>
          <w:szCs w:val="20"/>
        </w:rPr>
        <w:t xml:space="preserve"> (</w:t>
      </w:r>
      <w:r w:rsidR="002B7F58" w:rsidRPr="00E35C51">
        <w:rPr>
          <w:rFonts w:asciiTheme="minorHAnsi" w:hAnsiTheme="minorHAnsi" w:cstheme="minorHAnsi"/>
          <w:b/>
          <w:bCs/>
          <w:color w:val="1C1E21"/>
          <w:sz w:val="20"/>
          <w:szCs w:val="20"/>
        </w:rPr>
        <w:t>ACE-2</w:t>
      </w:r>
      <w:r w:rsidR="002B7F58" w:rsidRPr="00E35C51">
        <w:rPr>
          <w:rFonts w:asciiTheme="minorHAnsi" w:hAnsiTheme="minorHAnsi" w:cstheme="minorHAnsi"/>
          <w:color w:val="1C1E21"/>
          <w:sz w:val="20"/>
          <w:szCs w:val="20"/>
        </w:rPr>
        <w:t xml:space="preserve">: è una carbossipeptidasi contenente zinco che converte l'angiotensina I in angiotensina II nel sistema renina-angiotensina e regola la funzione cardiaca, principalmente mantenendo la pressione sanguigna e l'omeostasi dei fluidi e degli elettroliti) presente nel cuore, nei polmoni, nei reni e nel tratto gastrointestinale facilitando così l'ingresso virale nelle cellule bersaglio. </w:t>
      </w:r>
    </w:p>
    <w:p w:rsidR="00801324" w:rsidRPr="00E35C51" w:rsidRDefault="00801324" w:rsidP="002B7F58">
      <w:pPr>
        <w:shd w:val="clear" w:color="auto" w:fill="FFFFFF"/>
        <w:jc w:val="both"/>
        <w:rPr>
          <w:rFonts w:asciiTheme="minorHAnsi" w:hAnsiTheme="minorHAnsi" w:cstheme="minorHAnsi"/>
          <w:color w:val="1C1E21"/>
          <w:sz w:val="20"/>
          <w:szCs w:val="20"/>
        </w:rPr>
      </w:pPr>
    </w:p>
    <w:p w:rsidR="00C931C2" w:rsidRPr="00E35C51" w:rsidRDefault="002B7F58" w:rsidP="002B7F58">
      <w:pPr>
        <w:shd w:val="clear" w:color="auto" w:fill="FFFFFF"/>
        <w:jc w:val="both"/>
        <w:rPr>
          <w:rFonts w:asciiTheme="minorHAnsi" w:hAnsiTheme="minorHAnsi" w:cstheme="minorHAnsi"/>
          <w:color w:val="1C1E21"/>
          <w:sz w:val="20"/>
          <w:szCs w:val="20"/>
        </w:rPr>
      </w:pPr>
      <w:r w:rsidRPr="00E35C51">
        <w:rPr>
          <w:rFonts w:asciiTheme="minorHAnsi" w:hAnsiTheme="minorHAnsi" w:cstheme="minorHAnsi"/>
          <w:color w:val="1C1E21"/>
          <w:sz w:val="20"/>
          <w:szCs w:val="20"/>
        </w:rPr>
        <w:t xml:space="preserve">È stato dimostrato che quando la proteina spike del SARS-Cov-2 si lega al recettore ACE-2, il complesso viene elaborato proteoliticamente dalla </w:t>
      </w:r>
      <w:r w:rsidRPr="00E35C51">
        <w:rPr>
          <w:rFonts w:asciiTheme="minorHAnsi" w:hAnsiTheme="minorHAnsi" w:cstheme="minorHAnsi"/>
          <w:b/>
          <w:bCs/>
          <w:color w:val="1C1E21"/>
          <w:sz w:val="20"/>
          <w:szCs w:val="20"/>
        </w:rPr>
        <w:t>proteasi transmembrana di tipo 2 TMPRSS2</w:t>
      </w:r>
      <w:r w:rsidRPr="00E35C51">
        <w:rPr>
          <w:rFonts w:asciiTheme="minorHAnsi" w:hAnsiTheme="minorHAnsi" w:cstheme="minorHAnsi"/>
          <w:color w:val="1C1E21"/>
          <w:sz w:val="20"/>
          <w:szCs w:val="20"/>
        </w:rPr>
        <w:t xml:space="preserve"> che porta alla scissione dell'ACE-2 e all'attivazione della proteina Spike con un meccanismo simile a quello impiegato dall'influenza e dal metapneumovirus umano, facilitando così l'ingresso virale nella cellula bersaglio</w:t>
      </w:r>
      <w:r w:rsidR="00E35C51">
        <w:rPr>
          <w:rFonts w:asciiTheme="minorHAnsi" w:hAnsiTheme="minorHAnsi" w:cstheme="minorHAnsi"/>
          <w:color w:val="1C1E21"/>
          <w:sz w:val="20"/>
          <w:szCs w:val="20"/>
        </w:rPr>
        <w:t>,</w:t>
      </w:r>
      <w:r w:rsidRPr="00E35C51">
        <w:rPr>
          <w:rFonts w:asciiTheme="minorHAnsi" w:hAnsiTheme="minorHAnsi" w:cstheme="minorHAnsi"/>
          <w:color w:val="1C1E21"/>
          <w:sz w:val="20"/>
          <w:szCs w:val="20"/>
        </w:rPr>
        <w:t xml:space="preserve"> e quindi è stato suggerito che le cellule in cui sono contemporaneamente presenti ACE-2 e TMPRSS2 sono più suscettibili all'ingresso del SARS-CoV-2. </w:t>
      </w:r>
    </w:p>
    <w:p w:rsidR="002B7F58" w:rsidRPr="007F48B7" w:rsidRDefault="002B7F58" w:rsidP="002B7F58">
      <w:pPr>
        <w:shd w:val="clear" w:color="auto" w:fill="FFFFFF"/>
        <w:jc w:val="both"/>
        <w:rPr>
          <w:rFonts w:asciiTheme="minorHAnsi" w:hAnsiTheme="minorHAnsi" w:cstheme="minorHAnsi"/>
          <w:color w:val="1C1E21"/>
          <w:sz w:val="22"/>
          <w:szCs w:val="22"/>
        </w:rPr>
      </w:pPr>
    </w:p>
    <w:p w:rsidR="002B7F58" w:rsidRDefault="002B7F58" w:rsidP="002B7F58">
      <w:pPr>
        <w:shd w:val="clear" w:color="auto" w:fill="FFFFFF"/>
        <w:jc w:val="both"/>
        <w:rPr>
          <w:rFonts w:asciiTheme="minorHAnsi" w:hAnsiTheme="minorHAnsi" w:cstheme="minorHAnsi"/>
          <w:color w:val="1C1E21"/>
        </w:rPr>
      </w:pPr>
      <w:r w:rsidRPr="00717D4D">
        <w:rPr>
          <w:rFonts w:asciiTheme="minorHAnsi" w:hAnsiTheme="minorHAnsi" w:cstheme="minorHAnsi"/>
          <w:noProof/>
          <w:color w:val="1C1E21"/>
        </w:rPr>
        <w:drawing>
          <wp:inline distT="0" distB="0" distL="0" distR="0" wp14:anchorId="49E7587B" wp14:editId="4B3A40E6">
            <wp:extent cx="6116320" cy="1595755"/>
            <wp:effectExtent l="0" t="0" r="5080" b="444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ta 2020-05-07 alle 22.42.56.png"/>
                    <pic:cNvPicPr/>
                  </pic:nvPicPr>
                  <pic:blipFill>
                    <a:blip r:embed="rId31">
                      <a:extLst>
                        <a:ext uri="{28A0092B-C50C-407E-A947-70E740481C1C}">
                          <a14:useLocalDpi xmlns:a14="http://schemas.microsoft.com/office/drawing/2010/main" val="0"/>
                        </a:ext>
                      </a:extLst>
                    </a:blip>
                    <a:stretch>
                      <a:fillRect/>
                    </a:stretch>
                  </pic:blipFill>
                  <pic:spPr>
                    <a:xfrm>
                      <a:off x="0" y="0"/>
                      <a:ext cx="6116320" cy="1595755"/>
                    </a:xfrm>
                    <a:prstGeom prst="rect">
                      <a:avLst/>
                    </a:prstGeom>
                  </pic:spPr>
                </pic:pic>
              </a:graphicData>
            </a:graphic>
          </wp:inline>
        </w:drawing>
      </w:r>
    </w:p>
    <w:p w:rsidR="00471D4A" w:rsidRPr="00471D4A" w:rsidRDefault="00471D4A" w:rsidP="002B7F58">
      <w:pPr>
        <w:shd w:val="clear" w:color="auto" w:fill="FFFFFF"/>
        <w:jc w:val="both"/>
        <w:rPr>
          <w:rFonts w:asciiTheme="minorHAnsi" w:hAnsiTheme="minorHAnsi" w:cstheme="minorHAnsi"/>
          <w:color w:val="1C1E21"/>
          <w:sz w:val="18"/>
          <w:szCs w:val="18"/>
        </w:rPr>
      </w:pPr>
    </w:p>
    <w:p w:rsidR="00E35C51" w:rsidRPr="00471D4A" w:rsidRDefault="00E35C51" w:rsidP="00471D4A">
      <w:pPr>
        <w:shd w:val="clear" w:color="auto" w:fill="F2F2F2" w:themeFill="background1" w:themeFillShade="F2"/>
        <w:rPr>
          <w:rFonts w:asciiTheme="minorHAnsi" w:hAnsiTheme="minorHAnsi" w:cstheme="minorHAnsi"/>
          <w:color w:val="000000" w:themeColor="text1"/>
          <w:sz w:val="18"/>
          <w:szCs w:val="18"/>
        </w:rPr>
      </w:pPr>
      <w:r w:rsidRPr="00471D4A">
        <w:rPr>
          <w:rFonts w:asciiTheme="minorHAnsi" w:hAnsiTheme="minorHAnsi" w:cstheme="minorHAnsi"/>
          <w:color w:val="000000" w:themeColor="text1"/>
          <w:sz w:val="18"/>
          <w:szCs w:val="18"/>
        </w:rPr>
        <w:t xml:space="preserve">Tratta da </w:t>
      </w:r>
      <w:hyperlink r:id="rId32" w:history="1">
        <w:r w:rsidRPr="00471D4A">
          <w:rPr>
            <w:rStyle w:val="Hyperlink"/>
            <w:rFonts w:asciiTheme="minorHAnsi" w:eastAsiaTheme="majorEastAsia" w:hAnsiTheme="minorHAnsi" w:cstheme="minorHAnsi"/>
            <w:color w:val="000000" w:themeColor="text1"/>
            <w:sz w:val="18"/>
            <w:szCs w:val="18"/>
            <w:u w:val="none"/>
          </w:rPr>
          <w:t>https://www.ncbi.nlm.nih.gov/pmc/articles/PMC7157541/pdf/pathogens-09-00231.pdf</w:t>
        </w:r>
      </w:hyperlink>
    </w:p>
    <w:p w:rsidR="002B7F58" w:rsidRPr="00471D4A" w:rsidRDefault="002B7F58" w:rsidP="00471D4A">
      <w:pPr>
        <w:shd w:val="clear" w:color="auto" w:fill="F2F2F2" w:themeFill="background1" w:themeFillShade="F2"/>
        <w:jc w:val="both"/>
        <w:rPr>
          <w:rFonts w:asciiTheme="minorHAnsi" w:hAnsiTheme="minorHAnsi" w:cstheme="minorHAnsi"/>
          <w:color w:val="1C1E21"/>
          <w:sz w:val="18"/>
          <w:szCs w:val="18"/>
        </w:rPr>
      </w:pPr>
      <w:r w:rsidRPr="00471D4A">
        <w:rPr>
          <w:rFonts w:asciiTheme="minorHAnsi" w:hAnsiTheme="minorHAnsi" w:cstheme="minorHAnsi"/>
          <w:b/>
          <w:bCs/>
          <w:color w:val="1C1E21"/>
          <w:sz w:val="18"/>
          <w:szCs w:val="18"/>
        </w:rPr>
        <w:t>(A)</w:t>
      </w:r>
      <w:r w:rsidRPr="00471D4A">
        <w:rPr>
          <w:rFonts w:asciiTheme="minorHAnsi" w:hAnsiTheme="minorHAnsi" w:cstheme="minorHAnsi"/>
          <w:color w:val="1C1E21"/>
          <w:sz w:val="18"/>
          <w:szCs w:val="18"/>
        </w:rPr>
        <w:t xml:space="preserve"> La proteina Spike sulla superficie del coronavirus si lega ai recettori dell'enzima 2 (ACE-2) che converte l'angiotensina sulla superficie della cellula bersaglio; </w:t>
      </w:r>
      <w:r w:rsidRPr="00471D4A">
        <w:rPr>
          <w:rFonts w:asciiTheme="minorHAnsi" w:hAnsiTheme="minorHAnsi" w:cstheme="minorHAnsi"/>
          <w:b/>
          <w:bCs/>
          <w:color w:val="1C1E21"/>
          <w:sz w:val="18"/>
          <w:szCs w:val="18"/>
        </w:rPr>
        <w:t>(B)</w:t>
      </w:r>
      <w:r w:rsidRPr="00471D4A">
        <w:rPr>
          <w:rFonts w:asciiTheme="minorHAnsi" w:hAnsiTheme="minorHAnsi" w:cstheme="minorHAnsi"/>
          <w:color w:val="1C1E21"/>
          <w:sz w:val="18"/>
          <w:szCs w:val="18"/>
        </w:rPr>
        <w:t xml:space="preserve"> La proteasi transmembrana della serina di tipo II (TMPRSS2) si lega e scinde il recettore ACE-2. Nel processo, viene attivata la proteina Spike; </w:t>
      </w:r>
      <w:r w:rsidRPr="00471D4A">
        <w:rPr>
          <w:rFonts w:asciiTheme="minorHAnsi" w:hAnsiTheme="minorHAnsi" w:cstheme="minorHAnsi"/>
          <w:b/>
          <w:bCs/>
          <w:color w:val="1C1E21"/>
          <w:sz w:val="18"/>
          <w:szCs w:val="18"/>
        </w:rPr>
        <w:t>(C)</w:t>
      </w:r>
      <w:r w:rsidRPr="00471D4A">
        <w:rPr>
          <w:rFonts w:asciiTheme="minorHAnsi" w:hAnsiTheme="minorHAnsi" w:cstheme="minorHAnsi"/>
          <w:color w:val="1C1E21"/>
          <w:sz w:val="18"/>
          <w:szCs w:val="18"/>
        </w:rPr>
        <w:t xml:space="preserve"> la scissione del recettore dell’ACE-2 e la proteina spike attivata facilitano l'ingresso virale. L'espressione di TMPRSS2 aumenta l'assorbimento cellulare del coronavirus</w:t>
      </w:r>
    </w:p>
    <w:p w:rsidR="002B7F58" w:rsidRPr="00717D4D" w:rsidRDefault="002B7F58" w:rsidP="002B7F58">
      <w:pPr>
        <w:rPr>
          <w:rFonts w:asciiTheme="minorHAnsi" w:hAnsiTheme="minorHAnsi" w:cstheme="minorHAnsi"/>
          <w:color w:val="1C1E21"/>
          <w:sz w:val="16"/>
          <w:szCs w:val="16"/>
        </w:rPr>
      </w:pPr>
    </w:p>
    <w:p w:rsidR="002B7F58" w:rsidRPr="00E35C51" w:rsidRDefault="002B7F58" w:rsidP="00C931C2">
      <w:pPr>
        <w:jc w:val="both"/>
        <w:rPr>
          <w:rFonts w:asciiTheme="minorHAnsi" w:hAnsiTheme="minorHAnsi" w:cstheme="minorHAnsi"/>
          <w:color w:val="1C1E21"/>
          <w:sz w:val="20"/>
          <w:szCs w:val="20"/>
        </w:rPr>
      </w:pPr>
      <w:r w:rsidRPr="00E35C51">
        <w:rPr>
          <w:rFonts w:asciiTheme="minorHAnsi" w:hAnsiTheme="minorHAnsi" w:cstheme="minorHAnsi"/>
          <w:color w:val="1C1E21"/>
          <w:sz w:val="20"/>
          <w:szCs w:val="20"/>
        </w:rPr>
        <w:t>I betacoronavirus</w:t>
      </w:r>
      <w:r w:rsidR="00DC0BA1">
        <w:rPr>
          <w:rFonts w:asciiTheme="minorHAnsi" w:hAnsiTheme="minorHAnsi" w:cstheme="minorHAnsi"/>
          <w:color w:val="1C1E21"/>
          <w:sz w:val="20"/>
          <w:szCs w:val="20"/>
        </w:rPr>
        <w:t xml:space="preserve">, a cui appartiene anche il SARS-Cov-2, </w:t>
      </w:r>
      <w:r w:rsidRPr="00E35C51">
        <w:rPr>
          <w:rFonts w:asciiTheme="minorHAnsi" w:hAnsiTheme="minorHAnsi" w:cstheme="minorHAnsi"/>
          <w:color w:val="1C1E21"/>
          <w:sz w:val="20"/>
          <w:szCs w:val="20"/>
        </w:rPr>
        <w:t>presentano anche un'altra proteina strutturale, l’</w:t>
      </w:r>
      <w:r w:rsidRPr="00DC0BA1">
        <w:rPr>
          <w:rFonts w:asciiTheme="minorHAnsi" w:hAnsiTheme="minorHAnsi" w:cstheme="minorHAnsi"/>
          <w:b/>
          <w:bCs/>
          <w:color w:val="1C1E21"/>
          <w:sz w:val="20"/>
          <w:szCs w:val="20"/>
        </w:rPr>
        <w:t>emoagglutinina-esterasi (HE</w:t>
      </w:r>
      <w:r w:rsidRPr="00E35C51">
        <w:rPr>
          <w:rFonts w:asciiTheme="minorHAnsi" w:hAnsiTheme="minorHAnsi" w:cstheme="minorHAnsi"/>
          <w:color w:val="1C1E21"/>
          <w:sz w:val="20"/>
          <w:szCs w:val="20"/>
        </w:rPr>
        <w:t xml:space="preserve">) che </w:t>
      </w:r>
      <w:r w:rsidR="00C931C2" w:rsidRPr="00E35C51">
        <w:rPr>
          <w:rFonts w:asciiTheme="minorHAnsi" w:hAnsiTheme="minorHAnsi" w:cstheme="minorHAnsi"/>
          <w:color w:val="1C1E21"/>
          <w:sz w:val="20"/>
          <w:szCs w:val="20"/>
        </w:rPr>
        <w:t xml:space="preserve">si </w:t>
      </w:r>
      <w:r w:rsidRPr="00E35C51">
        <w:rPr>
          <w:rFonts w:asciiTheme="minorHAnsi" w:hAnsiTheme="minorHAnsi" w:cstheme="minorHAnsi"/>
          <w:color w:val="1C1E21"/>
          <w:sz w:val="20"/>
          <w:szCs w:val="20"/>
        </w:rPr>
        <w:t xml:space="preserve">lega </w:t>
      </w:r>
      <w:r w:rsidR="00C931C2" w:rsidRPr="00E35C51">
        <w:rPr>
          <w:rFonts w:asciiTheme="minorHAnsi" w:hAnsiTheme="minorHAnsi" w:cstheme="minorHAnsi"/>
          <w:color w:val="1C1E21"/>
          <w:sz w:val="20"/>
          <w:szCs w:val="20"/>
        </w:rPr>
        <w:t>al</w:t>
      </w:r>
      <w:r w:rsidRPr="00E35C51">
        <w:rPr>
          <w:rFonts w:asciiTheme="minorHAnsi" w:hAnsiTheme="minorHAnsi" w:cstheme="minorHAnsi"/>
          <w:color w:val="1C1E21"/>
          <w:sz w:val="20"/>
          <w:szCs w:val="20"/>
        </w:rPr>
        <w:t xml:space="preserve">l'acido sialico </w:t>
      </w:r>
      <w:r w:rsidR="00C931C2" w:rsidRPr="00E35C51">
        <w:rPr>
          <w:rFonts w:asciiTheme="minorHAnsi" w:hAnsiTheme="minorHAnsi" w:cstheme="minorHAnsi"/>
          <w:color w:val="1C1E21"/>
          <w:sz w:val="20"/>
          <w:szCs w:val="20"/>
        </w:rPr>
        <w:t xml:space="preserve">presente </w:t>
      </w:r>
      <w:r w:rsidRPr="00E35C51">
        <w:rPr>
          <w:rFonts w:asciiTheme="minorHAnsi" w:hAnsiTheme="minorHAnsi" w:cstheme="minorHAnsi"/>
          <w:color w:val="1C1E21"/>
          <w:sz w:val="20"/>
          <w:szCs w:val="20"/>
        </w:rPr>
        <w:t>sulla superficie cellulare</w:t>
      </w:r>
      <w:r w:rsidR="00C931C2" w:rsidRPr="00E35C51">
        <w:rPr>
          <w:rFonts w:asciiTheme="minorHAnsi" w:hAnsiTheme="minorHAnsi" w:cstheme="minorHAnsi"/>
          <w:color w:val="1C1E21"/>
          <w:sz w:val="20"/>
          <w:szCs w:val="20"/>
        </w:rPr>
        <w:t xml:space="preserve"> </w:t>
      </w:r>
      <w:r w:rsidRPr="00E35C51">
        <w:rPr>
          <w:rFonts w:asciiTheme="minorHAnsi" w:hAnsiTheme="minorHAnsi" w:cstheme="minorHAnsi"/>
          <w:color w:val="1C1E21"/>
          <w:sz w:val="20"/>
          <w:szCs w:val="20"/>
        </w:rPr>
        <w:t>e può costituire un fattore di virulenza nei nuovi hCoV.</w:t>
      </w:r>
      <w:r w:rsidRPr="00E35C51">
        <w:rPr>
          <w:rStyle w:val="FootnoteReference"/>
          <w:rFonts w:asciiTheme="minorHAnsi" w:hAnsiTheme="minorHAnsi" w:cstheme="minorHAnsi"/>
          <w:color w:val="1C1E21"/>
          <w:sz w:val="20"/>
          <w:szCs w:val="20"/>
        </w:rPr>
        <w:t xml:space="preserve"> </w:t>
      </w:r>
      <w:r w:rsidRPr="00E35C51">
        <w:rPr>
          <w:rStyle w:val="FootnoteReference"/>
          <w:rFonts w:asciiTheme="minorHAnsi" w:hAnsiTheme="minorHAnsi" w:cstheme="minorHAnsi"/>
          <w:color w:val="1C1E21"/>
          <w:sz w:val="20"/>
          <w:szCs w:val="20"/>
        </w:rPr>
        <w:footnoteReference w:id="37"/>
      </w:r>
    </w:p>
    <w:p w:rsidR="003E3300" w:rsidRDefault="003E3300" w:rsidP="00D71CED">
      <w:pPr>
        <w:pStyle w:val="Heading1"/>
        <w:spacing w:before="0"/>
        <w:jc w:val="center"/>
        <w:rPr>
          <w:rFonts w:asciiTheme="minorHAnsi" w:hAnsiTheme="minorHAnsi" w:cstheme="minorHAnsi"/>
          <w:sz w:val="24"/>
          <w:szCs w:val="24"/>
        </w:rPr>
      </w:pPr>
      <w:bookmarkStart w:id="7" w:name="_Toc41359998"/>
      <w:bookmarkStart w:id="8" w:name="_Toc41421691"/>
      <w:bookmarkStart w:id="9" w:name="_Toc41606009"/>
      <w:bookmarkStart w:id="10" w:name="_Toc42364916"/>
      <w:bookmarkStart w:id="11" w:name="_Toc42365829"/>
      <w:bookmarkStart w:id="12" w:name="_Toc43342367"/>
    </w:p>
    <w:p w:rsidR="003E3300" w:rsidRDefault="003E3300" w:rsidP="003E3300"/>
    <w:p w:rsidR="003E3300" w:rsidRDefault="003E3300" w:rsidP="003E3300"/>
    <w:p w:rsidR="003E3300" w:rsidRDefault="003E3300" w:rsidP="003E3300"/>
    <w:p w:rsidR="003E3300" w:rsidRDefault="003E3300" w:rsidP="003E3300"/>
    <w:p w:rsidR="003E3300" w:rsidRDefault="003E3300" w:rsidP="003E3300"/>
    <w:p w:rsidR="003E3300" w:rsidRDefault="003E3300" w:rsidP="003E3300"/>
    <w:p w:rsidR="003E3300" w:rsidRPr="003E3300" w:rsidRDefault="003E3300" w:rsidP="003E3300"/>
    <w:p w:rsidR="003E3300" w:rsidRDefault="003E3300" w:rsidP="00D71CED">
      <w:pPr>
        <w:pStyle w:val="Heading1"/>
        <w:spacing w:before="0"/>
        <w:jc w:val="center"/>
        <w:rPr>
          <w:rFonts w:asciiTheme="minorHAnsi" w:hAnsiTheme="minorHAnsi" w:cstheme="minorHAnsi"/>
          <w:sz w:val="24"/>
          <w:szCs w:val="24"/>
        </w:rPr>
      </w:pPr>
    </w:p>
    <w:p w:rsidR="003E3300" w:rsidRDefault="003E3300" w:rsidP="003E3300"/>
    <w:p w:rsidR="003E3300" w:rsidRDefault="003E3300" w:rsidP="003E3300"/>
    <w:p w:rsidR="003E3300" w:rsidRPr="003E3300" w:rsidRDefault="003E3300" w:rsidP="003E3300"/>
    <w:p w:rsidR="00D71CED" w:rsidRDefault="00D71CED" w:rsidP="00D71CED">
      <w:pPr>
        <w:pStyle w:val="Heading1"/>
        <w:spacing w:before="0"/>
        <w:jc w:val="center"/>
        <w:rPr>
          <w:rFonts w:asciiTheme="minorHAnsi" w:hAnsiTheme="minorHAnsi" w:cstheme="minorHAnsi"/>
          <w:sz w:val="24"/>
          <w:szCs w:val="24"/>
        </w:rPr>
      </w:pPr>
      <w:r w:rsidRPr="007F48B7">
        <w:rPr>
          <w:rFonts w:asciiTheme="minorHAnsi" w:hAnsiTheme="minorHAnsi" w:cstheme="minorHAnsi"/>
          <w:sz w:val="24"/>
          <w:szCs w:val="24"/>
        </w:rPr>
        <w:lastRenderedPageBreak/>
        <w:t>APPROFONDIMENTO</w:t>
      </w:r>
      <w:bookmarkEnd w:id="7"/>
      <w:bookmarkEnd w:id="8"/>
      <w:bookmarkEnd w:id="9"/>
      <w:bookmarkEnd w:id="10"/>
      <w:bookmarkEnd w:id="11"/>
      <w:bookmarkEnd w:id="12"/>
    </w:p>
    <w:p w:rsidR="003E3300" w:rsidRPr="003E3300" w:rsidRDefault="003E3300" w:rsidP="003E3300"/>
    <w:p w:rsidR="002B7F58" w:rsidRPr="00717D4D" w:rsidRDefault="00FC28CE" w:rsidP="00D71CED">
      <w:pPr>
        <w:pStyle w:val="Heading1"/>
        <w:spacing w:before="0"/>
        <w:jc w:val="center"/>
        <w:rPr>
          <w:rFonts w:asciiTheme="minorHAnsi" w:hAnsiTheme="minorHAnsi" w:cstheme="minorHAnsi"/>
          <w:b/>
          <w:sz w:val="24"/>
          <w:szCs w:val="24"/>
        </w:rPr>
      </w:pPr>
      <w:bookmarkStart w:id="13" w:name="_Toc43342368"/>
      <w:r w:rsidRPr="007F48B7">
        <w:rPr>
          <w:rFonts w:asciiTheme="minorHAnsi" w:hAnsiTheme="minorHAnsi" w:cstheme="minorHAnsi"/>
          <w:b/>
          <w:sz w:val="24"/>
          <w:szCs w:val="24"/>
        </w:rPr>
        <w:t>IL SISTEMA IMMUNITARIO</w:t>
      </w:r>
      <w:r w:rsidR="00877E56" w:rsidRPr="00717D4D">
        <w:rPr>
          <w:rFonts w:asciiTheme="minorHAnsi" w:hAnsiTheme="minorHAnsi" w:cstheme="minorHAnsi"/>
          <w:b/>
          <w:sz w:val="24"/>
          <w:szCs w:val="24"/>
        </w:rPr>
        <w:t xml:space="preserve"> </w:t>
      </w:r>
      <w:r w:rsidR="00877E56" w:rsidRPr="00717D4D">
        <w:rPr>
          <w:rStyle w:val="FootnoteReference"/>
          <w:rFonts w:asciiTheme="minorHAnsi" w:hAnsiTheme="minorHAnsi" w:cstheme="minorHAnsi"/>
          <w:b/>
          <w:sz w:val="24"/>
          <w:szCs w:val="24"/>
        </w:rPr>
        <w:footnoteReference w:id="38"/>
      </w:r>
      <w:bookmarkEnd w:id="13"/>
    </w:p>
    <w:p w:rsidR="00E91FBB" w:rsidRPr="007F48B7" w:rsidRDefault="00E91FBB" w:rsidP="00E91FBB"/>
    <w:p w:rsidR="00AD3584" w:rsidRPr="00DC0BA1" w:rsidRDefault="0052743C" w:rsidP="00E91FBB">
      <w:pPr>
        <w:rPr>
          <w:rStyle w:val="Hyperlink"/>
          <w:rFonts w:asciiTheme="minorHAnsi" w:hAnsiTheme="minorHAnsi"/>
          <w:b/>
          <w:bCs/>
          <w:color w:val="538135" w:themeColor="accent6" w:themeShade="BF"/>
          <w:sz w:val="22"/>
          <w:szCs w:val="22"/>
          <w:u w:val="none"/>
        </w:rPr>
      </w:pPr>
      <w:hyperlink r:id="rId33" w:history="1">
        <w:r w:rsidR="00275683" w:rsidRPr="00DC0BA1">
          <w:rPr>
            <w:rStyle w:val="Hyperlink"/>
            <w:rFonts w:asciiTheme="minorHAnsi" w:hAnsiTheme="minorHAnsi"/>
            <w:b/>
            <w:bCs/>
            <w:color w:val="538135" w:themeColor="accent6" w:themeShade="BF"/>
            <w:sz w:val="22"/>
            <w:szCs w:val="22"/>
            <w:u w:val="none"/>
          </w:rPr>
          <w:t>IL SISTEMA IMMUNITARIO_LORETTA_BOLGAN</w:t>
        </w:r>
      </w:hyperlink>
      <w:r w:rsidR="00494298" w:rsidRPr="00DC0BA1">
        <w:rPr>
          <w:rStyle w:val="Hyperlink"/>
          <w:rFonts w:asciiTheme="minorHAnsi" w:hAnsiTheme="minorHAnsi"/>
          <w:b/>
          <w:bCs/>
          <w:color w:val="538135" w:themeColor="accent6" w:themeShade="BF"/>
          <w:sz w:val="22"/>
          <w:szCs w:val="22"/>
          <w:u w:val="none"/>
        </w:rPr>
        <w:t xml:space="preserve"> </w:t>
      </w:r>
    </w:p>
    <w:p w:rsidR="002A743A" w:rsidRDefault="002A743A" w:rsidP="00E91FBB">
      <w:pPr>
        <w:rPr>
          <w:rStyle w:val="Hyperlink"/>
          <w:rFonts w:asciiTheme="minorHAnsi" w:hAnsiTheme="minorHAnsi"/>
          <w:b/>
          <w:bCs/>
          <w:color w:val="0070C0"/>
          <w:sz w:val="22"/>
          <w:szCs w:val="22"/>
          <w:u w:val="none"/>
        </w:rPr>
      </w:pPr>
    </w:p>
    <w:p w:rsidR="002A743A" w:rsidRPr="00DC0BA1" w:rsidRDefault="002A743A" w:rsidP="003E3300">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rPr>
          <w:rStyle w:val="Hyperlink"/>
          <w:rFonts w:asciiTheme="minorHAnsi" w:hAnsiTheme="minorHAnsi"/>
          <w:b/>
          <w:bCs/>
          <w:color w:val="0070C0"/>
          <w:sz w:val="18"/>
          <w:szCs w:val="18"/>
          <w:u w:val="none"/>
        </w:rPr>
      </w:pPr>
    </w:p>
    <w:p w:rsidR="002A743A" w:rsidRPr="005673DE" w:rsidRDefault="0052743C" w:rsidP="003E3300">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jc w:val="center"/>
        <w:rPr>
          <w:rFonts w:asciiTheme="minorHAnsi" w:hAnsiTheme="minorHAnsi" w:cstheme="minorHAnsi"/>
          <w:b/>
          <w:bCs/>
          <w:color w:val="2F5496" w:themeColor="accent1" w:themeShade="BF"/>
          <w:sz w:val="18"/>
          <w:szCs w:val="18"/>
        </w:rPr>
      </w:pPr>
      <w:hyperlink r:id="rId34" w:history="1">
        <w:r w:rsidR="002A743A" w:rsidRPr="005673DE">
          <w:rPr>
            <w:rStyle w:val="Hyperlink"/>
            <w:rFonts w:asciiTheme="minorHAnsi" w:eastAsiaTheme="majorEastAsia" w:hAnsiTheme="minorHAnsi" w:cstheme="minorHAnsi"/>
            <w:b/>
            <w:bCs/>
            <w:color w:val="2F5496" w:themeColor="accent1" w:themeShade="BF"/>
            <w:sz w:val="18"/>
            <w:szCs w:val="18"/>
            <w:u w:val="none"/>
          </w:rPr>
          <w:t>https://www.biopills.net/corso-di-immunologia-cellulare-e-molecolare/</w:t>
        </w:r>
      </w:hyperlink>
    </w:p>
    <w:p w:rsidR="002A743A" w:rsidRPr="00DC0BA1" w:rsidRDefault="002A743A" w:rsidP="003E3300">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rPr>
          <w:rFonts w:asciiTheme="minorHAnsi" w:hAnsiTheme="minorHAnsi" w:cstheme="minorHAnsi"/>
          <w:sz w:val="18"/>
          <w:szCs w:val="18"/>
        </w:rPr>
      </w:pPr>
    </w:p>
    <w:p w:rsidR="00790721" w:rsidRDefault="00790721"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2A743A" w:rsidRDefault="00DC0BA1"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r w:rsidRPr="00DC0BA1">
        <w:rPr>
          <w:rFonts w:asciiTheme="minorHAnsi" w:hAnsiTheme="minorHAnsi" w:cstheme="minorHAnsi"/>
          <w:color w:val="2F5496" w:themeColor="accent1" w:themeShade="BF"/>
          <w:sz w:val="20"/>
          <w:szCs w:val="20"/>
        </w:rPr>
        <w:t>Il sistema immunitario è</w:t>
      </w:r>
      <w:r w:rsidR="002A743A" w:rsidRPr="00DC0BA1">
        <w:rPr>
          <w:rFonts w:asciiTheme="minorHAnsi" w:hAnsiTheme="minorHAnsi" w:cstheme="minorHAnsi"/>
          <w:color w:val="2F5496" w:themeColor="accent1" w:themeShade="BF"/>
          <w:sz w:val="20"/>
          <w:szCs w:val="20"/>
        </w:rPr>
        <w:t xml:space="preserve"> costituito da strutture meccaniche, sostanze chimiche e popolazioni cellulari altamente qualificate per l’esecuzione delle loro funzioni protettive. La prima caratteristica di questo sofisticato sistema è la </w:t>
      </w:r>
      <w:r w:rsidR="002A743A" w:rsidRPr="00DC0BA1">
        <w:rPr>
          <w:rFonts w:asciiTheme="minorHAnsi" w:hAnsiTheme="minorHAnsi" w:cstheme="minorHAnsi"/>
          <w:b/>
          <w:bCs/>
          <w:color w:val="2F5496" w:themeColor="accent1" w:themeShade="BF"/>
          <w:sz w:val="20"/>
          <w:szCs w:val="20"/>
        </w:rPr>
        <w:t>capacità di identificare anomalie o minacce per l’organismo</w:t>
      </w:r>
      <w:r w:rsidR="002A743A" w:rsidRPr="00DC0BA1">
        <w:rPr>
          <w:rFonts w:asciiTheme="minorHAnsi" w:hAnsiTheme="minorHAnsi" w:cstheme="minorHAnsi"/>
          <w:color w:val="2F5496" w:themeColor="accent1" w:themeShade="BF"/>
          <w:sz w:val="20"/>
          <w:szCs w:val="20"/>
        </w:rPr>
        <w:t xml:space="preserve"> (indicati dall’antigene), e successivamente di </w:t>
      </w:r>
      <w:r w:rsidR="002A743A" w:rsidRPr="00DC0BA1">
        <w:rPr>
          <w:rFonts w:asciiTheme="minorHAnsi" w:hAnsiTheme="minorHAnsi" w:cstheme="minorHAnsi"/>
          <w:b/>
          <w:bCs/>
          <w:color w:val="2F5496" w:themeColor="accent1" w:themeShade="BF"/>
          <w:sz w:val="20"/>
          <w:szCs w:val="20"/>
        </w:rPr>
        <w:t>eseguire una risposta mirat</w:t>
      </w:r>
      <w:r w:rsidR="002A743A" w:rsidRPr="00DC0BA1">
        <w:rPr>
          <w:rFonts w:asciiTheme="minorHAnsi" w:hAnsiTheme="minorHAnsi" w:cstheme="minorHAnsi"/>
          <w:color w:val="2F5496" w:themeColor="accent1" w:themeShade="BF"/>
          <w:sz w:val="20"/>
          <w:szCs w:val="20"/>
        </w:rPr>
        <w:t>a.</w:t>
      </w:r>
    </w:p>
    <w:p w:rsidR="003E3300" w:rsidRPr="00DC0BA1" w:rsidRDefault="003E3300"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2A743A" w:rsidRPr="00DC0BA1" w:rsidRDefault="002A743A" w:rsidP="00DC0BA1">
      <w:pPr>
        <w:jc w:val="both"/>
        <w:rPr>
          <w:rFonts w:asciiTheme="minorHAnsi" w:hAnsiTheme="minorHAnsi" w:cstheme="minorHAnsi"/>
          <w:color w:val="2F5496" w:themeColor="accent1" w:themeShade="BF"/>
          <w:sz w:val="20"/>
          <w:szCs w:val="20"/>
        </w:rPr>
      </w:pPr>
      <w:r w:rsidRPr="00DC0BA1">
        <w:rPr>
          <w:rFonts w:asciiTheme="minorHAnsi" w:hAnsiTheme="minorHAnsi" w:cstheme="minorHAnsi"/>
          <w:color w:val="2F5496" w:themeColor="accent1" w:themeShade="BF"/>
          <w:sz w:val="20"/>
          <w:szCs w:val="20"/>
        </w:rPr>
        <w:t>Una visione classica in immunologia prevedeva la distinzione tra immunità innata</w:t>
      </w:r>
      <w:r w:rsidR="00BD0FB4" w:rsidRPr="00DC0BA1">
        <w:rPr>
          <w:rFonts w:asciiTheme="minorHAnsi" w:hAnsiTheme="minorHAnsi" w:cstheme="minorHAnsi"/>
          <w:color w:val="2F5496" w:themeColor="accent1" w:themeShade="BF"/>
          <w:sz w:val="20"/>
          <w:szCs w:val="20"/>
        </w:rPr>
        <w:t xml:space="preserve"> (m</w:t>
      </w:r>
      <w:r w:rsidRPr="00DC0BA1">
        <w:rPr>
          <w:rFonts w:asciiTheme="minorHAnsi" w:hAnsiTheme="minorHAnsi" w:cstheme="minorHAnsi"/>
          <w:color w:val="2F5496" w:themeColor="accent1" w:themeShade="BF"/>
          <w:sz w:val="20"/>
          <w:szCs w:val="20"/>
        </w:rPr>
        <w:t>eccanismi di</w:t>
      </w:r>
      <w:r w:rsidR="00BD0FB4" w:rsidRPr="00DC0BA1">
        <w:rPr>
          <w:rFonts w:asciiTheme="minorHAnsi" w:hAnsiTheme="minorHAnsi" w:cstheme="minorHAnsi"/>
          <w:color w:val="2F5496" w:themeColor="accent1" w:themeShade="BF"/>
          <w:sz w:val="20"/>
          <w:szCs w:val="20"/>
        </w:rPr>
        <w:t xml:space="preserve"> </w:t>
      </w:r>
      <w:r w:rsidRPr="00DC0BA1">
        <w:rPr>
          <w:rFonts w:asciiTheme="minorHAnsi" w:hAnsiTheme="minorHAnsi" w:cstheme="minorHAnsi"/>
          <w:color w:val="2F5496" w:themeColor="accent1" w:themeShade="BF"/>
          <w:sz w:val="20"/>
          <w:szCs w:val="20"/>
        </w:rPr>
        <w:t>difesa</w:t>
      </w:r>
      <w:r w:rsidR="00BD0FB4" w:rsidRPr="00DC0BA1">
        <w:rPr>
          <w:rFonts w:asciiTheme="minorHAnsi" w:hAnsiTheme="minorHAnsi" w:cstheme="minorHAnsi"/>
          <w:color w:val="2F5496" w:themeColor="accent1" w:themeShade="BF"/>
          <w:sz w:val="20"/>
          <w:szCs w:val="20"/>
        </w:rPr>
        <w:t xml:space="preserve"> </w:t>
      </w:r>
      <w:r w:rsidRPr="00DC0BA1">
        <w:rPr>
          <w:rFonts w:asciiTheme="minorHAnsi" w:hAnsiTheme="minorHAnsi" w:cstheme="minorHAnsi"/>
          <w:color w:val="2F5496" w:themeColor="accent1" w:themeShade="BF"/>
          <w:sz w:val="20"/>
          <w:szCs w:val="20"/>
        </w:rPr>
        <w:t xml:space="preserve">non specifici) e immunità specifica o adattativa (mirata contro particolari minacce). </w:t>
      </w:r>
    </w:p>
    <w:p w:rsidR="002A743A" w:rsidRDefault="002A743A" w:rsidP="00DC0BA1">
      <w:pPr>
        <w:jc w:val="both"/>
        <w:rPr>
          <w:rFonts w:asciiTheme="minorHAnsi" w:hAnsiTheme="minorHAnsi" w:cstheme="minorHAnsi"/>
          <w:color w:val="2F5496" w:themeColor="accent1" w:themeShade="BF"/>
          <w:sz w:val="20"/>
          <w:szCs w:val="20"/>
        </w:rPr>
      </w:pPr>
      <w:r w:rsidRPr="00DC0BA1">
        <w:rPr>
          <w:rFonts w:asciiTheme="minorHAnsi" w:hAnsiTheme="minorHAnsi" w:cstheme="minorHAnsi"/>
          <w:color w:val="2F5496" w:themeColor="accent1" w:themeShade="BF"/>
          <w:sz w:val="20"/>
          <w:szCs w:val="20"/>
        </w:rPr>
        <w:t>Tuttavia, le conoscenze attuali permettono di rivedere questa classificazione sfumando le distinzioni tra i due tipi di riposta immunitaria.</w:t>
      </w:r>
    </w:p>
    <w:p w:rsidR="003E3300" w:rsidRDefault="003E3300" w:rsidP="00DC0BA1">
      <w:pPr>
        <w:jc w:val="both"/>
        <w:rPr>
          <w:rFonts w:asciiTheme="minorHAnsi" w:hAnsiTheme="minorHAnsi" w:cstheme="minorHAnsi"/>
          <w:color w:val="2F5496" w:themeColor="accent1" w:themeShade="BF"/>
          <w:sz w:val="20"/>
          <w:szCs w:val="20"/>
        </w:rPr>
      </w:pPr>
    </w:p>
    <w:p w:rsidR="003E3300" w:rsidRDefault="003E3300" w:rsidP="00DC0BA1">
      <w:pPr>
        <w:jc w:val="both"/>
        <w:rPr>
          <w:rFonts w:asciiTheme="minorHAnsi" w:hAnsiTheme="minorHAnsi" w:cstheme="minorHAnsi"/>
          <w:color w:val="2F5496" w:themeColor="accent1" w:themeShade="BF"/>
          <w:sz w:val="20"/>
          <w:szCs w:val="20"/>
        </w:rPr>
      </w:pPr>
    </w:p>
    <w:p w:rsidR="003E3300" w:rsidRPr="00DC0BA1" w:rsidRDefault="003E3300" w:rsidP="00DC0BA1">
      <w:pPr>
        <w:jc w:val="both"/>
        <w:rPr>
          <w:rFonts w:asciiTheme="minorHAnsi" w:hAnsiTheme="minorHAnsi" w:cstheme="minorHAnsi"/>
          <w:color w:val="2F5496" w:themeColor="accent1" w:themeShade="BF"/>
          <w:sz w:val="20"/>
          <w:szCs w:val="20"/>
        </w:rPr>
      </w:pPr>
    </w:p>
    <w:p w:rsidR="002A743A" w:rsidRPr="00FA15F5" w:rsidRDefault="002A743A" w:rsidP="003E3300">
      <w:pPr>
        <w:pStyle w:val="Heading2"/>
        <w:shd w:val="clear" w:color="auto" w:fill="E2EFD9" w:themeFill="accent6" w:themeFillTint="33"/>
        <w:spacing w:before="0"/>
        <w:jc w:val="center"/>
        <w:rPr>
          <w:rStyle w:val="Strong"/>
          <w:rFonts w:asciiTheme="minorHAnsi" w:hAnsiTheme="minorHAnsi" w:cstheme="minorHAnsi"/>
          <w:color w:val="C00000"/>
          <w:sz w:val="24"/>
          <w:szCs w:val="24"/>
        </w:rPr>
      </w:pPr>
      <w:bookmarkStart w:id="14" w:name="_Toc43342369"/>
      <w:r w:rsidRPr="00FA15F5">
        <w:rPr>
          <w:rStyle w:val="Strong"/>
          <w:rFonts w:asciiTheme="minorHAnsi" w:hAnsiTheme="minorHAnsi" w:cstheme="minorHAnsi"/>
          <w:color w:val="C00000"/>
          <w:sz w:val="24"/>
          <w:szCs w:val="24"/>
        </w:rPr>
        <w:t>L’Immunità innata</w:t>
      </w:r>
      <w:bookmarkEnd w:id="14"/>
    </w:p>
    <w:p w:rsidR="00892F48" w:rsidRPr="005673DE" w:rsidRDefault="00892F48" w:rsidP="00892F48">
      <w:pPr>
        <w:rPr>
          <w:color w:val="2F5496" w:themeColor="accent1" w:themeShade="BF"/>
          <w:sz w:val="20"/>
          <w:szCs w:val="20"/>
        </w:rPr>
      </w:pPr>
    </w:p>
    <w:p w:rsidR="002A743A" w:rsidRDefault="002A743A"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r w:rsidRPr="00DC0BA1">
        <w:rPr>
          <w:rFonts w:asciiTheme="minorHAnsi" w:hAnsiTheme="minorHAnsi" w:cstheme="minorHAnsi"/>
          <w:color w:val="2F5496" w:themeColor="accent1" w:themeShade="BF"/>
          <w:sz w:val="20"/>
          <w:szCs w:val="20"/>
        </w:rPr>
        <w:t>Come si evince dalla sua presenza in tutti gli organismi pluricellulari</w:t>
      </w:r>
      <w:r w:rsidR="008F6FFE">
        <w:rPr>
          <w:rFonts w:asciiTheme="minorHAnsi" w:hAnsiTheme="minorHAnsi" w:cstheme="minorHAnsi"/>
          <w:color w:val="2F5496" w:themeColor="accent1" w:themeShade="BF"/>
          <w:sz w:val="20"/>
          <w:szCs w:val="20"/>
        </w:rPr>
        <w:t>,</w:t>
      </w:r>
      <w:r w:rsidRPr="00DC0BA1">
        <w:rPr>
          <w:rFonts w:asciiTheme="minorHAnsi" w:hAnsiTheme="minorHAnsi" w:cstheme="minorHAnsi"/>
          <w:color w:val="2F5496" w:themeColor="accent1" w:themeShade="BF"/>
          <w:sz w:val="20"/>
          <w:szCs w:val="20"/>
        </w:rPr>
        <w:t xml:space="preserve"> rappresenta il </w:t>
      </w:r>
      <w:r w:rsidRPr="00DC0BA1">
        <w:rPr>
          <w:rFonts w:asciiTheme="minorHAnsi" w:hAnsiTheme="minorHAnsi" w:cstheme="minorHAnsi"/>
          <w:b/>
          <w:bCs/>
          <w:color w:val="2F5496" w:themeColor="accent1" w:themeShade="BF"/>
          <w:sz w:val="20"/>
          <w:szCs w:val="20"/>
        </w:rPr>
        <w:t xml:space="preserve">primo livello di difesa </w:t>
      </w:r>
      <w:r w:rsidR="00DC0BA1">
        <w:rPr>
          <w:rFonts w:asciiTheme="minorHAnsi" w:hAnsiTheme="minorHAnsi" w:cstheme="minorHAnsi"/>
          <w:b/>
          <w:bCs/>
          <w:color w:val="2F5496" w:themeColor="accent1" w:themeShade="BF"/>
          <w:sz w:val="20"/>
          <w:szCs w:val="20"/>
        </w:rPr>
        <w:t xml:space="preserve">che si è </w:t>
      </w:r>
      <w:r w:rsidRPr="00DC0BA1">
        <w:rPr>
          <w:rFonts w:asciiTheme="minorHAnsi" w:hAnsiTheme="minorHAnsi" w:cstheme="minorHAnsi"/>
          <w:b/>
          <w:bCs/>
          <w:color w:val="2F5496" w:themeColor="accent1" w:themeShade="BF"/>
          <w:sz w:val="20"/>
          <w:szCs w:val="20"/>
        </w:rPr>
        <w:t>sviluppato</w:t>
      </w:r>
      <w:r w:rsidR="005673DE">
        <w:rPr>
          <w:rFonts w:asciiTheme="minorHAnsi" w:hAnsiTheme="minorHAnsi" w:cstheme="minorHAnsi"/>
          <w:color w:val="2F5496" w:themeColor="accent1" w:themeShade="BF"/>
          <w:sz w:val="20"/>
          <w:szCs w:val="20"/>
        </w:rPr>
        <w:t xml:space="preserve"> e</w:t>
      </w:r>
      <w:r w:rsidRPr="00DC0BA1">
        <w:rPr>
          <w:rFonts w:asciiTheme="minorHAnsi" w:hAnsiTheme="minorHAnsi" w:cstheme="minorHAnsi"/>
          <w:color w:val="2F5496" w:themeColor="accent1" w:themeShade="BF"/>
          <w:sz w:val="20"/>
          <w:szCs w:val="20"/>
        </w:rPr>
        <w:t xml:space="preserve"> conferisce un tipo di </w:t>
      </w:r>
      <w:r w:rsidRPr="005673DE">
        <w:rPr>
          <w:rFonts w:asciiTheme="minorHAnsi" w:hAnsiTheme="minorHAnsi" w:cstheme="minorHAnsi"/>
          <w:b/>
          <w:bCs/>
          <w:color w:val="2F5496" w:themeColor="accent1" w:themeShade="BF"/>
          <w:sz w:val="20"/>
          <w:szCs w:val="20"/>
        </w:rPr>
        <w:t>protezione generica</w:t>
      </w:r>
      <w:r w:rsidRPr="00DC0BA1">
        <w:rPr>
          <w:rFonts w:asciiTheme="minorHAnsi" w:hAnsiTheme="minorHAnsi" w:cstheme="minorHAnsi"/>
          <w:color w:val="2F5496" w:themeColor="accent1" w:themeShade="BF"/>
          <w:sz w:val="20"/>
          <w:szCs w:val="20"/>
        </w:rPr>
        <w:t xml:space="preserve">, ovvero che </w:t>
      </w:r>
      <w:r w:rsidR="00BD0FB4" w:rsidRPr="00DC0BA1">
        <w:rPr>
          <w:rFonts w:asciiTheme="minorHAnsi" w:hAnsiTheme="minorHAnsi" w:cstheme="minorHAnsi"/>
          <w:color w:val="2F5496" w:themeColor="accent1" w:themeShade="BF"/>
          <w:sz w:val="20"/>
          <w:szCs w:val="20"/>
        </w:rPr>
        <w:t>non</w:t>
      </w:r>
      <w:r w:rsidRPr="00DC0BA1">
        <w:rPr>
          <w:rFonts w:asciiTheme="minorHAnsi" w:hAnsiTheme="minorHAnsi" w:cstheme="minorHAnsi"/>
          <w:color w:val="2F5496" w:themeColor="accent1" w:themeShade="BF"/>
          <w:sz w:val="20"/>
          <w:szCs w:val="20"/>
        </w:rPr>
        <w:t xml:space="preserve"> dipende dal tipo di minaccia coinvolta.</w:t>
      </w:r>
    </w:p>
    <w:p w:rsidR="003E3300" w:rsidRPr="00DC0BA1" w:rsidRDefault="003E3300"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2A743A" w:rsidRDefault="002A743A"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r w:rsidRPr="00DC0BA1">
        <w:rPr>
          <w:rFonts w:asciiTheme="minorHAnsi" w:hAnsiTheme="minorHAnsi" w:cstheme="minorHAnsi"/>
          <w:color w:val="2F5496" w:themeColor="accent1" w:themeShade="BF"/>
          <w:sz w:val="20"/>
          <w:szCs w:val="20"/>
        </w:rPr>
        <w:t xml:space="preserve">Nel dettaglio, il primo livello difensivo </w:t>
      </w:r>
      <w:r w:rsidR="00BD0FB4" w:rsidRPr="00DC0BA1">
        <w:rPr>
          <w:rFonts w:asciiTheme="minorHAnsi" w:hAnsiTheme="minorHAnsi" w:cstheme="minorHAnsi"/>
          <w:color w:val="2F5496" w:themeColor="accent1" w:themeShade="BF"/>
          <w:sz w:val="20"/>
          <w:szCs w:val="20"/>
        </w:rPr>
        <w:t>è</w:t>
      </w:r>
      <w:r w:rsidRPr="00DC0BA1">
        <w:rPr>
          <w:rFonts w:asciiTheme="minorHAnsi" w:hAnsiTheme="minorHAnsi" w:cstheme="minorHAnsi"/>
          <w:color w:val="2F5496" w:themeColor="accent1" w:themeShade="BF"/>
          <w:sz w:val="20"/>
          <w:szCs w:val="20"/>
        </w:rPr>
        <w:t xml:space="preserve"> la costituzione di una </w:t>
      </w:r>
      <w:r w:rsidRPr="005673DE">
        <w:rPr>
          <w:rFonts w:asciiTheme="minorHAnsi" w:hAnsiTheme="minorHAnsi" w:cstheme="minorHAnsi"/>
          <w:b/>
          <w:bCs/>
          <w:color w:val="2F5496" w:themeColor="accent1" w:themeShade="BF"/>
          <w:sz w:val="20"/>
          <w:szCs w:val="20"/>
        </w:rPr>
        <w:t>barriera chimico-fisica</w:t>
      </w:r>
      <w:r w:rsidRPr="00DC0BA1">
        <w:rPr>
          <w:rFonts w:asciiTheme="minorHAnsi" w:hAnsiTheme="minorHAnsi" w:cstheme="minorHAnsi"/>
          <w:color w:val="2F5496" w:themeColor="accent1" w:themeShade="BF"/>
          <w:sz w:val="20"/>
          <w:szCs w:val="20"/>
        </w:rPr>
        <w:t xml:space="preserve"> contro i patogeni (ad esempio cute e molecole ad azione battericida contenute nei fluidi biologici). Altri meccanismi protettivi sono  l’</w:t>
      </w:r>
      <w:r w:rsidRPr="005673DE">
        <w:rPr>
          <w:rFonts w:asciiTheme="minorHAnsi" w:hAnsiTheme="minorHAnsi" w:cstheme="minorHAnsi"/>
          <w:b/>
          <w:bCs/>
          <w:color w:val="2F5496" w:themeColor="accent1" w:themeShade="BF"/>
          <w:sz w:val="20"/>
          <w:szCs w:val="20"/>
        </w:rPr>
        <w:t>identificazione e rimozione di sostanze estranee</w:t>
      </w:r>
      <w:r w:rsidRPr="00DC0BA1">
        <w:rPr>
          <w:rFonts w:asciiTheme="minorHAnsi" w:hAnsiTheme="minorHAnsi" w:cstheme="minorHAnsi"/>
          <w:color w:val="2F5496" w:themeColor="accent1" w:themeShade="BF"/>
          <w:sz w:val="20"/>
          <w:szCs w:val="20"/>
        </w:rPr>
        <w:t xml:space="preserve"> (antigeni) presenti in organi e tessuti ad opera di leucociti (o globuli bianchi).</w:t>
      </w:r>
    </w:p>
    <w:p w:rsidR="003E3300" w:rsidRPr="00DC0BA1" w:rsidRDefault="003E3300"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3E3300" w:rsidRDefault="002A743A"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r w:rsidRPr="00DC0BA1">
        <w:rPr>
          <w:rFonts w:asciiTheme="minorHAnsi" w:hAnsiTheme="minorHAnsi" w:cstheme="minorHAnsi"/>
          <w:color w:val="2F5496" w:themeColor="accent1" w:themeShade="BF"/>
          <w:sz w:val="20"/>
          <w:szCs w:val="20"/>
        </w:rPr>
        <w:t xml:space="preserve">Tra le altre funzioni esercitate ricordiamo il </w:t>
      </w:r>
      <w:r w:rsidRPr="005673DE">
        <w:rPr>
          <w:rFonts w:asciiTheme="minorHAnsi" w:hAnsiTheme="minorHAnsi" w:cstheme="minorHAnsi"/>
          <w:b/>
          <w:bCs/>
          <w:color w:val="2F5496" w:themeColor="accent1" w:themeShade="BF"/>
          <w:sz w:val="20"/>
          <w:szCs w:val="20"/>
        </w:rPr>
        <w:t>riconoscimento dell’antigene da parte di specifiche cellule</w:t>
      </w:r>
      <w:r w:rsidRPr="00DC0BA1">
        <w:rPr>
          <w:rFonts w:asciiTheme="minorHAnsi" w:hAnsiTheme="minorHAnsi" w:cstheme="minorHAnsi"/>
          <w:color w:val="2F5496" w:themeColor="accent1" w:themeShade="BF"/>
          <w:sz w:val="20"/>
          <w:szCs w:val="20"/>
        </w:rPr>
        <w:t xml:space="preserve"> (macrofagi, cellule dendritiche) che sono in grado di effettuarne “</w:t>
      </w:r>
      <w:r w:rsidRPr="00DC0BA1">
        <w:rPr>
          <w:rStyle w:val="Strong"/>
          <w:rFonts w:asciiTheme="minorHAnsi" w:hAnsiTheme="minorHAnsi" w:cstheme="minorHAnsi"/>
          <w:b w:val="0"/>
          <w:bCs w:val="0"/>
          <w:color w:val="2F5496" w:themeColor="accent1" w:themeShade="BF"/>
          <w:sz w:val="20"/>
          <w:szCs w:val="20"/>
        </w:rPr>
        <w:t>la presentazione</w:t>
      </w:r>
      <w:r w:rsidRPr="00DC0BA1">
        <w:rPr>
          <w:rFonts w:asciiTheme="minorHAnsi" w:hAnsiTheme="minorHAnsi" w:cstheme="minorHAnsi"/>
          <w:color w:val="2F5496" w:themeColor="accent1" w:themeShade="BF"/>
          <w:sz w:val="20"/>
          <w:szCs w:val="20"/>
        </w:rPr>
        <w:t xml:space="preserve">”. </w:t>
      </w:r>
    </w:p>
    <w:p w:rsidR="003E3300" w:rsidRDefault="003E3300"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2A743A" w:rsidRPr="00DC0BA1" w:rsidRDefault="002A743A"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r w:rsidRPr="00DC0BA1">
        <w:rPr>
          <w:rFonts w:asciiTheme="minorHAnsi" w:hAnsiTheme="minorHAnsi" w:cstheme="minorHAnsi"/>
          <w:color w:val="2F5496" w:themeColor="accent1" w:themeShade="BF"/>
          <w:sz w:val="20"/>
          <w:szCs w:val="20"/>
        </w:rPr>
        <w:t>La presentazione dell’antigene permette l‘attivazione di altri componenti chiave del sistema immunitario. Un’altra importante funzione consiste nel reclutare cellule immunitarie verso i siti di infezione tramite la produzione di citochine e l’attivazione della cascata del complemento.</w:t>
      </w:r>
    </w:p>
    <w:p w:rsidR="00E60B64" w:rsidRPr="00DC0BA1" w:rsidRDefault="00E60B64"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E60B64" w:rsidRPr="003E3300" w:rsidRDefault="00E60B64" w:rsidP="00E60B64">
      <w:pPr>
        <w:jc w:val="both"/>
        <w:rPr>
          <w:rFonts w:asciiTheme="minorHAnsi" w:hAnsiTheme="minorHAnsi" w:cstheme="minorHAnsi"/>
          <w:b/>
          <w:bCs/>
          <w:i/>
          <w:iCs/>
          <w:color w:val="C00000"/>
          <w:sz w:val="22"/>
          <w:szCs w:val="22"/>
        </w:rPr>
      </w:pPr>
      <w:r w:rsidRPr="003E3300">
        <w:rPr>
          <w:rFonts w:asciiTheme="minorHAnsi" w:hAnsiTheme="minorHAnsi" w:cstheme="minorHAnsi"/>
          <w:b/>
          <w:bCs/>
          <w:i/>
          <w:iCs/>
          <w:color w:val="C00000"/>
          <w:sz w:val="22"/>
          <w:szCs w:val="22"/>
        </w:rPr>
        <w:t xml:space="preserve">Macrofagi – sistema dei fagociti mononucleati. </w:t>
      </w:r>
    </w:p>
    <w:p w:rsidR="003E3300" w:rsidRDefault="00E60B64" w:rsidP="00E60B64">
      <w:pPr>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 xml:space="preserve">Sono cellule derivanti dalle cellule staminali emopoietiche midollari (e da progenitori del sacco vitellino e del fegato fetale). </w:t>
      </w:r>
    </w:p>
    <w:p w:rsidR="003E3300" w:rsidRDefault="00E60B64" w:rsidP="00E60B64">
      <w:pPr>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 xml:space="preserve">Le cellule circolanti sono note come </w:t>
      </w:r>
      <w:r w:rsidRPr="005673DE">
        <w:rPr>
          <w:rFonts w:asciiTheme="minorHAnsi" w:hAnsiTheme="minorHAnsi" w:cstheme="minorHAnsi"/>
          <w:b/>
          <w:bCs/>
          <w:color w:val="2F5496" w:themeColor="accent1" w:themeShade="BF"/>
          <w:sz w:val="20"/>
          <w:szCs w:val="20"/>
        </w:rPr>
        <w:t>monociti</w:t>
      </w:r>
      <w:r w:rsidRPr="005673DE">
        <w:rPr>
          <w:rFonts w:asciiTheme="minorHAnsi" w:hAnsiTheme="minorHAnsi" w:cstheme="minorHAnsi"/>
          <w:color w:val="2F5496" w:themeColor="accent1" w:themeShade="BF"/>
          <w:sz w:val="20"/>
          <w:szCs w:val="20"/>
        </w:rPr>
        <w:t xml:space="preserve">, e lasciano il circolo per diventare </w:t>
      </w:r>
      <w:r w:rsidRPr="005673DE">
        <w:rPr>
          <w:rFonts w:asciiTheme="minorHAnsi" w:hAnsiTheme="minorHAnsi" w:cstheme="minorHAnsi"/>
          <w:b/>
          <w:bCs/>
          <w:color w:val="2F5496" w:themeColor="accent1" w:themeShade="BF"/>
          <w:sz w:val="20"/>
          <w:szCs w:val="20"/>
        </w:rPr>
        <w:t>macrofagi attivati</w:t>
      </w:r>
      <w:r w:rsidRPr="005673DE">
        <w:rPr>
          <w:rFonts w:asciiTheme="minorHAnsi" w:hAnsiTheme="minorHAnsi" w:cstheme="minorHAnsi"/>
          <w:color w:val="2F5496" w:themeColor="accent1" w:themeShade="BF"/>
          <w:sz w:val="20"/>
          <w:szCs w:val="20"/>
        </w:rPr>
        <w:t xml:space="preserve"> nell’infiammazione, o </w:t>
      </w:r>
      <w:r w:rsidRPr="005673DE">
        <w:rPr>
          <w:rFonts w:asciiTheme="minorHAnsi" w:hAnsiTheme="minorHAnsi" w:cstheme="minorHAnsi"/>
          <w:b/>
          <w:bCs/>
          <w:color w:val="2F5496" w:themeColor="accent1" w:themeShade="BF"/>
          <w:sz w:val="20"/>
          <w:szCs w:val="20"/>
        </w:rPr>
        <w:t>macrofagi residenti</w:t>
      </w:r>
      <w:r w:rsidRPr="005673DE">
        <w:rPr>
          <w:rFonts w:asciiTheme="minorHAnsi" w:hAnsiTheme="minorHAnsi" w:cstheme="minorHAnsi"/>
          <w:color w:val="2F5496" w:themeColor="accent1" w:themeShade="BF"/>
          <w:sz w:val="20"/>
          <w:szCs w:val="20"/>
        </w:rPr>
        <w:t xml:space="preserve"> in distretti come la cute e il tratto gastrointestinale. </w:t>
      </w:r>
    </w:p>
    <w:p w:rsidR="00E60B64" w:rsidRDefault="00E60B64" w:rsidP="00E60B64">
      <w:pPr>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 xml:space="preserve">Nell’insieme costituiscono il sistema dei </w:t>
      </w:r>
      <w:r w:rsidRPr="005673DE">
        <w:rPr>
          <w:rFonts w:asciiTheme="minorHAnsi" w:hAnsiTheme="minorHAnsi" w:cstheme="minorHAnsi"/>
          <w:b/>
          <w:bCs/>
          <w:color w:val="2F5496" w:themeColor="accent1" w:themeShade="BF"/>
          <w:sz w:val="20"/>
          <w:szCs w:val="20"/>
        </w:rPr>
        <w:t>fagociti mononucleati</w:t>
      </w:r>
      <w:r w:rsidRPr="005673DE">
        <w:rPr>
          <w:rFonts w:asciiTheme="minorHAnsi" w:hAnsiTheme="minorHAnsi" w:cstheme="minorHAnsi"/>
          <w:color w:val="2F5496" w:themeColor="accent1" w:themeShade="BF"/>
          <w:sz w:val="20"/>
          <w:szCs w:val="20"/>
        </w:rPr>
        <w:t>.</w:t>
      </w:r>
    </w:p>
    <w:p w:rsidR="00790721" w:rsidRPr="005673DE" w:rsidRDefault="00790721" w:rsidP="00E60B64">
      <w:pPr>
        <w:jc w:val="both"/>
        <w:rPr>
          <w:rFonts w:asciiTheme="minorHAnsi" w:hAnsiTheme="minorHAnsi" w:cstheme="minorHAnsi"/>
          <w:color w:val="2F5496" w:themeColor="accent1" w:themeShade="BF"/>
          <w:sz w:val="20"/>
          <w:szCs w:val="20"/>
        </w:rPr>
      </w:pPr>
    </w:p>
    <w:p w:rsidR="00E60B64" w:rsidRDefault="00E60B64" w:rsidP="00E60B64">
      <w:pPr>
        <w:jc w:val="center"/>
      </w:pPr>
      <w:r>
        <w:rPr>
          <w:noProof/>
        </w:rPr>
        <w:lastRenderedPageBreak/>
        <w:drawing>
          <wp:inline distT="0" distB="0" distL="0" distR="0">
            <wp:extent cx="3732414" cy="2092507"/>
            <wp:effectExtent l="0" t="0" r="1905" b="3175"/>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chermata 2020-06-04 alle 20.39.40.png"/>
                    <pic:cNvPicPr/>
                  </pic:nvPicPr>
                  <pic:blipFill>
                    <a:blip r:embed="rId35">
                      <a:extLst>
                        <a:ext uri="{28A0092B-C50C-407E-A947-70E740481C1C}">
                          <a14:useLocalDpi xmlns:a14="http://schemas.microsoft.com/office/drawing/2010/main" val="0"/>
                        </a:ext>
                      </a:extLst>
                    </a:blip>
                    <a:stretch>
                      <a:fillRect/>
                    </a:stretch>
                  </pic:blipFill>
                  <pic:spPr>
                    <a:xfrm>
                      <a:off x="0" y="0"/>
                      <a:ext cx="3790122" cy="2124860"/>
                    </a:xfrm>
                    <a:prstGeom prst="rect">
                      <a:avLst/>
                    </a:prstGeom>
                  </pic:spPr>
                </pic:pic>
              </a:graphicData>
            </a:graphic>
          </wp:inline>
        </w:drawing>
      </w:r>
    </w:p>
    <w:p w:rsidR="00E60B64" w:rsidRPr="00471D4A" w:rsidRDefault="00E60B64" w:rsidP="00471D4A">
      <w:pPr>
        <w:shd w:val="clear" w:color="auto" w:fill="F2F2F2" w:themeFill="background1" w:themeFillShade="F2"/>
        <w:rPr>
          <w:rStyle w:val="Hyperlink"/>
          <w:rFonts w:asciiTheme="minorHAnsi" w:eastAsiaTheme="majorEastAsia" w:hAnsiTheme="minorHAnsi" w:cstheme="minorHAnsi"/>
          <w:color w:val="2F5496" w:themeColor="accent1" w:themeShade="BF"/>
          <w:sz w:val="18"/>
          <w:szCs w:val="18"/>
          <w:u w:val="none"/>
        </w:rPr>
      </w:pPr>
      <w:r w:rsidRPr="00471D4A">
        <w:rPr>
          <w:rFonts w:asciiTheme="minorHAnsi" w:hAnsiTheme="minorHAnsi" w:cstheme="minorHAnsi"/>
          <w:color w:val="2F5496" w:themeColor="accent1" w:themeShade="BF"/>
          <w:sz w:val="18"/>
          <w:szCs w:val="18"/>
        </w:rPr>
        <w:t xml:space="preserve">Tratta da </w:t>
      </w:r>
      <w:hyperlink r:id="rId36" w:history="1">
        <w:r w:rsidRPr="00471D4A">
          <w:rPr>
            <w:rStyle w:val="Hyperlink"/>
            <w:rFonts w:asciiTheme="minorHAnsi" w:eastAsiaTheme="majorEastAsia" w:hAnsiTheme="minorHAnsi" w:cstheme="minorHAnsi"/>
            <w:color w:val="2F5496" w:themeColor="accent1" w:themeShade="BF"/>
            <w:sz w:val="18"/>
            <w:szCs w:val="18"/>
            <w:u w:val="none"/>
          </w:rPr>
          <w:t>https://www.uniba.it/docenti/coluccia-mauro/attivita-didattica/materiale-didattico/2-infiammazione.pdf</w:t>
        </w:r>
      </w:hyperlink>
    </w:p>
    <w:p w:rsidR="003E3300" w:rsidRDefault="003E3300" w:rsidP="00E60B64">
      <w:pPr>
        <w:rPr>
          <w:rStyle w:val="Hyperlink"/>
          <w:rFonts w:asciiTheme="minorHAnsi" w:eastAsiaTheme="majorEastAsia" w:hAnsiTheme="minorHAnsi" w:cstheme="minorHAnsi"/>
          <w:color w:val="2F5496" w:themeColor="accent1" w:themeShade="BF"/>
          <w:sz w:val="16"/>
          <w:szCs w:val="16"/>
          <w:u w:val="none"/>
        </w:rPr>
      </w:pPr>
    </w:p>
    <w:p w:rsidR="003E3300" w:rsidRDefault="003E3300" w:rsidP="00E60B64">
      <w:pPr>
        <w:rPr>
          <w:rStyle w:val="Hyperlink"/>
          <w:rFonts w:asciiTheme="minorHAnsi" w:eastAsiaTheme="majorEastAsia" w:hAnsiTheme="minorHAnsi" w:cstheme="minorHAnsi"/>
          <w:color w:val="2F5496" w:themeColor="accent1" w:themeShade="BF"/>
          <w:sz w:val="16"/>
          <w:szCs w:val="16"/>
          <w:u w:val="none"/>
        </w:rPr>
      </w:pPr>
    </w:p>
    <w:p w:rsidR="003E3300" w:rsidRDefault="003E3300" w:rsidP="00E60B64">
      <w:pPr>
        <w:rPr>
          <w:rStyle w:val="Hyperlink"/>
          <w:rFonts w:asciiTheme="minorHAnsi" w:eastAsiaTheme="majorEastAsia" w:hAnsiTheme="minorHAnsi" w:cstheme="minorHAnsi"/>
          <w:color w:val="2F5496" w:themeColor="accent1" w:themeShade="BF"/>
          <w:sz w:val="16"/>
          <w:szCs w:val="16"/>
          <w:u w:val="none"/>
        </w:rPr>
      </w:pPr>
    </w:p>
    <w:p w:rsidR="003E3300" w:rsidRPr="005673DE" w:rsidRDefault="003E3300" w:rsidP="00E60B64">
      <w:pPr>
        <w:rPr>
          <w:rFonts w:asciiTheme="minorHAnsi" w:hAnsiTheme="minorHAnsi" w:cstheme="minorHAnsi"/>
          <w:color w:val="2F5496" w:themeColor="accent1" w:themeShade="BF"/>
          <w:sz w:val="16"/>
          <w:szCs w:val="16"/>
        </w:rPr>
      </w:pPr>
    </w:p>
    <w:p w:rsidR="00E60B64" w:rsidRDefault="00E60B64" w:rsidP="00E60B64">
      <w:pPr>
        <w:jc w:val="both"/>
      </w:pPr>
    </w:p>
    <w:p w:rsidR="002A743A" w:rsidRPr="00FA15F5" w:rsidRDefault="002A743A" w:rsidP="003E3300">
      <w:pPr>
        <w:pStyle w:val="Heading2"/>
        <w:shd w:val="clear" w:color="auto" w:fill="E2EFD9" w:themeFill="accent6" w:themeFillTint="33"/>
        <w:spacing w:before="0"/>
        <w:jc w:val="center"/>
        <w:rPr>
          <w:rStyle w:val="Strong"/>
          <w:rFonts w:asciiTheme="minorHAnsi" w:hAnsiTheme="minorHAnsi" w:cstheme="minorHAnsi"/>
          <w:color w:val="C00000"/>
          <w:sz w:val="24"/>
          <w:szCs w:val="24"/>
        </w:rPr>
      </w:pPr>
      <w:bookmarkStart w:id="15" w:name="_Toc43342370"/>
      <w:r w:rsidRPr="00FA15F5">
        <w:rPr>
          <w:rStyle w:val="Strong"/>
          <w:rFonts w:asciiTheme="minorHAnsi" w:hAnsiTheme="minorHAnsi" w:cstheme="minorHAnsi"/>
          <w:color w:val="C00000"/>
          <w:sz w:val="24"/>
          <w:szCs w:val="24"/>
        </w:rPr>
        <w:t>L’Immunità adattativa</w:t>
      </w:r>
      <w:bookmarkEnd w:id="15"/>
    </w:p>
    <w:p w:rsidR="00892F48" w:rsidRPr="00892F48" w:rsidRDefault="00892F48" w:rsidP="00892F48"/>
    <w:p w:rsidR="002A743A" w:rsidRPr="005673DE" w:rsidRDefault="002A743A"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Si basa sull’azione di determinate popolazioni di globuli bianchi, i</w:t>
      </w:r>
      <w:r w:rsidRPr="005673DE">
        <w:rPr>
          <w:rStyle w:val="apple-converted-space"/>
          <w:rFonts w:asciiTheme="minorHAnsi" w:hAnsiTheme="minorHAnsi" w:cstheme="minorHAnsi"/>
          <w:color w:val="2F5496" w:themeColor="accent1" w:themeShade="BF"/>
          <w:sz w:val="20"/>
          <w:szCs w:val="20"/>
        </w:rPr>
        <w:t> </w:t>
      </w:r>
      <w:r w:rsidRPr="005673DE">
        <w:rPr>
          <w:rStyle w:val="Emphasis"/>
          <w:rFonts w:asciiTheme="minorHAnsi" w:hAnsiTheme="minorHAnsi" w:cstheme="minorHAnsi"/>
          <w:b/>
          <w:bCs/>
          <w:i w:val="0"/>
          <w:iCs w:val="0"/>
          <w:color w:val="2F5496" w:themeColor="accent1" w:themeShade="BF"/>
          <w:sz w:val="20"/>
          <w:szCs w:val="20"/>
        </w:rPr>
        <w:t>linfociti</w:t>
      </w:r>
      <w:r w:rsidRPr="005673DE">
        <w:rPr>
          <w:rFonts w:asciiTheme="minorHAnsi" w:hAnsiTheme="minorHAnsi" w:cstheme="minorHAnsi"/>
          <w:i/>
          <w:iCs/>
          <w:color w:val="2F5496" w:themeColor="accent1" w:themeShade="BF"/>
          <w:sz w:val="20"/>
          <w:szCs w:val="20"/>
        </w:rPr>
        <w:t>,</w:t>
      </w:r>
      <w:r w:rsidRPr="005673DE">
        <w:rPr>
          <w:rFonts w:asciiTheme="minorHAnsi" w:hAnsiTheme="minorHAnsi" w:cstheme="minorHAnsi"/>
          <w:color w:val="2F5496" w:themeColor="accent1" w:themeShade="BF"/>
          <w:sz w:val="20"/>
          <w:szCs w:val="20"/>
        </w:rPr>
        <w:t xml:space="preserve"> che sono in grado di determinare una </w:t>
      </w:r>
      <w:r w:rsidRPr="005673DE">
        <w:rPr>
          <w:rFonts w:asciiTheme="minorHAnsi" w:hAnsiTheme="minorHAnsi" w:cstheme="minorHAnsi"/>
          <w:b/>
          <w:bCs/>
          <w:color w:val="2F5496" w:themeColor="accent1" w:themeShade="BF"/>
          <w:sz w:val="20"/>
          <w:szCs w:val="20"/>
        </w:rPr>
        <w:t>risposta specifica per i patogeni coinvolti</w:t>
      </w:r>
      <w:r w:rsidRPr="005673DE">
        <w:rPr>
          <w:rFonts w:asciiTheme="minorHAnsi" w:hAnsiTheme="minorHAnsi" w:cstheme="minorHAnsi"/>
          <w:color w:val="2F5496" w:themeColor="accent1" w:themeShade="BF"/>
          <w:sz w:val="20"/>
          <w:szCs w:val="20"/>
        </w:rPr>
        <w:t>. Complessivamente, il pool di linfociti nell’organismo garantisce la possibilità di riconoscere virtualmente tutti gli antigeni possibili, montando una reazione immunitaria adeguata alla minaccia.</w:t>
      </w:r>
    </w:p>
    <w:p w:rsidR="002A743A" w:rsidRPr="005673DE" w:rsidRDefault="002A743A"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I linfociti sono prodotti da cellule staminali pluripotenti appartenenti alla linea mieloide, localizzate nel midollo osseo. La loro maturazione prosegue nell’organismo generando distinte linee linfocitarie. I 3 tipi principali di linfociti che ne risultano sono:</w:t>
      </w:r>
    </w:p>
    <w:p w:rsidR="00892F48" w:rsidRPr="005673DE" w:rsidRDefault="00892F48"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2A743A" w:rsidRPr="005673DE" w:rsidRDefault="002A743A" w:rsidP="003E3300">
      <w:pPr>
        <w:numPr>
          <w:ilvl w:val="0"/>
          <w:numId w:val="8"/>
        </w:numPr>
        <w:shd w:val="clear" w:color="auto" w:fill="FBF9E1"/>
        <w:spacing w:line="276" w:lineRule="auto"/>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i linfociti</w:t>
      </w:r>
      <w:r w:rsidRPr="005673DE">
        <w:rPr>
          <w:rStyle w:val="apple-converted-space"/>
          <w:rFonts w:asciiTheme="minorHAnsi" w:hAnsiTheme="minorHAnsi" w:cstheme="minorHAnsi"/>
          <w:color w:val="2F5496" w:themeColor="accent1" w:themeShade="BF"/>
          <w:sz w:val="20"/>
          <w:szCs w:val="20"/>
        </w:rPr>
        <w:t> </w:t>
      </w:r>
      <w:r w:rsidRPr="005673DE">
        <w:rPr>
          <w:rStyle w:val="Strong"/>
          <w:rFonts w:asciiTheme="minorHAnsi" w:hAnsiTheme="minorHAnsi" w:cstheme="minorHAnsi"/>
          <w:color w:val="2F5496" w:themeColor="accent1" w:themeShade="BF"/>
          <w:sz w:val="20"/>
          <w:szCs w:val="20"/>
        </w:rPr>
        <w:t>T</w:t>
      </w:r>
      <w:r w:rsidRPr="005673DE">
        <w:rPr>
          <w:rStyle w:val="apple-converted-space"/>
          <w:rFonts w:asciiTheme="minorHAnsi" w:hAnsiTheme="minorHAnsi" w:cstheme="minorHAnsi"/>
          <w:color w:val="2F5496" w:themeColor="accent1" w:themeShade="BF"/>
          <w:sz w:val="20"/>
          <w:szCs w:val="20"/>
        </w:rPr>
        <w:t> </w:t>
      </w:r>
      <w:r w:rsidRPr="005673DE">
        <w:rPr>
          <w:rFonts w:asciiTheme="minorHAnsi" w:hAnsiTheme="minorHAnsi" w:cstheme="minorHAnsi"/>
          <w:color w:val="2F5496" w:themeColor="accent1" w:themeShade="BF"/>
          <w:sz w:val="20"/>
          <w:szCs w:val="20"/>
        </w:rPr>
        <w:t>(maturano nel timo)</w:t>
      </w:r>
    </w:p>
    <w:p w:rsidR="002A743A" w:rsidRPr="005673DE" w:rsidRDefault="002A743A" w:rsidP="003E3300">
      <w:pPr>
        <w:numPr>
          <w:ilvl w:val="0"/>
          <w:numId w:val="8"/>
        </w:numPr>
        <w:shd w:val="clear" w:color="auto" w:fill="FBF9E1"/>
        <w:spacing w:line="276" w:lineRule="auto"/>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i linfociti</w:t>
      </w:r>
      <w:r w:rsidRPr="005673DE">
        <w:rPr>
          <w:rStyle w:val="apple-converted-space"/>
          <w:rFonts w:asciiTheme="minorHAnsi" w:hAnsiTheme="minorHAnsi" w:cstheme="minorHAnsi"/>
          <w:color w:val="2F5496" w:themeColor="accent1" w:themeShade="BF"/>
          <w:sz w:val="20"/>
          <w:szCs w:val="20"/>
        </w:rPr>
        <w:t> </w:t>
      </w:r>
      <w:r w:rsidRPr="005673DE">
        <w:rPr>
          <w:rStyle w:val="Strong"/>
          <w:rFonts w:asciiTheme="minorHAnsi" w:hAnsiTheme="minorHAnsi" w:cstheme="minorHAnsi"/>
          <w:color w:val="2F5496" w:themeColor="accent1" w:themeShade="BF"/>
          <w:sz w:val="20"/>
          <w:szCs w:val="20"/>
        </w:rPr>
        <w:t>B</w:t>
      </w:r>
      <w:r w:rsidRPr="005673DE">
        <w:rPr>
          <w:rStyle w:val="apple-converted-space"/>
          <w:rFonts w:asciiTheme="minorHAnsi" w:hAnsiTheme="minorHAnsi" w:cstheme="minorHAnsi"/>
          <w:b/>
          <w:bCs/>
          <w:color w:val="2F5496" w:themeColor="accent1" w:themeShade="BF"/>
          <w:sz w:val="20"/>
          <w:szCs w:val="20"/>
        </w:rPr>
        <w:t> </w:t>
      </w:r>
    </w:p>
    <w:p w:rsidR="002A743A" w:rsidRPr="005673DE" w:rsidRDefault="002A743A" w:rsidP="003E3300">
      <w:pPr>
        <w:numPr>
          <w:ilvl w:val="0"/>
          <w:numId w:val="8"/>
        </w:numPr>
        <w:shd w:val="clear" w:color="auto" w:fill="FBF9E1"/>
        <w:spacing w:line="276" w:lineRule="auto"/>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Natural killer (</w:t>
      </w:r>
      <w:r w:rsidRPr="005673DE">
        <w:rPr>
          <w:rStyle w:val="Strong"/>
          <w:rFonts w:asciiTheme="minorHAnsi" w:hAnsiTheme="minorHAnsi" w:cstheme="minorHAnsi"/>
          <w:color w:val="2F5496" w:themeColor="accent1" w:themeShade="BF"/>
          <w:sz w:val="20"/>
          <w:szCs w:val="20"/>
        </w:rPr>
        <w:t>NK</w:t>
      </w:r>
      <w:r w:rsidRPr="005673DE">
        <w:rPr>
          <w:rFonts w:asciiTheme="minorHAnsi" w:hAnsiTheme="minorHAnsi" w:cstheme="minorHAnsi"/>
          <w:color w:val="2F5496" w:themeColor="accent1" w:themeShade="BF"/>
          <w:sz w:val="20"/>
          <w:szCs w:val="20"/>
        </w:rPr>
        <w:t>) (maturazione nel midollo osseo).</w:t>
      </w:r>
    </w:p>
    <w:p w:rsidR="00892F48" w:rsidRPr="005673DE" w:rsidRDefault="00892F48" w:rsidP="00892F48">
      <w:pPr>
        <w:spacing w:line="276" w:lineRule="auto"/>
        <w:ind w:left="720"/>
        <w:jc w:val="both"/>
        <w:rPr>
          <w:rFonts w:asciiTheme="minorHAnsi" w:hAnsiTheme="minorHAnsi" w:cstheme="minorHAnsi"/>
          <w:color w:val="2F5496" w:themeColor="accent1" w:themeShade="BF"/>
          <w:sz w:val="20"/>
          <w:szCs w:val="20"/>
        </w:rPr>
      </w:pPr>
    </w:p>
    <w:p w:rsidR="002A743A" w:rsidRDefault="002A743A"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Essi circolano attraverso i</w:t>
      </w:r>
      <w:r w:rsidR="00BD0FB4" w:rsidRPr="005673DE">
        <w:rPr>
          <w:rFonts w:asciiTheme="minorHAnsi" w:hAnsiTheme="minorHAnsi" w:cstheme="minorHAnsi"/>
          <w:color w:val="2F5496" w:themeColor="accent1" w:themeShade="BF"/>
          <w:sz w:val="20"/>
          <w:szCs w:val="20"/>
        </w:rPr>
        <w:t>l</w:t>
      </w:r>
      <w:r w:rsidRPr="005673DE">
        <w:rPr>
          <w:rFonts w:asciiTheme="minorHAnsi" w:hAnsiTheme="minorHAnsi" w:cstheme="minorHAnsi"/>
          <w:color w:val="2F5496" w:themeColor="accent1" w:themeShade="BF"/>
          <w:sz w:val="20"/>
          <w:szCs w:val="20"/>
        </w:rPr>
        <w:t xml:space="preserve"> sistema sanguigno e linfatico e si accumulano  in linfonodi e altri tessuti (milza, timo, midollo osseo, tonsille, fegato, appendice). Una volta avvenuto il riconoscimento dell’antigene specifico, i linfociti iniziano i processi che conducono ad una risposta immunitaria specifica.</w:t>
      </w:r>
    </w:p>
    <w:p w:rsidR="003E3300" w:rsidRDefault="003E3300"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3E3300" w:rsidRDefault="003E3300"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5673DE" w:rsidRDefault="005673DE"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3E3300" w:rsidRPr="005673DE" w:rsidRDefault="003E3300" w:rsidP="002A743A">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4C2288" w:rsidRPr="00717D4D" w:rsidRDefault="004C2288" w:rsidP="00CF29C5">
      <w:pPr>
        <w:jc w:val="center"/>
        <w:rPr>
          <w:rFonts w:asciiTheme="minorHAnsi" w:hAnsiTheme="minorHAnsi"/>
        </w:rPr>
      </w:pPr>
      <w:r w:rsidRPr="00717D4D">
        <w:rPr>
          <w:rFonts w:asciiTheme="minorHAnsi" w:hAnsiTheme="minorHAnsi"/>
        </w:rPr>
        <w:lastRenderedPageBreak/>
        <w:fldChar w:fldCharType="begin"/>
      </w:r>
      <w:r w:rsidRPr="00717D4D">
        <w:rPr>
          <w:rFonts w:asciiTheme="minorHAnsi" w:hAnsiTheme="minorHAnsi"/>
        </w:rPr>
        <w:instrText xml:space="preserve"> INCLUDEPICTURE "https://www.ncbi.nlm.nih.gov/pmc/articles/PMC6487120/bin/JIR2019-1356540.001.jpg" \* MERGEFORMATINET </w:instrText>
      </w:r>
      <w:r w:rsidRPr="00717D4D">
        <w:rPr>
          <w:rFonts w:asciiTheme="minorHAnsi" w:hAnsiTheme="minorHAnsi"/>
        </w:rPr>
        <w:fldChar w:fldCharType="separate"/>
      </w:r>
      <w:r w:rsidRPr="00717D4D">
        <w:rPr>
          <w:rFonts w:asciiTheme="minorHAnsi" w:hAnsiTheme="minorHAnsi"/>
          <w:noProof/>
        </w:rPr>
        <w:drawing>
          <wp:inline distT="0" distB="0" distL="0" distR="0">
            <wp:extent cx="5474244" cy="4494998"/>
            <wp:effectExtent l="0" t="0" r="0" b="1270"/>
            <wp:docPr id="35" name="Immagine 35" descr="An external file that holds a picture, illustration, etc.&#10;Object name is JIR2019-13565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xternal file that holds a picture, illustration, etc.&#10;Object name is JIR2019-1356540.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7490" cy="4629042"/>
                    </a:xfrm>
                    <a:prstGeom prst="rect">
                      <a:avLst/>
                    </a:prstGeom>
                    <a:noFill/>
                    <a:ln>
                      <a:noFill/>
                    </a:ln>
                  </pic:spPr>
                </pic:pic>
              </a:graphicData>
            </a:graphic>
          </wp:inline>
        </w:drawing>
      </w:r>
      <w:r w:rsidRPr="00717D4D">
        <w:rPr>
          <w:rFonts w:asciiTheme="minorHAnsi" w:hAnsiTheme="minorHAnsi"/>
        </w:rPr>
        <w:fldChar w:fldCharType="end"/>
      </w:r>
    </w:p>
    <w:p w:rsidR="003E3300" w:rsidRDefault="003E3300" w:rsidP="003E3300">
      <w:pPr>
        <w:shd w:val="clear" w:color="auto" w:fill="F2F2F2" w:themeFill="background1" w:themeFillShade="F2"/>
        <w:rPr>
          <w:rFonts w:asciiTheme="minorHAnsi" w:hAnsiTheme="minorHAnsi" w:cstheme="minorHAnsi"/>
          <w:color w:val="2F5496" w:themeColor="accent1" w:themeShade="BF"/>
          <w:sz w:val="18"/>
          <w:szCs w:val="18"/>
        </w:rPr>
      </w:pPr>
    </w:p>
    <w:p w:rsidR="004C2288" w:rsidRPr="003E3300" w:rsidRDefault="004C2288" w:rsidP="003E3300">
      <w:pPr>
        <w:shd w:val="clear" w:color="auto" w:fill="F2F2F2" w:themeFill="background1" w:themeFillShade="F2"/>
        <w:rPr>
          <w:rFonts w:asciiTheme="minorHAnsi" w:hAnsiTheme="minorHAnsi" w:cstheme="minorHAnsi"/>
          <w:color w:val="2F5496" w:themeColor="accent1" w:themeShade="BF"/>
          <w:sz w:val="18"/>
          <w:szCs w:val="18"/>
        </w:rPr>
      </w:pPr>
      <w:r w:rsidRPr="003E3300">
        <w:rPr>
          <w:rFonts w:asciiTheme="minorHAnsi" w:hAnsiTheme="minorHAnsi" w:cstheme="minorHAnsi"/>
          <w:color w:val="2F5496" w:themeColor="accent1" w:themeShade="BF"/>
          <w:sz w:val="18"/>
          <w:szCs w:val="18"/>
        </w:rPr>
        <w:t xml:space="preserve">Tratta da </w:t>
      </w:r>
      <w:hyperlink r:id="rId38" w:history="1">
        <w:r w:rsidRPr="003E3300">
          <w:rPr>
            <w:rStyle w:val="Hyperlink"/>
            <w:rFonts w:asciiTheme="minorHAnsi" w:eastAsiaTheme="majorEastAsia" w:hAnsiTheme="minorHAnsi" w:cstheme="minorHAnsi"/>
            <w:color w:val="2F5496" w:themeColor="accent1" w:themeShade="BF"/>
            <w:sz w:val="18"/>
            <w:szCs w:val="18"/>
            <w:u w:val="none"/>
          </w:rPr>
          <w:t>https://www.ncbi.nlm.nih.gov/pmc/articles/PMC6487120/</w:t>
        </w:r>
      </w:hyperlink>
    </w:p>
    <w:p w:rsidR="00AD3584" w:rsidRDefault="004C2288" w:rsidP="003E3300">
      <w:pPr>
        <w:shd w:val="clear" w:color="auto" w:fill="F2F2F2" w:themeFill="background1" w:themeFillShade="F2"/>
        <w:jc w:val="both"/>
        <w:rPr>
          <w:rFonts w:asciiTheme="minorHAnsi" w:hAnsiTheme="minorHAnsi" w:cstheme="minorHAnsi"/>
          <w:color w:val="2F5496" w:themeColor="accent1" w:themeShade="BF"/>
          <w:sz w:val="18"/>
          <w:szCs w:val="18"/>
        </w:rPr>
      </w:pPr>
      <w:r w:rsidRPr="003E3300">
        <w:rPr>
          <w:rFonts w:asciiTheme="minorHAnsi" w:hAnsiTheme="minorHAnsi" w:cstheme="minorHAnsi"/>
          <w:b/>
          <w:color w:val="2F5496" w:themeColor="accent1" w:themeShade="BF"/>
          <w:sz w:val="18"/>
          <w:szCs w:val="18"/>
        </w:rPr>
        <w:t>Rappresentazione schematica della risposta immunitaria dell'ospite contro agenti patogeni microbici</w:t>
      </w:r>
      <w:r w:rsidRPr="003E3300">
        <w:rPr>
          <w:rFonts w:asciiTheme="minorHAnsi" w:hAnsiTheme="minorHAnsi" w:cstheme="minorHAnsi"/>
          <w:color w:val="2F5496" w:themeColor="accent1" w:themeShade="BF"/>
          <w:sz w:val="18"/>
          <w:szCs w:val="18"/>
        </w:rPr>
        <w:t xml:space="preserve">. </w:t>
      </w:r>
      <w:r w:rsidR="000D6104" w:rsidRPr="003E3300">
        <w:rPr>
          <w:rFonts w:asciiTheme="minorHAnsi" w:hAnsiTheme="minorHAnsi" w:cstheme="minorHAnsi"/>
          <w:color w:val="2F5496" w:themeColor="accent1" w:themeShade="BF"/>
          <w:sz w:val="18"/>
          <w:szCs w:val="18"/>
        </w:rPr>
        <w:t xml:space="preserve">Gli </w:t>
      </w:r>
      <w:r w:rsidRPr="003E3300">
        <w:rPr>
          <w:rFonts w:asciiTheme="minorHAnsi" w:hAnsiTheme="minorHAnsi" w:cstheme="minorHAnsi"/>
          <w:color w:val="2F5496" w:themeColor="accent1" w:themeShade="BF"/>
          <w:sz w:val="18"/>
          <w:szCs w:val="18"/>
        </w:rPr>
        <w:t xml:space="preserve">agenti patogeni o antigeni microbici </w:t>
      </w:r>
      <w:r w:rsidR="000D6104" w:rsidRPr="003E3300">
        <w:rPr>
          <w:rFonts w:asciiTheme="minorHAnsi" w:hAnsiTheme="minorHAnsi" w:cstheme="minorHAnsi"/>
          <w:color w:val="2F5496" w:themeColor="accent1" w:themeShade="BF"/>
          <w:sz w:val="18"/>
          <w:szCs w:val="18"/>
        </w:rPr>
        <w:t xml:space="preserve">possono essere internalizzati </w:t>
      </w:r>
      <w:r w:rsidRPr="003E3300">
        <w:rPr>
          <w:rFonts w:asciiTheme="minorHAnsi" w:hAnsiTheme="minorHAnsi" w:cstheme="minorHAnsi"/>
          <w:color w:val="2F5496" w:themeColor="accent1" w:themeShade="BF"/>
          <w:sz w:val="18"/>
          <w:szCs w:val="18"/>
        </w:rPr>
        <w:t xml:space="preserve">dalle cellule presentanti l'antigene, per lo più cellule dendritiche (DC), una volta che </w:t>
      </w:r>
      <w:r w:rsidR="000D6104" w:rsidRPr="003E3300">
        <w:rPr>
          <w:rFonts w:asciiTheme="minorHAnsi" w:hAnsiTheme="minorHAnsi" w:cstheme="minorHAnsi"/>
          <w:color w:val="2F5496" w:themeColor="accent1" w:themeShade="BF"/>
          <w:sz w:val="18"/>
          <w:szCs w:val="18"/>
        </w:rPr>
        <w:t>superano</w:t>
      </w:r>
      <w:r w:rsidRPr="003E3300">
        <w:rPr>
          <w:rFonts w:asciiTheme="minorHAnsi" w:hAnsiTheme="minorHAnsi" w:cstheme="minorHAnsi"/>
          <w:color w:val="2F5496" w:themeColor="accent1" w:themeShade="BF"/>
          <w:sz w:val="18"/>
          <w:szCs w:val="18"/>
        </w:rPr>
        <w:t xml:space="preserve"> la barriera epiteliale. Gli antigeni vengono presentati all</w:t>
      </w:r>
      <w:r w:rsidR="000D6104" w:rsidRPr="003E3300">
        <w:rPr>
          <w:rFonts w:asciiTheme="minorHAnsi" w:hAnsiTheme="minorHAnsi" w:cstheme="minorHAnsi"/>
          <w:color w:val="2F5496" w:themeColor="accent1" w:themeShade="BF"/>
          <w:sz w:val="18"/>
          <w:szCs w:val="18"/>
        </w:rPr>
        <w:t xml:space="preserve">e </w:t>
      </w:r>
      <w:r w:rsidRPr="003E3300">
        <w:rPr>
          <w:rFonts w:asciiTheme="minorHAnsi" w:hAnsiTheme="minorHAnsi" w:cstheme="minorHAnsi"/>
          <w:color w:val="2F5496" w:themeColor="accent1" w:themeShade="BF"/>
          <w:sz w:val="18"/>
          <w:szCs w:val="18"/>
        </w:rPr>
        <w:t xml:space="preserve">cellule </w:t>
      </w:r>
      <w:r w:rsidR="000D6104" w:rsidRPr="003E3300">
        <w:rPr>
          <w:rFonts w:asciiTheme="minorHAnsi" w:hAnsiTheme="minorHAnsi" w:cstheme="minorHAnsi"/>
          <w:color w:val="2F5496" w:themeColor="accent1" w:themeShade="BF"/>
          <w:sz w:val="18"/>
          <w:szCs w:val="18"/>
        </w:rPr>
        <w:t>T na</w:t>
      </w:r>
      <w:r w:rsidR="000D6104" w:rsidRPr="003E3300">
        <w:rPr>
          <w:rFonts w:asciiTheme="minorHAnsi" w:hAnsiTheme="minorHAnsi" w:cs="Calibri"/>
          <w:color w:val="2F5496" w:themeColor="accent1" w:themeShade="BF"/>
          <w:sz w:val="18"/>
          <w:szCs w:val="18"/>
        </w:rPr>
        <w:t xml:space="preserve">ïve </w:t>
      </w:r>
      <w:r w:rsidRPr="003E3300">
        <w:rPr>
          <w:rFonts w:asciiTheme="minorHAnsi" w:hAnsiTheme="minorHAnsi" w:cstheme="minorHAnsi"/>
          <w:color w:val="2F5496" w:themeColor="accent1" w:themeShade="BF"/>
          <w:sz w:val="18"/>
          <w:szCs w:val="18"/>
        </w:rPr>
        <w:t xml:space="preserve">dai DC attivati ​​attraverso </w:t>
      </w:r>
      <w:r w:rsidR="000D6104" w:rsidRPr="003E3300">
        <w:rPr>
          <w:rFonts w:asciiTheme="minorHAnsi" w:hAnsiTheme="minorHAnsi" w:cstheme="minorHAnsi"/>
          <w:color w:val="2F5496" w:themeColor="accent1" w:themeShade="BF"/>
          <w:sz w:val="18"/>
          <w:szCs w:val="18"/>
        </w:rPr>
        <w:t xml:space="preserve">l’interazione tra </w:t>
      </w:r>
      <w:r w:rsidRPr="003E3300">
        <w:rPr>
          <w:rFonts w:asciiTheme="minorHAnsi" w:hAnsiTheme="minorHAnsi" w:cstheme="minorHAnsi"/>
          <w:color w:val="2F5496" w:themeColor="accent1" w:themeShade="BF"/>
          <w:sz w:val="18"/>
          <w:szCs w:val="18"/>
        </w:rPr>
        <w:t xml:space="preserve">il complesso </w:t>
      </w:r>
      <w:r w:rsidR="000D6104" w:rsidRPr="003E3300">
        <w:rPr>
          <w:rFonts w:asciiTheme="minorHAnsi" w:hAnsiTheme="minorHAnsi" w:cstheme="minorHAnsi"/>
          <w:color w:val="2F5496" w:themeColor="accent1" w:themeShade="BF"/>
          <w:sz w:val="18"/>
          <w:szCs w:val="18"/>
        </w:rPr>
        <w:t xml:space="preserve">maggiore </w:t>
      </w:r>
      <w:r w:rsidRPr="003E3300">
        <w:rPr>
          <w:rFonts w:asciiTheme="minorHAnsi" w:hAnsiTheme="minorHAnsi" w:cstheme="minorHAnsi"/>
          <w:color w:val="2F5496" w:themeColor="accent1" w:themeShade="BF"/>
          <w:sz w:val="18"/>
          <w:szCs w:val="18"/>
        </w:rPr>
        <w:t xml:space="preserve">di istocompatibilità </w:t>
      </w:r>
      <w:r w:rsidR="000D6104" w:rsidRPr="003E3300">
        <w:rPr>
          <w:rFonts w:asciiTheme="minorHAnsi" w:hAnsiTheme="minorHAnsi" w:cstheme="minorHAnsi"/>
          <w:color w:val="2F5496" w:themeColor="accent1" w:themeShade="BF"/>
          <w:sz w:val="18"/>
          <w:szCs w:val="18"/>
        </w:rPr>
        <w:t xml:space="preserve">e il </w:t>
      </w:r>
      <w:r w:rsidRPr="003E3300">
        <w:rPr>
          <w:rFonts w:asciiTheme="minorHAnsi" w:hAnsiTheme="minorHAnsi" w:cstheme="minorHAnsi"/>
          <w:color w:val="2F5496" w:themeColor="accent1" w:themeShade="BF"/>
          <w:sz w:val="18"/>
          <w:szCs w:val="18"/>
        </w:rPr>
        <w:t>recettore delle cellule T, che porta all'attivazione e all'espansione d</w:t>
      </w:r>
      <w:r w:rsidR="000D6104" w:rsidRPr="003E3300">
        <w:rPr>
          <w:rFonts w:asciiTheme="minorHAnsi" w:hAnsiTheme="minorHAnsi" w:cstheme="minorHAnsi"/>
          <w:color w:val="2F5496" w:themeColor="accent1" w:themeShade="BF"/>
          <w:sz w:val="18"/>
          <w:szCs w:val="18"/>
        </w:rPr>
        <w:t>elle</w:t>
      </w:r>
      <w:r w:rsidRPr="003E3300">
        <w:rPr>
          <w:rFonts w:asciiTheme="minorHAnsi" w:hAnsiTheme="minorHAnsi" w:cstheme="minorHAnsi"/>
          <w:color w:val="2F5496" w:themeColor="accent1" w:themeShade="BF"/>
          <w:sz w:val="18"/>
          <w:szCs w:val="18"/>
        </w:rPr>
        <w:t xml:space="preserve"> </w:t>
      </w:r>
      <w:r w:rsidR="000D6104" w:rsidRPr="003E3300">
        <w:rPr>
          <w:rFonts w:asciiTheme="minorHAnsi" w:hAnsiTheme="minorHAnsi" w:cstheme="minorHAnsi"/>
          <w:color w:val="2F5496" w:themeColor="accent1" w:themeShade="BF"/>
          <w:sz w:val="18"/>
          <w:szCs w:val="18"/>
        </w:rPr>
        <w:t>c</w:t>
      </w:r>
      <w:r w:rsidRPr="003E3300">
        <w:rPr>
          <w:rFonts w:asciiTheme="minorHAnsi" w:hAnsiTheme="minorHAnsi" w:cstheme="minorHAnsi"/>
          <w:color w:val="2F5496" w:themeColor="accent1" w:themeShade="BF"/>
          <w:sz w:val="18"/>
          <w:szCs w:val="18"/>
        </w:rPr>
        <w:t xml:space="preserve">ellule T effettrici specifiche </w:t>
      </w:r>
      <w:r w:rsidR="000D6104" w:rsidRPr="003E3300">
        <w:rPr>
          <w:rFonts w:asciiTheme="minorHAnsi" w:hAnsiTheme="minorHAnsi" w:cstheme="minorHAnsi"/>
          <w:color w:val="2F5496" w:themeColor="accent1" w:themeShade="BF"/>
          <w:sz w:val="18"/>
          <w:szCs w:val="18"/>
        </w:rPr>
        <w:t xml:space="preserve">per </w:t>
      </w:r>
      <w:r w:rsidRPr="003E3300">
        <w:rPr>
          <w:rFonts w:asciiTheme="minorHAnsi" w:hAnsiTheme="minorHAnsi" w:cstheme="minorHAnsi"/>
          <w:color w:val="2F5496" w:themeColor="accent1" w:themeShade="BF"/>
          <w:sz w:val="18"/>
          <w:szCs w:val="18"/>
        </w:rPr>
        <w:t xml:space="preserve">l'antigene (Teff). Il </w:t>
      </w:r>
      <w:r w:rsidR="000D6104" w:rsidRPr="003E3300">
        <w:rPr>
          <w:rFonts w:asciiTheme="minorHAnsi" w:hAnsiTheme="minorHAnsi" w:cstheme="minorHAnsi"/>
          <w:color w:val="2F5496" w:themeColor="accent1" w:themeShade="BF"/>
          <w:sz w:val="18"/>
          <w:szCs w:val="18"/>
        </w:rPr>
        <w:t>T</w:t>
      </w:r>
      <w:r w:rsidRPr="003E3300">
        <w:rPr>
          <w:rFonts w:asciiTheme="minorHAnsi" w:hAnsiTheme="minorHAnsi" w:cstheme="minorHAnsi"/>
          <w:color w:val="2F5496" w:themeColor="accent1" w:themeShade="BF"/>
          <w:sz w:val="18"/>
          <w:szCs w:val="18"/>
        </w:rPr>
        <w:t xml:space="preserve">eff si differenzia in uno dei diversi sottotipi, ad es. Cellule T helper (Th) 1, Th2, </w:t>
      </w:r>
      <w:r w:rsidR="000D6104" w:rsidRPr="003E3300">
        <w:rPr>
          <w:rFonts w:asciiTheme="minorHAnsi" w:hAnsiTheme="minorHAnsi" w:cstheme="minorHAnsi"/>
          <w:color w:val="2F5496" w:themeColor="accent1" w:themeShade="BF"/>
          <w:sz w:val="18"/>
          <w:szCs w:val="18"/>
        </w:rPr>
        <w:t xml:space="preserve">cellule T </w:t>
      </w:r>
      <w:r w:rsidRPr="003E3300">
        <w:rPr>
          <w:rFonts w:asciiTheme="minorHAnsi" w:hAnsiTheme="minorHAnsi" w:cstheme="minorHAnsi"/>
          <w:color w:val="2F5496" w:themeColor="accent1" w:themeShade="BF"/>
          <w:sz w:val="18"/>
          <w:szCs w:val="18"/>
        </w:rPr>
        <w:t xml:space="preserve">helper follicolare (Tfh), Th17 o cellule T regolatorie (Tregs), a seconda delle citochine </w:t>
      </w:r>
      <w:r w:rsidR="000D6104" w:rsidRPr="003E3300">
        <w:rPr>
          <w:rFonts w:asciiTheme="minorHAnsi" w:hAnsiTheme="minorHAnsi" w:cstheme="minorHAnsi"/>
          <w:color w:val="2F5496" w:themeColor="accent1" w:themeShade="BF"/>
          <w:sz w:val="18"/>
          <w:szCs w:val="18"/>
        </w:rPr>
        <w:t>presenti ne</w:t>
      </w:r>
      <w:r w:rsidRPr="003E3300">
        <w:rPr>
          <w:rFonts w:asciiTheme="minorHAnsi" w:hAnsiTheme="minorHAnsi" w:cstheme="minorHAnsi"/>
          <w:color w:val="2F5496" w:themeColor="accent1" w:themeShade="BF"/>
          <w:sz w:val="18"/>
          <w:szCs w:val="18"/>
        </w:rPr>
        <w:t xml:space="preserve">l microambiente. Queste cellule attivano i macrofagi o Cellule T CD8 </w:t>
      </w:r>
      <w:r w:rsidRPr="003E3300">
        <w:rPr>
          <w:rFonts w:asciiTheme="minorHAnsi" w:hAnsiTheme="minorHAnsi" w:cstheme="minorHAnsi"/>
          <w:color w:val="2F5496" w:themeColor="accent1" w:themeShade="BF"/>
          <w:sz w:val="18"/>
          <w:szCs w:val="18"/>
          <w:vertAlign w:val="superscript"/>
        </w:rPr>
        <w:t xml:space="preserve">+ </w:t>
      </w:r>
      <w:r w:rsidRPr="003E3300">
        <w:rPr>
          <w:rFonts w:asciiTheme="minorHAnsi" w:hAnsiTheme="minorHAnsi" w:cstheme="minorHAnsi"/>
          <w:color w:val="2F5496" w:themeColor="accent1" w:themeShade="BF"/>
          <w:sz w:val="18"/>
          <w:szCs w:val="18"/>
        </w:rPr>
        <w:t>attraverso la produzione di IFN-γ. I macrofagi attivati ​​fondono i loro lisosomi in modo più efficiente con i fagosomi, esponendo</w:t>
      </w:r>
      <w:r w:rsidR="000D6104" w:rsidRPr="003E3300">
        <w:rPr>
          <w:rFonts w:asciiTheme="minorHAnsi" w:hAnsiTheme="minorHAnsi" w:cstheme="minorHAnsi"/>
          <w:color w:val="2F5496" w:themeColor="accent1" w:themeShade="BF"/>
          <w:sz w:val="18"/>
          <w:szCs w:val="18"/>
        </w:rPr>
        <w:t xml:space="preserve"> i </w:t>
      </w:r>
      <w:r w:rsidRPr="003E3300">
        <w:rPr>
          <w:rFonts w:asciiTheme="minorHAnsi" w:hAnsiTheme="minorHAnsi" w:cstheme="minorHAnsi"/>
          <w:color w:val="2F5496" w:themeColor="accent1" w:themeShade="BF"/>
          <w:sz w:val="18"/>
          <w:szCs w:val="18"/>
        </w:rPr>
        <w:t>microbi intracellulari a una varietà di enzimi lisosomiali microbicidi e metaboliti tossici d</w:t>
      </w:r>
      <w:r w:rsidR="000D6104" w:rsidRPr="003E3300">
        <w:rPr>
          <w:rFonts w:asciiTheme="minorHAnsi" w:hAnsiTheme="minorHAnsi" w:cstheme="minorHAnsi"/>
          <w:color w:val="2F5496" w:themeColor="accent1" w:themeShade="BF"/>
          <w:sz w:val="18"/>
          <w:szCs w:val="18"/>
        </w:rPr>
        <w:t>ell’</w:t>
      </w:r>
      <w:r w:rsidRPr="003E3300">
        <w:rPr>
          <w:rFonts w:asciiTheme="minorHAnsi" w:hAnsiTheme="minorHAnsi" w:cstheme="minorHAnsi"/>
          <w:color w:val="2F5496" w:themeColor="accent1" w:themeShade="BF"/>
          <w:sz w:val="18"/>
          <w:szCs w:val="18"/>
        </w:rPr>
        <w:t xml:space="preserve">ossigeno e </w:t>
      </w:r>
      <w:r w:rsidR="000D6104" w:rsidRPr="003E3300">
        <w:rPr>
          <w:rFonts w:asciiTheme="minorHAnsi" w:hAnsiTheme="minorHAnsi" w:cstheme="minorHAnsi"/>
          <w:color w:val="2F5496" w:themeColor="accent1" w:themeShade="BF"/>
          <w:sz w:val="18"/>
          <w:szCs w:val="18"/>
        </w:rPr>
        <w:t>dell’</w:t>
      </w:r>
      <w:r w:rsidR="00AC79F4" w:rsidRPr="003E3300">
        <w:rPr>
          <w:rFonts w:asciiTheme="minorHAnsi" w:hAnsiTheme="minorHAnsi" w:cstheme="minorHAnsi"/>
          <w:color w:val="2F5496" w:themeColor="accent1" w:themeShade="BF"/>
          <w:sz w:val="18"/>
          <w:szCs w:val="18"/>
        </w:rPr>
        <w:t>a</w:t>
      </w:r>
      <w:r w:rsidRPr="003E3300">
        <w:rPr>
          <w:rFonts w:asciiTheme="minorHAnsi" w:hAnsiTheme="minorHAnsi" w:cstheme="minorHAnsi"/>
          <w:color w:val="2F5496" w:themeColor="accent1" w:themeShade="BF"/>
          <w:sz w:val="18"/>
          <w:szCs w:val="18"/>
        </w:rPr>
        <w:t xml:space="preserve">zoto. </w:t>
      </w:r>
      <w:r w:rsidR="00AC79F4" w:rsidRPr="003E3300">
        <w:rPr>
          <w:rFonts w:asciiTheme="minorHAnsi" w:hAnsiTheme="minorHAnsi" w:cstheme="minorHAnsi"/>
          <w:color w:val="2F5496" w:themeColor="accent1" w:themeShade="BF"/>
          <w:sz w:val="18"/>
          <w:szCs w:val="18"/>
        </w:rPr>
        <w:t>Le c</w:t>
      </w:r>
      <w:r w:rsidRPr="003E3300">
        <w:rPr>
          <w:rFonts w:asciiTheme="minorHAnsi" w:hAnsiTheme="minorHAnsi" w:cstheme="minorHAnsi"/>
          <w:color w:val="2F5496" w:themeColor="accent1" w:themeShade="BF"/>
          <w:sz w:val="18"/>
          <w:szCs w:val="18"/>
        </w:rPr>
        <w:t>ellule T citotossiche (CTL) distrugg</w:t>
      </w:r>
      <w:r w:rsidR="00AC79F4" w:rsidRPr="003E3300">
        <w:rPr>
          <w:rFonts w:asciiTheme="minorHAnsi" w:hAnsiTheme="minorHAnsi" w:cstheme="minorHAnsi"/>
          <w:color w:val="2F5496" w:themeColor="accent1" w:themeShade="BF"/>
          <w:sz w:val="18"/>
          <w:szCs w:val="18"/>
        </w:rPr>
        <w:t xml:space="preserve">ono </w:t>
      </w:r>
      <w:r w:rsidRPr="003E3300">
        <w:rPr>
          <w:rFonts w:asciiTheme="minorHAnsi" w:hAnsiTheme="minorHAnsi" w:cstheme="minorHAnsi"/>
          <w:color w:val="2F5496" w:themeColor="accent1" w:themeShade="BF"/>
          <w:sz w:val="18"/>
          <w:szCs w:val="18"/>
        </w:rPr>
        <w:t>i patogeni attraverso il rilascio di perforine e granzimi o indu</w:t>
      </w:r>
      <w:r w:rsidR="00AC79F4" w:rsidRPr="003E3300">
        <w:rPr>
          <w:rFonts w:asciiTheme="minorHAnsi" w:hAnsiTheme="minorHAnsi" w:cstheme="minorHAnsi"/>
          <w:color w:val="2F5496" w:themeColor="accent1" w:themeShade="BF"/>
          <w:sz w:val="18"/>
          <w:szCs w:val="18"/>
        </w:rPr>
        <w:t>cendo</w:t>
      </w:r>
      <w:r w:rsidRPr="003E3300">
        <w:rPr>
          <w:rFonts w:asciiTheme="minorHAnsi" w:hAnsiTheme="minorHAnsi" w:cstheme="minorHAnsi"/>
          <w:color w:val="2F5496" w:themeColor="accent1" w:themeShade="BF"/>
          <w:sz w:val="18"/>
          <w:szCs w:val="18"/>
        </w:rPr>
        <w:t xml:space="preserve"> l'apoptosi delle cellule infette. Le cellule Th2 e Tfh attivano le cellule B attraverso la produzione di citochine e inducono la differenziazione delle cellule B in plasmacellule, l</w:t>
      </w:r>
      <w:r w:rsidR="00AC79F4" w:rsidRPr="003E3300">
        <w:rPr>
          <w:rFonts w:asciiTheme="minorHAnsi" w:hAnsiTheme="minorHAnsi" w:cstheme="minorHAnsi"/>
          <w:color w:val="2F5496" w:themeColor="accent1" w:themeShade="BF"/>
          <w:sz w:val="18"/>
          <w:szCs w:val="18"/>
        </w:rPr>
        <w:t xml:space="preserve">a </w:t>
      </w:r>
      <w:r w:rsidRPr="003E3300">
        <w:rPr>
          <w:rFonts w:asciiTheme="minorHAnsi" w:hAnsiTheme="minorHAnsi" w:cstheme="minorHAnsi"/>
          <w:color w:val="2F5496" w:themeColor="accent1" w:themeShade="BF"/>
          <w:sz w:val="18"/>
          <w:szCs w:val="18"/>
        </w:rPr>
        <w:t xml:space="preserve">commutazione della classe anticorpale e </w:t>
      </w:r>
      <w:r w:rsidR="00AC79F4" w:rsidRPr="003E3300">
        <w:rPr>
          <w:rFonts w:asciiTheme="minorHAnsi" w:hAnsiTheme="minorHAnsi" w:cstheme="minorHAnsi"/>
          <w:color w:val="2F5496" w:themeColor="accent1" w:themeShade="BF"/>
          <w:sz w:val="18"/>
          <w:szCs w:val="18"/>
        </w:rPr>
        <w:t xml:space="preserve">la </w:t>
      </w:r>
      <w:r w:rsidRPr="003E3300">
        <w:rPr>
          <w:rFonts w:asciiTheme="minorHAnsi" w:hAnsiTheme="minorHAnsi" w:cstheme="minorHAnsi"/>
          <w:color w:val="2F5496" w:themeColor="accent1" w:themeShade="BF"/>
          <w:sz w:val="18"/>
          <w:szCs w:val="18"/>
        </w:rPr>
        <w:t xml:space="preserve">maturazione </w:t>
      </w:r>
      <w:r w:rsidR="00AC79F4" w:rsidRPr="003E3300">
        <w:rPr>
          <w:rFonts w:asciiTheme="minorHAnsi" w:hAnsiTheme="minorHAnsi" w:cstheme="minorHAnsi"/>
          <w:color w:val="2F5496" w:themeColor="accent1" w:themeShade="BF"/>
          <w:sz w:val="18"/>
          <w:szCs w:val="18"/>
        </w:rPr>
        <w:t xml:space="preserve">dell'affinità </w:t>
      </w:r>
      <w:r w:rsidRPr="003E3300">
        <w:rPr>
          <w:rFonts w:asciiTheme="minorHAnsi" w:hAnsiTheme="minorHAnsi" w:cstheme="minorHAnsi"/>
          <w:color w:val="2F5496" w:themeColor="accent1" w:themeShade="BF"/>
          <w:sz w:val="18"/>
          <w:szCs w:val="18"/>
        </w:rPr>
        <w:t>d</w:t>
      </w:r>
      <w:r w:rsidR="00AC79F4" w:rsidRPr="003E3300">
        <w:rPr>
          <w:rFonts w:asciiTheme="minorHAnsi" w:hAnsiTheme="minorHAnsi" w:cstheme="minorHAnsi"/>
          <w:color w:val="2F5496" w:themeColor="accent1" w:themeShade="BF"/>
          <w:sz w:val="18"/>
          <w:szCs w:val="18"/>
        </w:rPr>
        <w:t>egli</w:t>
      </w:r>
      <w:r w:rsidRPr="003E3300">
        <w:rPr>
          <w:rFonts w:asciiTheme="minorHAnsi" w:hAnsiTheme="minorHAnsi" w:cstheme="minorHAnsi"/>
          <w:color w:val="2F5496" w:themeColor="accent1" w:themeShade="BF"/>
          <w:sz w:val="18"/>
          <w:szCs w:val="18"/>
        </w:rPr>
        <w:t xml:space="preserve"> anticorpi che rimuovono l'agente patogeno mediante neutralizzazione, opsonizzazione e fagocitosi. </w:t>
      </w:r>
      <w:r w:rsidR="00AC79F4" w:rsidRPr="003E3300">
        <w:rPr>
          <w:rFonts w:asciiTheme="minorHAnsi" w:hAnsiTheme="minorHAnsi" w:cstheme="minorHAnsi"/>
          <w:color w:val="2F5496" w:themeColor="accent1" w:themeShade="BF"/>
          <w:sz w:val="18"/>
          <w:szCs w:val="18"/>
        </w:rPr>
        <w:t>L</w:t>
      </w:r>
      <w:r w:rsidRPr="003E3300">
        <w:rPr>
          <w:rFonts w:asciiTheme="minorHAnsi" w:hAnsiTheme="minorHAnsi" w:cstheme="minorHAnsi"/>
          <w:color w:val="2F5496" w:themeColor="accent1" w:themeShade="BF"/>
          <w:sz w:val="18"/>
          <w:szCs w:val="18"/>
        </w:rPr>
        <w:t xml:space="preserve">e cellule Th17 </w:t>
      </w:r>
      <w:r w:rsidR="00AC79F4" w:rsidRPr="003E3300">
        <w:rPr>
          <w:rFonts w:asciiTheme="minorHAnsi" w:hAnsiTheme="minorHAnsi" w:cstheme="minorHAnsi"/>
          <w:color w:val="2F5496" w:themeColor="accent1" w:themeShade="BF"/>
          <w:sz w:val="18"/>
          <w:szCs w:val="18"/>
        </w:rPr>
        <w:t>partecipano all’</w:t>
      </w:r>
      <w:r w:rsidRPr="003E3300">
        <w:rPr>
          <w:rFonts w:asciiTheme="minorHAnsi" w:hAnsiTheme="minorHAnsi" w:cstheme="minorHAnsi"/>
          <w:color w:val="2F5496" w:themeColor="accent1" w:themeShade="BF"/>
          <w:sz w:val="18"/>
          <w:szCs w:val="18"/>
        </w:rPr>
        <w:t xml:space="preserve">attivazione dei neutrofili e </w:t>
      </w:r>
      <w:r w:rsidR="00AC79F4" w:rsidRPr="003E3300">
        <w:rPr>
          <w:rFonts w:asciiTheme="minorHAnsi" w:hAnsiTheme="minorHAnsi" w:cstheme="minorHAnsi"/>
          <w:color w:val="2F5496" w:themeColor="accent1" w:themeShade="BF"/>
          <w:sz w:val="18"/>
          <w:szCs w:val="18"/>
        </w:rPr>
        <w:t xml:space="preserve">alla </w:t>
      </w:r>
      <w:r w:rsidRPr="003E3300">
        <w:rPr>
          <w:rFonts w:asciiTheme="minorHAnsi" w:hAnsiTheme="minorHAnsi" w:cstheme="minorHAnsi"/>
          <w:color w:val="2F5496" w:themeColor="accent1" w:themeShade="BF"/>
          <w:sz w:val="18"/>
          <w:szCs w:val="18"/>
        </w:rPr>
        <w:t xml:space="preserve">regolazione immunitaria producendo citochine IL-17A, necessarie per la protezione </w:t>
      </w:r>
      <w:r w:rsidR="00D72331" w:rsidRPr="003E3300">
        <w:rPr>
          <w:rFonts w:asciiTheme="minorHAnsi" w:hAnsiTheme="minorHAnsi" w:cstheme="minorHAnsi"/>
          <w:color w:val="2F5496" w:themeColor="accent1" w:themeShade="BF"/>
          <w:sz w:val="18"/>
          <w:szCs w:val="18"/>
        </w:rPr>
        <w:t xml:space="preserve">dai patogeni </w:t>
      </w:r>
      <w:r w:rsidRPr="003E3300">
        <w:rPr>
          <w:rFonts w:asciiTheme="minorHAnsi" w:hAnsiTheme="minorHAnsi" w:cstheme="minorHAnsi"/>
          <w:color w:val="2F5496" w:themeColor="accent1" w:themeShade="BF"/>
          <w:sz w:val="18"/>
          <w:szCs w:val="18"/>
        </w:rPr>
        <w:t>extracellulari e alcuni patogeni intracellulari. Le Treg regolano le risposte immunitarie ai patogeni e mantengono l'auto</w:t>
      </w:r>
      <w:r w:rsidR="00AC79F4" w:rsidRPr="003E3300">
        <w:rPr>
          <w:rFonts w:asciiTheme="minorHAnsi" w:hAnsiTheme="minorHAnsi" w:cstheme="minorHAnsi"/>
          <w:color w:val="2F5496" w:themeColor="accent1" w:themeShade="BF"/>
          <w:sz w:val="18"/>
          <w:szCs w:val="18"/>
        </w:rPr>
        <w:t>-to</w:t>
      </w:r>
      <w:r w:rsidRPr="003E3300">
        <w:rPr>
          <w:rFonts w:asciiTheme="minorHAnsi" w:hAnsiTheme="minorHAnsi" w:cstheme="minorHAnsi"/>
          <w:color w:val="2F5496" w:themeColor="accent1" w:themeShade="BF"/>
          <w:sz w:val="18"/>
          <w:szCs w:val="18"/>
        </w:rPr>
        <w:t xml:space="preserve">lleranza regolando negativamente </w:t>
      </w:r>
      <w:r w:rsidR="00AC79F4" w:rsidRPr="003E3300">
        <w:rPr>
          <w:rFonts w:asciiTheme="minorHAnsi" w:hAnsiTheme="minorHAnsi" w:cstheme="minorHAnsi"/>
          <w:color w:val="2F5496" w:themeColor="accent1" w:themeShade="BF"/>
          <w:sz w:val="18"/>
          <w:szCs w:val="18"/>
        </w:rPr>
        <w:t xml:space="preserve">le cellule </w:t>
      </w:r>
      <w:r w:rsidRPr="003E3300">
        <w:rPr>
          <w:rFonts w:asciiTheme="minorHAnsi" w:hAnsiTheme="minorHAnsi" w:cstheme="minorHAnsi"/>
          <w:color w:val="2F5496" w:themeColor="accent1" w:themeShade="BF"/>
          <w:sz w:val="18"/>
          <w:szCs w:val="18"/>
        </w:rPr>
        <w:t xml:space="preserve">Th1 e Th2, ad esempio, producendo citochine IL-10 e TGF-β. Le cellule immunitarie innate come eosinofili, basofili e mastociti svolgono un ruolo importante nella protezione dalle infezioni parassitarie, comprese le infezioni da elminti. Natural killer (NK) e natural killer T (NKT) le cellule, che formano un ponte tra l'immunità innata e adattiva, contribuiscono anche all'immunità antibatterica e antivirale. Le cellule NK hanno funzioni simili a quelle del CTL mentre le cellule NKT producono citochine per eseguire le loro funzioni di </w:t>
      </w:r>
      <w:r w:rsidR="00AC79F4" w:rsidRPr="003E3300">
        <w:rPr>
          <w:rFonts w:asciiTheme="minorHAnsi" w:hAnsiTheme="minorHAnsi" w:cstheme="minorHAnsi"/>
          <w:color w:val="2F5496" w:themeColor="accent1" w:themeShade="BF"/>
          <w:sz w:val="18"/>
          <w:szCs w:val="18"/>
        </w:rPr>
        <w:t>eliminazione</w:t>
      </w:r>
      <w:r w:rsidRPr="003E3300">
        <w:rPr>
          <w:rFonts w:asciiTheme="minorHAnsi" w:hAnsiTheme="minorHAnsi" w:cstheme="minorHAnsi"/>
          <w:color w:val="2F5496" w:themeColor="accent1" w:themeShade="BF"/>
          <w:sz w:val="18"/>
          <w:szCs w:val="18"/>
        </w:rPr>
        <w:t>.</w:t>
      </w:r>
    </w:p>
    <w:p w:rsidR="003E3300" w:rsidRPr="003E3300" w:rsidRDefault="003E3300" w:rsidP="003E3300">
      <w:pPr>
        <w:shd w:val="clear" w:color="auto" w:fill="F2F2F2" w:themeFill="background1" w:themeFillShade="F2"/>
        <w:jc w:val="both"/>
        <w:rPr>
          <w:rFonts w:asciiTheme="minorHAnsi" w:hAnsiTheme="minorHAnsi" w:cstheme="minorHAnsi"/>
          <w:color w:val="2F5496" w:themeColor="accent1" w:themeShade="BF"/>
          <w:sz w:val="18"/>
          <w:szCs w:val="18"/>
        </w:rPr>
      </w:pPr>
    </w:p>
    <w:p w:rsidR="00AD3584" w:rsidRDefault="00AD3584" w:rsidP="0063419D">
      <w:pPr>
        <w:jc w:val="both"/>
        <w:rPr>
          <w:rFonts w:asciiTheme="minorHAnsi" w:hAnsiTheme="minorHAnsi" w:cstheme="minorHAnsi"/>
          <w:color w:val="2F5496" w:themeColor="accent1" w:themeShade="BF"/>
          <w:sz w:val="16"/>
          <w:szCs w:val="16"/>
        </w:rPr>
      </w:pPr>
    </w:p>
    <w:p w:rsidR="00CF29C5" w:rsidRDefault="00CF29C5" w:rsidP="0063419D">
      <w:pPr>
        <w:jc w:val="both"/>
        <w:rPr>
          <w:rFonts w:asciiTheme="minorHAnsi" w:hAnsiTheme="minorHAnsi" w:cstheme="minorHAnsi"/>
          <w:color w:val="2F5496" w:themeColor="accent1" w:themeShade="BF"/>
          <w:sz w:val="16"/>
          <w:szCs w:val="16"/>
        </w:rPr>
      </w:pPr>
    </w:p>
    <w:p w:rsidR="003E3300" w:rsidRDefault="003E3300" w:rsidP="0063419D">
      <w:pPr>
        <w:jc w:val="both"/>
        <w:rPr>
          <w:rFonts w:asciiTheme="minorHAnsi" w:hAnsiTheme="minorHAnsi" w:cstheme="minorHAnsi"/>
          <w:color w:val="2F5496" w:themeColor="accent1" w:themeShade="BF"/>
          <w:sz w:val="16"/>
          <w:szCs w:val="16"/>
        </w:rPr>
      </w:pPr>
    </w:p>
    <w:p w:rsidR="003E3300" w:rsidRDefault="003E3300" w:rsidP="0063419D">
      <w:pPr>
        <w:jc w:val="both"/>
        <w:rPr>
          <w:rFonts w:asciiTheme="minorHAnsi" w:hAnsiTheme="minorHAnsi" w:cstheme="minorHAnsi"/>
          <w:color w:val="2F5496" w:themeColor="accent1" w:themeShade="BF"/>
          <w:sz w:val="16"/>
          <w:szCs w:val="16"/>
        </w:rPr>
      </w:pPr>
    </w:p>
    <w:p w:rsidR="003E3300" w:rsidRDefault="003E3300" w:rsidP="0063419D">
      <w:pPr>
        <w:jc w:val="both"/>
        <w:rPr>
          <w:rFonts w:asciiTheme="minorHAnsi" w:hAnsiTheme="minorHAnsi" w:cstheme="minorHAnsi"/>
          <w:color w:val="2F5496" w:themeColor="accent1" w:themeShade="BF"/>
          <w:sz w:val="16"/>
          <w:szCs w:val="16"/>
        </w:rPr>
      </w:pPr>
    </w:p>
    <w:p w:rsidR="003E3300" w:rsidRDefault="003E3300" w:rsidP="0063419D">
      <w:pPr>
        <w:jc w:val="both"/>
        <w:rPr>
          <w:rFonts w:asciiTheme="minorHAnsi" w:hAnsiTheme="minorHAnsi" w:cstheme="minorHAnsi"/>
          <w:color w:val="2F5496" w:themeColor="accent1" w:themeShade="BF"/>
          <w:sz w:val="16"/>
          <w:szCs w:val="16"/>
        </w:rPr>
      </w:pPr>
    </w:p>
    <w:p w:rsidR="003E3300" w:rsidRDefault="003E3300" w:rsidP="0063419D">
      <w:pPr>
        <w:jc w:val="both"/>
        <w:rPr>
          <w:rFonts w:asciiTheme="minorHAnsi" w:hAnsiTheme="minorHAnsi" w:cstheme="minorHAnsi"/>
          <w:color w:val="2F5496" w:themeColor="accent1" w:themeShade="BF"/>
          <w:sz w:val="16"/>
          <w:szCs w:val="16"/>
        </w:rPr>
      </w:pPr>
    </w:p>
    <w:p w:rsidR="003E3300" w:rsidRDefault="003E3300" w:rsidP="0063419D">
      <w:pPr>
        <w:jc w:val="both"/>
        <w:rPr>
          <w:rFonts w:asciiTheme="minorHAnsi" w:hAnsiTheme="minorHAnsi" w:cstheme="minorHAnsi"/>
          <w:color w:val="2F5496" w:themeColor="accent1" w:themeShade="BF"/>
          <w:sz w:val="16"/>
          <w:szCs w:val="16"/>
        </w:rPr>
      </w:pPr>
    </w:p>
    <w:p w:rsidR="002B7F58" w:rsidRDefault="00F95F0C" w:rsidP="00D71CED">
      <w:pPr>
        <w:pStyle w:val="Heading1"/>
        <w:jc w:val="center"/>
        <w:rPr>
          <w:rFonts w:asciiTheme="minorHAnsi" w:hAnsiTheme="minorHAnsi" w:cstheme="minorHAnsi"/>
          <w:b/>
          <w:sz w:val="24"/>
          <w:szCs w:val="24"/>
        </w:rPr>
      </w:pPr>
      <w:bookmarkStart w:id="16" w:name="_Toc43342371"/>
      <w:r w:rsidRPr="00717D4D">
        <w:rPr>
          <w:rFonts w:asciiTheme="minorHAnsi" w:hAnsiTheme="minorHAnsi" w:cstheme="minorHAnsi"/>
          <w:b/>
          <w:sz w:val="24"/>
          <w:szCs w:val="24"/>
        </w:rPr>
        <w:lastRenderedPageBreak/>
        <w:t>LA RISPOSTA INFIAMMATORIA ALL’INFEZIONE VIRALE</w:t>
      </w:r>
      <w:bookmarkEnd w:id="16"/>
    </w:p>
    <w:p w:rsidR="00F37295" w:rsidRPr="005673DE" w:rsidRDefault="0052743C" w:rsidP="00D71CED">
      <w:pPr>
        <w:rPr>
          <w:rFonts w:asciiTheme="minorHAnsi" w:hAnsiTheme="minorHAnsi" w:cstheme="minorHAnsi"/>
          <w:b/>
          <w:bCs/>
          <w:color w:val="538135" w:themeColor="accent6" w:themeShade="BF"/>
          <w:sz w:val="22"/>
          <w:szCs w:val="22"/>
        </w:rPr>
      </w:pPr>
      <w:hyperlink r:id="rId39" w:history="1">
        <w:r w:rsidR="00F37295" w:rsidRPr="002D772E">
          <w:rPr>
            <w:rStyle w:val="Hyperlink"/>
            <w:rFonts w:asciiTheme="minorHAnsi" w:hAnsiTheme="minorHAnsi" w:cstheme="minorHAnsi"/>
            <w:b/>
            <w:bCs/>
            <w:color w:val="538135" w:themeColor="accent6" w:themeShade="BF"/>
            <w:sz w:val="22"/>
            <w:szCs w:val="22"/>
          </w:rPr>
          <w:t>INFIAMMAZIONE</w:t>
        </w:r>
      </w:hyperlink>
      <w:r w:rsidR="00F37295" w:rsidRPr="002D772E">
        <w:rPr>
          <w:rFonts w:asciiTheme="minorHAnsi" w:hAnsiTheme="minorHAnsi" w:cstheme="minorHAnsi"/>
          <w:b/>
          <w:bCs/>
          <w:color w:val="538135" w:themeColor="accent6" w:themeShade="BF"/>
          <w:sz w:val="22"/>
          <w:szCs w:val="22"/>
        </w:rPr>
        <w:t xml:space="preserve"> </w:t>
      </w:r>
      <w:r w:rsidR="00471D4A">
        <w:rPr>
          <w:rStyle w:val="FootnoteReference"/>
          <w:rFonts w:asciiTheme="minorHAnsi" w:hAnsiTheme="minorHAnsi" w:cstheme="minorHAnsi"/>
          <w:b/>
          <w:bCs/>
          <w:color w:val="538135" w:themeColor="accent6" w:themeShade="BF"/>
          <w:sz w:val="22"/>
          <w:szCs w:val="22"/>
        </w:rPr>
        <w:footnoteReference w:id="39"/>
      </w:r>
    </w:p>
    <w:p w:rsidR="00F37295" w:rsidRPr="00717D4D" w:rsidRDefault="00F37295" w:rsidP="00D71CED">
      <w:pPr>
        <w:rPr>
          <w:rFonts w:asciiTheme="minorHAnsi" w:hAnsiTheme="minorHAnsi"/>
          <w:color w:val="2F5496" w:themeColor="accent1" w:themeShade="BF"/>
        </w:rPr>
      </w:pPr>
    </w:p>
    <w:p w:rsidR="00BD0FB4" w:rsidRPr="005673DE" w:rsidRDefault="00BD0FB4" w:rsidP="00CF29C5">
      <w:pPr>
        <w:jc w:val="both"/>
        <w:rPr>
          <w:rFonts w:asciiTheme="minorHAnsi" w:hAnsiTheme="minorHAnsi" w:cstheme="minorHAnsi"/>
          <w:color w:val="2F5496" w:themeColor="accent1" w:themeShade="BF"/>
          <w:sz w:val="20"/>
          <w:szCs w:val="20"/>
          <w:shd w:val="clear" w:color="auto" w:fill="FFFFFF"/>
        </w:rPr>
      </w:pPr>
      <w:r w:rsidRPr="005673DE">
        <w:rPr>
          <w:rFonts w:asciiTheme="minorHAnsi" w:hAnsiTheme="minorHAnsi" w:cstheme="minorHAnsi"/>
          <w:color w:val="2F5496" w:themeColor="accent1" w:themeShade="BF"/>
          <w:sz w:val="20"/>
          <w:szCs w:val="20"/>
          <w:shd w:val="clear" w:color="auto" w:fill="FFFFFF"/>
        </w:rPr>
        <w:t>L’</w:t>
      </w:r>
      <w:r w:rsidRPr="005673DE">
        <w:rPr>
          <w:rStyle w:val="Strong"/>
          <w:rFonts w:asciiTheme="minorHAnsi" w:eastAsiaTheme="majorEastAsia" w:hAnsiTheme="minorHAnsi" w:cstheme="minorHAnsi"/>
          <w:color w:val="2F5496" w:themeColor="accent1" w:themeShade="BF"/>
          <w:sz w:val="20"/>
          <w:szCs w:val="20"/>
        </w:rPr>
        <w:t>infiammazione</w:t>
      </w:r>
      <w:r w:rsidRPr="005673DE">
        <w:rPr>
          <w:rStyle w:val="apple-converted-space"/>
          <w:rFonts w:asciiTheme="minorHAnsi" w:hAnsiTheme="minorHAnsi" w:cstheme="minorHAnsi"/>
          <w:color w:val="2F5496" w:themeColor="accent1" w:themeShade="BF"/>
          <w:sz w:val="20"/>
          <w:szCs w:val="20"/>
          <w:shd w:val="clear" w:color="auto" w:fill="FFFFFF"/>
        </w:rPr>
        <w:t> </w:t>
      </w:r>
      <w:r w:rsidRPr="005673DE">
        <w:rPr>
          <w:rFonts w:asciiTheme="minorHAnsi" w:hAnsiTheme="minorHAnsi" w:cstheme="minorHAnsi"/>
          <w:color w:val="2F5496" w:themeColor="accent1" w:themeShade="BF"/>
          <w:sz w:val="20"/>
          <w:szCs w:val="20"/>
          <w:shd w:val="clear" w:color="auto" w:fill="FFFFFF"/>
        </w:rPr>
        <w:t>è una risposta protettiva che coinvolge diverse tipologie di cellule, proteine e mediatori lipidici; questa risposta è innescata da patogeni e tessuti necrotici ed è volta ad eliminare la causa iniziale del danno cellulare/tissutale. Tuttavia l’infiammazione stessa può anche essere fonte di danno tissutale, questo perché le cellule del</w:t>
      </w:r>
      <w:r w:rsidRPr="005673DE">
        <w:rPr>
          <w:rStyle w:val="apple-converted-space"/>
          <w:rFonts w:asciiTheme="minorHAnsi" w:hAnsiTheme="minorHAnsi" w:cstheme="minorHAnsi"/>
          <w:color w:val="2F5496" w:themeColor="accent1" w:themeShade="BF"/>
          <w:sz w:val="20"/>
          <w:szCs w:val="20"/>
          <w:shd w:val="clear" w:color="auto" w:fill="FFFFFF"/>
        </w:rPr>
        <w:t> </w:t>
      </w:r>
      <w:hyperlink r:id="rId40" w:tgtFrame="_blank" w:history="1">
        <w:r w:rsidRPr="005673DE">
          <w:rPr>
            <w:rStyle w:val="Strong"/>
            <w:rFonts w:asciiTheme="minorHAnsi" w:eastAsiaTheme="majorEastAsia" w:hAnsiTheme="minorHAnsi" w:cstheme="minorHAnsi"/>
            <w:color w:val="2F5496" w:themeColor="accent1" w:themeShade="BF"/>
            <w:sz w:val="20"/>
            <w:szCs w:val="20"/>
          </w:rPr>
          <w:t>sistema immunitario</w:t>
        </w:r>
      </w:hyperlink>
      <w:r w:rsidRPr="005673DE">
        <w:rPr>
          <w:rStyle w:val="apple-converted-space"/>
          <w:rFonts w:asciiTheme="minorHAnsi" w:hAnsiTheme="minorHAnsi" w:cstheme="minorHAnsi"/>
          <w:color w:val="2F5496" w:themeColor="accent1" w:themeShade="BF"/>
          <w:sz w:val="20"/>
          <w:szCs w:val="20"/>
          <w:shd w:val="clear" w:color="auto" w:fill="FFFFFF"/>
        </w:rPr>
        <w:t> </w:t>
      </w:r>
      <w:r w:rsidRPr="005673DE">
        <w:rPr>
          <w:rFonts w:asciiTheme="minorHAnsi" w:hAnsiTheme="minorHAnsi" w:cstheme="minorHAnsi"/>
          <w:color w:val="2F5496" w:themeColor="accent1" w:themeShade="BF"/>
          <w:sz w:val="20"/>
          <w:szCs w:val="20"/>
          <w:shd w:val="clear" w:color="auto" w:fill="FFFFFF"/>
        </w:rPr>
        <w:t>come i</w:t>
      </w:r>
      <w:r w:rsidRPr="005673DE">
        <w:rPr>
          <w:rStyle w:val="apple-converted-space"/>
          <w:rFonts w:asciiTheme="minorHAnsi" w:hAnsiTheme="minorHAnsi" w:cstheme="minorHAnsi"/>
          <w:color w:val="2F5496" w:themeColor="accent1" w:themeShade="BF"/>
          <w:sz w:val="20"/>
          <w:szCs w:val="20"/>
          <w:shd w:val="clear" w:color="auto" w:fill="FFFFFF"/>
        </w:rPr>
        <w:t> </w:t>
      </w:r>
      <w:r w:rsidRPr="005673DE">
        <w:rPr>
          <w:rFonts w:asciiTheme="minorHAnsi" w:eastAsiaTheme="majorEastAsia" w:hAnsiTheme="minorHAnsi" w:cstheme="minorHAnsi"/>
          <w:b/>
          <w:bCs/>
          <w:color w:val="2F5496" w:themeColor="accent1" w:themeShade="BF"/>
          <w:sz w:val="20"/>
          <w:szCs w:val="20"/>
        </w:rPr>
        <w:t>neutrofili</w:t>
      </w:r>
      <w:r w:rsidRPr="005673DE">
        <w:rPr>
          <w:rStyle w:val="apple-converted-space"/>
          <w:rFonts w:asciiTheme="minorHAnsi" w:hAnsiTheme="minorHAnsi" w:cstheme="minorHAnsi"/>
          <w:b/>
          <w:bCs/>
          <w:color w:val="2F5496" w:themeColor="accent1" w:themeShade="BF"/>
          <w:sz w:val="20"/>
          <w:szCs w:val="20"/>
        </w:rPr>
        <w:t> </w:t>
      </w:r>
      <w:r w:rsidRPr="005673DE">
        <w:rPr>
          <w:rFonts w:asciiTheme="minorHAnsi" w:hAnsiTheme="minorHAnsi" w:cstheme="minorHAnsi"/>
          <w:color w:val="2F5496" w:themeColor="accent1" w:themeShade="BF"/>
          <w:sz w:val="20"/>
          <w:szCs w:val="20"/>
          <w:shd w:val="clear" w:color="auto" w:fill="FFFFFF"/>
        </w:rPr>
        <w:t>producono altissime quantità di</w:t>
      </w:r>
      <w:r w:rsidRPr="005673DE">
        <w:rPr>
          <w:rStyle w:val="apple-converted-space"/>
          <w:rFonts w:asciiTheme="minorHAnsi" w:hAnsiTheme="minorHAnsi" w:cstheme="minorHAnsi"/>
          <w:color w:val="2F5496" w:themeColor="accent1" w:themeShade="BF"/>
          <w:sz w:val="20"/>
          <w:szCs w:val="20"/>
          <w:shd w:val="clear" w:color="auto" w:fill="FFFFFF"/>
        </w:rPr>
        <w:t> </w:t>
      </w:r>
      <w:hyperlink r:id="rId41" w:tgtFrame="_blank" w:history="1">
        <w:r w:rsidRPr="005673DE">
          <w:rPr>
            <w:rStyle w:val="Hyperlink"/>
            <w:rFonts w:asciiTheme="minorHAnsi" w:eastAsiaTheme="majorEastAsia" w:hAnsiTheme="minorHAnsi" w:cstheme="minorHAnsi"/>
            <w:b/>
            <w:bCs/>
            <w:color w:val="2F5496" w:themeColor="accent1" w:themeShade="BF"/>
            <w:sz w:val="20"/>
            <w:szCs w:val="20"/>
          </w:rPr>
          <w:t>radicali liberi</w:t>
        </w:r>
      </w:hyperlink>
      <w:r w:rsidRPr="005673DE">
        <w:rPr>
          <w:rStyle w:val="apple-converted-space"/>
          <w:rFonts w:asciiTheme="minorHAnsi" w:hAnsiTheme="minorHAnsi" w:cstheme="minorHAnsi"/>
          <w:color w:val="2F5496" w:themeColor="accent1" w:themeShade="BF"/>
          <w:sz w:val="20"/>
          <w:szCs w:val="20"/>
          <w:shd w:val="clear" w:color="auto" w:fill="FFFFFF"/>
        </w:rPr>
        <w:t> </w:t>
      </w:r>
      <w:r w:rsidRPr="005673DE">
        <w:rPr>
          <w:rFonts w:asciiTheme="minorHAnsi" w:hAnsiTheme="minorHAnsi" w:cstheme="minorHAnsi"/>
          <w:color w:val="2F5496" w:themeColor="accent1" w:themeShade="BF"/>
          <w:sz w:val="20"/>
          <w:szCs w:val="20"/>
          <w:shd w:val="clear" w:color="auto" w:fill="FFFFFF"/>
        </w:rPr>
        <w:t>dell’ossigeno e dell’azoto che hanno sia attività microbicida che capacità di danneggiare la</w:t>
      </w:r>
      <w:r w:rsidRPr="005673DE">
        <w:rPr>
          <w:rStyle w:val="apple-converted-space"/>
          <w:rFonts w:asciiTheme="minorHAnsi" w:hAnsiTheme="minorHAnsi" w:cstheme="minorHAnsi"/>
          <w:color w:val="2F5496" w:themeColor="accent1" w:themeShade="BF"/>
          <w:sz w:val="20"/>
          <w:szCs w:val="20"/>
          <w:shd w:val="clear" w:color="auto" w:fill="FFFFFF"/>
        </w:rPr>
        <w:t> </w:t>
      </w:r>
      <w:hyperlink r:id="rId42" w:tgtFrame="_blank" w:history="1">
        <w:r w:rsidRPr="005673DE">
          <w:rPr>
            <w:rStyle w:val="Strong"/>
            <w:rFonts w:asciiTheme="minorHAnsi" w:eastAsiaTheme="majorEastAsia" w:hAnsiTheme="minorHAnsi" w:cstheme="minorHAnsi"/>
            <w:color w:val="2F5496" w:themeColor="accent1" w:themeShade="BF"/>
            <w:sz w:val="20"/>
            <w:szCs w:val="20"/>
          </w:rPr>
          <w:t>matrice extracellulare</w:t>
        </w:r>
      </w:hyperlink>
      <w:r w:rsidRPr="005673DE">
        <w:rPr>
          <w:rFonts w:asciiTheme="minorHAnsi" w:hAnsiTheme="minorHAnsi" w:cstheme="minorHAnsi"/>
          <w:color w:val="2F5496" w:themeColor="accent1" w:themeShade="BF"/>
          <w:sz w:val="20"/>
          <w:szCs w:val="20"/>
          <w:shd w:val="clear" w:color="auto" w:fill="FFFFFF"/>
        </w:rPr>
        <w:t>.</w:t>
      </w:r>
    </w:p>
    <w:p w:rsidR="00CF29C5" w:rsidRPr="005673DE" w:rsidRDefault="00CF29C5" w:rsidP="00CF29C5">
      <w:pPr>
        <w:jc w:val="both"/>
        <w:rPr>
          <w:rFonts w:asciiTheme="minorHAnsi" w:hAnsiTheme="minorHAnsi" w:cstheme="minorHAnsi"/>
          <w:color w:val="2F5496" w:themeColor="accent1" w:themeShade="BF"/>
          <w:sz w:val="20"/>
          <w:szCs w:val="20"/>
        </w:rPr>
      </w:pPr>
    </w:p>
    <w:p w:rsidR="00F37295" w:rsidRPr="005673DE" w:rsidRDefault="00F37295" w:rsidP="00CF29C5">
      <w:pPr>
        <w:jc w:val="both"/>
        <w:rPr>
          <w:rFonts w:asciiTheme="minorHAnsi" w:hAnsiTheme="minorHAnsi" w:cstheme="minorHAnsi"/>
          <w:color w:val="2F5496" w:themeColor="accent1" w:themeShade="BF"/>
          <w:sz w:val="20"/>
          <w:szCs w:val="20"/>
        </w:rPr>
      </w:pPr>
    </w:p>
    <w:p w:rsidR="00BD0FB4" w:rsidRPr="00FA15F5" w:rsidRDefault="00BD0FB4" w:rsidP="00471D4A">
      <w:pPr>
        <w:pStyle w:val="Heading2"/>
        <w:shd w:val="clear" w:color="auto" w:fill="E2EFD9" w:themeFill="accent6" w:themeFillTint="33"/>
        <w:spacing w:before="0"/>
        <w:jc w:val="center"/>
        <w:rPr>
          <w:rFonts w:asciiTheme="minorHAnsi" w:hAnsiTheme="minorHAnsi" w:cstheme="minorHAnsi"/>
          <w:b/>
          <w:bCs/>
          <w:color w:val="C00000"/>
          <w:sz w:val="24"/>
          <w:szCs w:val="24"/>
        </w:rPr>
      </w:pPr>
      <w:bookmarkStart w:id="17" w:name="_Toc43342372"/>
      <w:r w:rsidRPr="00FA15F5">
        <w:rPr>
          <w:rFonts w:asciiTheme="minorHAnsi" w:hAnsiTheme="minorHAnsi" w:cstheme="minorHAnsi"/>
          <w:b/>
          <w:bCs/>
          <w:color w:val="C00000"/>
          <w:sz w:val="24"/>
          <w:szCs w:val="24"/>
        </w:rPr>
        <w:t>Infiammazione acuta</w:t>
      </w:r>
      <w:bookmarkEnd w:id="17"/>
    </w:p>
    <w:p w:rsidR="00892F48" w:rsidRPr="005673DE" w:rsidRDefault="00892F48" w:rsidP="00892F48">
      <w:pPr>
        <w:rPr>
          <w:rFonts w:asciiTheme="minorHAnsi" w:hAnsiTheme="minorHAnsi" w:cstheme="minorHAnsi"/>
          <w:sz w:val="20"/>
          <w:szCs w:val="20"/>
        </w:rPr>
      </w:pPr>
    </w:p>
    <w:p w:rsidR="00BD0FB4" w:rsidRPr="005673DE" w:rsidRDefault="00BD0FB4" w:rsidP="00CF29C5">
      <w:pPr>
        <w:pStyle w:val="NormalWeb"/>
        <w:spacing w:before="0" w:beforeAutospacing="0" w:after="0" w:afterAutospacing="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La </w:t>
      </w:r>
      <w:r w:rsidRPr="005673DE">
        <w:rPr>
          <w:rStyle w:val="Strong"/>
          <w:rFonts w:asciiTheme="minorHAnsi" w:hAnsiTheme="minorHAnsi" w:cstheme="minorHAnsi"/>
          <w:color w:val="2F5496" w:themeColor="accent1" w:themeShade="BF"/>
          <w:sz w:val="20"/>
          <w:szCs w:val="20"/>
        </w:rPr>
        <w:t>risposta infiammatoria acuta </w:t>
      </w:r>
      <w:r w:rsidRPr="005673DE">
        <w:rPr>
          <w:rFonts w:asciiTheme="minorHAnsi" w:hAnsiTheme="minorHAnsi" w:cstheme="minorHAnsi"/>
          <w:color w:val="2F5496" w:themeColor="accent1" w:themeShade="BF"/>
          <w:sz w:val="20"/>
          <w:szCs w:val="20"/>
        </w:rPr>
        <w:t>porta in modo rapi</w:t>
      </w:r>
      <w:r w:rsidR="00EB2040" w:rsidRPr="005673DE">
        <w:rPr>
          <w:rFonts w:asciiTheme="minorHAnsi" w:hAnsiTheme="minorHAnsi" w:cstheme="minorHAnsi"/>
          <w:color w:val="2F5496" w:themeColor="accent1" w:themeShade="BF"/>
          <w:sz w:val="20"/>
          <w:szCs w:val="20"/>
        </w:rPr>
        <w:t>d</w:t>
      </w:r>
      <w:r w:rsidRPr="005673DE">
        <w:rPr>
          <w:rFonts w:asciiTheme="minorHAnsi" w:hAnsiTheme="minorHAnsi" w:cstheme="minorHAnsi"/>
          <w:color w:val="2F5496" w:themeColor="accent1" w:themeShade="BF"/>
          <w:sz w:val="20"/>
          <w:szCs w:val="20"/>
        </w:rPr>
        <w:t>o leucociti e proteine plasmatiche verso i siti di danno. Una volta qui i leucociti (per lo più neutrofili e</w:t>
      </w:r>
      <w:r w:rsidRPr="005673DE">
        <w:rPr>
          <w:rStyle w:val="apple-converted-space"/>
          <w:rFonts w:asciiTheme="minorHAnsi" w:hAnsiTheme="minorHAnsi" w:cstheme="minorHAnsi"/>
          <w:color w:val="2F5496" w:themeColor="accent1" w:themeShade="BF"/>
          <w:sz w:val="20"/>
          <w:szCs w:val="20"/>
        </w:rPr>
        <w:t> </w:t>
      </w:r>
      <w:r w:rsidRPr="005C078C">
        <w:rPr>
          <w:rFonts w:asciiTheme="minorHAnsi" w:hAnsiTheme="minorHAnsi" w:cstheme="minorHAnsi"/>
          <w:b/>
          <w:bCs/>
          <w:color w:val="2F5496" w:themeColor="accent1" w:themeShade="BF"/>
          <w:sz w:val="20"/>
          <w:szCs w:val="20"/>
        </w:rPr>
        <w:t>monociti</w:t>
      </w:r>
      <w:r w:rsidRPr="005673DE">
        <w:rPr>
          <w:rFonts w:asciiTheme="minorHAnsi" w:hAnsiTheme="minorHAnsi" w:cstheme="minorHAnsi"/>
          <w:color w:val="2F5496" w:themeColor="accent1" w:themeShade="BF"/>
          <w:sz w:val="20"/>
          <w:szCs w:val="20"/>
        </w:rPr>
        <w:t>) elimineranno gli agenti invasivi ed i tessuti necrotici.</w:t>
      </w:r>
    </w:p>
    <w:p w:rsidR="00BD0FB4" w:rsidRPr="005673DE" w:rsidRDefault="00BD0FB4" w:rsidP="00CF29C5">
      <w:pPr>
        <w:pStyle w:val="NormalWeb"/>
        <w:spacing w:before="0" w:beforeAutospacing="0" w:after="0" w:afterAutospacing="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Questa risposta è indotta da diversi stimoli tra cui:</w:t>
      </w:r>
    </w:p>
    <w:p w:rsidR="00892F48" w:rsidRPr="005673DE" w:rsidRDefault="00892F48" w:rsidP="00CA2367">
      <w:pPr>
        <w:pStyle w:val="NormalWeb"/>
        <w:spacing w:before="0" w:beforeAutospacing="0" w:after="0" w:afterAutospacing="0"/>
        <w:jc w:val="both"/>
        <w:rPr>
          <w:rFonts w:asciiTheme="minorHAnsi" w:hAnsiTheme="minorHAnsi" w:cstheme="minorHAnsi"/>
          <w:color w:val="2F5496" w:themeColor="accent1" w:themeShade="BF"/>
          <w:sz w:val="20"/>
          <w:szCs w:val="20"/>
        </w:rPr>
      </w:pPr>
    </w:p>
    <w:p w:rsidR="00BD0FB4" w:rsidRPr="005673DE" w:rsidRDefault="00BD0FB4" w:rsidP="00471D4A">
      <w:pPr>
        <w:pStyle w:val="ListParagraph"/>
        <w:numPr>
          <w:ilvl w:val="0"/>
          <w:numId w:val="10"/>
        </w:numPr>
        <w:shd w:val="clear" w:color="auto" w:fill="FBF9E1"/>
        <w:tabs>
          <w:tab w:val="left" w:pos="284"/>
        </w:tabs>
        <w:ind w:hanging="72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le infezioni da parte di tutti i tipi di patogeni;</w:t>
      </w:r>
    </w:p>
    <w:p w:rsidR="00BD0FB4" w:rsidRPr="005673DE" w:rsidRDefault="00BD0FB4" w:rsidP="00471D4A">
      <w:pPr>
        <w:pStyle w:val="ListParagraph"/>
        <w:numPr>
          <w:ilvl w:val="0"/>
          <w:numId w:val="10"/>
        </w:numPr>
        <w:shd w:val="clear" w:color="auto" w:fill="FBF9E1"/>
        <w:tabs>
          <w:tab w:val="left" w:pos="284"/>
        </w:tabs>
        <w:ind w:hanging="72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i corpi estranei;</w:t>
      </w:r>
    </w:p>
    <w:p w:rsidR="00BD0FB4" w:rsidRPr="005673DE" w:rsidRDefault="00BD0FB4" w:rsidP="00471D4A">
      <w:pPr>
        <w:pStyle w:val="ListParagraph"/>
        <w:numPr>
          <w:ilvl w:val="0"/>
          <w:numId w:val="10"/>
        </w:numPr>
        <w:shd w:val="clear" w:color="auto" w:fill="FBF9E1"/>
        <w:tabs>
          <w:tab w:val="left" w:pos="284"/>
        </w:tabs>
        <w:ind w:hanging="72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i traumi contusivi o da parte di agenti fisico/chimici;</w:t>
      </w:r>
    </w:p>
    <w:p w:rsidR="00BD0FB4" w:rsidRPr="005673DE" w:rsidRDefault="00BD0FB4" w:rsidP="00471D4A">
      <w:pPr>
        <w:pStyle w:val="ListParagraph"/>
        <w:numPr>
          <w:ilvl w:val="0"/>
          <w:numId w:val="10"/>
        </w:numPr>
        <w:shd w:val="clear" w:color="auto" w:fill="FBF9E1"/>
        <w:tabs>
          <w:tab w:val="left" w:pos="284"/>
        </w:tabs>
        <w:ind w:hanging="72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la necrosi tissutale di qualsiasi derivazione;</w:t>
      </w:r>
    </w:p>
    <w:p w:rsidR="00BD0FB4" w:rsidRDefault="00BD0FB4" w:rsidP="00471D4A">
      <w:pPr>
        <w:pStyle w:val="ListParagraph"/>
        <w:numPr>
          <w:ilvl w:val="0"/>
          <w:numId w:val="10"/>
        </w:numPr>
        <w:shd w:val="clear" w:color="auto" w:fill="FBF9E1"/>
        <w:tabs>
          <w:tab w:val="left" w:pos="284"/>
        </w:tabs>
        <w:ind w:hanging="72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le</w:t>
      </w:r>
      <w:r w:rsidRPr="005673DE">
        <w:rPr>
          <w:rStyle w:val="apple-converted-space"/>
          <w:rFonts w:asciiTheme="minorHAnsi" w:hAnsiTheme="minorHAnsi" w:cstheme="minorHAnsi"/>
          <w:color w:val="2F5496" w:themeColor="accent1" w:themeShade="BF"/>
          <w:sz w:val="20"/>
          <w:szCs w:val="20"/>
        </w:rPr>
        <w:t> </w:t>
      </w:r>
      <w:hyperlink r:id="rId43" w:tgtFrame="_blank" w:history="1">
        <w:r w:rsidRPr="005673DE">
          <w:rPr>
            <w:rStyle w:val="Hyperlink"/>
            <w:rFonts w:asciiTheme="minorHAnsi" w:hAnsiTheme="minorHAnsi" w:cstheme="minorHAnsi"/>
            <w:b/>
            <w:bCs/>
            <w:color w:val="2F5496" w:themeColor="accent1" w:themeShade="BF"/>
            <w:sz w:val="20"/>
            <w:szCs w:val="20"/>
          </w:rPr>
          <w:t>reazioni da ipersensibilità</w:t>
        </w:r>
      </w:hyperlink>
      <w:r w:rsidRPr="005673DE">
        <w:rPr>
          <w:rFonts w:asciiTheme="minorHAnsi" w:hAnsiTheme="minorHAnsi" w:cstheme="minorHAnsi"/>
          <w:color w:val="2F5496" w:themeColor="accent1" w:themeShade="BF"/>
          <w:sz w:val="20"/>
          <w:szCs w:val="20"/>
        </w:rPr>
        <w:t>.</w:t>
      </w:r>
    </w:p>
    <w:p w:rsidR="00471D4A" w:rsidRDefault="00471D4A" w:rsidP="00471D4A">
      <w:pPr>
        <w:pStyle w:val="ListParagraph"/>
        <w:tabs>
          <w:tab w:val="left" w:pos="284"/>
        </w:tabs>
        <w:jc w:val="both"/>
        <w:rPr>
          <w:rFonts w:asciiTheme="minorHAnsi" w:hAnsiTheme="minorHAnsi" w:cstheme="minorHAnsi"/>
          <w:color w:val="2F5496" w:themeColor="accent1" w:themeShade="BF"/>
          <w:sz w:val="20"/>
          <w:szCs w:val="20"/>
        </w:rPr>
      </w:pPr>
    </w:p>
    <w:p w:rsidR="00471D4A" w:rsidRPr="005673DE" w:rsidRDefault="00471D4A" w:rsidP="00471D4A">
      <w:pPr>
        <w:pStyle w:val="ListParagraph"/>
        <w:tabs>
          <w:tab w:val="left" w:pos="284"/>
        </w:tabs>
        <w:jc w:val="both"/>
        <w:rPr>
          <w:rFonts w:asciiTheme="minorHAnsi" w:hAnsiTheme="minorHAnsi" w:cstheme="minorHAnsi"/>
          <w:color w:val="2F5496" w:themeColor="accent1" w:themeShade="BF"/>
          <w:sz w:val="20"/>
          <w:szCs w:val="20"/>
        </w:rPr>
      </w:pPr>
    </w:p>
    <w:p w:rsidR="00EB2040" w:rsidRPr="005673DE" w:rsidRDefault="00EB2040" w:rsidP="00CF29C5">
      <w:pPr>
        <w:pStyle w:val="Heading2"/>
        <w:spacing w:before="0"/>
        <w:jc w:val="both"/>
        <w:rPr>
          <w:rFonts w:asciiTheme="minorHAnsi" w:hAnsiTheme="minorHAnsi" w:cstheme="minorHAnsi"/>
          <w:b/>
          <w:bCs/>
          <w:sz w:val="20"/>
          <w:szCs w:val="20"/>
        </w:rPr>
      </w:pPr>
    </w:p>
    <w:p w:rsidR="00CF29C5" w:rsidRPr="005C078C" w:rsidRDefault="00CF29C5" w:rsidP="00471D4A">
      <w:pPr>
        <w:pStyle w:val="Heading2"/>
        <w:shd w:val="clear" w:color="auto" w:fill="E2EFD9" w:themeFill="accent6" w:themeFillTint="33"/>
        <w:spacing w:before="0"/>
        <w:jc w:val="center"/>
        <w:rPr>
          <w:rFonts w:asciiTheme="minorHAnsi" w:hAnsiTheme="minorHAnsi" w:cstheme="minorHAnsi"/>
          <w:b/>
          <w:bCs/>
          <w:color w:val="C00000"/>
          <w:sz w:val="22"/>
          <w:szCs w:val="22"/>
        </w:rPr>
      </w:pPr>
      <w:bookmarkStart w:id="18" w:name="_Toc43342373"/>
      <w:r w:rsidRPr="00FA15F5">
        <w:rPr>
          <w:rFonts w:asciiTheme="minorHAnsi" w:hAnsiTheme="minorHAnsi" w:cstheme="minorHAnsi"/>
          <w:b/>
          <w:bCs/>
          <w:color w:val="C00000"/>
          <w:sz w:val="24"/>
          <w:szCs w:val="24"/>
        </w:rPr>
        <w:t>Effetti sistemici dell’infiammazione</w:t>
      </w:r>
      <w:r w:rsidR="00CA57F6" w:rsidRPr="005C078C">
        <w:rPr>
          <w:rFonts w:asciiTheme="minorHAnsi" w:hAnsiTheme="minorHAnsi" w:cstheme="minorHAnsi"/>
          <w:b/>
          <w:bCs/>
          <w:color w:val="C00000"/>
          <w:sz w:val="22"/>
          <w:szCs w:val="22"/>
        </w:rPr>
        <w:t xml:space="preserve"> </w:t>
      </w:r>
      <w:bookmarkEnd w:id="18"/>
    </w:p>
    <w:p w:rsidR="00CA57F6" w:rsidRPr="005673DE" w:rsidRDefault="00CA57F6" w:rsidP="00CA57F6">
      <w:pPr>
        <w:rPr>
          <w:rFonts w:asciiTheme="minorHAnsi" w:hAnsiTheme="minorHAnsi" w:cstheme="minorHAnsi"/>
          <w:sz w:val="20"/>
          <w:szCs w:val="20"/>
        </w:rPr>
      </w:pPr>
    </w:p>
    <w:p w:rsidR="00B85F7D" w:rsidRPr="005673DE" w:rsidRDefault="00B85F7D" w:rsidP="009A3865">
      <w:pPr>
        <w:pStyle w:val="ListParagraph"/>
        <w:numPr>
          <w:ilvl w:val="0"/>
          <w:numId w:val="9"/>
        </w:numPr>
        <w:shd w:val="clear" w:color="auto" w:fill="FFFFFF"/>
        <w:tabs>
          <w:tab w:val="left" w:pos="142"/>
        </w:tabs>
        <w:ind w:hanging="765"/>
        <w:jc w:val="both"/>
        <w:rPr>
          <w:rFonts w:asciiTheme="minorHAnsi" w:hAnsiTheme="minorHAnsi" w:cstheme="minorHAnsi"/>
          <w:color w:val="2F5496" w:themeColor="accent1" w:themeShade="BF"/>
          <w:sz w:val="20"/>
          <w:szCs w:val="20"/>
        </w:rPr>
      </w:pPr>
      <w:r w:rsidRPr="005673DE">
        <w:rPr>
          <w:rFonts w:asciiTheme="minorHAnsi" w:hAnsiTheme="minorHAnsi" w:cstheme="minorHAnsi"/>
          <w:b/>
          <w:bCs/>
          <w:color w:val="2F5496" w:themeColor="accent1" w:themeShade="BF"/>
          <w:sz w:val="20"/>
          <w:szCs w:val="20"/>
        </w:rPr>
        <w:t>Febbre</w:t>
      </w:r>
      <w:r w:rsidRPr="005673DE">
        <w:rPr>
          <w:rFonts w:asciiTheme="minorHAnsi" w:hAnsiTheme="minorHAnsi" w:cstheme="minorHAnsi"/>
          <w:color w:val="2F5496" w:themeColor="accent1" w:themeShade="BF"/>
          <w:sz w:val="20"/>
          <w:szCs w:val="20"/>
        </w:rPr>
        <w:t xml:space="preserve">. Innalzamento della temperatura corporea (da 1 a 4°C), comune manifestazione di fase acuta indotta da sostanze dette </w:t>
      </w:r>
      <w:r w:rsidRPr="005C078C">
        <w:rPr>
          <w:rFonts w:asciiTheme="minorHAnsi" w:hAnsiTheme="minorHAnsi" w:cstheme="minorHAnsi"/>
          <w:b/>
          <w:bCs/>
          <w:color w:val="2F5496" w:themeColor="accent1" w:themeShade="BF"/>
          <w:sz w:val="20"/>
          <w:szCs w:val="20"/>
        </w:rPr>
        <w:t>pirogeni</w:t>
      </w:r>
      <w:r w:rsidRPr="005673DE">
        <w:rPr>
          <w:rFonts w:asciiTheme="minorHAnsi" w:hAnsiTheme="minorHAnsi" w:cstheme="minorHAnsi"/>
          <w:color w:val="2F5496" w:themeColor="accent1" w:themeShade="BF"/>
          <w:sz w:val="20"/>
          <w:szCs w:val="20"/>
        </w:rPr>
        <w:t xml:space="preserve">. </w:t>
      </w:r>
    </w:p>
    <w:p w:rsidR="00CA57F6" w:rsidRPr="005673DE" w:rsidRDefault="00CA57F6" w:rsidP="00CA57F6">
      <w:pPr>
        <w:shd w:val="clear" w:color="auto" w:fill="FFFFFF"/>
        <w:tabs>
          <w:tab w:val="left" w:pos="142"/>
        </w:tabs>
        <w:ind w:hanging="765"/>
        <w:jc w:val="both"/>
        <w:rPr>
          <w:rFonts w:asciiTheme="minorHAnsi" w:hAnsiTheme="minorHAnsi" w:cstheme="minorHAnsi"/>
          <w:color w:val="2F5496" w:themeColor="accent1" w:themeShade="BF"/>
          <w:sz w:val="20"/>
          <w:szCs w:val="20"/>
        </w:rPr>
      </w:pPr>
    </w:p>
    <w:p w:rsidR="00110FC0" w:rsidRDefault="00110FC0" w:rsidP="002911D4">
      <w:pPr>
        <w:pStyle w:val="ListParagraph"/>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142"/>
        </w:tabs>
        <w:ind w:left="567" w:right="843"/>
        <w:jc w:val="both"/>
        <w:rPr>
          <w:rFonts w:asciiTheme="minorHAnsi" w:hAnsiTheme="minorHAnsi" w:cstheme="minorHAnsi"/>
          <w:i/>
          <w:iCs/>
          <w:color w:val="2F5496" w:themeColor="accent1" w:themeShade="BF"/>
          <w:sz w:val="18"/>
          <w:szCs w:val="18"/>
          <w:shd w:val="clear" w:color="auto" w:fill="FFFFFF" w:themeFill="background1"/>
        </w:rPr>
      </w:pPr>
    </w:p>
    <w:p w:rsidR="00B85F7D" w:rsidRDefault="00B85F7D" w:rsidP="002911D4">
      <w:pPr>
        <w:pStyle w:val="ListParagraph"/>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142"/>
        </w:tabs>
        <w:ind w:left="567" w:right="843"/>
        <w:jc w:val="both"/>
        <w:rPr>
          <w:rFonts w:asciiTheme="minorHAnsi" w:hAnsiTheme="minorHAnsi" w:cstheme="minorHAnsi"/>
          <w:i/>
          <w:iCs/>
          <w:color w:val="2F5496" w:themeColor="accent1" w:themeShade="BF"/>
          <w:sz w:val="18"/>
          <w:szCs w:val="18"/>
        </w:rPr>
      </w:pPr>
      <w:r w:rsidRPr="002911D4">
        <w:rPr>
          <w:rFonts w:asciiTheme="minorHAnsi" w:hAnsiTheme="minorHAnsi" w:cstheme="minorHAnsi"/>
          <w:i/>
          <w:iCs/>
          <w:color w:val="2F5496" w:themeColor="accent1" w:themeShade="BF"/>
          <w:sz w:val="18"/>
          <w:szCs w:val="18"/>
          <w:shd w:val="clear" w:color="auto" w:fill="FFFFFF" w:themeFill="background1"/>
        </w:rPr>
        <w:t xml:space="preserve">Prodotti microbici (ad es. LPS) stimolano i leucociti a rilasciare IL1 e TNF. Questi agiscono su cellule vascolari e perivascolari a livello ipotalamico inducendo COX2 e aumentando la produzione e il rilascio di </w:t>
      </w:r>
      <w:r w:rsidR="00CA57F6" w:rsidRPr="002911D4">
        <w:rPr>
          <w:rFonts w:asciiTheme="minorHAnsi" w:hAnsiTheme="minorHAnsi" w:cstheme="minorHAnsi"/>
          <w:i/>
          <w:iCs/>
          <w:color w:val="2F5496" w:themeColor="accent1" w:themeShade="BF"/>
          <w:sz w:val="18"/>
          <w:szCs w:val="18"/>
          <w:shd w:val="clear" w:color="auto" w:fill="FFFFFF" w:themeFill="background1"/>
        </w:rPr>
        <w:t xml:space="preserve">prostaglandine </w:t>
      </w:r>
      <w:r w:rsidRPr="002911D4">
        <w:rPr>
          <w:rFonts w:asciiTheme="minorHAnsi" w:hAnsiTheme="minorHAnsi" w:cstheme="minorHAnsi"/>
          <w:i/>
          <w:iCs/>
          <w:color w:val="2F5496" w:themeColor="accent1" w:themeShade="BF"/>
          <w:sz w:val="18"/>
          <w:szCs w:val="18"/>
          <w:shd w:val="clear" w:color="auto" w:fill="FFFFFF" w:themeFill="background1"/>
        </w:rPr>
        <w:t>(PGE</w:t>
      </w:r>
      <w:r w:rsidRPr="002911D4">
        <w:rPr>
          <w:rFonts w:asciiTheme="minorHAnsi" w:hAnsiTheme="minorHAnsi" w:cstheme="minorHAnsi"/>
          <w:i/>
          <w:iCs/>
          <w:color w:val="2F5496" w:themeColor="accent1" w:themeShade="BF"/>
          <w:position w:val="-8"/>
          <w:sz w:val="18"/>
          <w:szCs w:val="18"/>
          <w:shd w:val="clear" w:color="auto" w:fill="FFFFFF" w:themeFill="background1"/>
          <w:vertAlign w:val="subscript"/>
        </w:rPr>
        <w:t>2</w:t>
      </w:r>
      <w:r w:rsidRPr="002911D4">
        <w:rPr>
          <w:rFonts w:asciiTheme="minorHAnsi" w:hAnsiTheme="minorHAnsi" w:cstheme="minorHAnsi"/>
          <w:i/>
          <w:iCs/>
          <w:color w:val="2F5496" w:themeColor="accent1" w:themeShade="BF"/>
          <w:sz w:val="18"/>
          <w:szCs w:val="18"/>
          <w:shd w:val="clear" w:color="auto" w:fill="FFFFFF" w:themeFill="background1"/>
        </w:rPr>
        <w:t>). La PGE</w:t>
      </w:r>
      <w:r w:rsidRPr="002911D4">
        <w:rPr>
          <w:rFonts w:asciiTheme="minorHAnsi" w:hAnsiTheme="minorHAnsi" w:cstheme="minorHAnsi"/>
          <w:i/>
          <w:iCs/>
          <w:color w:val="2F5496" w:themeColor="accent1" w:themeShade="BF"/>
          <w:position w:val="-8"/>
          <w:sz w:val="18"/>
          <w:szCs w:val="18"/>
          <w:shd w:val="clear" w:color="auto" w:fill="FFFFFF" w:themeFill="background1"/>
          <w:vertAlign w:val="subscript"/>
        </w:rPr>
        <w:t>2</w:t>
      </w:r>
      <w:r w:rsidRPr="002911D4">
        <w:rPr>
          <w:rFonts w:asciiTheme="minorHAnsi" w:hAnsiTheme="minorHAnsi" w:cstheme="minorHAnsi"/>
          <w:i/>
          <w:iCs/>
          <w:color w:val="2F5496" w:themeColor="accent1" w:themeShade="BF"/>
          <w:position w:val="-8"/>
          <w:sz w:val="18"/>
          <w:szCs w:val="18"/>
          <w:shd w:val="clear" w:color="auto" w:fill="FFFFFF" w:themeFill="background1"/>
        </w:rPr>
        <w:t xml:space="preserve"> </w:t>
      </w:r>
      <w:r w:rsidRPr="002911D4">
        <w:rPr>
          <w:rFonts w:asciiTheme="minorHAnsi" w:hAnsiTheme="minorHAnsi" w:cstheme="minorHAnsi"/>
          <w:i/>
          <w:iCs/>
          <w:color w:val="2F5496" w:themeColor="accent1" w:themeShade="BF"/>
          <w:sz w:val="18"/>
          <w:szCs w:val="18"/>
          <w:shd w:val="clear" w:color="auto" w:fill="FFFFFF" w:themeFill="background1"/>
        </w:rPr>
        <w:t>stimola la produzione di neurotrasmettitori che agiscono sul centro di termoregolazione e questo a sua volta induce l’innalzamento della temperatura corporea</w:t>
      </w:r>
      <w:r w:rsidRPr="00471D4A">
        <w:rPr>
          <w:rFonts w:asciiTheme="minorHAnsi" w:hAnsiTheme="minorHAnsi" w:cstheme="minorHAnsi"/>
          <w:i/>
          <w:iCs/>
          <w:color w:val="2F5496" w:themeColor="accent1" w:themeShade="BF"/>
          <w:sz w:val="18"/>
          <w:szCs w:val="18"/>
        </w:rPr>
        <w:t xml:space="preserve">. </w:t>
      </w:r>
    </w:p>
    <w:p w:rsidR="00110FC0" w:rsidRPr="00471D4A" w:rsidRDefault="00110FC0" w:rsidP="002911D4">
      <w:pPr>
        <w:pStyle w:val="ListParagraph"/>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142"/>
        </w:tabs>
        <w:ind w:left="567" w:right="843"/>
        <w:jc w:val="both"/>
        <w:rPr>
          <w:rFonts w:asciiTheme="minorHAnsi" w:hAnsiTheme="minorHAnsi" w:cstheme="minorHAnsi"/>
          <w:i/>
          <w:iCs/>
          <w:color w:val="2F5496" w:themeColor="accent1" w:themeShade="BF"/>
          <w:sz w:val="18"/>
          <w:szCs w:val="18"/>
        </w:rPr>
      </w:pPr>
    </w:p>
    <w:p w:rsidR="00CA57F6" w:rsidRPr="005C078C" w:rsidRDefault="00CA57F6" w:rsidP="005C078C">
      <w:pPr>
        <w:shd w:val="clear" w:color="auto" w:fill="FFFFFF"/>
        <w:tabs>
          <w:tab w:val="left" w:pos="142"/>
        </w:tabs>
        <w:ind w:left="567" w:right="276" w:hanging="765"/>
        <w:jc w:val="both"/>
        <w:rPr>
          <w:rFonts w:asciiTheme="minorHAnsi" w:hAnsiTheme="minorHAnsi" w:cstheme="minorHAnsi"/>
          <w:i/>
          <w:iCs/>
          <w:color w:val="2F5496" w:themeColor="accent1" w:themeShade="BF"/>
          <w:sz w:val="18"/>
          <w:szCs w:val="18"/>
        </w:rPr>
      </w:pPr>
    </w:p>
    <w:p w:rsidR="00110FC0" w:rsidRDefault="00B85F7D" w:rsidP="009A3865">
      <w:pPr>
        <w:pStyle w:val="ListParagraph"/>
        <w:numPr>
          <w:ilvl w:val="0"/>
          <w:numId w:val="9"/>
        </w:numPr>
        <w:shd w:val="clear" w:color="auto" w:fill="FFFFFF"/>
        <w:tabs>
          <w:tab w:val="left" w:pos="142"/>
        </w:tabs>
        <w:ind w:left="0" w:firstLine="0"/>
        <w:jc w:val="both"/>
        <w:rPr>
          <w:rFonts w:asciiTheme="minorHAnsi" w:hAnsiTheme="minorHAnsi" w:cstheme="minorHAnsi"/>
          <w:color w:val="2F5496" w:themeColor="accent1" w:themeShade="BF"/>
          <w:sz w:val="20"/>
          <w:szCs w:val="20"/>
        </w:rPr>
      </w:pPr>
      <w:r w:rsidRPr="005673DE">
        <w:rPr>
          <w:rFonts w:asciiTheme="minorHAnsi" w:hAnsiTheme="minorHAnsi" w:cstheme="minorHAnsi"/>
          <w:b/>
          <w:bCs/>
          <w:color w:val="2F5496" w:themeColor="accent1" w:themeShade="BF"/>
          <w:sz w:val="20"/>
          <w:szCs w:val="20"/>
        </w:rPr>
        <w:t>Leucocitosi</w:t>
      </w:r>
      <w:r w:rsidRPr="005673DE">
        <w:rPr>
          <w:rFonts w:asciiTheme="minorHAnsi" w:hAnsiTheme="minorHAnsi" w:cstheme="minorHAnsi"/>
          <w:color w:val="2F5496" w:themeColor="accent1" w:themeShade="BF"/>
          <w:sz w:val="20"/>
          <w:szCs w:val="20"/>
        </w:rPr>
        <w:t xml:space="preserve">. Comune caratteristica dell’infiammazione, in particolar modo batterica. </w:t>
      </w:r>
    </w:p>
    <w:p w:rsidR="00CA57F6" w:rsidRPr="005673DE" w:rsidRDefault="00B85F7D" w:rsidP="00110FC0">
      <w:pPr>
        <w:pStyle w:val="ListParagraph"/>
        <w:shd w:val="clear" w:color="auto" w:fill="FFFFFF"/>
        <w:tabs>
          <w:tab w:val="left" w:pos="142"/>
        </w:tabs>
        <w:ind w:left="0"/>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 xml:space="preserve">L’aumento dei leucociti inizialmente deriva dal rilascio accelerato di cellule dal midollo, e quindi dalla stimolazione della proliferazione. </w:t>
      </w:r>
    </w:p>
    <w:p w:rsidR="00CA57F6" w:rsidRPr="005673DE" w:rsidRDefault="00B85F7D" w:rsidP="00CA57F6">
      <w:pPr>
        <w:shd w:val="clear" w:color="auto" w:fill="FFFFFF"/>
        <w:tabs>
          <w:tab w:val="left" w:pos="284"/>
        </w:tabs>
        <w:ind w:left="284"/>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 Neutrofilia: aumento prevalente dei PMN (infezioni batteriche)</w:t>
      </w:r>
    </w:p>
    <w:p w:rsidR="00CA57F6" w:rsidRPr="005673DE" w:rsidRDefault="00B85F7D" w:rsidP="00CA57F6">
      <w:pPr>
        <w:shd w:val="clear" w:color="auto" w:fill="FFFFFF"/>
        <w:tabs>
          <w:tab w:val="left" w:pos="284"/>
        </w:tabs>
        <w:ind w:left="284"/>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 Linfocitosi: aumento prevalente dei linfociti (infezioni virali)</w:t>
      </w:r>
    </w:p>
    <w:p w:rsidR="00B85F7D" w:rsidRPr="005673DE" w:rsidRDefault="00B85F7D" w:rsidP="00CA57F6">
      <w:pPr>
        <w:shd w:val="clear" w:color="auto" w:fill="FFFFFF"/>
        <w:tabs>
          <w:tab w:val="left" w:pos="284"/>
        </w:tabs>
        <w:ind w:left="284"/>
        <w:jc w:val="both"/>
        <w:rPr>
          <w:rFonts w:asciiTheme="minorHAnsi" w:hAnsiTheme="minorHAnsi" w:cstheme="minorHAnsi"/>
          <w:color w:val="2F5496" w:themeColor="accent1" w:themeShade="BF"/>
          <w:sz w:val="20"/>
          <w:szCs w:val="20"/>
        </w:rPr>
      </w:pPr>
      <w:r w:rsidRPr="005673DE">
        <w:rPr>
          <w:rFonts w:asciiTheme="minorHAnsi" w:hAnsiTheme="minorHAnsi" w:cstheme="minorHAnsi"/>
          <w:color w:val="2F5496" w:themeColor="accent1" w:themeShade="BF"/>
          <w:sz w:val="20"/>
          <w:szCs w:val="20"/>
        </w:rPr>
        <w:t xml:space="preserve">▪ Eosinofilia: aumento prevalente degli eosinofili (allergie e infestazioni parassitarie) </w:t>
      </w:r>
    </w:p>
    <w:p w:rsidR="00CA57F6" w:rsidRPr="005673DE" w:rsidRDefault="00CA57F6" w:rsidP="00CA57F6">
      <w:pPr>
        <w:shd w:val="clear" w:color="auto" w:fill="FFFFFF"/>
        <w:tabs>
          <w:tab w:val="left" w:pos="284"/>
        </w:tabs>
        <w:jc w:val="both"/>
        <w:rPr>
          <w:rFonts w:asciiTheme="minorHAnsi" w:hAnsiTheme="minorHAnsi" w:cstheme="minorHAnsi"/>
          <w:b/>
          <w:bCs/>
          <w:color w:val="2F5496" w:themeColor="accent1" w:themeShade="BF"/>
          <w:position w:val="10"/>
          <w:sz w:val="20"/>
          <w:szCs w:val="20"/>
        </w:rPr>
      </w:pPr>
    </w:p>
    <w:p w:rsidR="00110FC0" w:rsidRDefault="00110FC0"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284"/>
        </w:tabs>
        <w:ind w:left="284" w:right="843"/>
        <w:jc w:val="both"/>
        <w:rPr>
          <w:rFonts w:asciiTheme="minorHAnsi" w:hAnsiTheme="minorHAnsi" w:cstheme="minorHAnsi"/>
          <w:i/>
          <w:iCs/>
          <w:color w:val="2F5496" w:themeColor="accent1" w:themeShade="BF"/>
          <w:sz w:val="18"/>
          <w:szCs w:val="18"/>
        </w:rPr>
      </w:pPr>
    </w:p>
    <w:p w:rsidR="00B85F7D" w:rsidRDefault="00CA57F6"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284"/>
        </w:tabs>
        <w:ind w:left="284" w:right="843"/>
        <w:jc w:val="both"/>
        <w:rPr>
          <w:rFonts w:asciiTheme="minorHAnsi" w:hAnsiTheme="minorHAnsi" w:cstheme="minorHAnsi"/>
          <w:color w:val="2F5496" w:themeColor="accent1" w:themeShade="BF"/>
          <w:sz w:val="20"/>
          <w:szCs w:val="20"/>
        </w:rPr>
      </w:pPr>
      <w:r w:rsidRPr="005C078C">
        <w:rPr>
          <w:rFonts w:asciiTheme="minorHAnsi" w:hAnsiTheme="minorHAnsi" w:cstheme="minorHAnsi"/>
          <w:i/>
          <w:iCs/>
          <w:color w:val="2F5496" w:themeColor="accent1" w:themeShade="BF"/>
          <w:sz w:val="18"/>
          <w:szCs w:val="18"/>
        </w:rPr>
        <w:t>Nelle infezioni batteriche gravi (sepsi) i prodotti batterici stimolano la produzione di grandi quantità̀ di citochine infiammatorie (TNF e IL1) che causano lo shock settico: shock ipotensivo, iperglicemia da insulino-resistenza, e coagulazione intravascolare disseminata.</w:t>
      </w:r>
      <w:r w:rsidRPr="005C078C">
        <w:rPr>
          <w:rFonts w:asciiTheme="minorHAnsi" w:hAnsiTheme="minorHAnsi" w:cstheme="minorHAnsi"/>
          <w:color w:val="2F5496" w:themeColor="accent1" w:themeShade="BF"/>
          <w:sz w:val="20"/>
          <w:szCs w:val="20"/>
        </w:rPr>
        <w:t xml:space="preserve"> </w:t>
      </w:r>
      <w:r w:rsidR="00B85F7D" w:rsidRPr="005C078C">
        <w:rPr>
          <w:rFonts w:asciiTheme="minorHAnsi" w:hAnsiTheme="minorHAnsi" w:cstheme="minorHAnsi"/>
          <w:color w:val="2F5496" w:themeColor="accent1" w:themeShade="BF"/>
          <w:sz w:val="20"/>
          <w:szCs w:val="20"/>
        </w:rPr>
        <w:t xml:space="preserve"> </w:t>
      </w:r>
    </w:p>
    <w:p w:rsidR="00110FC0" w:rsidRPr="005C078C" w:rsidRDefault="00110FC0"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284"/>
        </w:tabs>
        <w:ind w:left="284" w:right="843"/>
        <w:jc w:val="both"/>
        <w:rPr>
          <w:rFonts w:asciiTheme="minorHAnsi" w:hAnsiTheme="minorHAnsi" w:cstheme="minorHAnsi"/>
          <w:color w:val="2F5496" w:themeColor="accent1" w:themeShade="BF"/>
          <w:sz w:val="20"/>
          <w:szCs w:val="20"/>
        </w:rPr>
      </w:pPr>
    </w:p>
    <w:p w:rsidR="00CF29C5" w:rsidRPr="005C078C" w:rsidRDefault="00CF29C5" w:rsidP="00CF29C5">
      <w:pPr>
        <w:jc w:val="center"/>
        <w:rPr>
          <w:rFonts w:asciiTheme="minorHAnsi" w:hAnsiTheme="minorHAnsi" w:cstheme="minorHAnsi"/>
          <w:color w:val="2F5496" w:themeColor="accent1" w:themeShade="BF"/>
          <w:sz w:val="20"/>
          <w:szCs w:val="20"/>
        </w:rPr>
      </w:pPr>
    </w:p>
    <w:p w:rsidR="00471D4A" w:rsidRDefault="00471D4A" w:rsidP="000C69DF">
      <w:pPr>
        <w:jc w:val="center"/>
        <w:rPr>
          <w:rStyle w:val="Heading3Char"/>
          <w:rFonts w:asciiTheme="minorHAnsi" w:hAnsiTheme="minorHAnsi" w:cstheme="minorHAnsi"/>
          <w:color w:val="C00000"/>
          <w:sz w:val="24"/>
          <w:szCs w:val="24"/>
        </w:rPr>
      </w:pPr>
      <w:bookmarkStart w:id="19" w:name="_Toc43342374"/>
    </w:p>
    <w:p w:rsidR="00471D4A" w:rsidRDefault="00471D4A" w:rsidP="000C69DF">
      <w:pPr>
        <w:jc w:val="center"/>
        <w:rPr>
          <w:rStyle w:val="Heading3Char"/>
          <w:rFonts w:asciiTheme="minorHAnsi" w:hAnsiTheme="minorHAnsi" w:cstheme="minorHAnsi"/>
          <w:color w:val="C00000"/>
          <w:sz w:val="24"/>
          <w:szCs w:val="24"/>
        </w:rPr>
      </w:pPr>
    </w:p>
    <w:p w:rsidR="00471D4A" w:rsidRDefault="00471D4A" w:rsidP="000C69DF">
      <w:pPr>
        <w:jc w:val="center"/>
        <w:rPr>
          <w:rStyle w:val="Heading3Char"/>
          <w:rFonts w:asciiTheme="minorHAnsi" w:hAnsiTheme="minorHAnsi" w:cstheme="minorHAnsi"/>
          <w:color w:val="C00000"/>
          <w:sz w:val="24"/>
          <w:szCs w:val="24"/>
        </w:rPr>
      </w:pPr>
    </w:p>
    <w:p w:rsidR="00471D4A" w:rsidRDefault="00471D4A" w:rsidP="000C69DF">
      <w:pPr>
        <w:jc w:val="center"/>
        <w:rPr>
          <w:rStyle w:val="Heading3Char"/>
          <w:rFonts w:asciiTheme="minorHAnsi" w:hAnsiTheme="minorHAnsi" w:cstheme="minorHAnsi"/>
          <w:color w:val="C00000"/>
          <w:sz w:val="24"/>
          <w:szCs w:val="24"/>
        </w:rPr>
      </w:pPr>
    </w:p>
    <w:p w:rsidR="00E60B64" w:rsidRPr="005C078C" w:rsidRDefault="00E60B64" w:rsidP="00471D4A">
      <w:pPr>
        <w:shd w:val="clear" w:color="auto" w:fill="E2EFD9" w:themeFill="accent6" w:themeFillTint="33"/>
        <w:jc w:val="center"/>
        <w:rPr>
          <w:rFonts w:asciiTheme="minorHAnsi" w:hAnsiTheme="minorHAnsi" w:cstheme="minorHAnsi"/>
          <w:b/>
          <w:bCs/>
          <w:color w:val="2F5496" w:themeColor="accent1" w:themeShade="BF"/>
          <w:sz w:val="20"/>
          <w:szCs w:val="20"/>
        </w:rPr>
      </w:pPr>
      <w:r w:rsidRPr="00FA15F5">
        <w:rPr>
          <w:rStyle w:val="Heading3Char"/>
          <w:rFonts w:asciiTheme="minorHAnsi" w:hAnsiTheme="minorHAnsi" w:cstheme="minorHAnsi"/>
          <w:color w:val="C00000"/>
          <w:sz w:val="24"/>
          <w:szCs w:val="24"/>
        </w:rPr>
        <w:lastRenderedPageBreak/>
        <w:t>Polarizzazione dei macrofagi</w:t>
      </w:r>
      <w:bookmarkEnd w:id="19"/>
      <w:r w:rsidRPr="005C078C">
        <w:rPr>
          <w:rFonts w:asciiTheme="minorHAnsi" w:hAnsiTheme="minorHAnsi" w:cstheme="minorHAnsi"/>
          <w:b/>
          <w:bCs/>
          <w:color w:val="C00000"/>
          <w:sz w:val="20"/>
          <w:szCs w:val="20"/>
        </w:rPr>
        <w:t xml:space="preserve"> </w:t>
      </w:r>
      <w:r w:rsidR="00A55880" w:rsidRPr="005C078C">
        <w:rPr>
          <w:rStyle w:val="FootnoteReference"/>
          <w:rFonts w:asciiTheme="minorHAnsi" w:hAnsiTheme="minorHAnsi" w:cstheme="minorHAnsi"/>
          <w:b/>
          <w:bCs/>
          <w:color w:val="C00000"/>
          <w:sz w:val="20"/>
          <w:szCs w:val="20"/>
        </w:rPr>
        <w:footnoteReference w:id="40"/>
      </w:r>
    </w:p>
    <w:p w:rsidR="00B85F7D" w:rsidRPr="005C078C" w:rsidRDefault="00B85F7D" w:rsidP="00E60B64">
      <w:pPr>
        <w:rPr>
          <w:rFonts w:asciiTheme="minorHAnsi" w:hAnsiTheme="minorHAnsi" w:cstheme="minorHAnsi"/>
          <w:b/>
          <w:bCs/>
          <w:color w:val="2F5496" w:themeColor="accent1" w:themeShade="BF"/>
          <w:sz w:val="20"/>
          <w:szCs w:val="20"/>
        </w:rPr>
      </w:pPr>
    </w:p>
    <w:p w:rsidR="00A55880" w:rsidRPr="005C078C" w:rsidRDefault="00E60B64" w:rsidP="00A55880">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In relazione ai segnali molecolari presenti nell’ambiente in cui operano, i monociti/macrofagi possono dar luogo a popolazioni funzionalmente distinte, M1 o M2. </w:t>
      </w:r>
    </w:p>
    <w:p w:rsidR="00B85F7D" w:rsidRPr="005C078C" w:rsidRDefault="00B85F7D" w:rsidP="00A55880">
      <w:pPr>
        <w:jc w:val="both"/>
        <w:rPr>
          <w:rFonts w:asciiTheme="minorHAnsi" w:hAnsiTheme="minorHAnsi" w:cstheme="minorHAnsi"/>
          <w:color w:val="2F5496" w:themeColor="accent1" w:themeShade="BF"/>
          <w:sz w:val="20"/>
          <w:szCs w:val="20"/>
        </w:rPr>
      </w:pPr>
    </w:p>
    <w:p w:rsidR="00A55880" w:rsidRPr="005C078C" w:rsidRDefault="00E60B64" w:rsidP="00A55880">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In presenza di prodotti microbici e di IFNγ, i macrofagi diventano </w:t>
      </w:r>
      <w:r w:rsidRPr="005C078C">
        <w:rPr>
          <w:rFonts w:asciiTheme="minorHAnsi" w:hAnsiTheme="minorHAnsi" w:cstheme="minorHAnsi"/>
          <w:b/>
          <w:bCs/>
          <w:color w:val="2F5496" w:themeColor="accent1" w:themeShade="BF"/>
          <w:sz w:val="20"/>
          <w:szCs w:val="20"/>
        </w:rPr>
        <w:t>M1</w:t>
      </w:r>
      <w:r w:rsidRPr="005C078C">
        <w:rPr>
          <w:rFonts w:asciiTheme="minorHAnsi" w:hAnsiTheme="minorHAnsi" w:cstheme="minorHAnsi"/>
          <w:color w:val="2F5496" w:themeColor="accent1" w:themeShade="BF"/>
          <w:sz w:val="20"/>
          <w:szCs w:val="20"/>
        </w:rPr>
        <w:t xml:space="preserve"> </w:t>
      </w:r>
      <w:r w:rsidRPr="005C078C">
        <w:rPr>
          <w:rFonts w:asciiTheme="minorHAnsi" w:hAnsiTheme="minorHAnsi" w:cstheme="minorHAnsi"/>
          <w:b/>
          <w:bCs/>
          <w:color w:val="2F5496" w:themeColor="accent1" w:themeShade="BF"/>
          <w:sz w:val="20"/>
          <w:szCs w:val="20"/>
        </w:rPr>
        <w:t>(attivazione classica)</w:t>
      </w:r>
      <w:r w:rsidRPr="005C078C">
        <w:rPr>
          <w:rFonts w:asciiTheme="minorHAnsi" w:hAnsiTheme="minorHAnsi" w:cstheme="minorHAnsi"/>
          <w:color w:val="2F5496" w:themeColor="accent1" w:themeShade="BF"/>
          <w:sz w:val="20"/>
          <w:szCs w:val="20"/>
        </w:rPr>
        <w:t xml:space="preserve"> </w:t>
      </w:r>
      <w:r w:rsidR="00B85F7D" w:rsidRPr="005C078C">
        <w:rPr>
          <w:rFonts w:asciiTheme="minorHAnsi" w:hAnsiTheme="minorHAnsi" w:cstheme="minorHAnsi"/>
          <w:color w:val="2F5496" w:themeColor="accent1" w:themeShade="BF"/>
          <w:sz w:val="20"/>
          <w:szCs w:val="20"/>
        </w:rPr>
        <w:t>e sono coinvolti nella risposta Th1 all’infezione</w:t>
      </w:r>
    </w:p>
    <w:p w:rsidR="00A55880" w:rsidRPr="005C078C" w:rsidRDefault="00E60B64" w:rsidP="00A55880">
      <w:pPr>
        <w:ind w:left="142"/>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 fagocitano e distruggono microbi e detriti cellulari </w:t>
      </w:r>
    </w:p>
    <w:p w:rsidR="00A55880" w:rsidRPr="005C078C" w:rsidRDefault="00E60B64" w:rsidP="00A55880">
      <w:pPr>
        <w:ind w:left="142"/>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 producono e rilasciano citochine proinfiammatorie. </w:t>
      </w:r>
    </w:p>
    <w:p w:rsidR="00B85F7D" w:rsidRPr="005C078C" w:rsidRDefault="00B85F7D" w:rsidP="00A55880">
      <w:pPr>
        <w:ind w:left="142"/>
        <w:jc w:val="both"/>
        <w:rPr>
          <w:rFonts w:asciiTheme="minorHAnsi" w:hAnsiTheme="minorHAnsi" w:cstheme="minorHAnsi"/>
          <w:color w:val="2F5496" w:themeColor="accent1" w:themeShade="BF"/>
          <w:sz w:val="20"/>
          <w:szCs w:val="20"/>
        </w:rPr>
      </w:pPr>
    </w:p>
    <w:p w:rsidR="00A55880" w:rsidRPr="005C078C" w:rsidRDefault="00E60B64" w:rsidP="00A55880">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In presenza di citochine come IL</w:t>
      </w:r>
      <w:r w:rsidR="00B85F7D" w:rsidRPr="005C078C">
        <w:rPr>
          <w:rFonts w:asciiTheme="minorHAnsi" w:hAnsiTheme="minorHAnsi" w:cstheme="minorHAnsi"/>
          <w:color w:val="2F5496" w:themeColor="accent1" w:themeShade="BF"/>
          <w:sz w:val="20"/>
          <w:szCs w:val="20"/>
        </w:rPr>
        <w:t>-</w:t>
      </w:r>
      <w:r w:rsidRPr="005C078C">
        <w:rPr>
          <w:rFonts w:asciiTheme="minorHAnsi" w:hAnsiTheme="minorHAnsi" w:cstheme="minorHAnsi"/>
          <w:color w:val="2F5496" w:themeColor="accent1" w:themeShade="BF"/>
          <w:sz w:val="20"/>
          <w:szCs w:val="20"/>
        </w:rPr>
        <w:t>13 e IL</w:t>
      </w:r>
      <w:r w:rsidR="00B85F7D" w:rsidRPr="005C078C">
        <w:rPr>
          <w:rFonts w:asciiTheme="minorHAnsi" w:hAnsiTheme="minorHAnsi" w:cstheme="minorHAnsi"/>
          <w:color w:val="2F5496" w:themeColor="accent1" w:themeShade="BF"/>
          <w:sz w:val="20"/>
          <w:szCs w:val="20"/>
        </w:rPr>
        <w:t>-</w:t>
      </w:r>
      <w:r w:rsidRPr="005C078C">
        <w:rPr>
          <w:rFonts w:asciiTheme="minorHAnsi" w:hAnsiTheme="minorHAnsi" w:cstheme="minorHAnsi"/>
          <w:color w:val="2F5496" w:themeColor="accent1" w:themeShade="BF"/>
          <w:sz w:val="20"/>
          <w:szCs w:val="20"/>
        </w:rPr>
        <w:t xml:space="preserve">4, i macrofagi </w:t>
      </w:r>
      <w:r w:rsidRPr="005C078C">
        <w:rPr>
          <w:rFonts w:asciiTheme="minorHAnsi" w:hAnsiTheme="minorHAnsi" w:cstheme="minorHAnsi"/>
          <w:b/>
          <w:bCs/>
          <w:color w:val="2F5496" w:themeColor="accent1" w:themeShade="BF"/>
          <w:sz w:val="20"/>
          <w:szCs w:val="20"/>
        </w:rPr>
        <w:t>M2 (attivazione alternativa)</w:t>
      </w:r>
      <w:r w:rsidRPr="005C078C">
        <w:rPr>
          <w:rFonts w:asciiTheme="minorHAnsi" w:hAnsiTheme="minorHAnsi" w:cstheme="minorHAnsi"/>
          <w:color w:val="2F5496" w:themeColor="accent1" w:themeShade="BF"/>
          <w:sz w:val="20"/>
          <w:szCs w:val="20"/>
        </w:rPr>
        <w:t xml:space="preserve"> producono citochine che: </w:t>
      </w:r>
    </w:p>
    <w:p w:rsidR="00A55880" w:rsidRPr="005C078C" w:rsidRDefault="00E60B64" w:rsidP="00A55880">
      <w:pPr>
        <w:ind w:left="142"/>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 antagonizzano la risposta infiammatoria </w:t>
      </w:r>
    </w:p>
    <w:p w:rsidR="00B85F7D" w:rsidRPr="005C078C" w:rsidRDefault="00E60B64" w:rsidP="00A55880">
      <w:pPr>
        <w:ind w:left="142"/>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favoriscono la riparazione e la fibros</w:t>
      </w:r>
      <w:r w:rsidR="00B85F7D" w:rsidRPr="005C078C">
        <w:rPr>
          <w:rFonts w:asciiTheme="minorHAnsi" w:hAnsiTheme="minorHAnsi" w:cstheme="minorHAnsi"/>
          <w:color w:val="2F5496" w:themeColor="accent1" w:themeShade="BF"/>
          <w:sz w:val="20"/>
          <w:szCs w:val="20"/>
        </w:rPr>
        <w:t>i</w:t>
      </w:r>
    </w:p>
    <w:p w:rsidR="00B85F7D" w:rsidRPr="005C078C" w:rsidRDefault="00B85F7D" w:rsidP="00B85F7D">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e sono implicati nella risposta Th2</w:t>
      </w:r>
    </w:p>
    <w:p w:rsidR="00B85F7D" w:rsidRDefault="00B85F7D" w:rsidP="00A55880">
      <w:pPr>
        <w:ind w:left="142"/>
        <w:jc w:val="both"/>
        <w:rPr>
          <w:rFonts w:asciiTheme="minorHAnsi" w:hAnsiTheme="minorHAnsi" w:cstheme="minorHAnsi"/>
          <w:color w:val="2F5496" w:themeColor="accent1" w:themeShade="BF"/>
          <w:sz w:val="22"/>
          <w:szCs w:val="22"/>
        </w:rPr>
      </w:pPr>
    </w:p>
    <w:p w:rsidR="00E60B64" w:rsidRDefault="00B85F7D" w:rsidP="005C078C">
      <w:pPr>
        <w:ind w:left="142"/>
        <w:jc w:val="center"/>
        <w:rPr>
          <w:rFonts w:asciiTheme="minorHAnsi" w:hAnsiTheme="minorHAnsi" w:cstheme="minorHAnsi"/>
          <w:color w:val="2F5496" w:themeColor="accent1" w:themeShade="BF"/>
          <w:sz w:val="22"/>
          <w:szCs w:val="22"/>
        </w:rPr>
      </w:pPr>
      <w:r>
        <w:rPr>
          <w:rFonts w:asciiTheme="minorHAnsi" w:hAnsiTheme="minorHAnsi" w:cstheme="minorHAnsi"/>
          <w:noProof/>
          <w:color w:val="4472C4" w:themeColor="accent1"/>
          <w:sz w:val="22"/>
          <w:szCs w:val="22"/>
        </w:rPr>
        <w:drawing>
          <wp:inline distT="0" distB="0" distL="0" distR="0" wp14:anchorId="658AAD68" wp14:editId="142B6972">
            <wp:extent cx="4962698" cy="1887804"/>
            <wp:effectExtent l="0" t="0" r="3175" b="508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hermata 2020-06-04 alle 20.45.40.png"/>
                    <pic:cNvPicPr/>
                  </pic:nvPicPr>
                  <pic:blipFill>
                    <a:blip r:embed="rId44">
                      <a:extLst>
                        <a:ext uri="{28A0092B-C50C-407E-A947-70E740481C1C}">
                          <a14:useLocalDpi xmlns:a14="http://schemas.microsoft.com/office/drawing/2010/main" val="0"/>
                        </a:ext>
                      </a:extLst>
                    </a:blip>
                    <a:stretch>
                      <a:fillRect/>
                    </a:stretch>
                  </pic:blipFill>
                  <pic:spPr>
                    <a:xfrm>
                      <a:off x="0" y="0"/>
                      <a:ext cx="5047238" cy="1919963"/>
                    </a:xfrm>
                    <a:prstGeom prst="rect">
                      <a:avLst/>
                    </a:prstGeom>
                  </pic:spPr>
                </pic:pic>
              </a:graphicData>
            </a:graphic>
          </wp:inline>
        </w:drawing>
      </w:r>
    </w:p>
    <w:p w:rsidR="00B85F7D" w:rsidRPr="00471D4A" w:rsidRDefault="00B85F7D" w:rsidP="00471D4A">
      <w:pPr>
        <w:shd w:val="clear" w:color="auto" w:fill="F2F2F2" w:themeFill="background1" w:themeFillShade="F2"/>
        <w:rPr>
          <w:rFonts w:asciiTheme="minorHAnsi" w:hAnsiTheme="minorHAnsi" w:cstheme="minorHAnsi"/>
          <w:color w:val="2F5496" w:themeColor="accent1" w:themeShade="BF"/>
          <w:sz w:val="18"/>
          <w:szCs w:val="18"/>
        </w:rPr>
      </w:pPr>
      <w:r w:rsidRPr="00471D4A">
        <w:rPr>
          <w:rFonts w:asciiTheme="minorHAnsi" w:hAnsiTheme="minorHAnsi" w:cstheme="minorHAnsi"/>
          <w:color w:val="2F5496" w:themeColor="accent1" w:themeShade="BF"/>
          <w:sz w:val="18"/>
          <w:szCs w:val="18"/>
        </w:rPr>
        <w:t xml:space="preserve">Tratta da </w:t>
      </w:r>
      <w:hyperlink r:id="rId45" w:history="1">
        <w:r w:rsidRPr="00471D4A">
          <w:rPr>
            <w:rStyle w:val="Hyperlink"/>
            <w:rFonts w:asciiTheme="minorHAnsi" w:eastAsiaTheme="majorEastAsia" w:hAnsiTheme="minorHAnsi" w:cstheme="minorHAnsi"/>
            <w:color w:val="2F5496" w:themeColor="accent1" w:themeShade="BF"/>
            <w:sz w:val="18"/>
            <w:szCs w:val="18"/>
            <w:u w:val="none"/>
          </w:rPr>
          <w:t>https://www.uniba.it/docenti/coluccia-mauro/attivita-didattica/materiale-didattico/2-infiammazione.pdf</w:t>
        </w:r>
      </w:hyperlink>
    </w:p>
    <w:p w:rsidR="00B85F7D" w:rsidRPr="00E60B64" w:rsidRDefault="00B85F7D" w:rsidP="00A55880">
      <w:pPr>
        <w:ind w:left="142"/>
        <w:jc w:val="both"/>
        <w:rPr>
          <w:rFonts w:asciiTheme="minorHAnsi" w:hAnsiTheme="minorHAnsi" w:cstheme="minorHAnsi"/>
          <w:color w:val="2F5496" w:themeColor="accent1" w:themeShade="BF"/>
          <w:sz w:val="22"/>
          <w:szCs w:val="22"/>
        </w:rPr>
      </w:pPr>
    </w:p>
    <w:p w:rsidR="00892F48" w:rsidRDefault="00A55880" w:rsidP="00CF29C5">
      <w:pPr>
        <w:jc w:val="center"/>
        <w:rPr>
          <w:rFonts w:asciiTheme="minorHAnsi" w:hAnsiTheme="minorHAnsi" w:cstheme="minorHAnsi"/>
          <w:color w:val="2F5496" w:themeColor="accent1" w:themeShade="BF"/>
          <w:sz w:val="22"/>
          <w:szCs w:val="22"/>
        </w:rPr>
      </w:pPr>
      <w:r>
        <w:rPr>
          <w:rFonts w:asciiTheme="minorHAnsi" w:hAnsiTheme="minorHAnsi" w:cstheme="minorHAnsi"/>
          <w:noProof/>
          <w:color w:val="4472C4" w:themeColor="accent1"/>
          <w:sz w:val="22"/>
          <w:szCs w:val="22"/>
        </w:rPr>
        <w:drawing>
          <wp:inline distT="0" distB="0" distL="0" distR="0">
            <wp:extent cx="5185924" cy="3609474"/>
            <wp:effectExtent l="0" t="0" r="0" b="0"/>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hermata 2020-06-04 alle 20.53.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82502" cy="3676693"/>
                    </a:xfrm>
                    <a:prstGeom prst="rect">
                      <a:avLst/>
                    </a:prstGeom>
                  </pic:spPr>
                </pic:pic>
              </a:graphicData>
            </a:graphic>
          </wp:inline>
        </w:drawing>
      </w:r>
    </w:p>
    <w:p w:rsidR="00A55880" w:rsidRPr="00471D4A" w:rsidRDefault="00A55880" w:rsidP="00471D4A">
      <w:pPr>
        <w:shd w:val="clear" w:color="auto" w:fill="F2F2F2" w:themeFill="background1" w:themeFillShade="F2"/>
        <w:rPr>
          <w:rFonts w:asciiTheme="minorHAnsi" w:hAnsiTheme="minorHAnsi" w:cstheme="minorHAnsi"/>
          <w:color w:val="2F5496" w:themeColor="accent1" w:themeShade="BF"/>
          <w:sz w:val="18"/>
          <w:szCs w:val="18"/>
        </w:rPr>
      </w:pPr>
      <w:r w:rsidRPr="00471D4A">
        <w:rPr>
          <w:rFonts w:asciiTheme="minorHAnsi" w:hAnsiTheme="minorHAnsi" w:cstheme="minorHAnsi"/>
          <w:color w:val="2F5496" w:themeColor="accent1" w:themeShade="BF"/>
          <w:sz w:val="18"/>
          <w:szCs w:val="18"/>
        </w:rPr>
        <w:t xml:space="preserve">Tratta da </w:t>
      </w:r>
      <w:hyperlink r:id="rId47" w:history="1">
        <w:r w:rsidRPr="00471D4A">
          <w:rPr>
            <w:rStyle w:val="Hyperlink"/>
            <w:rFonts w:asciiTheme="minorHAnsi" w:eastAsiaTheme="majorEastAsia" w:hAnsiTheme="minorHAnsi" w:cstheme="minorHAnsi"/>
            <w:color w:val="2F5496" w:themeColor="accent1" w:themeShade="BF"/>
            <w:sz w:val="18"/>
            <w:szCs w:val="18"/>
            <w:u w:val="none"/>
          </w:rPr>
          <w:t>https://www.researchgate.net/publication/330966366_M1_and_M2_polarization_of_macrophages_a_mini-review</w:t>
        </w:r>
      </w:hyperlink>
    </w:p>
    <w:p w:rsidR="00A55880" w:rsidRPr="00471D4A" w:rsidRDefault="00A55880" w:rsidP="00471D4A">
      <w:pPr>
        <w:shd w:val="clear" w:color="auto" w:fill="F2F2F2" w:themeFill="background1" w:themeFillShade="F2"/>
        <w:jc w:val="both"/>
        <w:rPr>
          <w:rFonts w:asciiTheme="minorHAnsi" w:hAnsiTheme="minorHAnsi" w:cstheme="minorHAnsi"/>
          <w:color w:val="2F5496" w:themeColor="accent1" w:themeShade="BF"/>
          <w:sz w:val="18"/>
          <w:szCs w:val="18"/>
        </w:rPr>
      </w:pPr>
      <w:r w:rsidRPr="00471D4A">
        <w:rPr>
          <w:rFonts w:asciiTheme="minorHAnsi" w:hAnsiTheme="minorHAnsi" w:cstheme="minorHAnsi"/>
          <w:b/>
          <w:bCs/>
          <w:color w:val="2F5496" w:themeColor="accent1" w:themeShade="BF"/>
          <w:sz w:val="18"/>
          <w:szCs w:val="18"/>
        </w:rPr>
        <w:lastRenderedPageBreak/>
        <w:t>Polarizzazione M1 e M2 dei macrofagi</w:t>
      </w:r>
      <w:r w:rsidRPr="00471D4A">
        <w:rPr>
          <w:rFonts w:asciiTheme="minorHAnsi" w:hAnsiTheme="minorHAnsi" w:cstheme="minorHAnsi"/>
          <w:color w:val="2F5496" w:themeColor="accent1" w:themeShade="BF"/>
          <w:sz w:val="18"/>
          <w:szCs w:val="18"/>
        </w:rPr>
        <w:t xml:space="preserve">. La polarizzazione </w:t>
      </w:r>
      <w:r w:rsidR="00B85F7D" w:rsidRPr="00471D4A">
        <w:rPr>
          <w:rFonts w:asciiTheme="minorHAnsi" w:hAnsiTheme="minorHAnsi" w:cstheme="minorHAnsi"/>
          <w:color w:val="2F5496" w:themeColor="accent1" w:themeShade="BF"/>
          <w:sz w:val="18"/>
          <w:szCs w:val="18"/>
        </w:rPr>
        <w:t xml:space="preserve">pro-infiammatoria </w:t>
      </w:r>
      <w:r w:rsidRPr="00471D4A">
        <w:rPr>
          <w:rFonts w:asciiTheme="minorHAnsi" w:hAnsiTheme="minorHAnsi" w:cstheme="minorHAnsi"/>
          <w:color w:val="2F5496" w:themeColor="accent1" w:themeShade="BF"/>
          <w:sz w:val="18"/>
          <w:szCs w:val="18"/>
        </w:rPr>
        <w:t>M1 e antinfiammatoria M2</w:t>
      </w:r>
      <w:r w:rsidR="00B85F7D" w:rsidRPr="00471D4A">
        <w:rPr>
          <w:rFonts w:asciiTheme="minorHAnsi" w:hAnsiTheme="minorHAnsi" w:cstheme="minorHAnsi"/>
          <w:color w:val="2F5496" w:themeColor="accent1" w:themeShade="BF"/>
          <w:sz w:val="18"/>
          <w:szCs w:val="18"/>
        </w:rPr>
        <w:t xml:space="preserve"> </w:t>
      </w:r>
      <w:r w:rsidRPr="00471D4A">
        <w:rPr>
          <w:rFonts w:asciiTheme="minorHAnsi" w:hAnsiTheme="minorHAnsi" w:cstheme="minorHAnsi"/>
          <w:color w:val="2F5496" w:themeColor="accent1" w:themeShade="BF"/>
          <w:sz w:val="18"/>
          <w:szCs w:val="18"/>
        </w:rPr>
        <w:t xml:space="preserve">dei macrofagi. </w:t>
      </w:r>
      <w:r w:rsidR="00B85F7D" w:rsidRPr="00471D4A">
        <w:rPr>
          <w:rFonts w:asciiTheme="minorHAnsi" w:hAnsiTheme="minorHAnsi" w:cstheme="minorHAnsi"/>
          <w:color w:val="2F5496" w:themeColor="accent1" w:themeShade="BF"/>
          <w:sz w:val="18"/>
          <w:szCs w:val="18"/>
        </w:rPr>
        <w:t>L’i</w:t>
      </w:r>
      <w:r w:rsidRPr="00471D4A">
        <w:rPr>
          <w:rFonts w:asciiTheme="minorHAnsi" w:hAnsiTheme="minorHAnsi" w:cstheme="minorHAnsi"/>
          <w:color w:val="2F5496" w:themeColor="accent1" w:themeShade="BF"/>
          <w:sz w:val="18"/>
          <w:szCs w:val="18"/>
        </w:rPr>
        <w:t>nterferone-g</w:t>
      </w:r>
      <w:r w:rsidR="00B85F7D" w:rsidRPr="00471D4A">
        <w:rPr>
          <w:rFonts w:asciiTheme="minorHAnsi" w:hAnsiTheme="minorHAnsi" w:cstheme="minorHAnsi"/>
          <w:color w:val="2F5496" w:themeColor="accent1" w:themeShade="BF"/>
          <w:sz w:val="18"/>
          <w:szCs w:val="18"/>
        </w:rPr>
        <w:t xml:space="preserve">amma </w:t>
      </w:r>
      <w:r w:rsidRPr="00471D4A">
        <w:rPr>
          <w:rFonts w:asciiTheme="minorHAnsi" w:hAnsiTheme="minorHAnsi" w:cstheme="minorHAnsi"/>
          <w:color w:val="2F5496" w:themeColor="accent1" w:themeShade="BF"/>
          <w:sz w:val="18"/>
          <w:szCs w:val="18"/>
        </w:rPr>
        <w:t xml:space="preserve">e </w:t>
      </w:r>
      <w:r w:rsidR="00B85F7D" w:rsidRPr="00471D4A">
        <w:rPr>
          <w:rFonts w:asciiTheme="minorHAnsi" w:hAnsiTheme="minorHAnsi" w:cstheme="minorHAnsi"/>
          <w:color w:val="2F5496" w:themeColor="accent1" w:themeShade="BF"/>
          <w:sz w:val="18"/>
          <w:szCs w:val="18"/>
        </w:rPr>
        <w:t>l’</w:t>
      </w:r>
      <w:r w:rsidRPr="00471D4A">
        <w:rPr>
          <w:rFonts w:asciiTheme="minorHAnsi" w:hAnsiTheme="minorHAnsi" w:cstheme="minorHAnsi"/>
          <w:color w:val="2F5496" w:themeColor="accent1" w:themeShade="BF"/>
          <w:sz w:val="18"/>
          <w:szCs w:val="18"/>
        </w:rPr>
        <w:t xml:space="preserve">LPS </w:t>
      </w:r>
      <w:r w:rsidR="00B85F7D" w:rsidRPr="00471D4A">
        <w:rPr>
          <w:rFonts w:asciiTheme="minorHAnsi" w:hAnsiTheme="minorHAnsi" w:cstheme="minorHAnsi"/>
          <w:color w:val="2F5496" w:themeColor="accent1" w:themeShade="BF"/>
          <w:sz w:val="18"/>
          <w:szCs w:val="18"/>
        </w:rPr>
        <w:t>s</w:t>
      </w:r>
      <w:r w:rsidRPr="00471D4A">
        <w:rPr>
          <w:rFonts w:asciiTheme="minorHAnsi" w:hAnsiTheme="minorHAnsi" w:cstheme="minorHAnsi"/>
          <w:color w:val="2F5496" w:themeColor="accent1" w:themeShade="BF"/>
          <w:sz w:val="18"/>
          <w:szCs w:val="18"/>
        </w:rPr>
        <w:t>ono i principali stimolatori d</w:t>
      </w:r>
      <w:r w:rsidR="00B85F7D" w:rsidRPr="00471D4A">
        <w:rPr>
          <w:rFonts w:asciiTheme="minorHAnsi" w:hAnsiTheme="minorHAnsi" w:cstheme="minorHAnsi"/>
          <w:color w:val="2F5496" w:themeColor="accent1" w:themeShade="BF"/>
          <w:sz w:val="18"/>
          <w:szCs w:val="18"/>
        </w:rPr>
        <w:t>ella p</w:t>
      </w:r>
      <w:r w:rsidRPr="00471D4A">
        <w:rPr>
          <w:rFonts w:asciiTheme="minorHAnsi" w:hAnsiTheme="minorHAnsi" w:cstheme="minorHAnsi"/>
          <w:color w:val="2F5496" w:themeColor="accent1" w:themeShade="BF"/>
          <w:sz w:val="18"/>
          <w:szCs w:val="18"/>
        </w:rPr>
        <w:t xml:space="preserve">olarizzazione M1, mentre </w:t>
      </w:r>
      <w:r w:rsidR="00B85F7D" w:rsidRPr="00471D4A">
        <w:rPr>
          <w:rFonts w:asciiTheme="minorHAnsi" w:hAnsiTheme="minorHAnsi" w:cstheme="minorHAnsi"/>
          <w:color w:val="2F5496" w:themeColor="accent1" w:themeShade="BF"/>
          <w:sz w:val="18"/>
          <w:szCs w:val="18"/>
        </w:rPr>
        <w:t>l’</w:t>
      </w:r>
      <w:r w:rsidRPr="00471D4A">
        <w:rPr>
          <w:rFonts w:asciiTheme="minorHAnsi" w:hAnsiTheme="minorHAnsi" w:cstheme="minorHAnsi"/>
          <w:color w:val="2F5496" w:themeColor="accent1" w:themeShade="BF"/>
          <w:sz w:val="18"/>
          <w:szCs w:val="18"/>
        </w:rPr>
        <w:t>interleuchina-4</w:t>
      </w:r>
      <w:r w:rsidR="00B85F7D" w:rsidRPr="00471D4A">
        <w:rPr>
          <w:rFonts w:asciiTheme="minorHAnsi" w:hAnsiTheme="minorHAnsi" w:cstheme="minorHAnsi"/>
          <w:color w:val="2F5496" w:themeColor="accent1" w:themeShade="BF"/>
          <w:sz w:val="18"/>
          <w:szCs w:val="18"/>
        </w:rPr>
        <w:t xml:space="preserve"> </w:t>
      </w:r>
      <w:r w:rsidRPr="00471D4A">
        <w:rPr>
          <w:rFonts w:asciiTheme="minorHAnsi" w:hAnsiTheme="minorHAnsi" w:cstheme="minorHAnsi"/>
          <w:color w:val="2F5496" w:themeColor="accent1" w:themeShade="BF"/>
          <w:sz w:val="18"/>
          <w:szCs w:val="18"/>
        </w:rPr>
        <w:t>e 13 sono induttori della polarizzazione M2.</w:t>
      </w:r>
      <w:r w:rsidR="00B85F7D" w:rsidRPr="00471D4A">
        <w:rPr>
          <w:rFonts w:asciiTheme="minorHAnsi" w:hAnsiTheme="minorHAnsi" w:cstheme="minorHAnsi"/>
          <w:color w:val="2F5496" w:themeColor="accent1" w:themeShade="BF"/>
          <w:sz w:val="18"/>
          <w:szCs w:val="18"/>
        </w:rPr>
        <w:t xml:space="preserve"> </w:t>
      </w:r>
      <w:r w:rsidRPr="00471D4A">
        <w:rPr>
          <w:rFonts w:asciiTheme="minorHAnsi" w:hAnsiTheme="minorHAnsi" w:cstheme="minorHAnsi"/>
          <w:color w:val="2F5496" w:themeColor="accent1" w:themeShade="BF"/>
          <w:sz w:val="18"/>
          <w:szCs w:val="18"/>
        </w:rPr>
        <w:t>L'attivazione M1 è associata a infiammazione,</w:t>
      </w:r>
      <w:r w:rsidR="00B85F7D" w:rsidRPr="00471D4A">
        <w:rPr>
          <w:rFonts w:asciiTheme="minorHAnsi" w:hAnsiTheme="minorHAnsi" w:cstheme="minorHAnsi"/>
          <w:color w:val="2F5496" w:themeColor="accent1" w:themeShade="BF"/>
          <w:sz w:val="18"/>
          <w:szCs w:val="18"/>
        </w:rPr>
        <w:t xml:space="preserve"> </w:t>
      </w:r>
      <w:r w:rsidRPr="00471D4A">
        <w:rPr>
          <w:rFonts w:asciiTheme="minorHAnsi" w:hAnsiTheme="minorHAnsi" w:cstheme="minorHAnsi"/>
          <w:color w:val="2F5496" w:themeColor="accent1" w:themeShade="BF"/>
          <w:sz w:val="18"/>
          <w:szCs w:val="18"/>
        </w:rPr>
        <w:t xml:space="preserve">resistenza al tumore e </w:t>
      </w:r>
      <w:r w:rsidR="00B85F7D" w:rsidRPr="00471D4A">
        <w:rPr>
          <w:rFonts w:asciiTheme="minorHAnsi" w:hAnsiTheme="minorHAnsi" w:cstheme="minorHAnsi"/>
          <w:color w:val="2F5496" w:themeColor="accent1" w:themeShade="BF"/>
          <w:sz w:val="18"/>
          <w:szCs w:val="18"/>
        </w:rPr>
        <w:t>rigetto dei trapianti</w:t>
      </w:r>
      <w:r w:rsidRPr="00471D4A">
        <w:rPr>
          <w:rFonts w:asciiTheme="minorHAnsi" w:hAnsiTheme="minorHAnsi" w:cstheme="minorHAnsi"/>
          <w:color w:val="2F5496" w:themeColor="accent1" w:themeShade="BF"/>
          <w:sz w:val="18"/>
          <w:szCs w:val="18"/>
        </w:rPr>
        <w:t>.</w:t>
      </w:r>
      <w:r w:rsidR="00B85F7D" w:rsidRPr="00471D4A">
        <w:rPr>
          <w:rFonts w:asciiTheme="minorHAnsi" w:hAnsiTheme="minorHAnsi" w:cstheme="minorHAnsi"/>
          <w:color w:val="2F5496" w:themeColor="accent1" w:themeShade="BF"/>
          <w:sz w:val="18"/>
          <w:szCs w:val="18"/>
        </w:rPr>
        <w:t xml:space="preserve"> </w:t>
      </w:r>
      <w:r w:rsidRPr="00471D4A">
        <w:rPr>
          <w:rFonts w:asciiTheme="minorHAnsi" w:hAnsiTheme="minorHAnsi" w:cstheme="minorHAnsi"/>
          <w:color w:val="2F5496" w:themeColor="accent1" w:themeShade="BF"/>
          <w:sz w:val="18"/>
          <w:szCs w:val="18"/>
        </w:rPr>
        <w:t>L'attivazione M2 è associata a</w:t>
      </w:r>
      <w:r w:rsidR="00B85F7D" w:rsidRPr="00471D4A">
        <w:rPr>
          <w:rFonts w:asciiTheme="minorHAnsi" w:hAnsiTheme="minorHAnsi" w:cstheme="minorHAnsi"/>
          <w:color w:val="2F5496" w:themeColor="accent1" w:themeShade="BF"/>
          <w:sz w:val="18"/>
          <w:szCs w:val="18"/>
        </w:rPr>
        <w:t xml:space="preserve"> </w:t>
      </w:r>
      <w:r w:rsidRPr="00471D4A">
        <w:rPr>
          <w:rFonts w:asciiTheme="minorHAnsi" w:hAnsiTheme="minorHAnsi" w:cstheme="minorHAnsi"/>
          <w:color w:val="2F5496" w:themeColor="accent1" w:themeShade="BF"/>
          <w:sz w:val="18"/>
          <w:szCs w:val="18"/>
        </w:rPr>
        <w:t>regolazione immunitaria, deposizione di matrice,</w:t>
      </w:r>
      <w:r w:rsidR="00B85F7D" w:rsidRPr="00471D4A">
        <w:rPr>
          <w:rFonts w:asciiTheme="minorHAnsi" w:hAnsiTheme="minorHAnsi" w:cstheme="minorHAnsi"/>
          <w:color w:val="2F5496" w:themeColor="accent1" w:themeShade="BF"/>
          <w:sz w:val="18"/>
          <w:szCs w:val="18"/>
        </w:rPr>
        <w:t xml:space="preserve"> </w:t>
      </w:r>
      <w:r w:rsidRPr="00471D4A">
        <w:rPr>
          <w:rFonts w:asciiTheme="minorHAnsi" w:hAnsiTheme="minorHAnsi" w:cstheme="minorHAnsi"/>
          <w:color w:val="2F5496" w:themeColor="accent1" w:themeShade="BF"/>
          <w:sz w:val="18"/>
          <w:szCs w:val="18"/>
        </w:rPr>
        <w:t xml:space="preserve">rimodellamento dei tessuti e </w:t>
      </w:r>
      <w:r w:rsidR="00B85F7D" w:rsidRPr="00471D4A">
        <w:rPr>
          <w:rFonts w:asciiTheme="minorHAnsi" w:hAnsiTheme="minorHAnsi" w:cstheme="minorHAnsi"/>
          <w:color w:val="2F5496" w:themeColor="accent1" w:themeShade="BF"/>
          <w:sz w:val="18"/>
          <w:szCs w:val="18"/>
        </w:rPr>
        <w:t>tolleranza del trapianto</w:t>
      </w:r>
      <w:r w:rsidRPr="00471D4A">
        <w:rPr>
          <w:rFonts w:asciiTheme="minorHAnsi" w:hAnsiTheme="minorHAnsi" w:cstheme="minorHAnsi"/>
          <w:color w:val="2F5496" w:themeColor="accent1" w:themeShade="BF"/>
          <w:sz w:val="18"/>
          <w:szCs w:val="18"/>
        </w:rPr>
        <w:t>.</w:t>
      </w:r>
      <w:r w:rsidR="00B85F7D" w:rsidRPr="00471D4A">
        <w:rPr>
          <w:rFonts w:asciiTheme="minorHAnsi" w:hAnsiTheme="minorHAnsi" w:cstheme="minorHAnsi"/>
          <w:color w:val="2F5496" w:themeColor="accent1" w:themeShade="BF"/>
          <w:sz w:val="18"/>
          <w:szCs w:val="18"/>
        </w:rPr>
        <w:t xml:space="preserve"> </w:t>
      </w:r>
      <w:r w:rsidRPr="00471D4A">
        <w:rPr>
          <w:rFonts w:asciiTheme="minorHAnsi" w:hAnsiTheme="minorHAnsi" w:cstheme="minorHAnsi"/>
          <w:color w:val="2F5496" w:themeColor="accent1" w:themeShade="BF"/>
          <w:sz w:val="18"/>
          <w:szCs w:val="18"/>
        </w:rPr>
        <w:t>IFN: interferone, LPS: lipopolisaccaride,</w:t>
      </w:r>
      <w:r w:rsidR="00B85F7D" w:rsidRPr="00471D4A">
        <w:rPr>
          <w:rFonts w:asciiTheme="minorHAnsi" w:hAnsiTheme="minorHAnsi" w:cstheme="minorHAnsi"/>
          <w:color w:val="2F5496" w:themeColor="accent1" w:themeShade="BF"/>
          <w:sz w:val="18"/>
          <w:szCs w:val="18"/>
        </w:rPr>
        <w:t xml:space="preserve"> </w:t>
      </w:r>
      <w:r w:rsidRPr="00471D4A">
        <w:rPr>
          <w:rFonts w:asciiTheme="minorHAnsi" w:hAnsiTheme="minorHAnsi" w:cstheme="minorHAnsi"/>
          <w:color w:val="2F5496" w:themeColor="accent1" w:themeShade="BF"/>
          <w:sz w:val="18"/>
          <w:szCs w:val="18"/>
        </w:rPr>
        <w:t xml:space="preserve">IL: interleuchina, iNOS: </w:t>
      </w:r>
      <w:r w:rsidR="00B85F7D" w:rsidRPr="00471D4A">
        <w:rPr>
          <w:rFonts w:asciiTheme="minorHAnsi" w:hAnsiTheme="minorHAnsi" w:cstheme="minorHAnsi"/>
          <w:color w:val="2F5496" w:themeColor="accent1" w:themeShade="BF"/>
          <w:sz w:val="18"/>
          <w:szCs w:val="18"/>
        </w:rPr>
        <w:t xml:space="preserve">ossido nitrico sintasi </w:t>
      </w:r>
      <w:r w:rsidRPr="00471D4A">
        <w:rPr>
          <w:rFonts w:asciiTheme="minorHAnsi" w:hAnsiTheme="minorHAnsi" w:cstheme="minorHAnsi"/>
          <w:color w:val="2F5496" w:themeColor="accent1" w:themeShade="BF"/>
          <w:sz w:val="18"/>
          <w:szCs w:val="18"/>
        </w:rPr>
        <w:t xml:space="preserve">inducibile, TNF: </w:t>
      </w:r>
      <w:r w:rsidR="00B85F7D" w:rsidRPr="00471D4A">
        <w:rPr>
          <w:rFonts w:asciiTheme="minorHAnsi" w:hAnsiTheme="minorHAnsi" w:cstheme="minorHAnsi"/>
          <w:color w:val="2F5496" w:themeColor="accent1" w:themeShade="BF"/>
          <w:sz w:val="18"/>
          <w:szCs w:val="18"/>
        </w:rPr>
        <w:t xml:space="preserve">fattore di </w:t>
      </w:r>
      <w:r w:rsidRPr="00471D4A">
        <w:rPr>
          <w:rFonts w:asciiTheme="minorHAnsi" w:hAnsiTheme="minorHAnsi" w:cstheme="minorHAnsi"/>
          <w:color w:val="2F5496" w:themeColor="accent1" w:themeShade="BF"/>
          <w:sz w:val="18"/>
          <w:szCs w:val="18"/>
        </w:rPr>
        <w:t xml:space="preserve">necrosi tumorale, MCP: </w:t>
      </w:r>
      <w:r w:rsidR="00B85F7D" w:rsidRPr="00471D4A">
        <w:rPr>
          <w:rFonts w:asciiTheme="minorHAnsi" w:hAnsiTheme="minorHAnsi" w:cstheme="minorHAnsi"/>
          <w:color w:val="2F5496" w:themeColor="accent1" w:themeShade="BF"/>
          <w:sz w:val="18"/>
          <w:szCs w:val="18"/>
        </w:rPr>
        <w:t xml:space="preserve">proteina </w:t>
      </w:r>
      <w:r w:rsidRPr="00471D4A">
        <w:rPr>
          <w:rFonts w:asciiTheme="minorHAnsi" w:hAnsiTheme="minorHAnsi" w:cstheme="minorHAnsi"/>
          <w:color w:val="2F5496" w:themeColor="accent1" w:themeShade="BF"/>
          <w:sz w:val="18"/>
          <w:szCs w:val="18"/>
        </w:rPr>
        <w:t>chemoattra</w:t>
      </w:r>
      <w:r w:rsidR="00B85F7D" w:rsidRPr="00471D4A">
        <w:rPr>
          <w:rFonts w:asciiTheme="minorHAnsi" w:hAnsiTheme="minorHAnsi" w:cstheme="minorHAnsi"/>
          <w:color w:val="2F5496" w:themeColor="accent1" w:themeShade="BF"/>
          <w:sz w:val="18"/>
          <w:szCs w:val="18"/>
        </w:rPr>
        <w:t xml:space="preserve">ttiva de </w:t>
      </w:r>
      <w:r w:rsidRPr="00471D4A">
        <w:rPr>
          <w:rFonts w:asciiTheme="minorHAnsi" w:hAnsiTheme="minorHAnsi" w:cstheme="minorHAnsi"/>
          <w:color w:val="2F5496" w:themeColor="accent1" w:themeShade="BF"/>
          <w:sz w:val="18"/>
          <w:szCs w:val="18"/>
        </w:rPr>
        <w:t>monocit</w:t>
      </w:r>
      <w:r w:rsidR="00B85F7D" w:rsidRPr="00471D4A">
        <w:rPr>
          <w:rFonts w:asciiTheme="minorHAnsi" w:hAnsiTheme="minorHAnsi" w:cstheme="minorHAnsi"/>
          <w:color w:val="2F5496" w:themeColor="accent1" w:themeShade="BF"/>
          <w:sz w:val="18"/>
          <w:szCs w:val="18"/>
        </w:rPr>
        <w:t>i</w:t>
      </w:r>
      <w:r w:rsidRPr="00471D4A">
        <w:rPr>
          <w:rFonts w:asciiTheme="minorHAnsi" w:hAnsiTheme="minorHAnsi" w:cstheme="minorHAnsi"/>
          <w:color w:val="2F5496" w:themeColor="accent1" w:themeShade="BF"/>
          <w:sz w:val="18"/>
          <w:szCs w:val="18"/>
        </w:rPr>
        <w:t>, CD: cluster di differenziazione,Ym1: chitinas</w:t>
      </w:r>
      <w:r w:rsidR="00B85F7D" w:rsidRPr="00471D4A">
        <w:rPr>
          <w:rFonts w:asciiTheme="minorHAnsi" w:hAnsiTheme="minorHAnsi" w:cstheme="minorHAnsi"/>
          <w:color w:val="2F5496" w:themeColor="accent1" w:themeShade="BF"/>
          <w:sz w:val="18"/>
          <w:szCs w:val="18"/>
        </w:rPr>
        <w:t>i</w:t>
      </w:r>
      <w:r w:rsidRPr="00471D4A">
        <w:rPr>
          <w:rFonts w:asciiTheme="minorHAnsi" w:hAnsiTheme="minorHAnsi" w:cstheme="minorHAnsi"/>
          <w:color w:val="2F5496" w:themeColor="accent1" w:themeShade="BF"/>
          <w:sz w:val="18"/>
          <w:szCs w:val="18"/>
        </w:rPr>
        <w:t xml:space="preserve">-like 3, TGF: </w:t>
      </w:r>
      <w:r w:rsidR="00B85F7D" w:rsidRPr="00471D4A">
        <w:rPr>
          <w:rFonts w:asciiTheme="minorHAnsi" w:hAnsiTheme="minorHAnsi" w:cstheme="minorHAnsi"/>
          <w:color w:val="2F5496" w:themeColor="accent1" w:themeShade="BF"/>
          <w:sz w:val="18"/>
          <w:szCs w:val="18"/>
        </w:rPr>
        <w:t xml:space="preserve">fattore di crescita </w:t>
      </w:r>
      <w:r w:rsidRPr="00471D4A">
        <w:rPr>
          <w:rFonts w:asciiTheme="minorHAnsi" w:hAnsiTheme="minorHAnsi" w:cstheme="minorHAnsi"/>
          <w:color w:val="2F5496" w:themeColor="accent1" w:themeShade="BF"/>
          <w:sz w:val="18"/>
          <w:szCs w:val="18"/>
        </w:rPr>
        <w:t>trasforma</w:t>
      </w:r>
      <w:r w:rsidR="00B85F7D" w:rsidRPr="00471D4A">
        <w:rPr>
          <w:rFonts w:asciiTheme="minorHAnsi" w:hAnsiTheme="minorHAnsi" w:cstheme="minorHAnsi"/>
          <w:color w:val="2F5496" w:themeColor="accent1" w:themeShade="BF"/>
          <w:sz w:val="18"/>
          <w:szCs w:val="18"/>
        </w:rPr>
        <w:t>nte</w:t>
      </w:r>
      <w:r w:rsidRPr="00471D4A">
        <w:rPr>
          <w:rFonts w:asciiTheme="minorHAnsi" w:hAnsiTheme="minorHAnsi" w:cstheme="minorHAnsi"/>
          <w:color w:val="2F5496" w:themeColor="accent1" w:themeShade="BF"/>
          <w:sz w:val="18"/>
          <w:szCs w:val="18"/>
        </w:rPr>
        <w:t xml:space="preserve">, VEGF: </w:t>
      </w:r>
      <w:r w:rsidR="00B85F7D" w:rsidRPr="00471D4A">
        <w:rPr>
          <w:rFonts w:asciiTheme="minorHAnsi" w:hAnsiTheme="minorHAnsi" w:cstheme="minorHAnsi"/>
          <w:color w:val="2F5496" w:themeColor="accent1" w:themeShade="BF"/>
          <w:sz w:val="18"/>
          <w:szCs w:val="18"/>
        </w:rPr>
        <w:t xml:space="preserve">fattore di crescita </w:t>
      </w:r>
      <w:r w:rsidRPr="00471D4A">
        <w:rPr>
          <w:rFonts w:asciiTheme="minorHAnsi" w:hAnsiTheme="minorHAnsi" w:cstheme="minorHAnsi"/>
          <w:color w:val="2F5496" w:themeColor="accent1" w:themeShade="BF"/>
          <w:sz w:val="18"/>
          <w:szCs w:val="18"/>
        </w:rPr>
        <w:t>endoteliale vascolare</w:t>
      </w:r>
    </w:p>
    <w:p w:rsidR="00A55880" w:rsidRPr="00A55880" w:rsidRDefault="00A55880" w:rsidP="00B85F7D">
      <w:pPr>
        <w:jc w:val="both"/>
        <w:rPr>
          <w:rFonts w:asciiTheme="minorHAnsi" w:hAnsiTheme="minorHAnsi" w:cstheme="minorHAnsi"/>
          <w:color w:val="2F5496" w:themeColor="accent1" w:themeShade="BF"/>
          <w:sz w:val="16"/>
          <w:szCs w:val="16"/>
        </w:rPr>
      </w:pPr>
      <w:r w:rsidRPr="00A55880">
        <w:rPr>
          <w:rFonts w:asciiTheme="minorHAnsi" w:hAnsiTheme="minorHAnsi" w:cstheme="minorHAnsi"/>
          <w:color w:val="2F5496" w:themeColor="accent1" w:themeShade="BF"/>
          <w:sz w:val="16"/>
          <w:szCs w:val="16"/>
        </w:rPr>
        <w:t>.</w:t>
      </w:r>
    </w:p>
    <w:p w:rsidR="00A55880" w:rsidRDefault="00A55880" w:rsidP="00CF29C5">
      <w:pPr>
        <w:jc w:val="center"/>
        <w:rPr>
          <w:rFonts w:asciiTheme="minorHAnsi" w:hAnsiTheme="minorHAnsi" w:cstheme="minorHAnsi"/>
          <w:color w:val="2F5496" w:themeColor="accent1" w:themeShade="BF"/>
          <w:sz w:val="22"/>
          <w:szCs w:val="22"/>
        </w:rPr>
      </w:pPr>
    </w:p>
    <w:p w:rsidR="00B85F7D" w:rsidRPr="005C078C" w:rsidRDefault="00B85F7D" w:rsidP="00471D4A">
      <w:pPr>
        <w:pStyle w:val="Heading2"/>
        <w:shd w:val="clear" w:color="auto" w:fill="E2EFD9" w:themeFill="accent6" w:themeFillTint="33"/>
        <w:spacing w:before="0"/>
        <w:jc w:val="center"/>
        <w:rPr>
          <w:rFonts w:asciiTheme="minorHAnsi" w:hAnsiTheme="minorHAnsi" w:cstheme="minorHAnsi"/>
          <w:b/>
          <w:color w:val="C00000"/>
          <w:sz w:val="24"/>
          <w:szCs w:val="24"/>
        </w:rPr>
      </w:pPr>
      <w:bookmarkStart w:id="20" w:name="_Toc43342375"/>
      <w:r w:rsidRPr="005C078C">
        <w:rPr>
          <w:rFonts w:asciiTheme="minorHAnsi" w:hAnsiTheme="minorHAnsi" w:cstheme="minorHAnsi"/>
          <w:b/>
          <w:color w:val="C00000"/>
          <w:sz w:val="24"/>
          <w:szCs w:val="24"/>
        </w:rPr>
        <w:t>La risposta adattativa Th1 e Th2</w:t>
      </w:r>
      <w:bookmarkEnd w:id="20"/>
    </w:p>
    <w:p w:rsidR="00B85F7D" w:rsidRPr="00892F48" w:rsidRDefault="00B85F7D" w:rsidP="00B85F7D"/>
    <w:p w:rsidR="00B85F7D" w:rsidRPr="005C078C" w:rsidRDefault="00B85F7D" w:rsidP="00B85F7D">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È importante tenere presente che il sistema immunitario risponde in maniera diversa a seconda del tipo di agente patogeno ed in particolare a seconda che l’agente sia intracellulare o extracellulare. </w:t>
      </w:r>
    </w:p>
    <w:p w:rsidR="00B85F7D" w:rsidRPr="005C078C" w:rsidRDefault="00B85F7D" w:rsidP="00B85F7D">
      <w:pPr>
        <w:jc w:val="both"/>
        <w:rPr>
          <w:rFonts w:asciiTheme="minorHAnsi" w:hAnsiTheme="minorHAnsi" w:cstheme="minorHAnsi"/>
          <w:color w:val="2F5496" w:themeColor="accent1" w:themeShade="BF"/>
          <w:sz w:val="20"/>
          <w:szCs w:val="20"/>
        </w:rPr>
      </w:pPr>
    </w:p>
    <w:p w:rsidR="00B85F7D" w:rsidRDefault="00B85F7D" w:rsidP="00B85F7D">
      <w:pPr>
        <w:pStyle w:val="ListParagraph"/>
        <w:numPr>
          <w:ilvl w:val="0"/>
          <w:numId w:val="4"/>
        </w:numPr>
        <w:ind w:left="284" w:hanging="284"/>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Nel caso delle </w:t>
      </w:r>
      <w:r w:rsidRPr="005C078C">
        <w:rPr>
          <w:rFonts w:asciiTheme="minorHAnsi" w:hAnsiTheme="minorHAnsi" w:cstheme="minorHAnsi"/>
          <w:b/>
          <w:color w:val="2F5496" w:themeColor="accent1" w:themeShade="BF"/>
          <w:sz w:val="20"/>
          <w:szCs w:val="20"/>
        </w:rPr>
        <w:t>infezioni extracellulari</w:t>
      </w:r>
      <w:r w:rsidRPr="005C078C">
        <w:rPr>
          <w:rFonts w:asciiTheme="minorHAnsi" w:hAnsiTheme="minorHAnsi" w:cstheme="minorHAnsi"/>
          <w:color w:val="2F5496" w:themeColor="accent1" w:themeShade="BF"/>
          <w:sz w:val="20"/>
          <w:szCs w:val="20"/>
        </w:rPr>
        <w:t xml:space="preserve"> si attiva una risposta mediata dai </w:t>
      </w:r>
      <w:r w:rsidRPr="005C078C">
        <w:rPr>
          <w:rFonts w:asciiTheme="minorHAnsi" w:hAnsiTheme="minorHAnsi" w:cstheme="minorHAnsi"/>
          <w:b/>
          <w:bCs/>
          <w:color w:val="2F5496" w:themeColor="accent1" w:themeShade="BF"/>
          <w:sz w:val="20"/>
          <w:szCs w:val="20"/>
        </w:rPr>
        <w:t xml:space="preserve">linfociti T helper Th2 </w:t>
      </w:r>
      <w:r w:rsidRPr="005C078C">
        <w:rPr>
          <w:rFonts w:asciiTheme="minorHAnsi" w:hAnsiTheme="minorHAnsi" w:cstheme="minorHAnsi"/>
          <w:color w:val="2F5496" w:themeColor="accent1" w:themeShade="BF"/>
          <w:sz w:val="20"/>
          <w:szCs w:val="20"/>
        </w:rPr>
        <w:t xml:space="preserve">che porta all’induzione delle </w:t>
      </w:r>
      <w:r w:rsidRPr="005C078C">
        <w:rPr>
          <w:rFonts w:asciiTheme="minorHAnsi" w:hAnsiTheme="minorHAnsi" w:cstheme="minorHAnsi"/>
          <w:b/>
          <w:bCs/>
          <w:color w:val="2F5496" w:themeColor="accent1" w:themeShade="BF"/>
          <w:sz w:val="20"/>
          <w:szCs w:val="20"/>
        </w:rPr>
        <w:t xml:space="preserve">cellule B </w:t>
      </w:r>
      <w:r w:rsidRPr="005C078C">
        <w:rPr>
          <w:rFonts w:asciiTheme="minorHAnsi" w:hAnsiTheme="minorHAnsi" w:cstheme="minorHAnsi"/>
          <w:color w:val="2F5496" w:themeColor="accent1" w:themeShade="BF"/>
          <w:sz w:val="20"/>
          <w:szCs w:val="20"/>
        </w:rPr>
        <w:t xml:space="preserve">con la produzione di </w:t>
      </w:r>
      <w:r w:rsidRPr="005C078C">
        <w:rPr>
          <w:rFonts w:asciiTheme="minorHAnsi" w:hAnsiTheme="minorHAnsi" w:cstheme="minorHAnsi"/>
          <w:b/>
          <w:bCs/>
          <w:color w:val="2F5496" w:themeColor="accent1" w:themeShade="BF"/>
          <w:sz w:val="20"/>
          <w:szCs w:val="20"/>
        </w:rPr>
        <w:t>anticorpi</w:t>
      </w:r>
      <w:r w:rsidRPr="005C078C">
        <w:rPr>
          <w:rFonts w:asciiTheme="minorHAnsi" w:hAnsiTheme="minorHAnsi" w:cstheme="minorHAnsi"/>
          <w:color w:val="2F5496" w:themeColor="accent1" w:themeShade="BF"/>
          <w:sz w:val="20"/>
          <w:szCs w:val="20"/>
        </w:rPr>
        <w:t xml:space="preserve"> dalle plasmacellule e cellule B della memoria (</w:t>
      </w:r>
      <w:r w:rsidRPr="005C078C">
        <w:rPr>
          <w:rFonts w:asciiTheme="minorHAnsi" w:hAnsiTheme="minorHAnsi" w:cstheme="minorHAnsi"/>
          <w:b/>
          <w:bCs/>
          <w:color w:val="2F5496" w:themeColor="accent1" w:themeShade="BF"/>
          <w:sz w:val="20"/>
          <w:szCs w:val="20"/>
        </w:rPr>
        <w:t>risposta umorale</w:t>
      </w:r>
      <w:r w:rsidRPr="005C078C">
        <w:rPr>
          <w:rFonts w:asciiTheme="minorHAnsi" w:hAnsiTheme="minorHAnsi" w:cstheme="minorHAnsi"/>
          <w:color w:val="2F5496" w:themeColor="accent1" w:themeShade="BF"/>
          <w:sz w:val="20"/>
          <w:szCs w:val="20"/>
        </w:rPr>
        <w:t xml:space="preserve">). </w:t>
      </w:r>
    </w:p>
    <w:p w:rsidR="00471D4A" w:rsidRPr="005C078C" w:rsidRDefault="00471D4A" w:rsidP="00471D4A">
      <w:pPr>
        <w:pStyle w:val="ListParagraph"/>
        <w:ind w:left="284"/>
        <w:jc w:val="both"/>
        <w:rPr>
          <w:rFonts w:asciiTheme="minorHAnsi" w:hAnsiTheme="minorHAnsi" w:cstheme="minorHAnsi"/>
          <w:color w:val="2F5496" w:themeColor="accent1" w:themeShade="BF"/>
          <w:sz w:val="20"/>
          <w:szCs w:val="20"/>
        </w:rPr>
      </w:pPr>
    </w:p>
    <w:p w:rsidR="00B85F7D" w:rsidRPr="005C078C" w:rsidRDefault="00B85F7D" w:rsidP="00B85F7D">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Sono generalmente extracellulari le </w:t>
      </w:r>
      <w:r w:rsidRPr="005C078C">
        <w:rPr>
          <w:rFonts w:asciiTheme="minorHAnsi" w:hAnsiTheme="minorHAnsi" w:cstheme="minorHAnsi"/>
          <w:b/>
          <w:bCs/>
          <w:color w:val="2F5496" w:themeColor="accent1" w:themeShade="BF"/>
          <w:sz w:val="20"/>
          <w:szCs w:val="20"/>
        </w:rPr>
        <w:t>infezioni batteriche e fungine</w:t>
      </w:r>
      <w:r w:rsidRPr="005C078C">
        <w:rPr>
          <w:rFonts w:asciiTheme="minorHAnsi" w:hAnsiTheme="minorHAnsi" w:cstheme="minorHAnsi"/>
          <w:color w:val="2F5496" w:themeColor="accent1" w:themeShade="BF"/>
          <w:sz w:val="20"/>
          <w:szCs w:val="20"/>
        </w:rPr>
        <w:t xml:space="preserve">. Sono esempi di </w:t>
      </w:r>
      <w:r w:rsidRPr="005C078C">
        <w:rPr>
          <w:rFonts w:asciiTheme="minorHAnsi" w:hAnsiTheme="minorHAnsi" w:cstheme="minorHAnsi"/>
          <w:b/>
          <w:bCs/>
          <w:color w:val="2F5496" w:themeColor="accent1" w:themeShade="BF"/>
          <w:sz w:val="20"/>
          <w:szCs w:val="20"/>
        </w:rPr>
        <w:t>protozoi extracellulari</w:t>
      </w:r>
      <w:r w:rsidRPr="005C078C">
        <w:rPr>
          <w:rFonts w:asciiTheme="minorHAnsi" w:hAnsiTheme="minorHAnsi" w:cstheme="minorHAnsi"/>
          <w:color w:val="2F5496" w:themeColor="accent1" w:themeShade="BF"/>
          <w:sz w:val="20"/>
          <w:szCs w:val="20"/>
        </w:rPr>
        <w:t xml:space="preserve"> la Giardia, l’entamoeba, che causano dissenteria e il tripanosoma, che causa la malattia del sonno. </w:t>
      </w:r>
    </w:p>
    <w:p w:rsidR="00B85F7D" w:rsidRPr="005C078C" w:rsidRDefault="00B85F7D" w:rsidP="00B85F7D">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Di fondamentale importanza è l’azione della risposta Th2 nei confronti dei </w:t>
      </w:r>
      <w:r w:rsidRPr="005C078C">
        <w:rPr>
          <w:rFonts w:asciiTheme="minorHAnsi" w:hAnsiTheme="minorHAnsi" w:cstheme="minorHAnsi"/>
          <w:b/>
          <w:bCs/>
          <w:color w:val="2F5496" w:themeColor="accent1" w:themeShade="BF"/>
          <w:sz w:val="20"/>
          <w:szCs w:val="20"/>
        </w:rPr>
        <w:t>vermi,</w:t>
      </w:r>
      <w:r w:rsidRPr="005C078C">
        <w:rPr>
          <w:rFonts w:asciiTheme="minorHAnsi" w:hAnsiTheme="minorHAnsi" w:cstheme="minorHAnsi"/>
          <w:color w:val="2F5496" w:themeColor="accent1" w:themeShade="BF"/>
          <w:sz w:val="20"/>
          <w:szCs w:val="20"/>
        </w:rPr>
        <w:t xml:space="preserve"> esempi comuni includono lo schistosoma, l’Onchocercha e la Taenia. Le cellule Th2 e l'immunità umorale costituiscono la base della risposta immunitaria del corpo ai vermi parassiti. Anche gli </w:t>
      </w:r>
      <w:r w:rsidRPr="005C078C">
        <w:rPr>
          <w:rFonts w:asciiTheme="minorHAnsi" w:hAnsiTheme="minorHAnsi" w:cstheme="minorHAnsi"/>
          <w:b/>
          <w:bCs/>
          <w:color w:val="2F5496" w:themeColor="accent1" w:themeShade="BF"/>
          <w:sz w:val="20"/>
          <w:szCs w:val="20"/>
        </w:rPr>
        <w:t>eosinofili</w:t>
      </w:r>
      <w:r w:rsidRPr="005C078C">
        <w:rPr>
          <w:rFonts w:asciiTheme="minorHAnsi" w:hAnsiTheme="minorHAnsi" w:cstheme="minorHAnsi"/>
          <w:color w:val="2F5496" w:themeColor="accent1" w:themeShade="BF"/>
          <w:sz w:val="20"/>
          <w:szCs w:val="20"/>
        </w:rPr>
        <w:t xml:space="preserve"> e le </w:t>
      </w:r>
      <w:r w:rsidRPr="005C078C">
        <w:rPr>
          <w:rFonts w:asciiTheme="minorHAnsi" w:hAnsiTheme="minorHAnsi" w:cstheme="minorHAnsi"/>
          <w:b/>
          <w:bCs/>
          <w:color w:val="2F5496" w:themeColor="accent1" w:themeShade="BF"/>
          <w:sz w:val="20"/>
          <w:szCs w:val="20"/>
        </w:rPr>
        <w:t>IgE</w:t>
      </w:r>
      <w:r w:rsidRPr="005C078C">
        <w:rPr>
          <w:rFonts w:asciiTheme="minorHAnsi" w:hAnsiTheme="minorHAnsi" w:cstheme="minorHAnsi"/>
          <w:color w:val="2F5496" w:themeColor="accent1" w:themeShade="BF"/>
          <w:sz w:val="20"/>
          <w:szCs w:val="20"/>
        </w:rPr>
        <w:t xml:space="preserve"> sono molto importanti nell'uccidere gli elminti, poiché oltre a promuovere una potente risposta infiammatoria, sembrano legarsi agli anticorpi opsonizzanti sulla pelle del verme per dissolverli e ucciderli successivamente.</w:t>
      </w:r>
    </w:p>
    <w:p w:rsidR="00B85F7D" w:rsidRPr="005C078C" w:rsidRDefault="00B85F7D" w:rsidP="00B85F7D">
      <w:pPr>
        <w:jc w:val="both"/>
        <w:rPr>
          <w:rFonts w:asciiTheme="minorHAnsi" w:hAnsiTheme="minorHAnsi" w:cstheme="minorHAnsi"/>
          <w:color w:val="2F5496" w:themeColor="accent1" w:themeShade="BF"/>
          <w:sz w:val="20"/>
          <w:szCs w:val="20"/>
        </w:rPr>
      </w:pPr>
    </w:p>
    <w:p w:rsidR="00B85F7D" w:rsidRPr="00471D4A" w:rsidRDefault="00B85F7D" w:rsidP="00B85F7D">
      <w:pPr>
        <w:pStyle w:val="ListParagraph"/>
        <w:numPr>
          <w:ilvl w:val="0"/>
          <w:numId w:val="4"/>
        </w:numPr>
        <w:ind w:left="284" w:hanging="284"/>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Nel caso invece delle </w:t>
      </w:r>
      <w:r w:rsidRPr="005C078C">
        <w:rPr>
          <w:rFonts w:asciiTheme="minorHAnsi" w:hAnsiTheme="minorHAnsi" w:cstheme="minorHAnsi"/>
          <w:b/>
          <w:color w:val="2F5496" w:themeColor="accent1" w:themeShade="BF"/>
          <w:sz w:val="20"/>
          <w:szCs w:val="20"/>
        </w:rPr>
        <w:t>infezioni intracellulari</w:t>
      </w:r>
      <w:r w:rsidRPr="005C078C">
        <w:rPr>
          <w:rFonts w:asciiTheme="minorHAnsi" w:hAnsiTheme="minorHAnsi" w:cstheme="minorHAnsi"/>
          <w:color w:val="2F5496" w:themeColor="accent1" w:themeShade="BF"/>
          <w:sz w:val="20"/>
          <w:szCs w:val="20"/>
        </w:rPr>
        <w:t xml:space="preserve"> si attiva una risposta mediata dai </w:t>
      </w:r>
      <w:r w:rsidRPr="005C078C">
        <w:rPr>
          <w:rFonts w:asciiTheme="minorHAnsi" w:hAnsiTheme="minorHAnsi" w:cstheme="minorHAnsi"/>
          <w:b/>
          <w:bCs/>
          <w:color w:val="2F5496" w:themeColor="accent1" w:themeShade="BF"/>
          <w:sz w:val="20"/>
          <w:szCs w:val="20"/>
        </w:rPr>
        <w:t>linfociti T helper Th1</w:t>
      </w:r>
      <w:r w:rsidRPr="005C078C">
        <w:rPr>
          <w:rFonts w:asciiTheme="minorHAnsi" w:hAnsiTheme="minorHAnsi" w:cstheme="minorHAnsi"/>
          <w:color w:val="2F5496" w:themeColor="accent1" w:themeShade="BF"/>
          <w:sz w:val="20"/>
          <w:szCs w:val="20"/>
        </w:rPr>
        <w:t xml:space="preserve"> con l’attivazione dell’immunità cellulo-mediata attraverso le </w:t>
      </w:r>
      <w:r w:rsidRPr="005C078C">
        <w:rPr>
          <w:rFonts w:asciiTheme="minorHAnsi" w:hAnsiTheme="minorHAnsi" w:cstheme="minorHAnsi"/>
          <w:b/>
          <w:bCs/>
          <w:color w:val="2F5496" w:themeColor="accent1" w:themeShade="BF"/>
          <w:sz w:val="20"/>
          <w:szCs w:val="20"/>
        </w:rPr>
        <w:t>cellule APC</w:t>
      </w:r>
      <w:r w:rsidRPr="005C078C">
        <w:rPr>
          <w:rFonts w:asciiTheme="minorHAnsi" w:hAnsiTheme="minorHAnsi" w:cstheme="minorHAnsi"/>
          <w:color w:val="2F5496" w:themeColor="accent1" w:themeShade="BF"/>
          <w:sz w:val="20"/>
          <w:szCs w:val="20"/>
        </w:rPr>
        <w:t xml:space="preserve"> (cellule presentanti l’antigene) e le </w:t>
      </w:r>
      <w:r w:rsidRPr="005C078C">
        <w:rPr>
          <w:rFonts w:asciiTheme="minorHAnsi" w:hAnsiTheme="minorHAnsi" w:cstheme="minorHAnsi"/>
          <w:b/>
          <w:bCs/>
          <w:color w:val="2F5496" w:themeColor="accent1" w:themeShade="BF"/>
          <w:sz w:val="20"/>
          <w:szCs w:val="20"/>
        </w:rPr>
        <w:t>cellule T citotossiche.</w:t>
      </w:r>
    </w:p>
    <w:p w:rsidR="00471D4A" w:rsidRDefault="00471D4A" w:rsidP="00B85F7D">
      <w:pPr>
        <w:jc w:val="both"/>
        <w:rPr>
          <w:rFonts w:asciiTheme="minorHAnsi" w:hAnsiTheme="minorHAnsi" w:cstheme="minorHAnsi"/>
          <w:color w:val="2F5496" w:themeColor="accent1" w:themeShade="BF"/>
          <w:sz w:val="20"/>
          <w:szCs w:val="20"/>
        </w:rPr>
      </w:pPr>
    </w:p>
    <w:p w:rsidR="00B85F7D" w:rsidRPr="005C078C" w:rsidRDefault="00B85F7D" w:rsidP="00B85F7D">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Le </w:t>
      </w:r>
      <w:r w:rsidRPr="005C078C">
        <w:rPr>
          <w:rFonts w:asciiTheme="minorHAnsi" w:hAnsiTheme="minorHAnsi" w:cstheme="minorHAnsi"/>
          <w:b/>
          <w:bCs/>
          <w:color w:val="2F5496" w:themeColor="accent1" w:themeShade="BF"/>
          <w:sz w:val="20"/>
          <w:szCs w:val="20"/>
        </w:rPr>
        <w:t>infezioni virali</w:t>
      </w:r>
      <w:r w:rsidRPr="005C078C">
        <w:rPr>
          <w:rFonts w:asciiTheme="minorHAnsi" w:hAnsiTheme="minorHAnsi" w:cstheme="minorHAnsi"/>
          <w:color w:val="2F5496" w:themeColor="accent1" w:themeShade="BF"/>
          <w:sz w:val="20"/>
          <w:szCs w:val="20"/>
        </w:rPr>
        <w:t xml:space="preserve"> sono intracellulari e anche </w:t>
      </w:r>
      <w:r w:rsidRPr="005C078C">
        <w:rPr>
          <w:rFonts w:asciiTheme="minorHAnsi" w:hAnsiTheme="minorHAnsi" w:cstheme="minorHAnsi"/>
          <w:b/>
          <w:bCs/>
          <w:color w:val="2F5496" w:themeColor="accent1" w:themeShade="BF"/>
          <w:sz w:val="20"/>
          <w:szCs w:val="20"/>
        </w:rPr>
        <w:t>alcuni batteri</w:t>
      </w:r>
      <w:r w:rsidRPr="005C078C">
        <w:rPr>
          <w:rFonts w:asciiTheme="minorHAnsi" w:hAnsiTheme="minorHAnsi" w:cstheme="minorHAnsi"/>
          <w:color w:val="2F5496" w:themeColor="accent1" w:themeShade="BF"/>
          <w:sz w:val="20"/>
          <w:szCs w:val="20"/>
        </w:rPr>
        <w:t xml:space="preserve"> che esistono come organismi intracellulari, come ad  esempio  Neisseria, Salmonella, Clamidia e Micobatteri. </w:t>
      </w:r>
    </w:p>
    <w:p w:rsidR="00B85F7D" w:rsidRPr="005C078C" w:rsidRDefault="00B85F7D" w:rsidP="00B85F7D">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Sono </w:t>
      </w:r>
      <w:r w:rsidRPr="005C078C">
        <w:rPr>
          <w:rFonts w:asciiTheme="minorHAnsi" w:hAnsiTheme="minorHAnsi" w:cstheme="minorHAnsi"/>
          <w:b/>
          <w:bCs/>
          <w:color w:val="2F5496" w:themeColor="accent1" w:themeShade="BF"/>
          <w:sz w:val="20"/>
          <w:szCs w:val="20"/>
        </w:rPr>
        <w:t>funghi intracellulari</w:t>
      </w:r>
      <w:r w:rsidRPr="005C078C">
        <w:rPr>
          <w:rFonts w:asciiTheme="minorHAnsi" w:hAnsiTheme="minorHAnsi" w:cstheme="minorHAnsi"/>
          <w:color w:val="2F5496" w:themeColor="accent1" w:themeShade="BF"/>
          <w:sz w:val="20"/>
          <w:szCs w:val="20"/>
        </w:rPr>
        <w:t xml:space="preserve"> l’histoplasma capsulatum, il criptococco e il pneumocisti, noti per causare infezioni opportunistiche in pazienti immunodepressi privi dell'immunità cellulare. Sono organismi intracellulari anche i </w:t>
      </w:r>
      <w:r w:rsidRPr="005C078C">
        <w:rPr>
          <w:rFonts w:asciiTheme="minorHAnsi" w:hAnsiTheme="minorHAnsi" w:cstheme="minorHAnsi"/>
          <w:b/>
          <w:bCs/>
          <w:color w:val="2F5496" w:themeColor="accent1" w:themeShade="BF"/>
          <w:sz w:val="20"/>
          <w:szCs w:val="20"/>
        </w:rPr>
        <w:t xml:space="preserve">protozoi </w:t>
      </w:r>
      <w:r w:rsidRPr="005C078C">
        <w:rPr>
          <w:rFonts w:asciiTheme="minorHAnsi" w:hAnsiTheme="minorHAnsi" w:cstheme="minorHAnsi"/>
          <w:color w:val="2F5496" w:themeColor="accent1" w:themeShade="BF"/>
          <w:sz w:val="20"/>
          <w:szCs w:val="20"/>
        </w:rPr>
        <w:t>dello Plasmodium, che occupa i globuli rossi e le cellule del fegato per causare la malaria, la leishmania, che sopravvive all'interno dei fagociti, e il toxoplasma.</w:t>
      </w:r>
    </w:p>
    <w:p w:rsidR="00B85F7D" w:rsidRPr="005C078C" w:rsidRDefault="00B85F7D" w:rsidP="00B85F7D">
      <w:pPr>
        <w:jc w:val="both"/>
        <w:rPr>
          <w:rFonts w:asciiTheme="minorHAnsi" w:hAnsiTheme="minorHAnsi" w:cstheme="minorHAnsi"/>
          <w:color w:val="2F5496" w:themeColor="accent1" w:themeShade="BF"/>
          <w:sz w:val="20"/>
          <w:szCs w:val="20"/>
        </w:rPr>
      </w:pPr>
    </w:p>
    <w:p w:rsidR="00B85F7D" w:rsidRPr="00717D4D" w:rsidRDefault="00B85F7D" w:rsidP="00B85F7D">
      <w:pPr>
        <w:jc w:val="center"/>
        <w:rPr>
          <w:rFonts w:asciiTheme="minorHAnsi" w:hAnsiTheme="minorHAnsi" w:cstheme="minorHAnsi"/>
          <w:b/>
          <w:color w:val="2F5496" w:themeColor="accent1" w:themeShade="BF"/>
          <w:lang w:val="en-US"/>
        </w:rPr>
      </w:pPr>
      <w:r w:rsidRPr="00717D4D">
        <w:rPr>
          <w:rFonts w:asciiTheme="minorHAnsi" w:hAnsiTheme="minorHAnsi"/>
          <w:noProof/>
          <w:color w:val="2F5496" w:themeColor="accent1" w:themeShade="BF"/>
        </w:rPr>
        <w:drawing>
          <wp:inline distT="0" distB="0" distL="0" distR="0" wp14:anchorId="483EFCA1" wp14:editId="336E95FD">
            <wp:extent cx="5470770" cy="3415825"/>
            <wp:effectExtent l="0" t="0" r="3175" b="635"/>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8" cstate="print"/>
                    <a:srcRect/>
                    <a:stretch>
                      <a:fillRect/>
                    </a:stretch>
                  </pic:blipFill>
                  <pic:spPr bwMode="auto">
                    <a:xfrm>
                      <a:off x="0" y="0"/>
                      <a:ext cx="5731440" cy="3578582"/>
                    </a:xfrm>
                    <a:prstGeom prst="rect">
                      <a:avLst/>
                    </a:prstGeom>
                    <a:noFill/>
                    <a:ln w="9525">
                      <a:noFill/>
                      <a:miter lim="800000"/>
                      <a:headEnd/>
                      <a:tailEnd/>
                    </a:ln>
                    <a:effectLst/>
                  </pic:spPr>
                </pic:pic>
              </a:graphicData>
            </a:graphic>
          </wp:inline>
        </w:drawing>
      </w:r>
    </w:p>
    <w:p w:rsidR="00B85F7D" w:rsidRPr="00471D4A" w:rsidRDefault="00471D4A" w:rsidP="00471D4A">
      <w:pPr>
        <w:shd w:val="clear" w:color="auto" w:fill="F2F2F2" w:themeFill="background1" w:themeFillShade="F2"/>
        <w:rPr>
          <w:rStyle w:val="Hyperlink"/>
          <w:rFonts w:asciiTheme="minorHAnsi" w:eastAsiaTheme="majorEastAsia" w:hAnsiTheme="minorHAnsi" w:cstheme="minorHAnsi"/>
          <w:color w:val="2F5496" w:themeColor="accent1" w:themeShade="BF"/>
          <w:sz w:val="18"/>
          <w:szCs w:val="18"/>
          <w:u w:val="none"/>
        </w:rPr>
      </w:pPr>
      <w:r w:rsidRPr="00471D4A">
        <w:rPr>
          <w:rFonts w:asciiTheme="minorHAnsi" w:hAnsiTheme="minorHAnsi"/>
          <w:color w:val="2F5496" w:themeColor="accent1" w:themeShade="BF"/>
          <w:sz w:val="18"/>
          <w:szCs w:val="18"/>
        </w:rPr>
        <w:t xml:space="preserve">Tratta da </w:t>
      </w:r>
      <w:hyperlink r:id="rId49" w:history="1">
        <w:r w:rsidRPr="00471D4A">
          <w:rPr>
            <w:rStyle w:val="Hyperlink"/>
            <w:rFonts w:asciiTheme="minorHAnsi" w:eastAsiaTheme="majorEastAsia" w:hAnsiTheme="minorHAnsi" w:cstheme="minorHAnsi"/>
            <w:color w:val="2F5496" w:themeColor="accent1" w:themeShade="BF"/>
            <w:sz w:val="18"/>
            <w:szCs w:val="18"/>
            <w:u w:val="none"/>
          </w:rPr>
          <w:t>http://thefunctionalnaturopath.com/autoimmune-disease-th1th2-paradigm/</w:t>
        </w:r>
      </w:hyperlink>
    </w:p>
    <w:p w:rsidR="00790721" w:rsidRPr="00471D4A" w:rsidRDefault="00790721" w:rsidP="00B85F7D">
      <w:pPr>
        <w:rPr>
          <w:rFonts w:asciiTheme="minorHAnsi" w:hAnsiTheme="minorHAnsi" w:cstheme="minorHAnsi"/>
          <w:color w:val="2F5496" w:themeColor="accent1" w:themeShade="BF"/>
          <w:sz w:val="16"/>
          <w:szCs w:val="16"/>
        </w:rPr>
      </w:pPr>
    </w:p>
    <w:p w:rsidR="00892F48" w:rsidRPr="005C078C" w:rsidRDefault="00892F48" w:rsidP="00892F48">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Si riassume la risposta all’infezione virale con la seguente figura.</w:t>
      </w:r>
      <w:r w:rsidRPr="005C078C">
        <w:rPr>
          <w:rStyle w:val="FootnoteReference"/>
          <w:rFonts w:asciiTheme="minorHAnsi" w:hAnsiTheme="minorHAnsi" w:cstheme="minorHAnsi"/>
          <w:color w:val="2F5496" w:themeColor="accent1" w:themeShade="BF"/>
          <w:sz w:val="20"/>
          <w:szCs w:val="20"/>
        </w:rPr>
        <w:t xml:space="preserve"> </w:t>
      </w:r>
      <w:r w:rsidRPr="005C078C">
        <w:rPr>
          <w:rStyle w:val="FootnoteReference"/>
          <w:rFonts w:asciiTheme="minorHAnsi" w:hAnsiTheme="minorHAnsi" w:cstheme="minorHAnsi"/>
          <w:color w:val="2F5496" w:themeColor="accent1" w:themeShade="BF"/>
          <w:sz w:val="20"/>
          <w:szCs w:val="20"/>
        </w:rPr>
        <w:footnoteReference w:id="41"/>
      </w:r>
    </w:p>
    <w:p w:rsidR="00892F48" w:rsidRPr="00717D4D" w:rsidRDefault="00892F48" w:rsidP="00892F48">
      <w:pPr>
        <w:jc w:val="both"/>
        <w:rPr>
          <w:rFonts w:asciiTheme="minorHAnsi" w:hAnsiTheme="minorHAnsi" w:cstheme="minorHAnsi"/>
          <w:color w:val="2F5496" w:themeColor="accent1" w:themeShade="BF"/>
        </w:rPr>
      </w:pPr>
    </w:p>
    <w:p w:rsidR="00892F48" w:rsidRPr="00717D4D" w:rsidRDefault="00892F48" w:rsidP="00892F48">
      <w:pPr>
        <w:jc w:val="both"/>
        <w:rPr>
          <w:rFonts w:asciiTheme="minorHAnsi" w:hAnsiTheme="minorHAnsi" w:cstheme="minorHAnsi"/>
          <w:b/>
          <w:color w:val="2F5496" w:themeColor="accent1" w:themeShade="BF"/>
        </w:rPr>
      </w:pPr>
      <w:r w:rsidRPr="00717D4D">
        <w:rPr>
          <w:rFonts w:asciiTheme="minorHAnsi" w:hAnsiTheme="minorHAnsi" w:cstheme="minorHAnsi"/>
          <w:b/>
          <w:noProof/>
          <w:color w:val="2F5496" w:themeColor="accent1" w:themeShade="BF"/>
        </w:rPr>
        <w:drawing>
          <wp:inline distT="0" distB="0" distL="0" distR="0" wp14:anchorId="5CA9B361" wp14:editId="75538460">
            <wp:extent cx="6116320" cy="4587240"/>
            <wp:effectExtent l="0" t="0" r="5080" b="0"/>
            <wp:docPr id="56" name="Picture 4" descr="immune response summary diagram geeky med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 name="Picture 4" descr="immune response summary diagram geeky medics"/>
                    <pic:cNvPicPr>
                      <a:picLocks noChangeAspect="1" noChangeArrowheads="1"/>
                    </pic:cNvPicPr>
                  </pic:nvPicPr>
                  <pic:blipFill>
                    <a:blip r:embed="rId50" cstate="print"/>
                    <a:srcRect/>
                    <a:stretch>
                      <a:fillRect/>
                    </a:stretch>
                  </pic:blipFill>
                  <pic:spPr bwMode="auto">
                    <a:xfrm>
                      <a:off x="0" y="0"/>
                      <a:ext cx="6116320" cy="4587240"/>
                    </a:xfrm>
                    <a:prstGeom prst="rect">
                      <a:avLst/>
                    </a:prstGeom>
                    <a:noFill/>
                  </pic:spPr>
                </pic:pic>
              </a:graphicData>
            </a:graphic>
          </wp:inline>
        </w:drawing>
      </w:r>
    </w:p>
    <w:p w:rsidR="00892F48" w:rsidRPr="00471D4A" w:rsidRDefault="00892F48" w:rsidP="00471D4A">
      <w:pPr>
        <w:shd w:val="clear" w:color="auto" w:fill="F2F2F2" w:themeFill="background1" w:themeFillShade="F2"/>
        <w:rPr>
          <w:rFonts w:asciiTheme="minorHAnsi" w:hAnsiTheme="minorHAnsi" w:cstheme="minorHAnsi"/>
          <w:color w:val="2F5496" w:themeColor="accent1" w:themeShade="BF"/>
          <w:sz w:val="18"/>
          <w:szCs w:val="18"/>
        </w:rPr>
      </w:pPr>
      <w:r w:rsidRPr="00471D4A">
        <w:rPr>
          <w:rFonts w:asciiTheme="minorHAnsi" w:hAnsiTheme="minorHAnsi" w:cstheme="minorHAnsi"/>
          <w:bCs/>
          <w:color w:val="2F5496" w:themeColor="accent1" w:themeShade="BF"/>
          <w:sz w:val="18"/>
          <w:szCs w:val="18"/>
        </w:rPr>
        <w:t>Tratt</w:t>
      </w:r>
      <w:r w:rsidR="00471D4A">
        <w:rPr>
          <w:rFonts w:asciiTheme="minorHAnsi" w:hAnsiTheme="minorHAnsi" w:cstheme="minorHAnsi"/>
          <w:bCs/>
          <w:color w:val="2F5496" w:themeColor="accent1" w:themeShade="BF"/>
          <w:sz w:val="18"/>
          <w:szCs w:val="18"/>
        </w:rPr>
        <w:t>a</w:t>
      </w:r>
      <w:r w:rsidRPr="00471D4A">
        <w:rPr>
          <w:rFonts w:asciiTheme="minorHAnsi" w:hAnsiTheme="minorHAnsi" w:cstheme="minorHAnsi"/>
          <w:bCs/>
          <w:color w:val="2F5496" w:themeColor="accent1" w:themeShade="BF"/>
          <w:sz w:val="18"/>
          <w:szCs w:val="18"/>
        </w:rPr>
        <w:t xml:space="preserve"> da</w:t>
      </w:r>
      <w:r w:rsidRPr="00471D4A">
        <w:rPr>
          <w:rFonts w:asciiTheme="minorHAnsi" w:hAnsiTheme="minorHAnsi" w:cstheme="minorHAnsi"/>
          <w:b/>
          <w:color w:val="2F5496" w:themeColor="accent1" w:themeShade="BF"/>
          <w:sz w:val="18"/>
          <w:szCs w:val="18"/>
        </w:rPr>
        <w:t xml:space="preserve"> </w:t>
      </w:r>
      <w:hyperlink r:id="rId51" w:history="1">
        <w:r w:rsidRPr="00471D4A">
          <w:rPr>
            <w:rStyle w:val="Hyperlink"/>
            <w:rFonts w:asciiTheme="minorHAnsi" w:eastAsiaTheme="majorEastAsia" w:hAnsiTheme="minorHAnsi" w:cstheme="minorHAnsi"/>
            <w:color w:val="2F5496" w:themeColor="accent1" w:themeShade="BF"/>
            <w:sz w:val="18"/>
            <w:szCs w:val="18"/>
            <w:u w:val="none"/>
          </w:rPr>
          <w:t>https://geekymedics.com/immune-response/</w:t>
        </w:r>
      </w:hyperlink>
    </w:p>
    <w:p w:rsidR="00892F48" w:rsidRDefault="00892F48" w:rsidP="00CF29C5">
      <w:pPr>
        <w:jc w:val="center"/>
        <w:rPr>
          <w:rFonts w:asciiTheme="minorHAnsi" w:hAnsiTheme="minorHAnsi" w:cstheme="minorHAnsi"/>
          <w:color w:val="2F5496" w:themeColor="accent1" w:themeShade="BF"/>
          <w:sz w:val="22"/>
          <w:szCs w:val="22"/>
        </w:rPr>
      </w:pPr>
    </w:p>
    <w:p w:rsidR="004D1A1B" w:rsidRPr="005C078C" w:rsidRDefault="002B7F58" w:rsidP="00D71CED">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Durante le infezioni virali acute, i peptidi di origine virale attivano sia la proliferazione che la differenziazione delle </w:t>
      </w:r>
      <w:r w:rsidRPr="005C078C">
        <w:rPr>
          <w:rFonts w:asciiTheme="minorHAnsi" w:hAnsiTheme="minorHAnsi" w:cstheme="minorHAnsi"/>
          <w:b/>
          <w:bCs/>
          <w:color w:val="2F5496" w:themeColor="accent1" w:themeShade="BF"/>
          <w:sz w:val="20"/>
          <w:szCs w:val="20"/>
        </w:rPr>
        <w:t>cellule T CD8</w:t>
      </w:r>
      <w:r w:rsidRPr="005C078C">
        <w:rPr>
          <w:rFonts w:asciiTheme="minorHAnsi" w:hAnsiTheme="minorHAnsi" w:cstheme="minorHAnsi"/>
          <w:b/>
          <w:bCs/>
          <w:color w:val="2F5496" w:themeColor="accent1" w:themeShade="BF"/>
          <w:sz w:val="20"/>
          <w:szCs w:val="20"/>
          <w:vertAlign w:val="superscript"/>
        </w:rPr>
        <w:t>+</w:t>
      </w:r>
      <w:r w:rsidR="00F95F0C" w:rsidRPr="005C078C">
        <w:rPr>
          <w:rFonts w:asciiTheme="minorHAnsi" w:hAnsiTheme="minorHAnsi" w:cstheme="minorHAnsi"/>
          <w:color w:val="2F5496" w:themeColor="accent1" w:themeShade="BF"/>
          <w:sz w:val="20"/>
          <w:szCs w:val="20"/>
        </w:rPr>
        <w:t xml:space="preserve"> (cellule T citotossiche o T killer)</w:t>
      </w:r>
      <w:r w:rsidRPr="005C078C">
        <w:rPr>
          <w:rFonts w:asciiTheme="minorHAnsi" w:hAnsiTheme="minorHAnsi" w:cstheme="minorHAnsi"/>
          <w:color w:val="2F5496" w:themeColor="accent1" w:themeShade="BF"/>
          <w:sz w:val="20"/>
          <w:szCs w:val="20"/>
        </w:rPr>
        <w:t xml:space="preserve"> e </w:t>
      </w:r>
      <w:r w:rsidRPr="005C078C">
        <w:rPr>
          <w:rFonts w:asciiTheme="minorHAnsi" w:hAnsiTheme="minorHAnsi" w:cstheme="minorHAnsi"/>
          <w:b/>
          <w:bCs/>
          <w:color w:val="2F5496" w:themeColor="accent1" w:themeShade="BF"/>
          <w:sz w:val="20"/>
          <w:szCs w:val="20"/>
        </w:rPr>
        <w:t>CD4</w:t>
      </w:r>
      <w:r w:rsidRPr="005C078C">
        <w:rPr>
          <w:rFonts w:asciiTheme="minorHAnsi" w:hAnsiTheme="minorHAnsi" w:cstheme="minorHAnsi"/>
          <w:b/>
          <w:bCs/>
          <w:color w:val="2F5496" w:themeColor="accent1" w:themeShade="BF"/>
          <w:sz w:val="20"/>
          <w:szCs w:val="20"/>
          <w:vertAlign w:val="superscript"/>
        </w:rPr>
        <w:t>+</w:t>
      </w:r>
      <w:r w:rsidR="00F95F0C" w:rsidRPr="005C078C">
        <w:rPr>
          <w:rFonts w:asciiTheme="minorHAnsi" w:hAnsiTheme="minorHAnsi" w:cstheme="minorHAnsi"/>
          <w:color w:val="2F5496" w:themeColor="accent1" w:themeShade="BF"/>
          <w:sz w:val="20"/>
          <w:szCs w:val="20"/>
        </w:rPr>
        <w:t xml:space="preserve"> (Cellule T helper).</w:t>
      </w:r>
      <w:r w:rsidRPr="005C078C">
        <w:rPr>
          <w:rFonts w:asciiTheme="minorHAnsi" w:hAnsiTheme="minorHAnsi" w:cstheme="minorHAnsi"/>
          <w:color w:val="2F5496" w:themeColor="accent1" w:themeShade="BF"/>
          <w:sz w:val="20"/>
          <w:szCs w:val="20"/>
        </w:rPr>
        <w:t xml:space="preserve"> </w:t>
      </w:r>
      <w:r w:rsidR="00D72331" w:rsidRPr="005C078C">
        <w:rPr>
          <w:rFonts w:asciiTheme="minorHAnsi" w:hAnsiTheme="minorHAnsi" w:cstheme="minorHAnsi"/>
          <w:color w:val="2F5496" w:themeColor="accent1" w:themeShade="BF"/>
          <w:sz w:val="20"/>
          <w:szCs w:val="20"/>
        </w:rPr>
        <w:t>Un’efficace clearance (eliminazione)</w:t>
      </w:r>
      <w:r w:rsidRPr="005C078C">
        <w:rPr>
          <w:rFonts w:asciiTheme="minorHAnsi" w:hAnsiTheme="minorHAnsi" w:cstheme="minorHAnsi"/>
          <w:color w:val="2F5496" w:themeColor="accent1" w:themeShade="BF"/>
          <w:sz w:val="20"/>
          <w:szCs w:val="20"/>
        </w:rPr>
        <w:t xml:space="preserve"> virale, che si verifica entro una settimana dall'infezione iniziale, richiede sia l'uccisione mediata da cellule T effettrici CD8</w:t>
      </w:r>
      <w:r w:rsidRPr="005C078C">
        <w:rPr>
          <w:rFonts w:asciiTheme="minorHAnsi" w:hAnsiTheme="minorHAnsi" w:cstheme="minorHAnsi"/>
          <w:color w:val="2F5496" w:themeColor="accent1" w:themeShade="BF"/>
          <w:sz w:val="20"/>
          <w:szCs w:val="20"/>
          <w:vertAlign w:val="superscript"/>
        </w:rPr>
        <w:t>+</w:t>
      </w:r>
      <w:r w:rsidRPr="005C078C">
        <w:rPr>
          <w:rFonts w:asciiTheme="minorHAnsi" w:hAnsiTheme="minorHAnsi" w:cstheme="minorHAnsi"/>
          <w:color w:val="2F5496" w:themeColor="accent1" w:themeShade="BF"/>
          <w:sz w:val="20"/>
          <w:szCs w:val="20"/>
        </w:rPr>
        <w:t xml:space="preserve"> delle cellule infettate dal virus, sia un potenziamento dipendente dalle cellule T CD4</w:t>
      </w:r>
      <w:r w:rsidRPr="005C078C">
        <w:rPr>
          <w:rFonts w:asciiTheme="minorHAnsi" w:hAnsiTheme="minorHAnsi" w:cstheme="minorHAnsi"/>
          <w:color w:val="2F5496" w:themeColor="accent1" w:themeShade="BF"/>
          <w:sz w:val="20"/>
          <w:szCs w:val="20"/>
          <w:vertAlign w:val="superscript"/>
        </w:rPr>
        <w:t>+</w:t>
      </w:r>
      <w:r w:rsidRPr="005C078C">
        <w:rPr>
          <w:rFonts w:asciiTheme="minorHAnsi" w:hAnsiTheme="minorHAnsi" w:cstheme="minorHAnsi"/>
          <w:color w:val="2F5496" w:themeColor="accent1" w:themeShade="BF"/>
          <w:sz w:val="20"/>
          <w:szCs w:val="20"/>
        </w:rPr>
        <w:t xml:space="preserve"> delle risposte delle cellule CD8</w:t>
      </w:r>
      <w:r w:rsidRPr="005C078C">
        <w:rPr>
          <w:rFonts w:asciiTheme="minorHAnsi" w:hAnsiTheme="minorHAnsi" w:cstheme="minorHAnsi"/>
          <w:color w:val="2F5496" w:themeColor="accent1" w:themeShade="BF"/>
          <w:sz w:val="20"/>
          <w:szCs w:val="20"/>
          <w:vertAlign w:val="superscript"/>
        </w:rPr>
        <w:t>+</w:t>
      </w:r>
      <w:r w:rsidRPr="005C078C">
        <w:rPr>
          <w:rFonts w:asciiTheme="minorHAnsi" w:hAnsiTheme="minorHAnsi" w:cstheme="minorHAnsi"/>
          <w:color w:val="2F5496" w:themeColor="accent1" w:themeShade="BF"/>
          <w:sz w:val="20"/>
          <w:szCs w:val="20"/>
        </w:rPr>
        <w:t xml:space="preserve"> e B. </w:t>
      </w:r>
    </w:p>
    <w:p w:rsidR="00D72331" w:rsidRPr="005C078C" w:rsidRDefault="00D72331" w:rsidP="00D71CED">
      <w:pPr>
        <w:jc w:val="both"/>
        <w:rPr>
          <w:rFonts w:asciiTheme="minorHAnsi" w:hAnsiTheme="minorHAnsi" w:cstheme="minorHAnsi"/>
          <w:color w:val="2F5496" w:themeColor="accent1" w:themeShade="BF"/>
          <w:sz w:val="20"/>
          <w:szCs w:val="20"/>
        </w:rPr>
      </w:pPr>
    </w:p>
    <w:p w:rsidR="002B7F58" w:rsidRDefault="002B7F58" w:rsidP="00D71CED">
      <w:pPr>
        <w:jc w:val="both"/>
        <w:rPr>
          <w:rFonts w:asciiTheme="minorHAnsi" w:hAnsiTheme="minorHAnsi" w:cstheme="minorHAnsi"/>
          <w:b/>
          <w:bCs/>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A seguito della clearance virale, la maggior parte delle cellule T specifiche contro il virus viene sottoposta ad apoptosi; tuttavia, per l'immunità antivirale a lungo termine è necessaria la conservazione di una popolazione di cellule T di memoria specifica contro il virus. </w:t>
      </w:r>
      <w:r w:rsidRPr="005C078C">
        <w:rPr>
          <w:rFonts w:asciiTheme="minorHAnsi" w:hAnsiTheme="minorHAnsi" w:cstheme="minorHAnsi"/>
          <w:b/>
          <w:bCs/>
          <w:color w:val="2F5496" w:themeColor="accent1" w:themeShade="BF"/>
          <w:sz w:val="20"/>
          <w:szCs w:val="20"/>
        </w:rPr>
        <w:t>(fig. A)</w:t>
      </w:r>
    </w:p>
    <w:p w:rsidR="00F33942" w:rsidRPr="005C078C" w:rsidRDefault="00F33942" w:rsidP="00D71CED">
      <w:pPr>
        <w:jc w:val="both"/>
        <w:rPr>
          <w:rFonts w:asciiTheme="minorHAnsi" w:hAnsiTheme="minorHAnsi" w:cstheme="minorHAnsi"/>
          <w:color w:val="2F5496" w:themeColor="accent1" w:themeShade="BF"/>
          <w:sz w:val="20"/>
          <w:szCs w:val="20"/>
        </w:rPr>
      </w:pPr>
    </w:p>
    <w:p w:rsidR="00F33942" w:rsidRPr="005C078C" w:rsidRDefault="002B7F58" w:rsidP="00D71CED">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L'importanza della risposta immunitaria adatt</w:t>
      </w:r>
      <w:r w:rsidR="00C56D05" w:rsidRPr="005C078C">
        <w:rPr>
          <w:rFonts w:asciiTheme="minorHAnsi" w:hAnsiTheme="minorHAnsi" w:cstheme="minorHAnsi"/>
          <w:color w:val="2F5496" w:themeColor="accent1" w:themeShade="BF"/>
          <w:sz w:val="20"/>
          <w:szCs w:val="20"/>
        </w:rPr>
        <w:t>at</w:t>
      </w:r>
      <w:r w:rsidRPr="005C078C">
        <w:rPr>
          <w:rFonts w:asciiTheme="minorHAnsi" w:hAnsiTheme="minorHAnsi" w:cstheme="minorHAnsi"/>
          <w:color w:val="2F5496" w:themeColor="accent1" w:themeShade="BF"/>
          <w:sz w:val="20"/>
          <w:szCs w:val="20"/>
        </w:rPr>
        <w:t xml:space="preserve">iva nella clearance virale suggerisce che le infezioni virali croniche devono, per definizione, eludere o sopprimere l'immunità adattativa. </w:t>
      </w:r>
    </w:p>
    <w:p w:rsidR="004D1A1B" w:rsidRPr="005C078C" w:rsidRDefault="002B7F58" w:rsidP="00D71CED">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lastRenderedPageBreak/>
        <w:t>Piuttosto che non riuscire ad attivare le risposte delle cellule T, queste infezioni virali sono caratterizzate da un'</w:t>
      </w:r>
      <w:r w:rsidRPr="005C078C">
        <w:rPr>
          <w:rFonts w:asciiTheme="minorHAnsi" w:hAnsiTheme="minorHAnsi" w:cstheme="minorHAnsi"/>
          <w:b/>
          <w:bCs/>
          <w:color w:val="2F5496" w:themeColor="accent1" w:themeShade="BF"/>
          <w:sz w:val="20"/>
          <w:szCs w:val="20"/>
        </w:rPr>
        <w:t>attivazione antigenica persistente delle cellule T</w:t>
      </w:r>
      <w:r w:rsidRPr="005C078C">
        <w:rPr>
          <w:rFonts w:asciiTheme="minorHAnsi" w:hAnsiTheme="minorHAnsi" w:cstheme="minorHAnsi"/>
          <w:color w:val="2F5496" w:themeColor="accent1" w:themeShade="BF"/>
          <w:sz w:val="20"/>
          <w:szCs w:val="20"/>
        </w:rPr>
        <w:t xml:space="preserve">, che alla fine porta ad uno stato cellulare non responsivo noto come </w:t>
      </w:r>
      <w:r w:rsidRPr="005C078C">
        <w:rPr>
          <w:rFonts w:asciiTheme="minorHAnsi" w:hAnsiTheme="minorHAnsi" w:cstheme="minorHAnsi"/>
          <w:b/>
          <w:bCs/>
          <w:color w:val="2F5496" w:themeColor="accent1" w:themeShade="BF"/>
          <w:sz w:val="20"/>
          <w:szCs w:val="20"/>
        </w:rPr>
        <w:t>"esaurimento" delle cellule T</w:t>
      </w:r>
      <w:r w:rsidRPr="005C078C">
        <w:rPr>
          <w:rFonts w:asciiTheme="minorHAnsi" w:hAnsiTheme="minorHAnsi" w:cstheme="minorHAnsi"/>
          <w:color w:val="2F5496" w:themeColor="accent1" w:themeShade="BF"/>
          <w:sz w:val="20"/>
          <w:szCs w:val="20"/>
        </w:rPr>
        <w:t xml:space="preserve"> che consente al virus di replicarsi e diffondersi più rapidamente. </w:t>
      </w:r>
    </w:p>
    <w:p w:rsidR="002B7F58" w:rsidRPr="005C078C" w:rsidRDefault="002B7F58" w:rsidP="00D71CED">
      <w:pPr>
        <w:jc w:val="both"/>
        <w:rPr>
          <w:rFonts w:asciiTheme="minorHAnsi" w:hAnsiTheme="minorHAnsi" w:cstheme="minorHAnsi"/>
          <w:color w:val="2F5496" w:themeColor="accent1" w:themeShade="BF"/>
          <w:sz w:val="20"/>
          <w:szCs w:val="20"/>
        </w:rPr>
      </w:pPr>
      <w:r w:rsidRPr="005C078C">
        <w:rPr>
          <w:rFonts w:asciiTheme="minorHAnsi" w:hAnsiTheme="minorHAnsi" w:cstheme="minorHAnsi"/>
          <w:color w:val="2F5496" w:themeColor="accent1" w:themeShade="BF"/>
          <w:sz w:val="20"/>
          <w:szCs w:val="20"/>
        </w:rPr>
        <w:t xml:space="preserve">Questo fenotipo è stato descritto in numerose infezioni virali croniche ed è spesso accompagnato da </w:t>
      </w:r>
      <w:r w:rsidRPr="005C078C">
        <w:rPr>
          <w:rFonts w:asciiTheme="minorHAnsi" w:hAnsiTheme="minorHAnsi" w:cstheme="minorHAnsi"/>
          <w:b/>
          <w:bCs/>
          <w:color w:val="2F5496" w:themeColor="accent1" w:themeShade="BF"/>
          <w:sz w:val="20"/>
          <w:szCs w:val="20"/>
        </w:rPr>
        <w:t>linfopenia</w:t>
      </w:r>
      <w:r w:rsidR="004227C6" w:rsidRPr="005C078C">
        <w:rPr>
          <w:rFonts w:asciiTheme="minorHAnsi" w:hAnsiTheme="minorHAnsi" w:cstheme="minorHAnsi"/>
          <w:color w:val="2F5496" w:themeColor="accent1" w:themeShade="BF"/>
          <w:sz w:val="20"/>
          <w:szCs w:val="20"/>
        </w:rPr>
        <w:t>*</w:t>
      </w:r>
      <w:r w:rsidR="00D72331" w:rsidRPr="005C078C">
        <w:rPr>
          <w:rFonts w:asciiTheme="minorHAnsi" w:hAnsiTheme="minorHAnsi" w:cstheme="minorHAnsi"/>
          <w:color w:val="2F5496" w:themeColor="accent1" w:themeShade="BF"/>
          <w:sz w:val="20"/>
          <w:szCs w:val="20"/>
        </w:rPr>
        <w:t xml:space="preserve"> </w:t>
      </w:r>
      <w:r w:rsidRPr="005C078C">
        <w:rPr>
          <w:rFonts w:asciiTheme="minorHAnsi" w:hAnsiTheme="minorHAnsi" w:cstheme="minorHAnsi"/>
          <w:color w:val="2F5496" w:themeColor="accent1" w:themeShade="BF"/>
          <w:sz w:val="20"/>
          <w:szCs w:val="20"/>
        </w:rPr>
        <w:t xml:space="preserve">. </w:t>
      </w:r>
      <w:r w:rsidRPr="005C078C">
        <w:rPr>
          <w:rFonts w:asciiTheme="minorHAnsi" w:hAnsiTheme="minorHAnsi" w:cstheme="minorHAnsi"/>
          <w:b/>
          <w:bCs/>
          <w:color w:val="2F5496" w:themeColor="accent1" w:themeShade="BF"/>
          <w:sz w:val="20"/>
          <w:szCs w:val="20"/>
        </w:rPr>
        <w:t>(fig. B)</w:t>
      </w:r>
      <w:r w:rsidRPr="005C078C">
        <w:rPr>
          <w:rFonts w:asciiTheme="minorHAnsi" w:hAnsiTheme="minorHAnsi" w:cstheme="minorHAnsi"/>
          <w:color w:val="2F5496" w:themeColor="accent1" w:themeShade="BF"/>
          <w:sz w:val="20"/>
          <w:szCs w:val="20"/>
        </w:rPr>
        <w:t xml:space="preserve"> </w:t>
      </w:r>
      <w:r w:rsidRPr="005C078C">
        <w:rPr>
          <w:rStyle w:val="FootnoteReference"/>
          <w:rFonts w:asciiTheme="minorHAnsi" w:hAnsiTheme="minorHAnsi" w:cstheme="minorHAnsi"/>
          <w:color w:val="2F5496" w:themeColor="accent1" w:themeShade="BF"/>
          <w:sz w:val="20"/>
          <w:szCs w:val="20"/>
        </w:rPr>
        <w:footnoteReference w:id="42"/>
      </w:r>
    </w:p>
    <w:p w:rsidR="002B7F58" w:rsidRDefault="002B7F58" w:rsidP="00D71CED">
      <w:pPr>
        <w:jc w:val="both"/>
        <w:rPr>
          <w:rFonts w:asciiTheme="minorHAnsi" w:hAnsiTheme="minorHAnsi" w:cstheme="minorHAnsi"/>
          <w:b/>
          <w:color w:val="2F5496" w:themeColor="accent1" w:themeShade="BF"/>
        </w:rPr>
      </w:pPr>
    </w:p>
    <w:p w:rsidR="004227C6" w:rsidRPr="005C078C" w:rsidRDefault="004227C6" w:rsidP="005C078C">
      <w:pPr>
        <w:ind w:left="426" w:right="418"/>
        <w:jc w:val="both"/>
        <w:rPr>
          <w:sz w:val="18"/>
          <w:szCs w:val="18"/>
        </w:rPr>
      </w:pPr>
      <w:r w:rsidRPr="005C078C">
        <w:rPr>
          <w:rFonts w:asciiTheme="minorHAnsi" w:hAnsiTheme="minorHAnsi" w:cstheme="minorHAnsi"/>
          <w:b/>
          <w:color w:val="2F5496" w:themeColor="accent1" w:themeShade="BF"/>
          <w:sz w:val="18"/>
          <w:szCs w:val="18"/>
        </w:rPr>
        <w:t>*</w:t>
      </w:r>
      <w:r w:rsidRPr="005C078C">
        <w:rPr>
          <w:rStyle w:val="Heading1Char"/>
          <w:rFonts w:ascii="Garamond" w:hAnsi="Garamond"/>
          <w:color w:val="3E3F3E"/>
          <w:sz w:val="18"/>
          <w:szCs w:val="18"/>
        </w:rPr>
        <w:t xml:space="preserve"> </w:t>
      </w:r>
      <w:r w:rsidRPr="005C078C">
        <w:rPr>
          <w:rFonts w:asciiTheme="minorHAnsi" w:hAnsiTheme="minorHAnsi" w:cstheme="minorHAnsi"/>
          <w:b/>
          <w:bCs/>
          <w:color w:val="2F5496" w:themeColor="accent1" w:themeShade="BF"/>
          <w:sz w:val="18"/>
          <w:szCs w:val="18"/>
        </w:rPr>
        <w:t>linfopenia </w:t>
      </w:r>
      <w:r w:rsidRPr="005C078C">
        <w:rPr>
          <w:rFonts w:asciiTheme="minorHAnsi" w:hAnsiTheme="minorHAnsi" w:cstheme="minorHAnsi"/>
          <w:color w:val="2F5496" w:themeColor="accent1" w:themeShade="BF"/>
          <w:sz w:val="18"/>
          <w:szCs w:val="18"/>
        </w:rPr>
        <w:t>Diminuzione, assoluta o relativa, del numero dei linfociti nel sangue circolante (detta anche linfocitopenia). La </w:t>
      </w:r>
      <w:r w:rsidRPr="005C078C">
        <w:rPr>
          <w:rFonts w:asciiTheme="minorHAnsi" w:hAnsiTheme="minorHAnsi" w:cstheme="minorHAnsi"/>
          <w:i/>
          <w:iCs/>
          <w:color w:val="2F5496" w:themeColor="accent1" w:themeShade="BF"/>
          <w:sz w:val="18"/>
          <w:szCs w:val="18"/>
        </w:rPr>
        <w:t>l. relativa </w:t>
      </w:r>
      <w:r w:rsidRPr="005C078C">
        <w:rPr>
          <w:rFonts w:asciiTheme="minorHAnsi" w:hAnsiTheme="minorHAnsi" w:cstheme="minorHAnsi"/>
          <w:color w:val="2F5496" w:themeColor="accent1" w:themeShade="BF"/>
          <w:sz w:val="18"/>
          <w:szCs w:val="18"/>
        </w:rPr>
        <w:t>è riferita alla normale distribuzione percentuale dei globuli bianchi e si osserva, tra l’altro, in ogni caso di aumento dei leucociti neutrofili; la </w:t>
      </w:r>
      <w:r w:rsidRPr="005C078C">
        <w:rPr>
          <w:rFonts w:asciiTheme="minorHAnsi" w:hAnsiTheme="minorHAnsi" w:cstheme="minorHAnsi"/>
          <w:i/>
          <w:iCs/>
          <w:color w:val="2F5496" w:themeColor="accent1" w:themeShade="BF"/>
          <w:sz w:val="18"/>
          <w:szCs w:val="18"/>
        </w:rPr>
        <w:t>l. assoluta </w:t>
      </w:r>
      <w:r w:rsidRPr="005C078C">
        <w:rPr>
          <w:rFonts w:asciiTheme="minorHAnsi" w:hAnsiTheme="minorHAnsi" w:cstheme="minorHAnsi"/>
          <w:color w:val="2F5496" w:themeColor="accent1" w:themeShade="BF"/>
          <w:sz w:val="18"/>
          <w:szCs w:val="18"/>
        </w:rPr>
        <w:t>si ha quando è diminuito il numero di linfociti per mm</w:t>
      </w:r>
      <w:r w:rsidRPr="007C7F93">
        <w:rPr>
          <w:rFonts w:asciiTheme="minorHAnsi" w:hAnsiTheme="minorHAnsi" w:cstheme="minorHAnsi"/>
          <w:color w:val="2F5496" w:themeColor="accent1" w:themeShade="BF"/>
          <w:sz w:val="18"/>
          <w:szCs w:val="18"/>
          <w:vertAlign w:val="superscript"/>
        </w:rPr>
        <w:t>3</w:t>
      </w:r>
      <w:r w:rsidRPr="005C078C">
        <w:rPr>
          <w:rFonts w:asciiTheme="minorHAnsi" w:hAnsiTheme="minorHAnsi" w:cstheme="minorHAnsi"/>
          <w:color w:val="2F5496" w:themeColor="accent1" w:themeShade="BF"/>
          <w:sz w:val="18"/>
          <w:szCs w:val="18"/>
        </w:rPr>
        <w:t xml:space="preserve"> di sangue</w:t>
      </w:r>
      <w:r w:rsidRPr="005C078C">
        <w:rPr>
          <w:rFonts w:asciiTheme="minorHAnsi" w:hAnsiTheme="minorHAnsi" w:cstheme="minorHAnsi"/>
          <w:color w:val="2F5496" w:themeColor="accent1" w:themeShade="BF"/>
          <w:sz w:val="18"/>
          <w:szCs w:val="18"/>
          <w:shd w:val="clear" w:color="auto" w:fill="FAF9F6"/>
        </w:rPr>
        <w:t xml:space="preserve"> </w:t>
      </w:r>
      <w:r w:rsidRPr="005C078C">
        <w:rPr>
          <w:rFonts w:asciiTheme="minorHAnsi" w:hAnsiTheme="minorHAnsi" w:cstheme="minorHAnsi"/>
          <w:color w:val="2F5496" w:themeColor="accent1" w:themeShade="BF"/>
          <w:sz w:val="18"/>
          <w:szCs w:val="18"/>
        </w:rPr>
        <w:t>(normalmente nell’adulto 2.000÷3.000): essa si può verificare in numerose malattie da immunodepressione</w:t>
      </w:r>
      <w:r w:rsidRPr="005C078C">
        <w:rPr>
          <w:rFonts w:asciiTheme="minorHAnsi" w:hAnsiTheme="minorHAnsi" w:cstheme="minorHAnsi"/>
          <w:color w:val="2F5496" w:themeColor="accent1" w:themeShade="BF"/>
          <w:sz w:val="18"/>
          <w:szCs w:val="18"/>
          <w:shd w:val="clear" w:color="auto" w:fill="FAF9F6"/>
        </w:rPr>
        <w:t>.</w:t>
      </w:r>
    </w:p>
    <w:p w:rsidR="002B7F58" w:rsidRPr="00717D4D" w:rsidRDefault="002B7F58" w:rsidP="00D71CED">
      <w:pPr>
        <w:jc w:val="both"/>
        <w:rPr>
          <w:rFonts w:asciiTheme="minorHAnsi" w:hAnsiTheme="minorHAnsi" w:cstheme="minorHAnsi"/>
          <w:b/>
          <w:color w:val="2F5496" w:themeColor="accent1" w:themeShade="BF"/>
        </w:rPr>
      </w:pPr>
    </w:p>
    <w:p w:rsidR="002B7F58" w:rsidRDefault="002B7F58" w:rsidP="00D71CED">
      <w:pPr>
        <w:jc w:val="center"/>
        <w:rPr>
          <w:rFonts w:asciiTheme="minorHAnsi" w:hAnsiTheme="minorHAnsi"/>
          <w:color w:val="2F5496" w:themeColor="accent1" w:themeShade="BF"/>
        </w:rPr>
      </w:pPr>
      <w:r w:rsidRPr="00717D4D">
        <w:rPr>
          <w:rFonts w:asciiTheme="minorHAnsi" w:hAnsiTheme="minorHAnsi"/>
          <w:color w:val="2F5496" w:themeColor="accent1" w:themeShade="BF"/>
        </w:rPr>
        <w:fldChar w:fldCharType="begin"/>
      </w:r>
      <w:r w:rsidRPr="00717D4D">
        <w:rPr>
          <w:rFonts w:asciiTheme="minorHAnsi" w:hAnsiTheme="minorHAnsi"/>
          <w:color w:val="2F5496" w:themeColor="accent1" w:themeShade="BF"/>
        </w:rPr>
        <w:instrText xml:space="preserve"> INCLUDEPICTURE "https://www.ncbi.nlm.nih.gov/pmc/articles/PMC7191310/bin/JEM_20200678_Fig3.jpg" \* MERGEFORMATINET </w:instrText>
      </w:r>
      <w:r w:rsidRPr="00717D4D">
        <w:rPr>
          <w:rFonts w:asciiTheme="minorHAnsi" w:hAnsiTheme="minorHAnsi"/>
          <w:color w:val="2F5496" w:themeColor="accent1" w:themeShade="BF"/>
        </w:rPr>
        <w:fldChar w:fldCharType="separate"/>
      </w:r>
      <w:r w:rsidRPr="00717D4D">
        <w:rPr>
          <w:rFonts w:asciiTheme="minorHAnsi" w:hAnsiTheme="minorHAnsi"/>
          <w:noProof/>
          <w:color w:val="2F5496" w:themeColor="accent1" w:themeShade="BF"/>
        </w:rPr>
        <w:drawing>
          <wp:inline distT="0" distB="0" distL="0" distR="0" wp14:anchorId="14BF6798" wp14:editId="0DF5F62F">
            <wp:extent cx="2658548" cy="4039986"/>
            <wp:effectExtent l="0" t="0" r="0" b="0"/>
            <wp:docPr id="17" name="Immagine 17" descr="An external file that holds a picture, illustration, etc.&#10;Object name is JEM_20200678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JEM_20200678_Fig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25054" cy="4141050"/>
                    </a:xfrm>
                    <a:prstGeom prst="rect">
                      <a:avLst/>
                    </a:prstGeom>
                    <a:noFill/>
                    <a:ln>
                      <a:noFill/>
                    </a:ln>
                  </pic:spPr>
                </pic:pic>
              </a:graphicData>
            </a:graphic>
          </wp:inline>
        </w:drawing>
      </w:r>
      <w:r w:rsidRPr="00717D4D">
        <w:rPr>
          <w:rFonts w:asciiTheme="minorHAnsi" w:hAnsiTheme="minorHAnsi"/>
          <w:color w:val="2F5496" w:themeColor="accent1" w:themeShade="BF"/>
        </w:rPr>
        <w:fldChar w:fldCharType="end"/>
      </w:r>
    </w:p>
    <w:p w:rsidR="00471D4A" w:rsidRPr="00717D4D" w:rsidRDefault="00471D4A" w:rsidP="00D71CED">
      <w:pPr>
        <w:jc w:val="center"/>
        <w:rPr>
          <w:rFonts w:asciiTheme="minorHAnsi" w:hAnsiTheme="minorHAnsi"/>
          <w:color w:val="2F5496" w:themeColor="accent1" w:themeShade="BF"/>
        </w:rPr>
      </w:pPr>
    </w:p>
    <w:p w:rsidR="002B7F58" w:rsidRPr="00471D4A" w:rsidRDefault="00D71CED" w:rsidP="00471D4A">
      <w:pPr>
        <w:shd w:val="clear" w:color="auto" w:fill="F2F2F2" w:themeFill="background1" w:themeFillShade="F2"/>
        <w:jc w:val="both"/>
        <w:rPr>
          <w:rFonts w:asciiTheme="minorHAnsi" w:hAnsiTheme="minorHAnsi" w:cstheme="minorHAnsi"/>
          <w:color w:val="2F5496" w:themeColor="accent1" w:themeShade="BF"/>
          <w:sz w:val="18"/>
          <w:szCs w:val="18"/>
        </w:rPr>
      </w:pPr>
      <w:r w:rsidRPr="00471D4A">
        <w:rPr>
          <w:rFonts w:asciiTheme="minorHAnsi" w:hAnsiTheme="minorHAnsi" w:cstheme="minorHAnsi"/>
          <w:color w:val="2F5496" w:themeColor="accent1" w:themeShade="BF"/>
          <w:sz w:val="18"/>
          <w:szCs w:val="18"/>
        </w:rPr>
        <w:t xml:space="preserve">Tratta da </w:t>
      </w:r>
      <w:hyperlink r:id="rId53" w:history="1">
        <w:r w:rsidRPr="00471D4A">
          <w:rPr>
            <w:rStyle w:val="Hyperlink"/>
            <w:rFonts w:asciiTheme="minorHAnsi" w:eastAsiaTheme="majorEastAsia" w:hAnsiTheme="minorHAnsi" w:cstheme="minorHAnsi"/>
            <w:color w:val="2F5496" w:themeColor="accent1" w:themeShade="BF"/>
            <w:sz w:val="18"/>
            <w:szCs w:val="18"/>
            <w:u w:val="none"/>
          </w:rPr>
          <w:t>https://www.ncbi.nlm.nih.gov/pmc/articles/PMC7191310/</w:t>
        </w:r>
      </w:hyperlink>
    </w:p>
    <w:p w:rsidR="002B7F58" w:rsidRPr="00717D4D" w:rsidRDefault="002B7F58" w:rsidP="00D71CED">
      <w:pPr>
        <w:jc w:val="both"/>
        <w:rPr>
          <w:rFonts w:asciiTheme="minorHAnsi" w:hAnsiTheme="minorHAnsi" w:cstheme="minorHAnsi"/>
          <w:color w:val="2F5496" w:themeColor="accent1" w:themeShade="BF"/>
        </w:rPr>
      </w:pPr>
    </w:p>
    <w:p w:rsidR="002B7F58" w:rsidRPr="00EA30C3" w:rsidRDefault="002B7F58" w:rsidP="00EA30C3">
      <w:pPr>
        <w:shd w:val="clear" w:color="auto" w:fill="FBF9E1"/>
        <w:jc w:val="both"/>
        <w:rPr>
          <w:rFonts w:asciiTheme="minorHAnsi" w:hAnsiTheme="minorHAnsi" w:cstheme="minorHAnsi"/>
          <w:color w:val="000000" w:themeColor="text1"/>
          <w:sz w:val="20"/>
          <w:szCs w:val="20"/>
        </w:rPr>
      </w:pPr>
      <w:r w:rsidRPr="00EA30C3">
        <w:rPr>
          <w:rFonts w:asciiTheme="minorHAnsi" w:hAnsiTheme="minorHAnsi" w:cstheme="minorHAnsi"/>
          <w:color w:val="000000" w:themeColor="text1"/>
          <w:sz w:val="20"/>
          <w:szCs w:val="20"/>
          <w:shd w:val="clear" w:color="auto" w:fill="FBF9E1"/>
        </w:rPr>
        <w:t xml:space="preserve">La presentazione clinica dell'infezione da COVID-19 è più coerente con una </w:t>
      </w:r>
      <w:r w:rsidRPr="00EA30C3">
        <w:rPr>
          <w:rFonts w:asciiTheme="minorHAnsi" w:hAnsiTheme="minorHAnsi" w:cstheme="minorHAnsi"/>
          <w:b/>
          <w:bCs/>
          <w:color w:val="000000" w:themeColor="text1"/>
          <w:sz w:val="20"/>
          <w:szCs w:val="20"/>
          <w:shd w:val="clear" w:color="auto" w:fill="FBF9E1"/>
        </w:rPr>
        <w:t>malattia virale subacuta</w:t>
      </w:r>
      <w:r w:rsidRPr="00EA30C3">
        <w:rPr>
          <w:rFonts w:asciiTheme="minorHAnsi" w:hAnsiTheme="minorHAnsi" w:cstheme="minorHAnsi"/>
          <w:color w:val="000000" w:themeColor="text1"/>
          <w:sz w:val="20"/>
          <w:szCs w:val="20"/>
          <w:shd w:val="clear" w:color="auto" w:fill="FBF9E1"/>
        </w:rPr>
        <w:t xml:space="preserve"> piuttosto che acuta</w:t>
      </w:r>
      <w:r w:rsidRPr="00EA30C3">
        <w:rPr>
          <w:rFonts w:asciiTheme="minorHAnsi" w:hAnsiTheme="minorHAnsi" w:cstheme="minorHAnsi"/>
          <w:color w:val="000000" w:themeColor="text1"/>
          <w:sz w:val="20"/>
          <w:szCs w:val="20"/>
          <w:shd w:val="clear" w:color="auto" w:fill="F5FFBF"/>
        </w:rPr>
        <w:t>.</w:t>
      </w:r>
    </w:p>
    <w:p w:rsidR="00F33942" w:rsidRPr="00EA30C3" w:rsidRDefault="002B7F58" w:rsidP="00D71CED">
      <w:pPr>
        <w:jc w:val="both"/>
        <w:rPr>
          <w:rFonts w:asciiTheme="minorHAnsi" w:hAnsiTheme="minorHAnsi" w:cstheme="minorHAnsi"/>
          <w:color w:val="000000" w:themeColor="text1"/>
          <w:sz w:val="20"/>
          <w:szCs w:val="20"/>
        </w:rPr>
      </w:pPr>
      <w:r w:rsidRPr="00EA30C3">
        <w:rPr>
          <w:rFonts w:asciiTheme="minorHAnsi" w:hAnsiTheme="minorHAnsi" w:cstheme="minorHAnsi"/>
          <w:color w:val="000000" w:themeColor="text1"/>
          <w:sz w:val="20"/>
          <w:szCs w:val="20"/>
        </w:rPr>
        <w:t xml:space="preserve">Rispetto alle infezioni da influenza H1N1, in cui il tempo mediano di incubazione è di 2 giorni e la maggior parte dei ricoveri in unità di terapia intensiva si verifica entro 24–48 h dal ricovero </w:t>
      </w:r>
      <w:r w:rsidRPr="00EA30C3">
        <w:rPr>
          <w:rStyle w:val="FootnoteReference"/>
          <w:rFonts w:asciiTheme="minorHAnsi" w:hAnsiTheme="minorHAnsi" w:cstheme="minorHAnsi"/>
          <w:color w:val="000000" w:themeColor="text1"/>
          <w:sz w:val="20"/>
          <w:szCs w:val="20"/>
        </w:rPr>
        <w:footnoteReference w:id="43"/>
      </w:r>
      <w:r w:rsidRPr="00EA30C3">
        <w:rPr>
          <w:rFonts w:asciiTheme="minorHAnsi" w:hAnsiTheme="minorHAnsi" w:cstheme="minorHAnsi"/>
          <w:color w:val="000000" w:themeColor="text1"/>
          <w:sz w:val="20"/>
          <w:szCs w:val="20"/>
        </w:rPr>
        <w:t>,</w:t>
      </w:r>
      <w:r w:rsidRPr="00EA30C3">
        <w:rPr>
          <w:rFonts w:asciiTheme="minorHAnsi" w:hAnsiTheme="minorHAnsi" w:cstheme="minorHAnsi"/>
          <w:color w:val="000000" w:themeColor="text1"/>
          <w:sz w:val="20"/>
          <w:szCs w:val="20"/>
          <w:shd w:val="clear" w:color="auto" w:fill="FBF9E1"/>
        </w:rPr>
        <w:t xml:space="preserve"> i pazienti con infezione da COVID-19 si presentano in ospedale con un </w:t>
      </w:r>
      <w:r w:rsidRPr="00EA30C3">
        <w:rPr>
          <w:rFonts w:asciiTheme="minorHAnsi" w:hAnsiTheme="minorHAnsi" w:cstheme="minorHAnsi"/>
          <w:b/>
          <w:bCs/>
          <w:color w:val="000000" w:themeColor="text1"/>
          <w:sz w:val="20"/>
          <w:szCs w:val="20"/>
          <w:shd w:val="clear" w:color="auto" w:fill="FBF9E1"/>
        </w:rPr>
        <w:t>tempo mediano di incubazione di 5-7 giorni</w:t>
      </w:r>
      <w:r w:rsidRPr="00EA30C3">
        <w:rPr>
          <w:rFonts w:asciiTheme="minorHAnsi" w:hAnsiTheme="minorHAnsi" w:cstheme="minorHAnsi"/>
          <w:color w:val="000000" w:themeColor="text1"/>
          <w:sz w:val="20"/>
          <w:szCs w:val="20"/>
        </w:rPr>
        <w:t xml:space="preserve"> e sono generalmente ricoverati in ospedale per altri 3-4 giorni prima di richiedere l'ammissione al reparto di terapia intensiva e / o la ventilazione meccanica  </w:t>
      </w:r>
      <w:r w:rsidRPr="00EA30C3">
        <w:rPr>
          <w:rStyle w:val="FootnoteReference"/>
          <w:rFonts w:asciiTheme="minorHAnsi" w:hAnsiTheme="minorHAnsi" w:cstheme="minorHAnsi"/>
          <w:color w:val="000000" w:themeColor="text1"/>
          <w:sz w:val="20"/>
          <w:szCs w:val="20"/>
        </w:rPr>
        <w:footnoteReference w:id="44"/>
      </w:r>
      <w:r w:rsidRPr="00EA30C3">
        <w:rPr>
          <w:rFonts w:asciiTheme="minorHAnsi" w:hAnsiTheme="minorHAnsi" w:cstheme="minorHAnsi"/>
          <w:color w:val="000000" w:themeColor="text1"/>
          <w:sz w:val="20"/>
          <w:szCs w:val="20"/>
        </w:rPr>
        <w:t xml:space="preserve">. </w:t>
      </w:r>
      <w:r w:rsidRPr="00EA30C3">
        <w:rPr>
          <w:rFonts w:asciiTheme="minorHAnsi" w:hAnsiTheme="minorHAnsi" w:cstheme="minorHAnsi"/>
          <w:color w:val="000000" w:themeColor="text1"/>
          <w:sz w:val="20"/>
          <w:szCs w:val="20"/>
        </w:rPr>
        <w:lastRenderedPageBreak/>
        <w:t>Questo modello subacuto di progressione aumenta la possibilità che l'</w:t>
      </w:r>
      <w:r w:rsidRPr="00EA30C3">
        <w:rPr>
          <w:rFonts w:asciiTheme="minorHAnsi" w:hAnsiTheme="minorHAnsi" w:cstheme="minorHAnsi"/>
          <w:b/>
          <w:bCs/>
          <w:color w:val="000000" w:themeColor="text1"/>
          <w:sz w:val="20"/>
          <w:szCs w:val="20"/>
        </w:rPr>
        <w:t xml:space="preserve">immunosoppressione, </w:t>
      </w:r>
      <w:r w:rsidRPr="00EA30C3">
        <w:rPr>
          <w:rFonts w:asciiTheme="minorHAnsi" w:hAnsiTheme="minorHAnsi" w:cstheme="minorHAnsi"/>
          <w:color w:val="000000" w:themeColor="text1"/>
          <w:sz w:val="20"/>
          <w:szCs w:val="20"/>
        </w:rPr>
        <w:t xml:space="preserve">dovuta sia alla deplezione (eliminazione selettiva dei linfociti T che hanno reagito contro il virus) che all'esaurimento delle cellule T, contribuisca alla persistenza </w:t>
      </w:r>
      <w:r w:rsidR="00C56D05" w:rsidRPr="00EA30C3">
        <w:rPr>
          <w:rFonts w:asciiTheme="minorHAnsi" w:hAnsiTheme="minorHAnsi" w:cstheme="minorHAnsi"/>
          <w:color w:val="000000" w:themeColor="text1"/>
          <w:sz w:val="20"/>
          <w:szCs w:val="20"/>
        </w:rPr>
        <w:t xml:space="preserve">virale </w:t>
      </w:r>
      <w:r w:rsidRPr="00EA30C3">
        <w:rPr>
          <w:rFonts w:asciiTheme="minorHAnsi" w:hAnsiTheme="minorHAnsi" w:cstheme="minorHAnsi"/>
          <w:color w:val="000000" w:themeColor="text1"/>
          <w:sz w:val="20"/>
          <w:szCs w:val="20"/>
        </w:rPr>
        <w:t>e alla mortalità d</w:t>
      </w:r>
      <w:r w:rsidR="00C56D05" w:rsidRPr="00EA30C3">
        <w:rPr>
          <w:rFonts w:asciiTheme="minorHAnsi" w:hAnsiTheme="minorHAnsi" w:cstheme="minorHAnsi"/>
          <w:color w:val="000000" w:themeColor="text1"/>
          <w:sz w:val="20"/>
          <w:szCs w:val="20"/>
        </w:rPr>
        <w:t xml:space="preserve">a </w:t>
      </w:r>
      <w:r w:rsidRPr="00EA30C3">
        <w:rPr>
          <w:rFonts w:asciiTheme="minorHAnsi" w:hAnsiTheme="minorHAnsi" w:cstheme="minorHAnsi"/>
          <w:color w:val="000000" w:themeColor="text1"/>
          <w:sz w:val="20"/>
          <w:szCs w:val="20"/>
        </w:rPr>
        <w:t xml:space="preserve">COVID-19. </w:t>
      </w:r>
    </w:p>
    <w:p w:rsidR="002B7F58" w:rsidRPr="00EA30C3" w:rsidRDefault="002B7F58" w:rsidP="00D71CED">
      <w:pPr>
        <w:jc w:val="both"/>
        <w:rPr>
          <w:rFonts w:asciiTheme="minorHAnsi" w:hAnsiTheme="minorHAnsi" w:cstheme="minorHAnsi"/>
          <w:color w:val="000000" w:themeColor="text1"/>
          <w:sz w:val="20"/>
          <w:szCs w:val="20"/>
        </w:rPr>
      </w:pPr>
      <w:r w:rsidRPr="00EA30C3">
        <w:rPr>
          <w:rFonts w:asciiTheme="minorHAnsi" w:hAnsiTheme="minorHAnsi" w:cstheme="minorHAnsi"/>
          <w:color w:val="000000" w:themeColor="text1"/>
          <w:sz w:val="20"/>
          <w:szCs w:val="20"/>
          <w:shd w:val="clear" w:color="auto" w:fill="FBF9E1"/>
        </w:rPr>
        <w:t xml:space="preserve">La </w:t>
      </w:r>
      <w:r w:rsidRPr="00EA30C3">
        <w:rPr>
          <w:rFonts w:asciiTheme="minorHAnsi" w:hAnsiTheme="minorHAnsi" w:cstheme="minorHAnsi"/>
          <w:b/>
          <w:bCs/>
          <w:color w:val="000000" w:themeColor="text1"/>
          <w:sz w:val="20"/>
          <w:szCs w:val="20"/>
          <w:shd w:val="clear" w:color="auto" w:fill="FBF9E1"/>
        </w:rPr>
        <w:t>linfopenia</w:t>
      </w:r>
      <w:r w:rsidRPr="00EA30C3">
        <w:rPr>
          <w:rFonts w:asciiTheme="minorHAnsi" w:hAnsiTheme="minorHAnsi" w:cstheme="minorHAnsi"/>
          <w:color w:val="000000" w:themeColor="text1"/>
          <w:sz w:val="20"/>
          <w:szCs w:val="20"/>
          <w:shd w:val="clear" w:color="auto" w:fill="FBF9E1"/>
        </w:rPr>
        <w:t xml:space="preserve"> è l'anomalia di laboratorio più consistente nei pazienti con infezione da COVID-19</w:t>
      </w:r>
      <w:r w:rsidRPr="00EA30C3">
        <w:rPr>
          <w:rFonts w:asciiTheme="minorHAnsi" w:hAnsiTheme="minorHAnsi" w:cstheme="minorHAnsi"/>
          <w:color w:val="000000" w:themeColor="text1"/>
          <w:sz w:val="20"/>
          <w:szCs w:val="20"/>
        </w:rPr>
        <w:t>. In particolare, si osserva la deplezione progressiva dei linfociti in pazienti che si deteriorano clinicamente durante l'infezione da COVID-19, mentre il recupero della conta dei linfociti tende a precedere direttamente il recupero clinico.</w:t>
      </w:r>
      <w:r w:rsidRPr="00EA30C3">
        <w:rPr>
          <w:rStyle w:val="FootnoteReference"/>
          <w:rFonts w:asciiTheme="minorHAnsi" w:hAnsiTheme="minorHAnsi" w:cstheme="minorHAnsi"/>
          <w:color w:val="000000" w:themeColor="text1"/>
          <w:sz w:val="20"/>
          <w:szCs w:val="20"/>
        </w:rPr>
        <w:footnoteReference w:id="45"/>
      </w:r>
    </w:p>
    <w:p w:rsidR="002B7F58" w:rsidRPr="00EA30C3" w:rsidRDefault="002B7F58" w:rsidP="00D71CED">
      <w:pPr>
        <w:jc w:val="both"/>
        <w:rPr>
          <w:rFonts w:asciiTheme="minorHAnsi" w:hAnsiTheme="minorHAnsi" w:cstheme="minorHAnsi"/>
          <w:color w:val="000000" w:themeColor="text1"/>
          <w:sz w:val="20"/>
          <w:szCs w:val="20"/>
        </w:rPr>
      </w:pPr>
    </w:p>
    <w:p w:rsidR="002B7F58" w:rsidRPr="00EA30C3" w:rsidRDefault="002B7F58" w:rsidP="00D71CED">
      <w:pPr>
        <w:jc w:val="both"/>
        <w:rPr>
          <w:rFonts w:asciiTheme="minorHAnsi" w:hAnsiTheme="minorHAnsi" w:cstheme="minorHAnsi"/>
          <w:color w:val="000000" w:themeColor="text1"/>
          <w:sz w:val="20"/>
          <w:szCs w:val="20"/>
        </w:rPr>
      </w:pPr>
      <w:r w:rsidRPr="00EA30C3">
        <w:rPr>
          <w:rFonts w:asciiTheme="minorHAnsi" w:hAnsiTheme="minorHAnsi" w:cstheme="minorHAnsi"/>
          <w:color w:val="000000" w:themeColor="text1"/>
          <w:sz w:val="20"/>
          <w:szCs w:val="20"/>
        </w:rPr>
        <w:t xml:space="preserve">I ricercatori hanno notato infatti che </w:t>
      </w:r>
      <w:r w:rsidRPr="00EA30C3">
        <w:rPr>
          <w:rFonts w:asciiTheme="minorHAnsi" w:hAnsiTheme="minorHAnsi" w:cstheme="minorHAnsi"/>
          <w:b/>
          <w:bCs/>
          <w:color w:val="000000" w:themeColor="text1"/>
          <w:sz w:val="20"/>
          <w:szCs w:val="20"/>
        </w:rPr>
        <w:t>il numero di cellule T totali, cellule T CD4</w:t>
      </w:r>
      <w:r w:rsidRPr="00EA30C3">
        <w:rPr>
          <w:rFonts w:asciiTheme="minorHAnsi" w:hAnsiTheme="minorHAnsi" w:cstheme="minorHAnsi"/>
          <w:b/>
          <w:bCs/>
          <w:color w:val="000000" w:themeColor="text1"/>
          <w:sz w:val="20"/>
          <w:szCs w:val="20"/>
          <w:vertAlign w:val="superscript"/>
        </w:rPr>
        <w:t>+</w:t>
      </w:r>
      <w:r w:rsidRPr="00EA30C3">
        <w:rPr>
          <w:rFonts w:asciiTheme="minorHAnsi" w:hAnsiTheme="minorHAnsi" w:cstheme="minorHAnsi"/>
          <w:b/>
          <w:bCs/>
          <w:color w:val="000000" w:themeColor="text1"/>
          <w:sz w:val="20"/>
          <w:szCs w:val="20"/>
        </w:rPr>
        <w:t xml:space="preserve"> e CD8 era drasticamente ridotto</w:t>
      </w:r>
      <w:r w:rsidRPr="00EA30C3">
        <w:rPr>
          <w:rFonts w:asciiTheme="minorHAnsi" w:hAnsiTheme="minorHAnsi" w:cstheme="minorHAnsi"/>
          <w:color w:val="000000" w:themeColor="text1"/>
          <w:sz w:val="20"/>
          <w:szCs w:val="20"/>
        </w:rPr>
        <w:t xml:space="preserve"> tra i pazienti con COVID-19, in particolare in quelli che necessitavano di terapia intensiva. La conta delle cellule T totali, delle cellule T CD8</w:t>
      </w:r>
      <w:r w:rsidR="004227C6" w:rsidRPr="00EA30C3">
        <w:rPr>
          <w:rFonts w:asciiTheme="minorHAnsi" w:hAnsiTheme="minorHAnsi" w:cstheme="minorHAnsi"/>
          <w:color w:val="000000" w:themeColor="text1"/>
          <w:sz w:val="20"/>
          <w:szCs w:val="20"/>
          <w:vertAlign w:val="superscript"/>
        </w:rPr>
        <w:t>+</w:t>
      </w:r>
      <w:r w:rsidRPr="00EA30C3">
        <w:rPr>
          <w:rFonts w:asciiTheme="minorHAnsi" w:hAnsiTheme="minorHAnsi" w:cstheme="minorHAnsi"/>
          <w:color w:val="000000" w:themeColor="text1"/>
          <w:sz w:val="20"/>
          <w:szCs w:val="20"/>
        </w:rPr>
        <w:t xml:space="preserve"> o delle cellule T CD4</w:t>
      </w:r>
      <w:r w:rsidRPr="00EA30C3">
        <w:rPr>
          <w:rFonts w:asciiTheme="minorHAnsi" w:hAnsiTheme="minorHAnsi" w:cstheme="minorHAnsi"/>
          <w:color w:val="000000" w:themeColor="text1"/>
          <w:sz w:val="20"/>
          <w:szCs w:val="20"/>
          <w:vertAlign w:val="superscript"/>
        </w:rPr>
        <w:t>+</w:t>
      </w:r>
      <w:r w:rsidRPr="00EA30C3">
        <w:rPr>
          <w:rFonts w:asciiTheme="minorHAnsi" w:hAnsiTheme="minorHAnsi" w:cstheme="minorHAnsi"/>
          <w:color w:val="000000" w:themeColor="text1"/>
          <w:sz w:val="20"/>
          <w:szCs w:val="20"/>
        </w:rPr>
        <w:t xml:space="preserve"> inferiori rispettivamente a 800, 300 o 400 / L, era correlata negativamente con la sopravvivenza del paziente. Inoltre, la conta delle cellule T era associata negativamente alle concentrazioni sieriche di </w:t>
      </w:r>
      <w:r w:rsidRPr="00EA30C3">
        <w:rPr>
          <w:rFonts w:asciiTheme="minorHAnsi" w:hAnsiTheme="minorHAnsi" w:cstheme="minorHAnsi"/>
          <w:b/>
          <w:bCs/>
          <w:color w:val="000000" w:themeColor="text1"/>
          <w:sz w:val="20"/>
          <w:szCs w:val="20"/>
        </w:rPr>
        <w:t>IL-6, IL-10 e TNF-alfa</w:t>
      </w:r>
      <w:r w:rsidRPr="00EA30C3">
        <w:rPr>
          <w:rFonts w:asciiTheme="minorHAnsi" w:hAnsiTheme="minorHAnsi" w:cstheme="minorHAnsi"/>
          <w:color w:val="000000" w:themeColor="text1"/>
          <w:sz w:val="20"/>
          <w:szCs w:val="20"/>
        </w:rPr>
        <w:t>. I pazienti nel periodo di risoluzione della malattia hanno dimostrato una riduzione delle concentrazioni di IL-6, IL-10 e TNF-alfa e una conta delle cellule T ripristinata.</w:t>
      </w:r>
    </w:p>
    <w:p w:rsidR="00471D4A" w:rsidRPr="00EA30C3" w:rsidRDefault="00471D4A" w:rsidP="00D71CED">
      <w:pPr>
        <w:jc w:val="both"/>
        <w:rPr>
          <w:rFonts w:asciiTheme="minorHAnsi" w:hAnsiTheme="minorHAnsi" w:cstheme="minorHAnsi"/>
          <w:color w:val="000000" w:themeColor="text1"/>
          <w:sz w:val="20"/>
          <w:szCs w:val="20"/>
        </w:rPr>
      </w:pPr>
    </w:p>
    <w:p w:rsidR="002B7F58" w:rsidRPr="00EA30C3" w:rsidRDefault="002B7F58" w:rsidP="00D71CED">
      <w:pPr>
        <w:jc w:val="both"/>
        <w:rPr>
          <w:rFonts w:asciiTheme="minorHAnsi" w:hAnsiTheme="minorHAnsi" w:cstheme="minorHAnsi"/>
          <w:color w:val="000000" w:themeColor="text1"/>
          <w:sz w:val="20"/>
          <w:szCs w:val="20"/>
        </w:rPr>
      </w:pPr>
      <w:r w:rsidRPr="00EA30C3">
        <w:rPr>
          <w:rFonts w:asciiTheme="minorHAnsi" w:hAnsiTheme="minorHAnsi" w:cstheme="minorHAnsi"/>
          <w:color w:val="000000" w:themeColor="text1"/>
          <w:sz w:val="20"/>
          <w:szCs w:val="20"/>
        </w:rPr>
        <w:t xml:space="preserve">Le cellule T tra i pazienti con COVID-19 avevano anche livelli significativamente più alti del marker </w:t>
      </w:r>
      <w:r w:rsidR="004227C6" w:rsidRPr="00EA30C3">
        <w:rPr>
          <w:rFonts w:asciiTheme="minorHAnsi" w:hAnsiTheme="minorHAnsi" w:cstheme="minorHAnsi"/>
          <w:color w:val="000000" w:themeColor="text1"/>
          <w:sz w:val="20"/>
          <w:szCs w:val="20"/>
        </w:rPr>
        <w:t xml:space="preserve">delle cellule </w:t>
      </w:r>
      <w:r w:rsidRPr="00EA30C3">
        <w:rPr>
          <w:rFonts w:asciiTheme="minorHAnsi" w:hAnsiTheme="minorHAnsi" w:cstheme="minorHAnsi"/>
          <w:color w:val="000000" w:themeColor="text1"/>
          <w:sz w:val="20"/>
          <w:szCs w:val="20"/>
        </w:rPr>
        <w:t>esaust</w:t>
      </w:r>
      <w:r w:rsidR="004227C6" w:rsidRPr="00EA30C3">
        <w:rPr>
          <w:rFonts w:asciiTheme="minorHAnsi" w:hAnsiTheme="minorHAnsi" w:cstheme="minorHAnsi"/>
          <w:color w:val="000000" w:themeColor="text1"/>
          <w:sz w:val="20"/>
          <w:szCs w:val="20"/>
        </w:rPr>
        <w:t>e</w:t>
      </w:r>
      <w:r w:rsidRPr="00EA30C3">
        <w:rPr>
          <w:rFonts w:asciiTheme="minorHAnsi" w:hAnsiTheme="minorHAnsi" w:cstheme="minorHAnsi"/>
          <w:color w:val="000000" w:themeColor="text1"/>
          <w:sz w:val="20"/>
          <w:szCs w:val="20"/>
        </w:rPr>
        <w:t xml:space="preserve"> </w:t>
      </w:r>
      <w:r w:rsidRPr="00EA30C3">
        <w:rPr>
          <w:rFonts w:asciiTheme="minorHAnsi" w:hAnsiTheme="minorHAnsi" w:cstheme="minorHAnsi"/>
          <w:b/>
          <w:bCs/>
          <w:color w:val="000000" w:themeColor="text1"/>
          <w:sz w:val="20"/>
          <w:szCs w:val="20"/>
        </w:rPr>
        <w:t>PD-1</w:t>
      </w:r>
      <w:r w:rsidRPr="00EA30C3">
        <w:rPr>
          <w:rFonts w:asciiTheme="minorHAnsi" w:hAnsiTheme="minorHAnsi" w:cstheme="minorHAnsi"/>
          <w:color w:val="000000" w:themeColor="text1"/>
          <w:sz w:val="20"/>
          <w:szCs w:val="20"/>
        </w:rPr>
        <w:t xml:space="preserve"> ed è stato notato un aumento dell'espressione di PD-1 e Tim-3 nelle cellule T dei pazienti che progredivano dalle fasi della malattia prodromica (manifestazione clinica non specifica che si presenta prima che insorga il quadro clinico tipico di una determinata malattia) a quella apertamente sintomatica. Ciò suggerisce un </w:t>
      </w:r>
      <w:r w:rsidRPr="00EA30C3">
        <w:rPr>
          <w:rFonts w:asciiTheme="minorHAnsi" w:hAnsiTheme="minorHAnsi" w:cstheme="minorHAnsi"/>
          <w:b/>
          <w:bCs/>
          <w:color w:val="000000" w:themeColor="text1"/>
          <w:sz w:val="20"/>
          <w:szCs w:val="20"/>
        </w:rPr>
        <w:t>intervento precoce e più urgente nei pazienti con una conta dei linfociti T bassa</w:t>
      </w:r>
      <w:r w:rsidRPr="00EA30C3">
        <w:rPr>
          <w:rFonts w:asciiTheme="minorHAnsi" w:hAnsiTheme="minorHAnsi" w:cstheme="minorHAnsi"/>
          <w:color w:val="000000" w:themeColor="text1"/>
          <w:sz w:val="20"/>
          <w:szCs w:val="20"/>
        </w:rPr>
        <w:t>, in quanto a causa del</w:t>
      </w:r>
      <w:r w:rsidR="004227C6" w:rsidRPr="00EA30C3">
        <w:rPr>
          <w:rFonts w:asciiTheme="minorHAnsi" w:hAnsiTheme="minorHAnsi" w:cstheme="minorHAnsi"/>
          <w:color w:val="000000" w:themeColor="text1"/>
          <w:sz w:val="20"/>
          <w:szCs w:val="20"/>
        </w:rPr>
        <w:t>la deplezione</w:t>
      </w:r>
      <w:r w:rsidRPr="00EA30C3">
        <w:rPr>
          <w:rFonts w:asciiTheme="minorHAnsi" w:hAnsiTheme="minorHAnsi" w:cstheme="minorHAnsi"/>
          <w:color w:val="000000" w:themeColor="text1"/>
          <w:sz w:val="20"/>
          <w:szCs w:val="20"/>
        </w:rPr>
        <w:t xml:space="preserve"> e dell'esaurimento delle cellule T, i pazienti sono più vulnerabili alle infezioni secondarie.</w:t>
      </w:r>
      <w:r w:rsidRPr="00EA30C3">
        <w:rPr>
          <w:rStyle w:val="FootnoteReference"/>
          <w:rFonts w:asciiTheme="minorHAnsi" w:hAnsiTheme="minorHAnsi" w:cstheme="minorHAnsi"/>
          <w:color w:val="000000" w:themeColor="text1"/>
          <w:sz w:val="20"/>
          <w:szCs w:val="20"/>
        </w:rPr>
        <w:footnoteReference w:id="46"/>
      </w:r>
    </w:p>
    <w:p w:rsidR="002B7F58" w:rsidRPr="00EA30C3" w:rsidRDefault="002B7F58" w:rsidP="00D71CED">
      <w:pPr>
        <w:jc w:val="both"/>
        <w:rPr>
          <w:rFonts w:asciiTheme="minorHAnsi" w:hAnsiTheme="minorHAnsi" w:cstheme="minorHAnsi"/>
          <w:color w:val="000000" w:themeColor="text1"/>
          <w:sz w:val="20"/>
          <w:szCs w:val="20"/>
        </w:rPr>
      </w:pPr>
    </w:p>
    <w:p w:rsidR="002B7F58" w:rsidRPr="00EA30C3" w:rsidRDefault="002B7F58" w:rsidP="00D71CED">
      <w:pPr>
        <w:jc w:val="both"/>
        <w:rPr>
          <w:rFonts w:asciiTheme="minorHAnsi" w:hAnsiTheme="minorHAnsi" w:cstheme="minorHAnsi"/>
          <w:color w:val="000000" w:themeColor="text1"/>
          <w:sz w:val="20"/>
          <w:szCs w:val="20"/>
        </w:rPr>
      </w:pPr>
      <w:r w:rsidRPr="00EA30C3">
        <w:rPr>
          <w:rFonts w:asciiTheme="minorHAnsi" w:hAnsiTheme="minorHAnsi" w:cstheme="minorHAnsi"/>
          <w:color w:val="000000" w:themeColor="text1"/>
          <w:sz w:val="20"/>
          <w:szCs w:val="20"/>
        </w:rPr>
        <w:t xml:space="preserve">Il meccanismo proposto è il seguente: </w:t>
      </w:r>
    </w:p>
    <w:p w:rsidR="00471D4A" w:rsidRPr="00EA30C3" w:rsidRDefault="00471D4A" w:rsidP="00D71CED">
      <w:pPr>
        <w:jc w:val="both"/>
        <w:rPr>
          <w:rFonts w:asciiTheme="minorHAnsi" w:hAnsiTheme="minorHAnsi" w:cstheme="minorHAnsi"/>
          <w:color w:val="000000" w:themeColor="text1"/>
          <w:sz w:val="20"/>
          <w:szCs w:val="20"/>
        </w:rPr>
      </w:pPr>
    </w:p>
    <w:p w:rsidR="002B7F58" w:rsidRPr="00EA30C3" w:rsidRDefault="002B7F58" w:rsidP="00D71CED">
      <w:pPr>
        <w:jc w:val="both"/>
        <w:rPr>
          <w:rFonts w:asciiTheme="minorHAnsi" w:hAnsiTheme="minorHAnsi" w:cstheme="minorHAnsi"/>
          <w:color w:val="000000" w:themeColor="text1"/>
          <w:sz w:val="20"/>
          <w:szCs w:val="20"/>
        </w:rPr>
      </w:pPr>
    </w:p>
    <w:p w:rsidR="00471D4A" w:rsidRPr="00EA30C3" w:rsidRDefault="00471D4A" w:rsidP="00471D4A">
      <w:pPr>
        <w:shd w:val="clear" w:color="auto" w:fill="F2F2F2" w:themeFill="background1" w:themeFillShade="F2"/>
        <w:rPr>
          <w:rFonts w:asciiTheme="minorHAnsi" w:hAnsiTheme="minorHAnsi" w:cstheme="minorHAnsi"/>
          <w:color w:val="000000" w:themeColor="text1"/>
          <w:sz w:val="18"/>
          <w:szCs w:val="18"/>
        </w:rPr>
      </w:pPr>
    </w:p>
    <w:p w:rsidR="00471D4A" w:rsidRPr="00EA30C3" w:rsidRDefault="00471D4A" w:rsidP="00471D4A">
      <w:pPr>
        <w:shd w:val="clear" w:color="auto" w:fill="F2F2F2" w:themeFill="background1" w:themeFillShade="F2"/>
        <w:rPr>
          <w:rStyle w:val="Hyperlink"/>
          <w:rFonts w:asciiTheme="minorHAnsi" w:eastAsiaTheme="majorEastAsia" w:hAnsiTheme="minorHAnsi" w:cstheme="minorHAnsi"/>
          <w:color w:val="000000" w:themeColor="text1"/>
          <w:sz w:val="18"/>
          <w:szCs w:val="18"/>
          <w:u w:val="none"/>
        </w:rPr>
      </w:pPr>
      <w:r w:rsidRPr="00EA30C3">
        <w:rPr>
          <w:rFonts w:asciiTheme="minorHAnsi" w:hAnsiTheme="minorHAnsi" w:cstheme="minorHAnsi"/>
          <w:color w:val="000000" w:themeColor="text1"/>
          <w:sz w:val="18"/>
          <w:szCs w:val="18"/>
        </w:rPr>
        <w:t xml:space="preserve">Tratta da </w:t>
      </w:r>
      <w:hyperlink r:id="rId54" w:history="1">
        <w:r w:rsidRPr="00EA30C3">
          <w:rPr>
            <w:rStyle w:val="Hyperlink"/>
            <w:rFonts w:asciiTheme="minorHAnsi" w:eastAsiaTheme="majorEastAsia" w:hAnsiTheme="minorHAnsi" w:cstheme="minorHAnsi"/>
            <w:color w:val="000000" w:themeColor="text1"/>
            <w:sz w:val="18"/>
            <w:szCs w:val="18"/>
            <w:u w:val="none"/>
          </w:rPr>
          <w:t>https://www.ncbi.nlm.nih.gov/pmc/articles/PMC6170629/pdf/fimmu-09-02147.pdf</w:t>
        </w:r>
      </w:hyperlink>
    </w:p>
    <w:p w:rsidR="00471D4A" w:rsidRPr="00EA30C3" w:rsidRDefault="00471D4A" w:rsidP="00471D4A">
      <w:pPr>
        <w:shd w:val="clear" w:color="auto" w:fill="F2F2F2" w:themeFill="background1" w:themeFillShade="F2"/>
        <w:rPr>
          <w:rFonts w:asciiTheme="minorHAnsi" w:hAnsiTheme="minorHAnsi" w:cstheme="minorHAnsi"/>
          <w:color w:val="000000" w:themeColor="text1"/>
          <w:sz w:val="18"/>
          <w:szCs w:val="18"/>
        </w:rPr>
      </w:pPr>
    </w:p>
    <w:p w:rsidR="00471D4A" w:rsidRPr="00EA30C3" w:rsidRDefault="00471D4A" w:rsidP="00471D4A">
      <w:pPr>
        <w:shd w:val="clear" w:color="auto" w:fill="F2F2F2" w:themeFill="background1" w:themeFillShade="F2"/>
        <w:jc w:val="both"/>
        <w:rPr>
          <w:rFonts w:asciiTheme="minorHAnsi" w:hAnsiTheme="minorHAnsi" w:cstheme="minorHAnsi"/>
          <w:color w:val="000000" w:themeColor="text1"/>
          <w:sz w:val="18"/>
          <w:szCs w:val="18"/>
        </w:rPr>
      </w:pPr>
      <w:r w:rsidRPr="00EA30C3">
        <w:rPr>
          <w:rFonts w:asciiTheme="minorHAnsi" w:hAnsiTheme="minorHAnsi" w:cstheme="minorHAnsi"/>
          <w:b/>
          <w:color w:val="000000" w:themeColor="text1"/>
          <w:sz w:val="18"/>
          <w:szCs w:val="18"/>
        </w:rPr>
        <w:t>(A)</w:t>
      </w:r>
      <w:r w:rsidRPr="00EA30C3">
        <w:rPr>
          <w:rFonts w:asciiTheme="minorHAnsi" w:hAnsiTheme="minorHAnsi" w:cstheme="minorHAnsi"/>
          <w:color w:val="000000" w:themeColor="text1"/>
          <w:sz w:val="18"/>
          <w:szCs w:val="18"/>
        </w:rPr>
        <w:t xml:space="preserve"> Risposta competente normale all'infezione virale con conseguente eliminazione dell'infezione (1) Quando il sistema immunitario è esposto a un virus, il virus infetta o viene fagocitato da macrofagi, cellule dendritiche o altri fagociti. I fagociti frammentano, elaborano e presentano antigeni dal virus e producono citochine di tipo 1. (2) Le citochine di tipo 1 causano la differenziazione delle cellule T in cellule Th1 e cellule T CD8. (3) Le cellule Th1 e le cellule T CD8 causano l'apoptosi delle cellule infette e attivano processi come la produzione di specie reattive dell'ossigeno nei fagociti, che distruggono i virus. La produzione di anticorpi è elevata, con conseguente opsonizzazione, maggiore fagocitosi e distruzione dei virus. (4) Il virus viene eliminato e vengono prodotte cellule T di memoria, che possono rispondere rapidamente alle infezioni future. </w:t>
      </w:r>
    </w:p>
    <w:p w:rsidR="00471D4A" w:rsidRPr="00EA30C3" w:rsidRDefault="00471D4A" w:rsidP="00471D4A">
      <w:pPr>
        <w:shd w:val="clear" w:color="auto" w:fill="F2F2F2" w:themeFill="background1" w:themeFillShade="F2"/>
        <w:jc w:val="both"/>
        <w:rPr>
          <w:rFonts w:asciiTheme="minorHAnsi" w:hAnsiTheme="minorHAnsi" w:cstheme="minorHAnsi"/>
          <w:color w:val="000000" w:themeColor="text1"/>
          <w:sz w:val="18"/>
          <w:szCs w:val="18"/>
        </w:rPr>
      </w:pPr>
    </w:p>
    <w:p w:rsidR="00471D4A" w:rsidRPr="00EA30C3" w:rsidRDefault="00471D4A" w:rsidP="00471D4A">
      <w:pPr>
        <w:shd w:val="clear" w:color="auto" w:fill="F2F2F2" w:themeFill="background1" w:themeFillShade="F2"/>
        <w:jc w:val="both"/>
        <w:rPr>
          <w:rFonts w:asciiTheme="minorHAnsi" w:hAnsiTheme="minorHAnsi" w:cstheme="minorHAnsi"/>
          <w:color w:val="000000" w:themeColor="text1"/>
          <w:sz w:val="18"/>
          <w:szCs w:val="18"/>
        </w:rPr>
      </w:pPr>
      <w:r w:rsidRPr="00EA30C3">
        <w:rPr>
          <w:rFonts w:asciiTheme="minorHAnsi" w:hAnsiTheme="minorHAnsi" w:cstheme="minorHAnsi"/>
          <w:b/>
          <w:color w:val="000000" w:themeColor="text1"/>
          <w:sz w:val="18"/>
          <w:szCs w:val="18"/>
        </w:rPr>
        <w:t>(B)</w:t>
      </w:r>
      <w:r w:rsidRPr="00EA30C3">
        <w:rPr>
          <w:rFonts w:asciiTheme="minorHAnsi" w:hAnsiTheme="minorHAnsi" w:cstheme="minorHAnsi"/>
          <w:color w:val="000000" w:themeColor="text1"/>
          <w:sz w:val="18"/>
          <w:szCs w:val="18"/>
        </w:rPr>
        <w:t xml:space="preserve"> Risposta immunitaria aberrante con conseguente sepsi virale e fallimento nell'eliminazione del virus. (1) Quando il sistema immunitario è esposto a un virus, il virus infetta o viene fagocitato da macrofagi, cellule dendritiche o altri fagociti. I fagociti frammentano, processano e presentano antigeni dal virus. Vengono prodotte citochine non di tipo 1. (2) Le citochine non di tipo 1 provocano risposte immunitarie di tipo 2 o di tipo 17 inadeguate, che causano infiammazione ma non sono in grado di eliminare il virus. (3) Le cellule T si esauriscono e non possono più eliminare i patogeni con competenza. (CTLA-4, antigene 4 associato ai linfociti T citotossici; IFN, interferone; IL, interleuchina; iNOS, ossido nitrico sintasi inducibile; PD-1, morte programmata 1; TNF, fattore di necrosi tumorale).</w:t>
      </w:r>
    </w:p>
    <w:p w:rsidR="00471D4A" w:rsidRPr="00EA30C3" w:rsidRDefault="00471D4A" w:rsidP="00471D4A">
      <w:pPr>
        <w:shd w:val="clear" w:color="auto" w:fill="F2F2F2" w:themeFill="background1" w:themeFillShade="F2"/>
        <w:jc w:val="both"/>
        <w:rPr>
          <w:rFonts w:asciiTheme="minorHAnsi" w:hAnsiTheme="minorHAnsi" w:cstheme="minorHAnsi"/>
          <w:color w:val="000000" w:themeColor="text1"/>
          <w:sz w:val="18"/>
          <w:szCs w:val="18"/>
        </w:rPr>
      </w:pPr>
    </w:p>
    <w:p w:rsidR="004227C6" w:rsidRDefault="004227C6" w:rsidP="008F5CAC">
      <w:pPr>
        <w:jc w:val="center"/>
        <w:rPr>
          <w:rFonts w:asciiTheme="minorHAnsi" w:hAnsiTheme="minorHAnsi" w:cstheme="minorHAnsi"/>
          <w:color w:val="2F5496" w:themeColor="accent1" w:themeShade="BF"/>
          <w:sz w:val="22"/>
          <w:szCs w:val="22"/>
        </w:rPr>
      </w:pPr>
      <w:r>
        <w:rPr>
          <w:rFonts w:asciiTheme="minorHAnsi" w:hAnsiTheme="minorHAnsi" w:cstheme="minorHAnsi"/>
          <w:noProof/>
          <w:color w:val="2F5496" w:themeColor="accent1" w:themeShade="BF"/>
          <w:sz w:val="22"/>
          <w:szCs w:val="22"/>
        </w:rPr>
        <w:lastRenderedPageBreak/>
        <w:drawing>
          <wp:inline distT="0" distB="0" distL="0" distR="0">
            <wp:extent cx="5947765" cy="359941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20-06-03 alle 22.18.0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8990" cy="3709083"/>
                    </a:xfrm>
                    <a:prstGeom prst="rect">
                      <a:avLst/>
                    </a:prstGeom>
                  </pic:spPr>
                </pic:pic>
              </a:graphicData>
            </a:graphic>
          </wp:inline>
        </w:drawing>
      </w:r>
    </w:p>
    <w:p w:rsidR="0092408A" w:rsidRDefault="0092408A" w:rsidP="00D71CED">
      <w:pPr>
        <w:pStyle w:val="Heading2"/>
        <w:jc w:val="center"/>
        <w:rPr>
          <w:rFonts w:asciiTheme="minorHAnsi" w:hAnsiTheme="minorHAnsi" w:cstheme="minorHAnsi"/>
          <w:b/>
          <w:sz w:val="24"/>
          <w:szCs w:val="24"/>
        </w:rPr>
      </w:pPr>
    </w:p>
    <w:p w:rsidR="00471D4A" w:rsidRDefault="00471D4A" w:rsidP="00471D4A"/>
    <w:p w:rsidR="00471D4A" w:rsidRPr="00471D4A" w:rsidRDefault="00471D4A" w:rsidP="00471D4A"/>
    <w:p w:rsidR="002B7F58" w:rsidRPr="008F5CAC" w:rsidRDefault="00D4706B" w:rsidP="00471D4A">
      <w:pPr>
        <w:pStyle w:val="Heading2"/>
        <w:shd w:val="clear" w:color="auto" w:fill="E2EFD9" w:themeFill="accent6" w:themeFillTint="33"/>
        <w:jc w:val="center"/>
        <w:rPr>
          <w:rFonts w:asciiTheme="minorHAnsi" w:hAnsiTheme="minorHAnsi" w:cstheme="minorHAnsi"/>
          <w:b/>
          <w:color w:val="C00000"/>
          <w:sz w:val="24"/>
          <w:szCs w:val="24"/>
        </w:rPr>
      </w:pPr>
      <w:bookmarkStart w:id="21" w:name="_Toc43342376"/>
      <w:r w:rsidRPr="008F5CAC">
        <w:rPr>
          <w:rFonts w:asciiTheme="minorHAnsi" w:hAnsiTheme="minorHAnsi" w:cstheme="minorHAnsi"/>
          <w:b/>
          <w:color w:val="C00000"/>
          <w:sz w:val="24"/>
          <w:szCs w:val="24"/>
        </w:rPr>
        <w:t xml:space="preserve">Le </w:t>
      </w:r>
      <w:r w:rsidR="008F5CAC">
        <w:rPr>
          <w:rFonts w:asciiTheme="minorHAnsi" w:hAnsiTheme="minorHAnsi" w:cstheme="minorHAnsi"/>
          <w:b/>
          <w:color w:val="C00000"/>
          <w:sz w:val="24"/>
          <w:szCs w:val="24"/>
        </w:rPr>
        <w:t>C</w:t>
      </w:r>
      <w:r w:rsidRPr="008F5CAC">
        <w:rPr>
          <w:rFonts w:asciiTheme="minorHAnsi" w:hAnsiTheme="minorHAnsi" w:cstheme="minorHAnsi"/>
          <w:b/>
          <w:color w:val="C00000"/>
          <w:sz w:val="24"/>
          <w:szCs w:val="24"/>
        </w:rPr>
        <w:t>itochine</w:t>
      </w:r>
      <w:bookmarkEnd w:id="21"/>
    </w:p>
    <w:p w:rsidR="007F48B7" w:rsidRDefault="007F48B7" w:rsidP="007F48B7"/>
    <w:p w:rsidR="00471D4A" w:rsidRDefault="007F48B7" w:rsidP="007F48B7">
      <w:pPr>
        <w:ind w:left="-142"/>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Le risposte immunitarie innate e adattative sono eventi chiave nel controllo delle infezioni o delle malattie croniche. L'equilibrio tra questi due sistemi è principalmente orchestrato da citochine. </w:t>
      </w:r>
    </w:p>
    <w:p w:rsidR="00471D4A" w:rsidRDefault="00471D4A" w:rsidP="007F48B7">
      <w:pPr>
        <w:ind w:left="-142"/>
        <w:jc w:val="both"/>
        <w:rPr>
          <w:rFonts w:asciiTheme="minorHAnsi" w:hAnsiTheme="minorHAnsi" w:cstheme="minorHAnsi"/>
          <w:color w:val="2F5496" w:themeColor="accent1" w:themeShade="BF"/>
          <w:sz w:val="20"/>
          <w:szCs w:val="20"/>
        </w:rPr>
      </w:pPr>
    </w:p>
    <w:p w:rsidR="008F5CAC" w:rsidRDefault="007F48B7" w:rsidP="007F48B7">
      <w:pPr>
        <w:ind w:left="-142"/>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Le</w:t>
      </w:r>
      <w:r w:rsidRPr="008F5CAC">
        <w:rPr>
          <w:rFonts w:asciiTheme="minorHAnsi" w:hAnsiTheme="minorHAnsi" w:cstheme="minorHAnsi"/>
          <w:b/>
          <w:bCs/>
          <w:color w:val="2F5496" w:themeColor="accent1" w:themeShade="BF"/>
          <w:sz w:val="20"/>
          <w:szCs w:val="20"/>
        </w:rPr>
        <w:t xml:space="preserve"> citochine</w:t>
      </w:r>
      <w:r w:rsidRPr="008F5CAC">
        <w:rPr>
          <w:rFonts w:asciiTheme="minorHAnsi" w:hAnsiTheme="minorHAnsi" w:cstheme="minorHAnsi"/>
          <w:color w:val="2F5496" w:themeColor="accent1" w:themeShade="BF"/>
          <w:sz w:val="20"/>
          <w:szCs w:val="20"/>
        </w:rPr>
        <w:t xml:space="preserve"> sono proteine ​​a basso peso molecolare che contribuiscono al linguaggio chimico che regola lo sviluppo e la riparazione di tessuti, ematopoiesi, infiammazione, ecc., attraverso la trasduzione di segnali mediati dal legame con i recettori cellulari. </w:t>
      </w:r>
    </w:p>
    <w:p w:rsidR="007F48B7" w:rsidRPr="008F5CAC" w:rsidRDefault="007F48B7" w:rsidP="007F48B7">
      <w:pPr>
        <w:ind w:left="-142"/>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Le citochine possono agire sulle loro cellule bersaglio in modo </w:t>
      </w:r>
      <w:r w:rsidRPr="008F5CAC">
        <w:rPr>
          <w:rFonts w:asciiTheme="minorHAnsi" w:hAnsiTheme="minorHAnsi" w:cstheme="minorHAnsi"/>
          <w:b/>
          <w:bCs/>
          <w:color w:val="2F5496" w:themeColor="accent1" w:themeShade="BF"/>
          <w:sz w:val="20"/>
          <w:szCs w:val="20"/>
        </w:rPr>
        <w:t>autocrino, paracrino e/o endocrino</w:t>
      </w:r>
      <w:r w:rsidRPr="008F5CAC">
        <w:rPr>
          <w:rFonts w:asciiTheme="minorHAnsi" w:hAnsiTheme="minorHAnsi" w:cstheme="minorHAnsi"/>
          <w:color w:val="2F5496" w:themeColor="accent1" w:themeShade="BF"/>
          <w:sz w:val="20"/>
          <w:szCs w:val="20"/>
        </w:rPr>
        <w:t xml:space="preserve"> per indurre risposte immunitarie sistemiche e/o localizzate. </w:t>
      </w:r>
    </w:p>
    <w:p w:rsidR="008F5CAC" w:rsidRDefault="007F48B7" w:rsidP="007F48B7">
      <w:pPr>
        <w:ind w:left="-142"/>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Inoltre, le citochine hanno </w:t>
      </w:r>
      <w:r w:rsidRPr="008F5CAC">
        <w:rPr>
          <w:rFonts w:asciiTheme="minorHAnsi" w:hAnsiTheme="minorHAnsi" w:cstheme="minorHAnsi"/>
          <w:b/>
          <w:bCs/>
          <w:color w:val="2F5496" w:themeColor="accent1" w:themeShade="BF"/>
          <w:sz w:val="20"/>
          <w:szCs w:val="20"/>
        </w:rPr>
        <w:t>attività pleiotropica</w:t>
      </w:r>
      <w:r w:rsidRPr="008F5CAC">
        <w:rPr>
          <w:rFonts w:asciiTheme="minorHAnsi" w:hAnsiTheme="minorHAnsi" w:cstheme="minorHAnsi"/>
          <w:color w:val="2F5496" w:themeColor="accent1" w:themeShade="BF"/>
          <w:sz w:val="20"/>
          <w:szCs w:val="20"/>
        </w:rPr>
        <w:t xml:space="preserve">, oltre a influenzare la funzione di altre citochine in modo additivo, sinergico o antagonista. </w:t>
      </w:r>
    </w:p>
    <w:p w:rsidR="00471D4A" w:rsidRDefault="00471D4A" w:rsidP="007F48B7">
      <w:pPr>
        <w:ind w:left="-142"/>
        <w:jc w:val="both"/>
        <w:rPr>
          <w:rFonts w:asciiTheme="minorHAnsi" w:hAnsiTheme="minorHAnsi" w:cstheme="minorHAnsi"/>
          <w:color w:val="2F5496" w:themeColor="accent1" w:themeShade="BF"/>
          <w:sz w:val="20"/>
          <w:szCs w:val="20"/>
        </w:rPr>
      </w:pPr>
    </w:p>
    <w:p w:rsidR="00471D4A" w:rsidRDefault="007F48B7" w:rsidP="007F48B7">
      <w:pPr>
        <w:ind w:left="-142"/>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Le citochine possono essere secrete dalle cellule immunitarie, ma possono anche essere prodotte da un'ampia varietà di cellule in risposta all'infezione o possono essere prodotte o rilasciate dalle cellule in risposta al danno cellulare quando l'integrità cellulare è compromessa. </w:t>
      </w:r>
    </w:p>
    <w:p w:rsidR="007F48B7" w:rsidRPr="008F5CAC" w:rsidRDefault="007F48B7" w:rsidP="007F48B7">
      <w:pPr>
        <w:ind w:left="-142"/>
        <w:jc w:val="both"/>
        <w:rPr>
          <w:rFonts w:asciiTheme="minorHAnsi" w:hAnsiTheme="minorHAnsi"/>
          <w:color w:val="2F5496" w:themeColor="accent1" w:themeShade="BF"/>
          <w:sz w:val="20"/>
          <w:szCs w:val="20"/>
        </w:rPr>
      </w:pPr>
      <w:r w:rsidRPr="008F5CAC">
        <w:rPr>
          <w:rFonts w:asciiTheme="minorHAnsi" w:hAnsiTheme="minorHAnsi" w:cstheme="minorHAnsi"/>
          <w:color w:val="2F5496" w:themeColor="accent1" w:themeShade="BF"/>
          <w:sz w:val="20"/>
          <w:szCs w:val="20"/>
        </w:rPr>
        <w:t>Agendo attraverso una serie di vie di segnalazione che controllano molti processi biologici, come la crescita cellulare, la differenziazione cellulare, l'apoptosi, lo sviluppo e la sopravvivenza, possono anche riprogrammare le cellule nell'ambiente tissutale locale per migliorare alcuni tipi di risposte immunitarie.  </w:t>
      </w:r>
    </w:p>
    <w:p w:rsidR="007F48B7" w:rsidRPr="008F5CAC" w:rsidRDefault="007F48B7" w:rsidP="007F48B7">
      <w:pPr>
        <w:rPr>
          <w:sz w:val="20"/>
          <w:szCs w:val="20"/>
        </w:rPr>
      </w:pPr>
    </w:p>
    <w:p w:rsidR="004D1A1B" w:rsidRDefault="007F48B7" w:rsidP="007F48B7">
      <w:pPr>
        <w:ind w:right="-7"/>
        <w:jc w:val="center"/>
        <w:textAlignment w:val="baseline"/>
        <w:rPr>
          <w:rFonts w:asciiTheme="minorHAnsi" w:hAnsiTheme="minorHAnsi"/>
          <w:color w:val="2F5496" w:themeColor="accent1" w:themeShade="BF"/>
        </w:rPr>
      </w:pPr>
      <w:r w:rsidRPr="00717D4D">
        <w:rPr>
          <w:rFonts w:asciiTheme="minorHAnsi" w:hAnsiTheme="minorHAnsi"/>
          <w:color w:val="2F5496" w:themeColor="accent1" w:themeShade="BF"/>
        </w:rPr>
        <w:lastRenderedPageBreak/>
        <w:fldChar w:fldCharType="begin"/>
      </w:r>
      <w:r w:rsidRPr="00717D4D">
        <w:rPr>
          <w:rFonts w:asciiTheme="minorHAnsi" w:hAnsiTheme="minorHAnsi"/>
          <w:color w:val="2F5496" w:themeColor="accent1" w:themeShade="BF"/>
        </w:rPr>
        <w:instrText xml:space="preserve"> INCLUDEPICTURE "http://www.bmscience.net/blog/wp-content/uploads/2019/03/Trasduzione-del-segnale-con-modalit%C3%A0-autocrina-paracrina-ed-endocrina.jpg" \* MERGEFORMATINET </w:instrText>
      </w:r>
      <w:r w:rsidRPr="00717D4D">
        <w:rPr>
          <w:rFonts w:asciiTheme="minorHAnsi" w:hAnsiTheme="minorHAnsi"/>
          <w:color w:val="2F5496" w:themeColor="accent1" w:themeShade="BF"/>
        </w:rPr>
        <w:fldChar w:fldCharType="separate"/>
      </w:r>
      <w:r w:rsidRPr="00717D4D">
        <w:rPr>
          <w:rFonts w:asciiTheme="minorHAnsi" w:hAnsiTheme="minorHAnsi"/>
          <w:noProof/>
          <w:color w:val="2F5496" w:themeColor="accent1" w:themeShade="BF"/>
        </w:rPr>
        <w:drawing>
          <wp:inline distT="0" distB="0" distL="0" distR="0" wp14:anchorId="5D1BCDA8" wp14:editId="0EAD7B87">
            <wp:extent cx="2435191" cy="3895709"/>
            <wp:effectExtent l="0" t="0" r="3810" b="3810"/>
            <wp:docPr id="13" name="Immagine 13" descr="http://www.bmscience.net/blog/wp-content/uploads/2019/03/Trasduzione-del-segnale-con-modalit%C3%A0-autocrina-paracrina-ed-endoc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mscience.net/blog/wp-content/uploads/2019/03/Trasduzione-del-segnale-con-modalit%C3%A0-autocrina-paracrina-ed-endocrin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9552" cy="4142649"/>
                    </a:xfrm>
                    <a:prstGeom prst="rect">
                      <a:avLst/>
                    </a:prstGeom>
                    <a:noFill/>
                    <a:ln>
                      <a:noFill/>
                    </a:ln>
                  </pic:spPr>
                </pic:pic>
              </a:graphicData>
            </a:graphic>
          </wp:inline>
        </w:drawing>
      </w:r>
      <w:r w:rsidRPr="00717D4D">
        <w:rPr>
          <w:rFonts w:asciiTheme="minorHAnsi" w:hAnsiTheme="minorHAnsi"/>
          <w:color w:val="2F5496" w:themeColor="accent1" w:themeShade="BF"/>
        </w:rPr>
        <w:fldChar w:fldCharType="end"/>
      </w:r>
    </w:p>
    <w:p w:rsidR="00471D4A" w:rsidRDefault="00471D4A" w:rsidP="007F48B7">
      <w:pPr>
        <w:ind w:right="-7"/>
        <w:jc w:val="center"/>
        <w:textAlignment w:val="baseline"/>
        <w:rPr>
          <w:rFonts w:asciiTheme="minorHAnsi" w:hAnsiTheme="minorHAnsi"/>
          <w:color w:val="2F5496" w:themeColor="accent1" w:themeShade="BF"/>
        </w:rPr>
      </w:pPr>
    </w:p>
    <w:p w:rsidR="007F48B7" w:rsidRPr="00471D4A" w:rsidRDefault="007F48B7" w:rsidP="00471D4A">
      <w:pPr>
        <w:shd w:val="clear" w:color="auto" w:fill="F2F2F2" w:themeFill="background1" w:themeFillShade="F2"/>
        <w:rPr>
          <w:rFonts w:asciiTheme="minorHAnsi" w:hAnsiTheme="minorHAnsi" w:cstheme="minorHAnsi"/>
          <w:color w:val="2F5496" w:themeColor="accent1" w:themeShade="BF"/>
          <w:sz w:val="18"/>
          <w:szCs w:val="18"/>
        </w:rPr>
      </w:pPr>
      <w:r w:rsidRPr="00471D4A">
        <w:rPr>
          <w:rFonts w:asciiTheme="minorHAnsi" w:hAnsiTheme="minorHAnsi" w:cstheme="minorHAnsi"/>
          <w:color w:val="2F5496" w:themeColor="accent1" w:themeShade="BF"/>
          <w:sz w:val="18"/>
          <w:szCs w:val="18"/>
        </w:rPr>
        <w:t xml:space="preserve">Tratta da </w:t>
      </w:r>
      <w:hyperlink r:id="rId57" w:history="1">
        <w:r w:rsidRPr="00471D4A">
          <w:rPr>
            <w:rStyle w:val="Hyperlink"/>
            <w:rFonts w:asciiTheme="minorHAnsi" w:eastAsiaTheme="majorEastAsia" w:hAnsiTheme="minorHAnsi" w:cstheme="minorHAnsi"/>
            <w:color w:val="2F5496" w:themeColor="accent1" w:themeShade="BF"/>
            <w:sz w:val="18"/>
            <w:szCs w:val="18"/>
            <w:u w:val="none"/>
          </w:rPr>
          <w:t>http://www.bmscience.net/blog/modalita-di-trasduzione-del-segnale/</w:t>
        </w:r>
      </w:hyperlink>
    </w:p>
    <w:p w:rsidR="008F5CAC" w:rsidRDefault="008F5CAC" w:rsidP="007F48B7">
      <w:pPr>
        <w:ind w:right="-7"/>
        <w:jc w:val="center"/>
        <w:textAlignment w:val="baseline"/>
        <w:rPr>
          <w:rFonts w:asciiTheme="minorHAnsi" w:hAnsiTheme="minorHAnsi" w:cstheme="minorHAnsi"/>
          <w:b/>
          <w:bCs/>
          <w:color w:val="2F5496" w:themeColor="accent1" w:themeShade="BF"/>
          <w:bdr w:val="none" w:sz="0" w:space="0" w:color="auto" w:frame="1"/>
        </w:rPr>
      </w:pPr>
    </w:p>
    <w:p w:rsidR="008F5CAC" w:rsidRPr="007F48B7" w:rsidRDefault="008F5CAC" w:rsidP="007F48B7">
      <w:pPr>
        <w:ind w:right="-7"/>
        <w:jc w:val="center"/>
        <w:textAlignment w:val="baseline"/>
        <w:rPr>
          <w:rFonts w:asciiTheme="minorHAnsi" w:hAnsiTheme="minorHAnsi" w:cstheme="minorHAnsi"/>
          <w:b/>
          <w:bCs/>
          <w:color w:val="2F5496" w:themeColor="accent1" w:themeShade="BF"/>
          <w:bdr w:val="none" w:sz="0" w:space="0" w:color="auto" w:frame="1"/>
        </w:rPr>
      </w:pPr>
    </w:p>
    <w:p w:rsidR="00363C5B" w:rsidRPr="00471D4A" w:rsidRDefault="00363C5B"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textAlignment w:val="baseline"/>
        <w:rPr>
          <w:rFonts w:asciiTheme="minorHAnsi" w:hAnsiTheme="minorHAnsi" w:cstheme="minorHAnsi"/>
          <w:b/>
          <w:bCs/>
          <w:color w:val="2F5496" w:themeColor="accent1" w:themeShade="BF"/>
          <w:sz w:val="20"/>
          <w:szCs w:val="20"/>
          <w:bdr w:val="none" w:sz="0" w:space="0" w:color="auto" w:frame="1"/>
        </w:rPr>
      </w:pPr>
    </w:p>
    <w:p w:rsidR="002B7F58" w:rsidRPr="00471D4A" w:rsidRDefault="002B7F58"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textAlignment w:val="baseline"/>
        <w:rPr>
          <w:rFonts w:asciiTheme="minorHAnsi" w:hAnsiTheme="minorHAnsi" w:cstheme="minorHAnsi"/>
          <w:color w:val="2F5496" w:themeColor="accent1" w:themeShade="BF"/>
          <w:sz w:val="20"/>
          <w:szCs w:val="20"/>
          <w:bdr w:val="none" w:sz="0" w:space="0" w:color="auto" w:frame="1"/>
        </w:rPr>
      </w:pPr>
      <w:r w:rsidRPr="00471D4A">
        <w:rPr>
          <w:rFonts w:asciiTheme="minorHAnsi" w:hAnsiTheme="minorHAnsi" w:cstheme="minorHAnsi"/>
          <w:b/>
          <w:bCs/>
          <w:color w:val="2F5496" w:themeColor="accent1" w:themeShade="BF"/>
          <w:sz w:val="20"/>
          <w:szCs w:val="20"/>
          <w:bdr w:val="none" w:sz="0" w:space="0" w:color="auto" w:frame="1"/>
        </w:rPr>
        <w:t xml:space="preserve">Proprietà </w:t>
      </w:r>
      <w:r w:rsidRPr="00471D4A">
        <w:rPr>
          <w:rStyle w:val="FootnoteReference"/>
          <w:rFonts w:asciiTheme="minorHAnsi" w:hAnsiTheme="minorHAnsi" w:cstheme="minorHAnsi"/>
          <w:b/>
          <w:color w:val="2F5496" w:themeColor="accent1" w:themeShade="BF"/>
          <w:sz w:val="20"/>
          <w:szCs w:val="20"/>
        </w:rPr>
        <w:footnoteReference w:id="47"/>
      </w:r>
      <w:r w:rsidRPr="00471D4A">
        <w:rPr>
          <w:rFonts w:asciiTheme="minorHAnsi" w:hAnsiTheme="minorHAnsi" w:cstheme="minorHAnsi"/>
          <w:b/>
          <w:bCs/>
          <w:color w:val="2F5496" w:themeColor="accent1" w:themeShade="BF"/>
          <w:sz w:val="20"/>
          <w:szCs w:val="20"/>
          <w:bdr w:val="none" w:sz="0" w:space="0" w:color="auto" w:frame="1"/>
        </w:rPr>
        <w:t xml:space="preserve">  </w:t>
      </w:r>
      <w:r w:rsidRPr="00471D4A">
        <w:rPr>
          <w:rFonts w:asciiTheme="minorHAnsi" w:hAnsiTheme="minorHAnsi" w:cstheme="minorHAnsi"/>
          <w:b/>
          <w:bCs/>
          <w:color w:val="2F5496" w:themeColor="accent1" w:themeShade="BF"/>
          <w:sz w:val="20"/>
          <w:szCs w:val="20"/>
          <w:bdr w:val="none" w:sz="0" w:space="0" w:color="auto" w:frame="1"/>
        </w:rPr>
        <w:br/>
      </w:r>
      <w:r w:rsidRPr="00471D4A">
        <w:rPr>
          <w:rFonts w:asciiTheme="minorHAnsi" w:hAnsiTheme="minorHAnsi" w:cstheme="minorHAnsi"/>
          <w:color w:val="2F5496" w:themeColor="accent1" w:themeShade="BF"/>
          <w:sz w:val="20"/>
          <w:szCs w:val="20"/>
          <w:u w:val="single"/>
          <w:bdr w:val="none" w:sz="0" w:space="0" w:color="auto" w:frame="1"/>
        </w:rPr>
        <w:t>pleiotropia</w:t>
      </w:r>
      <w:r w:rsidRPr="00471D4A">
        <w:rPr>
          <w:rFonts w:asciiTheme="minorHAnsi" w:hAnsiTheme="minorHAnsi" w:cstheme="minorHAnsi"/>
          <w:color w:val="2F5496" w:themeColor="accent1" w:themeShade="BF"/>
          <w:sz w:val="20"/>
          <w:szCs w:val="20"/>
          <w:bdr w:val="none" w:sz="0" w:space="0" w:color="auto" w:frame="1"/>
        </w:rPr>
        <w:t>: una determinata citochina può agire su differenti tipi di cellule inducendo effetti diversi.</w:t>
      </w:r>
    </w:p>
    <w:p w:rsidR="002B7F58" w:rsidRPr="00471D4A" w:rsidRDefault="002B7F58"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jc w:val="both"/>
        <w:textAlignment w:val="baseline"/>
        <w:rPr>
          <w:rFonts w:asciiTheme="minorHAnsi" w:hAnsiTheme="minorHAnsi" w:cstheme="minorHAnsi"/>
          <w:color w:val="2F5496" w:themeColor="accent1" w:themeShade="BF"/>
          <w:sz w:val="20"/>
          <w:szCs w:val="20"/>
          <w:bdr w:val="none" w:sz="0" w:space="0" w:color="auto" w:frame="1"/>
        </w:rPr>
      </w:pPr>
      <w:r w:rsidRPr="00471D4A">
        <w:rPr>
          <w:rFonts w:asciiTheme="minorHAnsi" w:hAnsiTheme="minorHAnsi" w:cstheme="minorHAnsi"/>
          <w:color w:val="2F5496" w:themeColor="accent1" w:themeShade="BF"/>
          <w:sz w:val="20"/>
          <w:szCs w:val="20"/>
          <w:u w:val="single"/>
          <w:bdr w:val="none" w:sz="0" w:space="0" w:color="auto" w:frame="1"/>
        </w:rPr>
        <w:t>ridondanza</w:t>
      </w:r>
      <w:r w:rsidRPr="00471D4A">
        <w:rPr>
          <w:rFonts w:asciiTheme="minorHAnsi" w:hAnsiTheme="minorHAnsi" w:cstheme="minorHAnsi"/>
          <w:color w:val="2F5496" w:themeColor="accent1" w:themeShade="BF"/>
          <w:sz w:val="20"/>
          <w:szCs w:val="20"/>
          <w:bdr w:val="none" w:sz="0" w:space="0" w:color="auto" w:frame="1"/>
        </w:rPr>
        <w:t>: due o più citochine possono agire su una stessa cellula amplificando il loro effetto.</w:t>
      </w:r>
    </w:p>
    <w:p w:rsidR="002B7F58" w:rsidRPr="00471D4A" w:rsidRDefault="002B7F58"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jc w:val="both"/>
        <w:textAlignment w:val="baseline"/>
        <w:rPr>
          <w:rFonts w:asciiTheme="minorHAnsi" w:hAnsiTheme="minorHAnsi" w:cstheme="minorHAnsi"/>
          <w:color w:val="2F5496" w:themeColor="accent1" w:themeShade="BF"/>
          <w:sz w:val="20"/>
          <w:szCs w:val="20"/>
          <w:bdr w:val="none" w:sz="0" w:space="0" w:color="auto" w:frame="1"/>
        </w:rPr>
      </w:pPr>
      <w:r w:rsidRPr="00471D4A">
        <w:rPr>
          <w:rFonts w:asciiTheme="minorHAnsi" w:hAnsiTheme="minorHAnsi" w:cstheme="minorHAnsi"/>
          <w:color w:val="2F5496" w:themeColor="accent1" w:themeShade="BF"/>
          <w:sz w:val="20"/>
          <w:szCs w:val="20"/>
          <w:u w:val="single"/>
          <w:bdr w:val="none" w:sz="0" w:space="0" w:color="auto" w:frame="1"/>
        </w:rPr>
        <w:t>sinergia</w:t>
      </w:r>
      <w:r w:rsidRPr="00471D4A">
        <w:rPr>
          <w:rFonts w:asciiTheme="minorHAnsi" w:hAnsiTheme="minorHAnsi" w:cstheme="minorHAnsi"/>
          <w:color w:val="2F5496" w:themeColor="accent1" w:themeShade="BF"/>
          <w:sz w:val="20"/>
          <w:szCs w:val="20"/>
          <w:bdr w:val="none" w:sz="0" w:space="0" w:color="auto" w:frame="1"/>
        </w:rPr>
        <w:t>: l'effetto combinato di due diverse citochine è maggiore della somma dei singoli effetti.</w:t>
      </w:r>
    </w:p>
    <w:p w:rsidR="002B7F58" w:rsidRPr="00471D4A" w:rsidRDefault="002B7F58"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jc w:val="both"/>
        <w:textAlignment w:val="baseline"/>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u w:val="single"/>
          <w:bdr w:val="none" w:sz="0" w:space="0" w:color="auto" w:frame="1"/>
        </w:rPr>
        <w:t>antagonismo</w:t>
      </w:r>
      <w:r w:rsidRPr="00471D4A">
        <w:rPr>
          <w:rFonts w:asciiTheme="minorHAnsi" w:hAnsiTheme="minorHAnsi" w:cstheme="minorHAnsi"/>
          <w:color w:val="2F5496" w:themeColor="accent1" w:themeShade="BF"/>
          <w:sz w:val="20"/>
          <w:szCs w:val="20"/>
          <w:bdr w:val="none" w:sz="0" w:space="0" w:color="auto" w:frame="1"/>
        </w:rPr>
        <w:t>: l'effetto di una citochina può inibire o controbilanciare l'effetto di un'altra citochina.</w:t>
      </w:r>
    </w:p>
    <w:p w:rsidR="002B7F58" w:rsidRPr="00471D4A" w:rsidRDefault="002B7F58"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jc w:val="both"/>
        <w:rPr>
          <w:rFonts w:asciiTheme="minorHAnsi" w:hAnsiTheme="minorHAnsi" w:cstheme="minorHAnsi"/>
          <w:color w:val="2F5496" w:themeColor="accent1" w:themeShade="BF"/>
          <w:sz w:val="20"/>
          <w:szCs w:val="20"/>
        </w:rPr>
      </w:pPr>
      <w:r w:rsidRPr="00471D4A">
        <w:rPr>
          <w:rFonts w:asciiTheme="minorHAnsi" w:hAnsiTheme="minorHAnsi" w:cstheme="minorHAnsi"/>
          <w:color w:val="2F5496" w:themeColor="accent1" w:themeShade="BF"/>
          <w:sz w:val="20"/>
          <w:szCs w:val="20"/>
        </w:rPr>
        <w:t>Pertanto, le citochine sono mediatori critici della comunicazione per il sistema immunitario e sono essenziali per la difesa dell'ospite contro i patogeni</w:t>
      </w:r>
      <w:r w:rsidRPr="00471D4A">
        <w:rPr>
          <w:rStyle w:val="FootnoteReference"/>
          <w:rFonts w:asciiTheme="minorHAnsi" w:hAnsiTheme="minorHAnsi" w:cstheme="minorHAnsi"/>
          <w:color w:val="2F5496" w:themeColor="accent1" w:themeShade="BF"/>
          <w:sz w:val="20"/>
          <w:szCs w:val="20"/>
        </w:rPr>
        <w:t xml:space="preserve"> </w:t>
      </w:r>
      <w:r w:rsidRPr="00471D4A">
        <w:rPr>
          <w:rFonts w:asciiTheme="minorHAnsi" w:hAnsiTheme="minorHAnsi" w:cstheme="minorHAnsi"/>
          <w:color w:val="2F5496" w:themeColor="accent1" w:themeShade="BF"/>
          <w:sz w:val="20"/>
          <w:szCs w:val="20"/>
        </w:rPr>
        <w:t xml:space="preserve"> </w:t>
      </w:r>
      <w:r w:rsidRPr="00471D4A">
        <w:rPr>
          <w:rStyle w:val="FootnoteReference"/>
          <w:rFonts w:asciiTheme="minorHAnsi" w:hAnsiTheme="minorHAnsi" w:cstheme="minorHAnsi"/>
          <w:color w:val="2F5496" w:themeColor="accent1" w:themeShade="BF"/>
          <w:sz w:val="20"/>
          <w:szCs w:val="20"/>
        </w:rPr>
        <w:footnoteReference w:id="48"/>
      </w:r>
    </w:p>
    <w:p w:rsidR="002B7F58" w:rsidRPr="00471D4A" w:rsidRDefault="002B7F58"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jc w:val="both"/>
        <w:rPr>
          <w:rFonts w:asciiTheme="minorHAnsi" w:hAnsiTheme="minorHAnsi" w:cstheme="minorHAnsi"/>
          <w:b/>
          <w:color w:val="2F5496" w:themeColor="accent1" w:themeShade="BF"/>
          <w:sz w:val="20"/>
          <w:szCs w:val="20"/>
        </w:rPr>
      </w:pPr>
    </w:p>
    <w:p w:rsidR="002B7F58" w:rsidRPr="00471D4A" w:rsidRDefault="002B7F58"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jc w:val="both"/>
        <w:rPr>
          <w:rFonts w:asciiTheme="minorHAnsi" w:hAnsiTheme="minorHAnsi" w:cstheme="minorHAnsi"/>
          <w:b/>
          <w:i/>
          <w:color w:val="2F5496" w:themeColor="accent1" w:themeShade="BF"/>
          <w:sz w:val="20"/>
          <w:szCs w:val="20"/>
        </w:rPr>
      </w:pPr>
      <w:r w:rsidRPr="00471D4A">
        <w:rPr>
          <w:rFonts w:asciiTheme="minorHAnsi" w:hAnsiTheme="minorHAnsi" w:cstheme="minorHAnsi"/>
          <w:b/>
          <w:i/>
          <w:color w:val="2F5496" w:themeColor="accent1" w:themeShade="BF"/>
          <w:sz w:val="20"/>
          <w:szCs w:val="20"/>
        </w:rPr>
        <w:t>Definizione:</w:t>
      </w:r>
    </w:p>
    <w:p w:rsidR="002B7F58" w:rsidRPr="00471D4A" w:rsidRDefault="002B7F58"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jc w:val="both"/>
        <w:rPr>
          <w:rFonts w:asciiTheme="minorHAnsi" w:hAnsiTheme="minorHAnsi" w:cstheme="minorHAnsi"/>
          <w:b/>
          <w:i/>
          <w:color w:val="2F5496" w:themeColor="accent1" w:themeShade="BF"/>
          <w:sz w:val="20"/>
          <w:szCs w:val="20"/>
        </w:rPr>
      </w:pPr>
      <w:r w:rsidRPr="00471D4A">
        <w:rPr>
          <w:rFonts w:asciiTheme="minorHAnsi" w:hAnsiTheme="minorHAnsi" w:cstheme="minorHAnsi"/>
          <w:i/>
          <w:color w:val="2F5496" w:themeColor="accent1" w:themeShade="BF"/>
          <w:sz w:val="20"/>
          <w:szCs w:val="20"/>
          <w:u w:val="single"/>
        </w:rPr>
        <w:t>Pleiotropia</w:t>
      </w:r>
      <w:r w:rsidRPr="00471D4A">
        <w:rPr>
          <w:rFonts w:asciiTheme="minorHAnsi" w:hAnsiTheme="minorHAnsi" w:cstheme="minorHAnsi"/>
          <w:b/>
          <w:i/>
          <w:color w:val="2F5496" w:themeColor="accent1" w:themeShade="BF"/>
          <w:sz w:val="20"/>
          <w:szCs w:val="20"/>
        </w:rPr>
        <w:t xml:space="preserve">: </w:t>
      </w:r>
    </w:p>
    <w:p w:rsidR="002B7F58" w:rsidRPr="00471D4A" w:rsidRDefault="002B7F58"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jc w:val="both"/>
        <w:rPr>
          <w:rFonts w:asciiTheme="minorHAnsi" w:hAnsiTheme="minorHAnsi" w:cstheme="minorHAnsi"/>
          <w:i/>
          <w:color w:val="2F5496" w:themeColor="accent1" w:themeShade="BF"/>
          <w:sz w:val="20"/>
          <w:szCs w:val="20"/>
        </w:rPr>
      </w:pPr>
      <w:r w:rsidRPr="00471D4A">
        <w:rPr>
          <w:rFonts w:asciiTheme="minorHAnsi" w:hAnsiTheme="minorHAnsi" w:cstheme="minorHAnsi"/>
          <w:i/>
          <w:color w:val="2F5496" w:themeColor="accent1" w:themeShade="BF"/>
          <w:sz w:val="20"/>
          <w:szCs w:val="20"/>
        </w:rPr>
        <w:t>La pleiotropia è il fenomeno per il quale un unico gene controlla più di un carattere all’interno del medesimo individuo.</w:t>
      </w:r>
      <w:r w:rsidR="00363C5B" w:rsidRPr="00471D4A">
        <w:rPr>
          <w:rFonts w:asciiTheme="minorHAnsi" w:hAnsiTheme="minorHAnsi" w:cstheme="minorHAnsi"/>
          <w:i/>
          <w:color w:val="2F5496" w:themeColor="accent1" w:themeShade="BF"/>
          <w:sz w:val="20"/>
          <w:szCs w:val="20"/>
        </w:rPr>
        <w:t xml:space="preserve"> I</w:t>
      </w:r>
      <w:r w:rsidRPr="00471D4A">
        <w:rPr>
          <w:rFonts w:asciiTheme="minorHAnsi" w:hAnsiTheme="minorHAnsi" w:cstheme="minorHAnsi"/>
          <w:i/>
          <w:color w:val="2F5496" w:themeColor="accent1" w:themeShade="BF"/>
          <w:sz w:val="20"/>
          <w:szCs w:val="20"/>
        </w:rPr>
        <w:t xml:space="preserve"> caratteri controllati da un gene pleiotropico risultano tra loro strettamente correlati. Nella maggior parte dei casi il gene pleiotropico codifica per una proteina enzimatica che sta a monte di diverse vie metaboliche o per una proteina strutturale che viene utilizzata nella costruzione di tessuti ed organi diversi.</w:t>
      </w:r>
    </w:p>
    <w:p w:rsidR="00363C5B" w:rsidRPr="00471D4A" w:rsidRDefault="00363C5B"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right="-7"/>
        <w:jc w:val="both"/>
        <w:rPr>
          <w:rFonts w:asciiTheme="minorHAnsi" w:hAnsiTheme="minorHAnsi" w:cstheme="minorHAnsi"/>
          <w:i/>
          <w:color w:val="2F5496" w:themeColor="accent1" w:themeShade="BF"/>
          <w:sz w:val="20"/>
          <w:szCs w:val="20"/>
        </w:rPr>
      </w:pPr>
    </w:p>
    <w:p w:rsidR="002B7F58" w:rsidRPr="007F48B7" w:rsidRDefault="002B7F58" w:rsidP="00E91FBB"/>
    <w:p w:rsidR="002B7F58" w:rsidRPr="008F5CAC" w:rsidRDefault="00D4706B" w:rsidP="00471D4A">
      <w:pPr>
        <w:shd w:val="clear" w:color="auto" w:fill="E2EFD9" w:themeFill="accent6" w:themeFillTint="33"/>
        <w:jc w:val="center"/>
        <w:rPr>
          <w:color w:val="C00000"/>
        </w:rPr>
      </w:pPr>
      <w:bookmarkStart w:id="22" w:name="_Toc42027921"/>
      <w:bookmarkStart w:id="23" w:name="_Toc42028007"/>
      <w:bookmarkStart w:id="24" w:name="_Toc42028099"/>
      <w:bookmarkStart w:id="25" w:name="_Toc42113441"/>
      <w:bookmarkStart w:id="26" w:name="_Toc42365839"/>
      <w:bookmarkStart w:id="27" w:name="_Toc43342377"/>
      <w:r w:rsidRPr="008F5CAC">
        <w:rPr>
          <w:rStyle w:val="Heading3Char"/>
          <w:rFonts w:asciiTheme="minorHAnsi" w:eastAsiaTheme="majorEastAsia" w:hAnsiTheme="minorHAnsi" w:cstheme="minorHAnsi"/>
          <w:color w:val="C00000"/>
          <w:sz w:val="24"/>
          <w:szCs w:val="24"/>
        </w:rPr>
        <w:lastRenderedPageBreak/>
        <w:t>C</w:t>
      </w:r>
      <w:r w:rsidR="002B7F58" w:rsidRPr="008F5CAC">
        <w:rPr>
          <w:rStyle w:val="Heading3Char"/>
          <w:rFonts w:asciiTheme="minorHAnsi" w:eastAsiaTheme="majorEastAsia" w:hAnsiTheme="minorHAnsi" w:cstheme="minorHAnsi"/>
          <w:color w:val="C00000"/>
          <w:sz w:val="24"/>
          <w:szCs w:val="24"/>
        </w:rPr>
        <w:t>itochine</w:t>
      </w:r>
      <w:r w:rsidRPr="008F5CAC">
        <w:rPr>
          <w:rStyle w:val="Heading3Char"/>
          <w:rFonts w:asciiTheme="minorHAnsi" w:eastAsiaTheme="majorEastAsia" w:hAnsiTheme="minorHAnsi" w:cstheme="minorHAnsi"/>
          <w:color w:val="C00000"/>
          <w:sz w:val="24"/>
          <w:szCs w:val="24"/>
        </w:rPr>
        <w:t xml:space="preserve"> e i suoi recettori</w:t>
      </w:r>
      <w:r w:rsidR="002B7F58" w:rsidRPr="008F5CAC">
        <w:rPr>
          <w:rStyle w:val="Heading3Char"/>
          <w:rFonts w:asciiTheme="minorHAnsi" w:eastAsiaTheme="majorEastAsia" w:hAnsiTheme="minorHAnsi" w:cstheme="minorHAnsi"/>
          <w:color w:val="C00000"/>
          <w:sz w:val="24"/>
          <w:szCs w:val="24"/>
        </w:rPr>
        <w:t xml:space="preserve"> nelle infezioni virali</w:t>
      </w:r>
      <w:bookmarkEnd w:id="22"/>
      <w:bookmarkEnd w:id="23"/>
      <w:bookmarkEnd w:id="24"/>
      <w:bookmarkEnd w:id="25"/>
      <w:bookmarkEnd w:id="26"/>
      <w:bookmarkEnd w:id="27"/>
      <w:r w:rsidR="002B7F58" w:rsidRPr="008F5CAC">
        <w:rPr>
          <w:color w:val="C00000"/>
        </w:rPr>
        <w:t xml:space="preserve"> </w:t>
      </w:r>
      <w:r w:rsidR="002B7F58" w:rsidRPr="008F5CAC">
        <w:rPr>
          <w:rStyle w:val="FootnoteReference"/>
          <w:rFonts w:asciiTheme="minorHAnsi" w:hAnsiTheme="minorHAnsi" w:cstheme="minorHAnsi"/>
          <w:b/>
          <w:color w:val="C00000"/>
          <w:sz w:val="22"/>
          <w:szCs w:val="22"/>
        </w:rPr>
        <w:footnoteReference w:id="49"/>
      </w:r>
    </w:p>
    <w:p w:rsidR="002B7F58" w:rsidRPr="007F48B7" w:rsidRDefault="002B7F58" w:rsidP="00E91FBB">
      <w:pPr>
        <w:rPr>
          <w:b/>
        </w:rPr>
      </w:pPr>
    </w:p>
    <w:p w:rsidR="002B7F58" w:rsidRDefault="002B7F58" w:rsidP="00D71CED">
      <w:pPr>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Nelle infezioni virali, le citochine sono implicate </w:t>
      </w:r>
      <w:r w:rsidR="00363C5B" w:rsidRPr="008F5CAC">
        <w:rPr>
          <w:rFonts w:asciiTheme="minorHAnsi" w:hAnsiTheme="minorHAnsi" w:cstheme="minorHAnsi"/>
          <w:color w:val="2F5496" w:themeColor="accent1" w:themeShade="BF"/>
          <w:sz w:val="20"/>
          <w:szCs w:val="20"/>
        </w:rPr>
        <w:t xml:space="preserve">nella </w:t>
      </w:r>
      <w:r w:rsidR="00363C5B" w:rsidRPr="008F5CAC">
        <w:rPr>
          <w:rFonts w:asciiTheme="minorHAnsi" w:hAnsiTheme="minorHAnsi" w:cstheme="minorHAnsi"/>
          <w:b/>
          <w:bCs/>
          <w:color w:val="2F5496" w:themeColor="accent1" w:themeShade="BF"/>
          <w:sz w:val="20"/>
          <w:szCs w:val="20"/>
        </w:rPr>
        <w:t>formazione di uno stato antivirale</w:t>
      </w:r>
      <w:r w:rsidRPr="008F5CAC">
        <w:rPr>
          <w:rFonts w:asciiTheme="minorHAnsi" w:hAnsiTheme="minorHAnsi" w:cstheme="minorHAnsi"/>
          <w:b/>
          <w:bCs/>
          <w:color w:val="2F5496" w:themeColor="accent1" w:themeShade="BF"/>
          <w:sz w:val="20"/>
          <w:szCs w:val="20"/>
        </w:rPr>
        <w:t xml:space="preserve"> come prima linea di difesa non specifica e una successiva risposta specifica contro il virus</w:t>
      </w:r>
      <w:r w:rsidRPr="008F5CAC">
        <w:rPr>
          <w:rFonts w:asciiTheme="minorHAnsi" w:hAnsiTheme="minorHAnsi" w:cstheme="minorHAnsi"/>
          <w:color w:val="2F5496" w:themeColor="accent1" w:themeShade="BF"/>
          <w:sz w:val="20"/>
          <w:szCs w:val="20"/>
        </w:rPr>
        <w:t xml:space="preserve">. Questo processo inizia attraverso il riconoscimento delle molecole virali da parte dei PRR, presenti come recettori transmembrana o in diversi compartimenti intracellulari. </w:t>
      </w:r>
    </w:p>
    <w:p w:rsidR="00D921F9" w:rsidRPr="008F5CAC" w:rsidRDefault="00D921F9" w:rsidP="00D71CED">
      <w:pPr>
        <w:jc w:val="both"/>
        <w:rPr>
          <w:rFonts w:asciiTheme="minorHAnsi" w:hAnsiTheme="minorHAnsi" w:cstheme="minorHAnsi"/>
          <w:color w:val="2F5496" w:themeColor="accent1" w:themeShade="BF"/>
          <w:sz w:val="20"/>
          <w:szCs w:val="20"/>
        </w:rPr>
      </w:pPr>
    </w:p>
    <w:p w:rsidR="002B7F58" w:rsidRPr="008F5CAC" w:rsidRDefault="002B7F58" w:rsidP="00D71CED">
      <w:pPr>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Il recettore subisce un cambiamento strutturale, attivando una via di segnalazione nel citoplasma che si conclude con l'attivazione di fattori di trascrizione citoplasmatica </w:t>
      </w:r>
      <w:r w:rsidR="00363C5B" w:rsidRPr="008F5CAC">
        <w:rPr>
          <w:rFonts w:asciiTheme="minorHAnsi" w:hAnsiTheme="minorHAnsi" w:cstheme="minorHAnsi"/>
          <w:color w:val="2F5496" w:themeColor="accent1" w:themeShade="BF"/>
          <w:sz w:val="20"/>
          <w:szCs w:val="20"/>
        </w:rPr>
        <w:t xml:space="preserve">che vengono poi </w:t>
      </w:r>
      <w:r w:rsidRPr="008F5CAC">
        <w:rPr>
          <w:rFonts w:asciiTheme="minorHAnsi" w:hAnsiTheme="minorHAnsi" w:cstheme="minorHAnsi"/>
          <w:color w:val="2F5496" w:themeColor="accent1" w:themeShade="BF"/>
          <w:sz w:val="20"/>
          <w:szCs w:val="20"/>
        </w:rPr>
        <w:t xml:space="preserve">traslocati nei nuclei per promuovere l'espressione di diverse citochine. Il tipo di citochina prodotta può variare a seconda del virus e del tipo di cellula. </w:t>
      </w:r>
    </w:p>
    <w:p w:rsidR="002B7F58" w:rsidRPr="007F48B7" w:rsidRDefault="002B7F58" w:rsidP="00D71CED">
      <w:pPr>
        <w:jc w:val="both"/>
        <w:rPr>
          <w:rFonts w:asciiTheme="minorHAnsi" w:hAnsiTheme="minorHAnsi" w:cstheme="minorHAnsi"/>
          <w:color w:val="2F5496" w:themeColor="accent1" w:themeShade="BF"/>
          <w:sz w:val="22"/>
          <w:szCs w:val="22"/>
        </w:rPr>
      </w:pPr>
    </w:p>
    <w:p w:rsidR="00CA2367" w:rsidRPr="008F5CAC" w:rsidRDefault="002B7F58" w:rsidP="00CA2367">
      <w:pPr>
        <w:jc w:val="center"/>
        <w:rPr>
          <w:rFonts w:asciiTheme="minorHAnsi" w:hAnsiTheme="minorHAnsi" w:cstheme="minorHAnsi"/>
          <w:b/>
          <w:bCs/>
          <w:color w:val="C00000"/>
          <w:sz w:val="22"/>
          <w:szCs w:val="22"/>
        </w:rPr>
      </w:pPr>
      <w:r w:rsidRPr="008F5CAC">
        <w:rPr>
          <w:rFonts w:asciiTheme="minorHAnsi" w:hAnsiTheme="minorHAnsi" w:cstheme="minorHAnsi"/>
          <w:b/>
          <w:bCs/>
          <w:color w:val="C00000"/>
          <w:sz w:val="22"/>
          <w:szCs w:val="22"/>
        </w:rPr>
        <w:t>I recettori dell'immunità innata</w:t>
      </w:r>
      <w:r w:rsidR="00CA2367" w:rsidRPr="008F5CAC">
        <w:rPr>
          <w:rFonts w:asciiTheme="minorHAnsi" w:hAnsiTheme="minorHAnsi" w:cstheme="minorHAnsi"/>
          <w:b/>
          <w:bCs/>
          <w:color w:val="C00000"/>
          <w:sz w:val="22"/>
          <w:szCs w:val="22"/>
        </w:rPr>
        <w:t xml:space="preserve"> contro i virus</w:t>
      </w:r>
    </w:p>
    <w:p w:rsidR="002B7F58" w:rsidRDefault="002B7F58" w:rsidP="00CA2367">
      <w:pPr>
        <w:jc w:val="center"/>
        <w:rPr>
          <w:rFonts w:asciiTheme="minorHAnsi" w:hAnsiTheme="minorHAnsi" w:cstheme="minorHAnsi"/>
          <w:b/>
          <w:bCs/>
          <w:color w:val="2F5496" w:themeColor="accent1" w:themeShade="BF"/>
          <w:sz w:val="22"/>
          <w:szCs w:val="22"/>
        </w:rPr>
      </w:pPr>
      <w:r w:rsidRPr="00363C5B">
        <w:rPr>
          <w:rFonts w:asciiTheme="minorHAnsi" w:hAnsiTheme="minorHAnsi" w:cstheme="minorHAnsi"/>
          <w:b/>
          <w:bCs/>
          <w:color w:val="2F5496" w:themeColor="accent1" w:themeShade="BF"/>
          <w:sz w:val="22"/>
          <w:szCs w:val="22"/>
        </w:rPr>
        <w:t>(</w:t>
      </w:r>
      <w:r w:rsidRPr="008F5CAC">
        <w:rPr>
          <w:rFonts w:asciiTheme="minorHAnsi" w:hAnsiTheme="minorHAnsi" w:cstheme="minorHAnsi"/>
          <w:b/>
          <w:bCs/>
          <w:color w:val="C00000"/>
          <w:sz w:val="22"/>
          <w:szCs w:val="22"/>
        </w:rPr>
        <w:t>PRR</w:t>
      </w:r>
      <w:r w:rsidRPr="00363C5B">
        <w:rPr>
          <w:rFonts w:asciiTheme="minorHAnsi" w:hAnsiTheme="minorHAnsi" w:cstheme="minorHAnsi"/>
          <w:b/>
          <w:bCs/>
          <w:color w:val="2F5496" w:themeColor="accent1" w:themeShade="BF"/>
          <w:sz w:val="22"/>
          <w:szCs w:val="22"/>
        </w:rPr>
        <w:t xml:space="preserve"> - Pattern Recognition Receptors</w:t>
      </w:r>
      <w:r w:rsidR="00CA2367">
        <w:rPr>
          <w:rFonts w:asciiTheme="minorHAnsi" w:hAnsiTheme="minorHAnsi" w:cstheme="minorHAnsi"/>
          <w:b/>
          <w:bCs/>
          <w:color w:val="2F5496" w:themeColor="accent1" w:themeShade="BF"/>
          <w:sz w:val="22"/>
          <w:szCs w:val="22"/>
        </w:rPr>
        <w:t xml:space="preserve"> – recettori di riconoscimento dei profili molecolari</w:t>
      </w:r>
      <w:r w:rsidRPr="00363C5B">
        <w:rPr>
          <w:rFonts w:asciiTheme="minorHAnsi" w:hAnsiTheme="minorHAnsi" w:cstheme="minorHAnsi"/>
          <w:b/>
          <w:bCs/>
          <w:color w:val="2F5496" w:themeColor="accent1" w:themeShade="BF"/>
          <w:sz w:val="22"/>
          <w:szCs w:val="22"/>
        </w:rPr>
        <w:t xml:space="preserve">) </w:t>
      </w:r>
    </w:p>
    <w:p w:rsidR="00892F48" w:rsidRPr="00363C5B" w:rsidRDefault="00892F48" w:rsidP="00E91FBB">
      <w:pPr>
        <w:rPr>
          <w:rFonts w:asciiTheme="minorHAnsi" w:hAnsiTheme="minorHAnsi" w:cstheme="minorHAnsi"/>
          <w:b/>
          <w:bCs/>
          <w:color w:val="2F5496" w:themeColor="accent1" w:themeShade="BF"/>
          <w:sz w:val="22"/>
          <w:szCs w:val="22"/>
        </w:rPr>
      </w:pPr>
    </w:p>
    <w:p w:rsidR="00892F48" w:rsidRPr="00DC48B4" w:rsidRDefault="00892F48" w:rsidP="00892F48">
      <w:pPr>
        <w:jc w:val="both"/>
        <w:rPr>
          <w:rFonts w:asciiTheme="minorHAnsi" w:hAnsiTheme="minorHAnsi" w:cstheme="minorHAnsi"/>
          <w:color w:val="2F5496" w:themeColor="accent1" w:themeShade="BF"/>
          <w:sz w:val="20"/>
          <w:szCs w:val="20"/>
        </w:rPr>
      </w:pPr>
      <w:r w:rsidRPr="00DC48B4">
        <w:rPr>
          <w:rFonts w:asciiTheme="minorHAnsi" w:hAnsiTheme="minorHAnsi" w:cstheme="minorHAnsi"/>
          <w:color w:val="2F5496" w:themeColor="accent1" w:themeShade="BF"/>
          <w:sz w:val="20"/>
          <w:szCs w:val="20"/>
        </w:rPr>
        <w:t xml:space="preserve">L’attivazione della risposta infiammatoria può essere scatenata mediante due diversi meccanismi: </w:t>
      </w:r>
    </w:p>
    <w:p w:rsidR="00892F48" w:rsidRPr="00DC48B4" w:rsidRDefault="00892F48" w:rsidP="00892F48">
      <w:pPr>
        <w:jc w:val="both"/>
        <w:rPr>
          <w:rFonts w:asciiTheme="minorHAnsi" w:hAnsiTheme="minorHAnsi" w:cstheme="minorHAnsi"/>
          <w:color w:val="2F5496" w:themeColor="accent1" w:themeShade="BF"/>
          <w:sz w:val="20"/>
          <w:szCs w:val="20"/>
        </w:rPr>
      </w:pPr>
    </w:p>
    <w:p w:rsidR="00892F48" w:rsidRDefault="00892F48" w:rsidP="00D921F9">
      <w:pPr>
        <w:shd w:val="clear" w:color="auto" w:fill="FBF9E1"/>
        <w:spacing w:line="276" w:lineRule="auto"/>
        <w:ind w:left="284" w:hanging="284"/>
        <w:jc w:val="both"/>
        <w:rPr>
          <w:rFonts w:asciiTheme="minorHAnsi" w:hAnsiTheme="minorHAnsi" w:cstheme="minorHAnsi"/>
          <w:color w:val="2F5496" w:themeColor="accent1" w:themeShade="BF"/>
          <w:sz w:val="20"/>
          <w:szCs w:val="20"/>
        </w:rPr>
      </w:pPr>
      <w:r w:rsidRPr="00DC48B4">
        <w:rPr>
          <w:rFonts w:asciiTheme="minorHAnsi" w:hAnsiTheme="minorHAnsi" w:cstheme="minorHAnsi"/>
          <w:color w:val="2F5496" w:themeColor="accent1" w:themeShade="BF"/>
          <w:sz w:val="20"/>
          <w:szCs w:val="20"/>
        </w:rPr>
        <w:t xml:space="preserve">• </w:t>
      </w:r>
      <w:r w:rsidRPr="00DC48B4">
        <w:rPr>
          <w:rFonts w:asciiTheme="minorHAnsi" w:hAnsiTheme="minorHAnsi" w:cstheme="minorHAnsi"/>
          <w:color w:val="2F5496" w:themeColor="accent1" w:themeShade="BF"/>
          <w:sz w:val="20"/>
          <w:szCs w:val="20"/>
        </w:rPr>
        <w:tab/>
        <w:t xml:space="preserve">segnali derivanti da agenti infettivi: </w:t>
      </w:r>
      <w:r w:rsidRPr="00DC48B4">
        <w:rPr>
          <w:rFonts w:asciiTheme="minorHAnsi" w:hAnsiTheme="minorHAnsi" w:cstheme="minorHAnsi"/>
          <w:b/>
          <w:bCs/>
          <w:color w:val="2F5496" w:themeColor="accent1" w:themeShade="BF"/>
          <w:sz w:val="20"/>
          <w:szCs w:val="20"/>
        </w:rPr>
        <w:t>PAMPs</w:t>
      </w:r>
      <w:r w:rsidRPr="00DC48B4">
        <w:rPr>
          <w:rFonts w:asciiTheme="minorHAnsi" w:hAnsiTheme="minorHAnsi" w:cstheme="minorHAnsi"/>
          <w:color w:val="2F5496" w:themeColor="accent1" w:themeShade="BF"/>
          <w:sz w:val="20"/>
          <w:szCs w:val="20"/>
        </w:rPr>
        <w:t xml:space="preserve"> (Patogen Associated Molecular Patterns – profili molecolari associati ai patogeni) </w:t>
      </w:r>
    </w:p>
    <w:p w:rsidR="00D921F9" w:rsidRDefault="00D921F9" w:rsidP="00CA2367">
      <w:pPr>
        <w:jc w:val="both"/>
        <w:rPr>
          <w:rFonts w:asciiTheme="minorHAnsi" w:hAnsiTheme="minorHAnsi" w:cstheme="minorHAnsi"/>
          <w:color w:val="2F5496" w:themeColor="accent1" w:themeShade="BF"/>
          <w:sz w:val="20"/>
          <w:szCs w:val="20"/>
          <w:shd w:val="clear" w:color="auto" w:fill="FFFFFF"/>
        </w:rPr>
      </w:pPr>
    </w:p>
    <w:p w:rsidR="00CA2367" w:rsidRPr="00DC48B4" w:rsidRDefault="00CA2367" w:rsidP="00CA2367">
      <w:pPr>
        <w:jc w:val="both"/>
        <w:rPr>
          <w:rFonts w:asciiTheme="minorHAnsi" w:hAnsiTheme="minorHAnsi" w:cstheme="minorHAnsi"/>
          <w:color w:val="2F5496" w:themeColor="accent1" w:themeShade="BF"/>
          <w:sz w:val="20"/>
          <w:szCs w:val="20"/>
        </w:rPr>
      </w:pPr>
      <w:r w:rsidRPr="00DC48B4">
        <w:rPr>
          <w:rFonts w:asciiTheme="minorHAnsi" w:hAnsiTheme="minorHAnsi" w:cstheme="minorHAnsi"/>
          <w:color w:val="2F5496" w:themeColor="accent1" w:themeShade="BF"/>
          <w:sz w:val="20"/>
          <w:szCs w:val="20"/>
          <w:shd w:val="clear" w:color="auto" w:fill="FFFFFF"/>
        </w:rPr>
        <w:t>Esempi di PAMPs sono: gli </w:t>
      </w:r>
      <w:r w:rsidRPr="00DC48B4">
        <w:rPr>
          <w:rFonts w:asciiTheme="minorHAnsi" w:hAnsiTheme="minorHAnsi" w:cstheme="minorHAnsi"/>
          <w:color w:val="2F5496" w:themeColor="accent1" w:themeShade="BF"/>
          <w:sz w:val="20"/>
          <w:szCs w:val="20"/>
        </w:rPr>
        <w:t>RNA a doppia catena</w:t>
      </w:r>
      <w:r w:rsidRPr="00DC48B4">
        <w:rPr>
          <w:rFonts w:asciiTheme="minorHAnsi" w:hAnsiTheme="minorHAnsi" w:cstheme="minorHAnsi"/>
          <w:color w:val="2F5496" w:themeColor="accent1" w:themeShade="BF"/>
          <w:sz w:val="20"/>
          <w:szCs w:val="20"/>
          <w:shd w:val="clear" w:color="auto" w:fill="FFFFFF"/>
        </w:rPr>
        <w:t> di origine virale, il </w:t>
      </w:r>
      <w:r w:rsidRPr="00DC48B4">
        <w:rPr>
          <w:rFonts w:asciiTheme="minorHAnsi" w:hAnsiTheme="minorHAnsi" w:cstheme="minorHAnsi"/>
          <w:color w:val="2F5496" w:themeColor="accent1" w:themeShade="BF"/>
          <w:sz w:val="20"/>
          <w:szCs w:val="20"/>
        </w:rPr>
        <w:t>lipopolisaccaride</w:t>
      </w:r>
      <w:r w:rsidRPr="00DC48B4">
        <w:rPr>
          <w:rFonts w:asciiTheme="minorHAnsi" w:hAnsiTheme="minorHAnsi" w:cstheme="minorHAnsi"/>
          <w:color w:val="2F5496" w:themeColor="accent1" w:themeShade="BF"/>
          <w:sz w:val="20"/>
          <w:szCs w:val="20"/>
          <w:shd w:val="clear" w:color="auto" w:fill="FFFFFF"/>
        </w:rPr>
        <w:t> (LPS)  e gli </w:t>
      </w:r>
      <w:r w:rsidRPr="00DC48B4">
        <w:rPr>
          <w:rFonts w:asciiTheme="minorHAnsi" w:hAnsiTheme="minorHAnsi" w:cstheme="minorHAnsi"/>
          <w:color w:val="2F5496" w:themeColor="accent1" w:themeShade="BF"/>
          <w:sz w:val="20"/>
          <w:szCs w:val="20"/>
        </w:rPr>
        <w:t xml:space="preserve">acidi lipoteicoici </w:t>
      </w:r>
      <w:r w:rsidRPr="00DC48B4">
        <w:rPr>
          <w:rFonts w:asciiTheme="minorHAnsi" w:hAnsiTheme="minorHAnsi" w:cstheme="minorHAnsi"/>
          <w:color w:val="2F5496" w:themeColor="accent1" w:themeShade="BF"/>
          <w:sz w:val="20"/>
          <w:szCs w:val="20"/>
          <w:shd w:val="clear" w:color="auto" w:fill="FFFFFF"/>
        </w:rPr>
        <w:t>rispettivamente dei </w:t>
      </w:r>
      <w:hyperlink r:id="rId58" w:history="1">
        <w:r w:rsidRPr="00DC48B4">
          <w:rPr>
            <w:rFonts w:asciiTheme="minorHAnsi" w:hAnsiTheme="minorHAnsi" w:cstheme="minorHAnsi"/>
            <w:color w:val="2F5496" w:themeColor="accent1" w:themeShade="BF"/>
            <w:sz w:val="20"/>
            <w:szCs w:val="20"/>
          </w:rPr>
          <w:t>batteri Gram-negativi e Gram-positivi</w:t>
        </w:r>
      </w:hyperlink>
      <w:r w:rsidRPr="00DC48B4">
        <w:rPr>
          <w:rFonts w:asciiTheme="minorHAnsi" w:hAnsiTheme="minorHAnsi" w:cstheme="minorHAnsi"/>
          <w:color w:val="2F5496" w:themeColor="accent1" w:themeShade="BF"/>
          <w:sz w:val="20"/>
          <w:szCs w:val="20"/>
          <w:shd w:val="clear" w:color="auto" w:fill="FFFFFF"/>
        </w:rPr>
        <w:t>,</w:t>
      </w:r>
    </w:p>
    <w:p w:rsidR="00CA2367" w:rsidRPr="00DC48B4" w:rsidRDefault="00CA2367" w:rsidP="00892F48">
      <w:pPr>
        <w:spacing w:line="276" w:lineRule="auto"/>
        <w:ind w:left="284" w:hanging="284"/>
        <w:jc w:val="both"/>
        <w:rPr>
          <w:rFonts w:asciiTheme="minorHAnsi" w:hAnsiTheme="minorHAnsi" w:cstheme="minorHAnsi"/>
          <w:color w:val="2F5496" w:themeColor="accent1" w:themeShade="BF"/>
          <w:sz w:val="20"/>
          <w:szCs w:val="20"/>
        </w:rPr>
      </w:pPr>
    </w:p>
    <w:p w:rsidR="00892F48" w:rsidRDefault="00892F48" w:rsidP="00D921F9">
      <w:pPr>
        <w:shd w:val="clear" w:color="auto" w:fill="FBF9E1"/>
        <w:spacing w:line="276" w:lineRule="auto"/>
        <w:ind w:left="284" w:hanging="284"/>
        <w:jc w:val="both"/>
        <w:rPr>
          <w:rFonts w:asciiTheme="minorHAnsi" w:hAnsiTheme="minorHAnsi" w:cstheme="minorHAnsi"/>
          <w:b/>
          <w:bCs/>
          <w:color w:val="2F5496" w:themeColor="accent1" w:themeShade="BF"/>
          <w:sz w:val="20"/>
          <w:szCs w:val="20"/>
        </w:rPr>
      </w:pPr>
      <w:r w:rsidRPr="00DC48B4">
        <w:rPr>
          <w:rFonts w:asciiTheme="minorHAnsi" w:hAnsiTheme="minorHAnsi" w:cstheme="minorHAnsi"/>
          <w:color w:val="2F5496" w:themeColor="accent1" w:themeShade="BF"/>
          <w:sz w:val="20"/>
          <w:szCs w:val="20"/>
        </w:rPr>
        <w:t xml:space="preserve">•  segnali derivanti dal danno cellulare: </w:t>
      </w:r>
      <w:r w:rsidRPr="00DC48B4">
        <w:rPr>
          <w:rFonts w:asciiTheme="minorHAnsi" w:hAnsiTheme="minorHAnsi" w:cstheme="minorHAnsi"/>
          <w:b/>
          <w:bCs/>
          <w:color w:val="2F5496" w:themeColor="accent1" w:themeShade="BF"/>
          <w:sz w:val="20"/>
          <w:szCs w:val="20"/>
        </w:rPr>
        <w:t xml:space="preserve">DAMPs </w:t>
      </w:r>
      <w:r w:rsidRPr="00DC48B4">
        <w:rPr>
          <w:rFonts w:asciiTheme="minorHAnsi" w:hAnsiTheme="minorHAnsi" w:cstheme="minorHAnsi"/>
          <w:color w:val="2F5496" w:themeColor="accent1" w:themeShade="BF"/>
          <w:sz w:val="20"/>
          <w:szCs w:val="20"/>
        </w:rPr>
        <w:t>(Damage Associated Molecular Patterns profili molecolari associati al danno).</w:t>
      </w:r>
      <w:r w:rsidRPr="00DC48B4">
        <w:rPr>
          <w:rFonts w:asciiTheme="minorHAnsi" w:hAnsiTheme="minorHAnsi" w:cstheme="minorHAnsi"/>
          <w:b/>
          <w:bCs/>
          <w:color w:val="2F5496" w:themeColor="accent1" w:themeShade="BF"/>
          <w:sz w:val="20"/>
          <w:szCs w:val="20"/>
        </w:rPr>
        <w:t xml:space="preserve"> </w:t>
      </w:r>
    </w:p>
    <w:p w:rsidR="00D921F9" w:rsidRPr="00DC48B4" w:rsidRDefault="00D921F9" w:rsidP="00892F48">
      <w:pPr>
        <w:spacing w:line="276" w:lineRule="auto"/>
        <w:ind w:left="284" w:hanging="284"/>
        <w:jc w:val="both"/>
        <w:rPr>
          <w:rFonts w:asciiTheme="minorHAnsi" w:hAnsiTheme="minorHAnsi" w:cstheme="minorHAnsi"/>
          <w:b/>
          <w:bCs/>
          <w:color w:val="2F5496" w:themeColor="accent1" w:themeShade="BF"/>
          <w:sz w:val="20"/>
          <w:szCs w:val="20"/>
        </w:rPr>
      </w:pPr>
    </w:p>
    <w:p w:rsidR="00CA2367" w:rsidRPr="00DC48B4" w:rsidRDefault="00CA2367" w:rsidP="00CA2367">
      <w:pPr>
        <w:jc w:val="both"/>
        <w:rPr>
          <w:rFonts w:asciiTheme="minorHAnsi" w:hAnsiTheme="minorHAnsi" w:cstheme="minorHAnsi"/>
          <w:b/>
          <w:bCs/>
          <w:color w:val="2F5496" w:themeColor="accent1" w:themeShade="BF"/>
          <w:sz w:val="20"/>
          <w:szCs w:val="20"/>
        </w:rPr>
      </w:pPr>
      <w:r w:rsidRPr="00DC48B4">
        <w:rPr>
          <w:rFonts w:asciiTheme="minorHAnsi" w:hAnsiTheme="minorHAnsi" w:cstheme="minorHAnsi"/>
          <w:color w:val="2F5496" w:themeColor="accent1" w:themeShade="BF"/>
          <w:sz w:val="20"/>
          <w:szCs w:val="20"/>
          <w:shd w:val="clear" w:color="auto" w:fill="FFFFFF"/>
        </w:rPr>
        <w:t>Esempi di DAMPs sono: le</w:t>
      </w:r>
      <w:r w:rsidRPr="00DC48B4">
        <w:rPr>
          <w:rFonts w:asciiTheme="minorHAnsi" w:hAnsiTheme="minorHAnsi" w:cstheme="minorHAnsi"/>
          <w:b/>
          <w:bCs/>
          <w:color w:val="2F5496" w:themeColor="accent1" w:themeShade="BF"/>
          <w:sz w:val="20"/>
          <w:szCs w:val="20"/>
          <w:shd w:val="clear" w:color="auto" w:fill="FFFFFF"/>
        </w:rPr>
        <w:t> </w:t>
      </w:r>
      <w:hyperlink r:id="rId59" w:history="1">
        <w:r w:rsidRPr="00DC48B4">
          <w:rPr>
            <w:rStyle w:val="Strong"/>
            <w:rFonts w:asciiTheme="minorHAnsi" w:eastAsiaTheme="majorEastAsia" w:hAnsiTheme="minorHAnsi" w:cstheme="minorHAnsi"/>
            <w:b w:val="0"/>
            <w:bCs w:val="0"/>
            <w:color w:val="2F5496" w:themeColor="accent1" w:themeShade="BF"/>
            <w:sz w:val="20"/>
            <w:szCs w:val="20"/>
            <w:shd w:val="clear" w:color="auto" w:fill="FFFFFF"/>
          </w:rPr>
          <w:t>Heat Shock Proteins</w:t>
        </w:r>
      </w:hyperlink>
      <w:r w:rsidRPr="00DC48B4">
        <w:rPr>
          <w:rFonts w:asciiTheme="minorHAnsi" w:hAnsiTheme="minorHAnsi" w:cstheme="minorHAnsi"/>
          <w:b/>
          <w:bCs/>
          <w:color w:val="2F5496" w:themeColor="accent1" w:themeShade="BF"/>
          <w:sz w:val="20"/>
          <w:szCs w:val="20"/>
          <w:shd w:val="clear" w:color="auto" w:fill="FFFFFF"/>
        </w:rPr>
        <w:t> </w:t>
      </w:r>
      <w:r w:rsidRPr="00DC48B4">
        <w:rPr>
          <w:rFonts w:asciiTheme="minorHAnsi" w:hAnsiTheme="minorHAnsi" w:cstheme="minorHAnsi"/>
          <w:color w:val="2F5496" w:themeColor="accent1" w:themeShade="BF"/>
          <w:sz w:val="20"/>
          <w:szCs w:val="20"/>
          <w:shd w:val="clear" w:color="auto" w:fill="FFFFFF"/>
        </w:rPr>
        <w:t>(</w:t>
      </w:r>
      <w:r w:rsidRPr="00DC48B4">
        <w:rPr>
          <w:rStyle w:val="Strong"/>
          <w:rFonts w:asciiTheme="minorHAnsi" w:eastAsiaTheme="majorEastAsia" w:hAnsiTheme="minorHAnsi" w:cstheme="minorHAnsi"/>
          <w:b w:val="0"/>
          <w:bCs w:val="0"/>
          <w:color w:val="2F5496" w:themeColor="accent1" w:themeShade="BF"/>
          <w:sz w:val="20"/>
          <w:szCs w:val="20"/>
          <w:shd w:val="clear" w:color="auto" w:fill="FFFFFF"/>
        </w:rPr>
        <w:t>HSP</w:t>
      </w:r>
      <w:r w:rsidRPr="00DC48B4">
        <w:rPr>
          <w:rFonts w:asciiTheme="minorHAnsi" w:hAnsiTheme="minorHAnsi" w:cstheme="minorHAnsi"/>
          <w:color w:val="2F5496" w:themeColor="accent1" w:themeShade="BF"/>
          <w:sz w:val="20"/>
          <w:szCs w:val="20"/>
          <w:shd w:val="clear" w:color="auto" w:fill="FFFFFF"/>
        </w:rPr>
        <w:t>),</w:t>
      </w:r>
      <w:r w:rsidRPr="00DC48B4">
        <w:rPr>
          <w:rFonts w:asciiTheme="minorHAnsi" w:hAnsiTheme="minorHAnsi" w:cstheme="minorHAnsi"/>
          <w:b/>
          <w:bCs/>
          <w:color w:val="2F5496" w:themeColor="accent1" w:themeShade="BF"/>
          <w:sz w:val="20"/>
          <w:szCs w:val="20"/>
          <w:shd w:val="clear" w:color="auto" w:fill="FFFFFF"/>
        </w:rPr>
        <w:t> </w:t>
      </w:r>
      <w:r w:rsidRPr="00DC48B4">
        <w:rPr>
          <w:rStyle w:val="Strong"/>
          <w:rFonts w:asciiTheme="minorHAnsi" w:eastAsiaTheme="majorEastAsia" w:hAnsiTheme="minorHAnsi" w:cstheme="minorHAnsi"/>
          <w:b w:val="0"/>
          <w:bCs w:val="0"/>
          <w:color w:val="2F5496" w:themeColor="accent1" w:themeShade="BF"/>
          <w:sz w:val="20"/>
          <w:szCs w:val="20"/>
          <w:shd w:val="clear" w:color="auto" w:fill="FFFFFF"/>
        </w:rPr>
        <w:t>l’</w:t>
      </w:r>
      <w:hyperlink r:id="rId60" w:history="1">
        <w:r w:rsidRPr="00DC48B4">
          <w:rPr>
            <w:rStyle w:val="Hyperlink"/>
            <w:rFonts w:asciiTheme="minorHAnsi" w:eastAsiaTheme="majorEastAsia" w:hAnsiTheme="minorHAnsi" w:cstheme="minorHAnsi"/>
            <w:color w:val="2F5496" w:themeColor="accent1" w:themeShade="BF"/>
            <w:sz w:val="20"/>
            <w:szCs w:val="20"/>
            <w:u w:val="none"/>
          </w:rPr>
          <w:t>High-Mobility Group Box 1</w:t>
        </w:r>
      </w:hyperlink>
      <w:r w:rsidRPr="00DC48B4">
        <w:rPr>
          <w:rFonts w:asciiTheme="minorHAnsi" w:hAnsiTheme="minorHAnsi" w:cstheme="minorHAnsi"/>
          <w:color w:val="2F5496" w:themeColor="accent1" w:themeShade="BF"/>
          <w:sz w:val="20"/>
          <w:szCs w:val="20"/>
          <w:shd w:val="clear" w:color="auto" w:fill="FFFFFF"/>
        </w:rPr>
        <w:t> (</w:t>
      </w:r>
      <w:r w:rsidRPr="00DC48B4">
        <w:rPr>
          <w:rStyle w:val="Strong"/>
          <w:rFonts w:asciiTheme="minorHAnsi" w:eastAsiaTheme="majorEastAsia" w:hAnsiTheme="minorHAnsi" w:cstheme="minorHAnsi"/>
          <w:b w:val="0"/>
          <w:bCs w:val="0"/>
          <w:color w:val="2F5496" w:themeColor="accent1" w:themeShade="BF"/>
          <w:sz w:val="20"/>
          <w:szCs w:val="20"/>
          <w:shd w:val="clear" w:color="auto" w:fill="FFFFFF"/>
        </w:rPr>
        <w:t>HMGB-1</w:t>
      </w:r>
      <w:r w:rsidRPr="00DC48B4">
        <w:rPr>
          <w:rFonts w:asciiTheme="minorHAnsi" w:hAnsiTheme="minorHAnsi" w:cstheme="minorHAnsi"/>
          <w:color w:val="2F5496" w:themeColor="accent1" w:themeShade="BF"/>
          <w:sz w:val="20"/>
          <w:szCs w:val="20"/>
          <w:shd w:val="clear" w:color="auto" w:fill="FFFFFF"/>
        </w:rPr>
        <w:t>) ed</w:t>
      </w:r>
      <w:r w:rsidR="0027549A" w:rsidRPr="00DC48B4">
        <w:rPr>
          <w:rFonts w:asciiTheme="minorHAnsi" w:hAnsiTheme="minorHAnsi" w:cstheme="minorHAnsi"/>
          <w:color w:val="2F5496" w:themeColor="accent1" w:themeShade="BF"/>
          <w:sz w:val="20"/>
          <w:szCs w:val="20"/>
          <w:shd w:val="clear" w:color="auto" w:fill="FFFFFF"/>
        </w:rPr>
        <w:t xml:space="preserve"> </w:t>
      </w:r>
      <w:r w:rsidRPr="00DC48B4">
        <w:rPr>
          <w:rFonts w:asciiTheme="minorHAnsi" w:hAnsiTheme="minorHAnsi" w:cstheme="minorHAnsi"/>
          <w:color w:val="2F5496" w:themeColor="accent1" w:themeShade="BF"/>
          <w:sz w:val="20"/>
          <w:szCs w:val="20"/>
          <w:shd w:val="clear" w:color="auto" w:fill="FFFFFF"/>
        </w:rPr>
        <w:t>il</w:t>
      </w:r>
      <w:r w:rsidRPr="00DC48B4">
        <w:rPr>
          <w:rFonts w:asciiTheme="minorHAnsi" w:hAnsiTheme="minorHAnsi" w:cstheme="minorHAnsi"/>
          <w:b/>
          <w:bCs/>
          <w:color w:val="2F5496" w:themeColor="accent1" w:themeShade="BF"/>
          <w:sz w:val="20"/>
          <w:szCs w:val="20"/>
          <w:shd w:val="clear" w:color="auto" w:fill="FFFFFF"/>
        </w:rPr>
        <w:t> </w:t>
      </w:r>
      <w:r w:rsidRPr="00DC48B4">
        <w:rPr>
          <w:rStyle w:val="Strong"/>
          <w:rFonts w:asciiTheme="minorHAnsi" w:eastAsiaTheme="majorEastAsia" w:hAnsiTheme="minorHAnsi" w:cstheme="minorHAnsi"/>
          <w:b w:val="0"/>
          <w:bCs w:val="0"/>
          <w:color w:val="2F5496" w:themeColor="accent1" w:themeShade="BF"/>
          <w:sz w:val="20"/>
          <w:szCs w:val="20"/>
          <w:shd w:val="clear" w:color="auto" w:fill="FFFFFF"/>
        </w:rPr>
        <w:t>fibrinogeno</w:t>
      </w:r>
      <w:r w:rsidRPr="00DC48B4">
        <w:rPr>
          <w:rFonts w:asciiTheme="minorHAnsi" w:hAnsiTheme="minorHAnsi" w:cstheme="minorHAnsi"/>
          <w:b/>
          <w:bCs/>
          <w:color w:val="2F5496" w:themeColor="accent1" w:themeShade="BF"/>
          <w:sz w:val="20"/>
          <w:szCs w:val="20"/>
          <w:shd w:val="clear" w:color="auto" w:fill="FFFFFF"/>
        </w:rPr>
        <w:t>.</w:t>
      </w:r>
    </w:p>
    <w:p w:rsidR="00892F48" w:rsidRPr="00DC48B4" w:rsidRDefault="00892F48" w:rsidP="00892F48">
      <w:pPr>
        <w:spacing w:line="276" w:lineRule="auto"/>
        <w:jc w:val="both"/>
        <w:rPr>
          <w:rFonts w:asciiTheme="minorHAnsi" w:hAnsiTheme="minorHAnsi" w:cstheme="minorHAnsi"/>
          <w:color w:val="2F5496" w:themeColor="accent1" w:themeShade="BF"/>
          <w:sz w:val="20"/>
          <w:szCs w:val="20"/>
        </w:rPr>
      </w:pPr>
    </w:p>
    <w:p w:rsidR="00892F48" w:rsidRPr="00DC48B4" w:rsidRDefault="00892F48" w:rsidP="008F5CAC">
      <w:pPr>
        <w:spacing w:line="276" w:lineRule="auto"/>
        <w:jc w:val="both"/>
        <w:rPr>
          <w:rFonts w:asciiTheme="minorHAnsi" w:hAnsiTheme="minorHAnsi" w:cstheme="minorHAnsi"/>
          <w:color w:val="2F5496" w:themeColor="accent1" w:themeShade="BF"/>
          <w:sz w:val="20"/>
          <w:szCs w:val="20"/>
        </w:rPr>
      </w:pPr>
      <w:r w:rsidRPr="00DC48B4">
        <w:rPr>
          <w:rFonts w:asciiTheme="minorHAnsi" w:hAnsiTheme="minorHAnsi" w:cstheme="minorHAnsi"/>
          <w:color w:val="2F5496" w:themeColor="accent1" w:themeShade="BF"/>
          <w:sz w:val="20"/>
          <w:szCs w:val="20"/>
        </w:rPr>
        <w:t xml:space="preserve">I PAMPs e i DAMPs sono recepiti dai </w:t>
      </w:r>
      <w:r w:rsidRPr="00D921F9">
        <w:rPr>
          <w:rFonts w:asciiTheme="minorHAnsi" w:hAnsiTheme="minorHAnsi" w:cstheme="minorHAnsi"/>
          <w:b/>
          <w:bCs/>
          <w:color w:val="2F5496" w:themeColor="accent1" w:themeShade="BF"/>
          <w:sz w:val="20"/>
          <w:szCs w:val="20"/>
        </w:rPr>
        <w:t>PRR</w:t>
      </w:r>
      <w:r w:rsidRPr="00D921F9">
        <w:rPr>
          <w:rFonts w:asciiTheme="minorHAnsi" w:hAnsiTheme="minorHAnsi" w:cstheme="minorHAnsi"/>
          <w:color w:val="2F5496" w:themeColor="accent1" w:themeShade="BF"/>
          <w:sz w:val="20"/>
          <w:szCs w:val="20"/>
        </w:rPr>
        <w:t xml:space="preserve"> </w:t>
      </w:r>
      <w:r w:rsidRPr="00DC48B4">
        <w:rPr>
          <w:rFonts w:asciiTheme="minorHAnsi" w:hAnsiTheme="minorHAnsi" w:cstheme="minorHAnsi"/>
          <w:color w:val="2F5496" w:themeColor="accent1" w:themeShade="BF"/>
          <w:sz w:val="20"/>
          <w:szCs w:val="20"/>
        </w:rPr>
        <w:t>(Pattern Recognition Receptors), recettori a bassa affinità che determinano l’attivazione delle risposte cellulari, con rilascio di mediatori della risposta infiammatoria</w:t>
      </w:r>
      <w:r w:rsidR="00594288" w:rsidRPr="00DC48B4">
        <w:rPr>
          <w:rFonts w:asciiTheme="minorHAnsi" w:hAnsiTheme="minorHAnsi" w:cstheme="minorHAnsi"/>
          <w:color w:val="2F5496" w:themeColor="accent1" w:themeShade="BF"/>
          <w:sz w:val="20"/>
          <w:szCs w:val="20"/>
        </w:rPr>
        <w:t>.</w:t>
      </w:r>
    </w:p>
    <w:p w:rsidR="00594288" w:rsidRPr="008F5CAC" w:rsidRDefault="00594288" w:rsidP="00892F48">
      <w:pPr>
        <w:spacing w:line="276" w:lineRule="auto"/>
        <w:jc w:val="both"/>
        <w:rPr>
          <w:rFonts w:asciiTheme="minorHAnsi" w:hAnsiTheme="minorHAnsi" w:cstheme="minorHAnsi"/>
          <w:color w:val="2F5496" w:themeColor="accent1" w:themeShade="BF"/>
          <w:sz w:val="20"/>
          <w:szCs w:val="20"/>
        </w:rPr>
      </w:pPr>
      <w:r w:rsidRPr="008F5CAC">
        <w:rPr>
          <w:rFonts w:asciiTheme="minorHAnsi" w:hAnsiTheme="minorHAnsi" w:cstheme="minorHAnsi"/>
          <w:noProof/>
          <w:color w:val="4472C4" w:themeColor="accent1"/>
          <w:sz w:val="20"/>
          <w:szCs w:val="20"/>
        </w:rPr>
        <w:lastRenderedPageBreak/>
        <w:drawing>
          <wp:inline distT="0" distB="0" distL="0" distR="0">
            <wp:extent cx="6116320" cy="4452620"/>
            <wp:effectExtent l="0" t="0" r="5080" b="254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hermata 2020-06-04 alle 20.22.39.png"/>
                    <pic:cNvPicPr/>
                  </pic:nvPicPr>
                  <pic:blipFill>
                    <a:blip r:embed="rId61">
                      <a:extLst>
                        <a:ext uri="{28A0092B-C50C-407E-A947-70E740481C1C}">
                          <a14:useLocalDpi xmlns:a14="http://schemas.microsoft.com/office/drawing/2010/main" val="0"/>
                        </a:ext>
                      </a:extLst>
                    </a:blip>
                    <a:stretch>
                      <a:fillRect/>
                    </a:stretch>
                  </pic:blipFill>
                  <pic:spPr>
                    <a:xfrm>
                      <a:off x="0" y="0"/>
                      <a:ext cx="6116320" cy="4452620"/>
                    </a:xfrm>
                    <a:prstGeom prst="rect">
                      <a:avLst/>
                    </a:prstGeom>
                  </pic:spPr>
                </pic:pic>
              </a:graphicData>
            </a:graphic>
          </wp:inline>
        </w:drawing>
      </w:r>
    </w:p>
    <w:p w:rsidR="00594288" w:rsidRPr="00D921F9" w:rsidRDefault="00594288" w:rsidP="00D921F9">
      <w:pPr>
        <w:shd w:val="clear" w:color="auto" w:fill="F2F2F2" w:themeFill="background1" w:themeFillShade="F2"/>
        <w:rPr>
          <w:rFonts w:asciiTheme="minorHAnsi" w:hAnsiTheme="minorHAnsi" w:cstheme="minorHAnsi"/>
          <w:color w:val="2F5496" w:themeColor="accent1" w:themeShade="BF"/>
          <w:sz w:val="18"/>
          <w:szCs w:val="18"/>
        </w:rPr>
      </w:pPr>
      <w:r w:rsidRPr="00D921F9">
        <w:rPr>
          <w:rFonts w:asciiTheme="minorHAnsi" w:hAnsiTheme="minorHAnsi" w:cstheme="minorHAnsi"/>
          <w:color w:val="2F5496" w:themeColor="accent1" w:themeShade="BF"/>
          <w:sz w:val="18"/>
          <w:szCs w:val="18"/>
        </w:rPr>
        <w:t xml:space="preserve">Tratta da </w:t>
      </w:r>
      <w:hyperlink r:id="rId62" w:history="1">
        <w:r w:rsidRPr="00D921F9">
          <w:rPr>
            <w:rStyle w:val="Hyperlink"/>
            <w:rFonts w:asciiTheme="minorHAnsi" w:eastAsiaTheme="majorEastAsia" w:hAnsiTheme="minorHAnsi" w:cstheme="minorHAnsi"/>
            <w:color w:val="2F5496" w:themeColor="accent1" w:themeShade="BF"/>
            <w:sz w:val="18"/>
            <w:szCs w:val="18"/>
            <w:u w:val="none"/>
          </w:rPr>
          <w:t>https://www.uniba.it/docenti/coluccia-mauro/attivita-didattica/materiale-didattico/2-infiammazione.pdf</w:t>
        </w:r>
      </w:hyperlink>
    </w:p>
    <w:p w:rsidR="00D71CED" w:rsidRPr="00D921F9" w:rsidRDefault="00594288" w:rsidP="00D921F9">
      <w:pPr>
        <w:shd w:val="clear" w:color="auto" w:fill="F2F2F2" w:themeFill="background1" w:themeFillShade="F2"/>
        <w:spacing w:line="276" w:lineRule="auto"/>
        <w:jc w:val="both"/>
        <w:rPr>
          <w:rFonts w:asciiTheme="minorHAnsi" w:hAnsiTheme="minorHAnsi" w:cstheme="minorHAnsi"/>
          <w:b/>
          <w:color w:val="2F5496" w:themeColor="accent1" w:themeShade="BF"/>
          <w:sz w:val="18"/>
          <w:szCs w:val="18"/>
        </w:rPr>
      </w:pPr>
      <w:r w:rsidRPr="00D921F9">
        <w:rPr>
          <w:rFonts w:asciiTheme="minorHAnsi" w:hAnsiTheme="minorHAnsi" w:cstheme="minorHAnsi"/>
          <w:i/>
          <w:iCs/>
          <w:color w:val="2F5496" w:themeColor="accent1" w:themeShade="BF"/>
          <w:sz w:val="18"/>
          <w:szCs w:val="18"/>
        </w:rPr>
        <w:t>*</w:t>
      </w:r>
      <w:r w:rsidR="00E60B64" w:rsidRPr="00D921F9">
        <w:rPr>
          <w:rFonts w:asciiTheme="minorHAnsi" w:hAnsiTheme="minorHAnsi" w:cstheme="minorHAnsi"/>
          <w:i/>
          <w:iCs/>
          <w:color w:val="2F5496" w:themeColor="accent1" w:themeShade="BF"/>
          <w:sz w:val="18"/>
          <w:szCs w:val="18"/>
        </w:rPr>
        <w:t xml:space="preserve">ss: single strand – a singolo filamento; ds: double strand – a doppio filamento </w:t>
      </w:r>
    </w:p>
    <w:p w:rsidR="00D921F9" w:rsidRDefault="00D921F9" w:rsidP="00D71CED">
      <w:pPr>
        <w:jc w:val="both"/>
        <w:rPr>
          <w:rFonts w:asciiTheme="minorHAnsi" w:hAnsiTheme="minorHAnsi" w:cstheme="minorHAnsi"/>
          <w:b/>
          <w:i/>
          <w:iCs/>
          <w:color w:val="C00000"/>
          <w:sz w:val="20"/>
          <w:szCs w:val="20"/>
        </w:rPr>
      </w:pPr>
    </w:p>
    <w:p w:rsidR="005B6077" w:rsidRPr="00D921F9" w:rsidRDefault="005B6077" w:rsidP="00D71CED">
      <w:pPr>
        <w:jc w:val="both"/>
        <w:rPr>
          <w:rFonts w:asciiTheme="minorHAnsi" w:hAnsiTheme="minorHAnsi" w:cstheme="minorHAnsi"/>
          <w:b/>
          <w:i/>
          <w:iCs/>
          <w:color w:val="C00000"/>
          <w:sz w:val="22"/>
          <w:szCs w:val="22"/>
        </w:rPr>
      </w:pPr>
      <w:r w:rsidRPr="00D921F9">
        <w:rPr>
          <w:rFonts w:asciiTheme="minorHAnsi" w:hAnsiTheme="minorHAnsi" w:cstheme="minorHAnsi"/>
          <w:b/>
          <w:i/>
          <w:iCs/>
          <w:color w:val="C00000"/>
          <w:sz w:val="22"/>
          <w:szCs w:val="22"/>
        </w:rPr>
        <w:t>Risposta ai virus mediata dai PRR</w:t>
      </w:r>
    </w:p>
    <w:p w:rsidR="008F5CAC" w:rsidRDefault="002B7F58" w:rsidP="00D71CED">
      <w:pPr>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I virus possono infettare praticamente tutte le cellule di un organismo. </w:t>
      </w:r>
    </w:p>
    <w:p w:rsidR="008F5CAC" w:rsidRDefault="002B7F58" w:rsidP="00D71CED">
      <w:pPr>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Possono essere infettate cellule epiteliali, endoteliali, fibroblasti, neuroni e cellule immunitarie innate e adattive. I PRR sono presenti sia nelle cellule di origine non ematopoietica che nelle cellule immunitarie. </w:t>
      </w:r>
    </w:p>
    <w:p w:rsidR="00DC48B4" w:rsidRDefault="00DC48B4" w:rsidP="00D71CED">
      <w:pPr>
        <w:jc w:val="both"/>
        <w:rPr>
          <w:rFonts w:asciiTheme="minorHAnsi" w:hAnsiTheme="minorHAnsi" w:cstheme="minorHAnsi"/>
          <w:color w:val="2F5496" w:themeColor="accent1" w:themeShade="BF"/>
          <w:sz w:val="20"/>
          <w:szCs w:val="20"/>
        </w:rPr>
      </w:pPr>
    </w:p>
    <w:p w:rsidR="00D921F9" w:rsidRDefault="002B7F58" w:rsidP="00D71CED">
      <w:pPr>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Alcuni PRR riconoscono le proteine ​​virali, ma altri possono rilevare l'RNA o il DNA virali singoli o doppi. </w:t>
      </w:r>
    </w:p>
    <w:p w:rsidR="00D921F9" w:rsidRDefault="002B7F58" w:rsidP="00D71CED">
      <w:pPr>
        <w:jc w:val="both"/>
        <w:rPr>
          <w:rFonts w:asciiTheme="minorHAnsi" w:hAnsiTheme="minorHAnsi" w:cstheme="minorHAnsi"/>
          <w:color w:val="2F5496" w:themeColor="accent1" w:themeShade="BF"/>
          <w:sz w:val="20"/>
          <w:szCs w:val="20"/>
          <w:vertAlign w:val="superscript"/>
        </w:rPr>
      </w:pPr>
      <w:r w:rsidRPr="008F5CAC">
        <w:rPr>
          <w:rFonts w:asciiTheme="minorHAnsi" w:hAnsiTheme="minorHAnsi" w:cstheme="minorHAnsi"/>
          <w:color w:val="2F5496" w:themeColor="accent1" w:themeShade="BF"/>
          <w:sz w:val="20"/>
          <w:szCs w:val="20"/>
        </w:rPr>
        <w:t xml:space="preserve">Nell'uomo, ci sono </w:t>
      </w:r>
      <w:r w:rsidRPr="008F5CAC">
        <w:rPr>
          <w:rFonts w:asciiTheme="minorHAnsi" w:hAnsiTheme="minorHAnsi" w:cstheme="minorHAnsi"/>
          <w:b/>
          <w:bCs/>
          <w:color w:val="2F5496" w:themeColor="accent1" w:themeShade="BF"/>
          <w:sz w:val="20"/>
          <w:szCs w:val="20"/>
        </w:rPr>
        <w:t>10 TLR</w:t>
      </w:r>
      <w:r w:rsidRPr="008F5CAC">
        <w:rPr>
          <w:rFonts w:asciiTheme="minorHAnsi" w:hAnsiTheme="minorHAnsi" w:cstheme="minorHAnsi"/>
          <w:color w:val="2F5496" w:themeColor="accent1" w:themeShade="BF"/>
          <w:sz w:val="20"/>
          <w:szCs w:val="20"/>
        </w:rPr>
        <w:t xml:space="preserve"> (</w:t>
      </w:r>
      <w:r w:rsidR="00363C5B" w:rsidRPr="008F5CAC">
        <w:rPr>
          <w:rFonts w:asciiTheme="minorHAnsi" w:hAnsiTheme="minorHAnsi" w:cstheme="minorHAnsi"/>
          <w:color w:val="2F5496" w:themeColor="accent1" w:themeShade="BF"/>
          <w:sz w:val="20"/>
          <w:szCs w:val="20"/>
        </w:rPr>
        <w:t xml:space="preserve">i </w:t>
      </w:r>
      <w:r w:rsidRPr="008F5CAC">
        <w:rPr>
          <w:rFonts w:asciiTheme="minorHAnsi" w:hAnsiTheme="minorHAnsi" w:cstheme="minorHAnsi"/>
          <w:color w:val="2F5496" w:themeColor="accent1" w:themeShade="BF"/>
          <w:sz w:val="20"/>
          <w:szCs w:val="20"/>
        </w:rPr>
        <w:t>Toll-Like Receptor TLR </w:t>
      </w:r>
      <w:r w:rsidR="00363C5B" w:rsidRPr="008F5CAC">
        <w:rPr>
          <w:rFonts w:asciiTheme="minorHAnsi" w:hAnsiTheme="minorHAnsi" w:cstheme="minorHAnsi"/>
          <w:color w:val="2F5496" w:themeColor="accent1" w:themeShade="BF"/>
          <w:sz w:val="20"/>
          <w:szCs w:val="20"/>
        </w:rPr>
        <w:t xml:space="preserve">- </w:t>
      </w:r>
      <w:r w:rsidRPr="008F5CAC">
        <w:rPr>
          <w:rFonts w:asciiTheme="minorHAnsi" w:hAnsiTheme="minorHAnsi" w:cstheme="minorHAnsi"/>
          <w:color w:val="2F5496" w:themeColor="accent1" w:themeShade="BF"/>
          <w:sz w:val="20"/>
          <w:szCs w:val="20"/>
        </w:rPr>
        <w:t>in italiano Recettori Toll-simili</w:t>
      </w:r>
      <w:r w:rsidR="00363C5B" w:rsidRPr="008F5CAC">
        <w:rPr>
          <w:rFonts w:asciiTheme="minorHAnsi" w:hAnsiTheme="minorHAnsi" w:cstheme="minorHAnsi"/>
          <w:color w:val="2F5496" w:themeColor="accent1" w:themeShade="BF"/>
          <w:sz w:val="20"/>
          <w:szCs w:val="20"/>
        </w:rPr>
        <w:t>,</w:t>
      </w:r>
      <w:r w:rsidRPr="008F5CAC">
        <w:rPr>
          <w:rFonts w:asciiTheme="minorHAnsi" w:hAnsiTheme="minorHAnsi" w:cstheme="minorHAnsi"/>
          <w:color w:val="2F5496" w:themeColor="accent1" w:themeShade="BF"/>
          <w:sz w:val="20"/>
          <w:szCs w:val="20"/>
        </w:rPr>
        <w:t xml:space="preserve"> sono </w:t>
      </w:r>
      <w:r w:rsidRPr="008F5CAC">
        <w:rPr>
          <w:rFonts w:asciiTheme="minorHAnsi" w:eastAsiaTheme="majorEastAsia" w:hAnsiTheme="minorHAnsi" w:cstheme="minorHAnsi"/>
          <w:color w:val="2F5496" w:themeColor="accent1" w:themeShade="BF"/>
          <w:sz w:val="20"/>
          <w:szCs w:val="20"/>
        </w:rPr>
        <w:t>recettori</w:t>
      </w:r>
      <w:r w:rsidRPr="008F5CAC">
        <w:rPr>
          <w:rFonts w:asciiTheme="minorHAnsi" w:hAnsiTheme="minorHAnsi" w:cstheme="minorHAnsi"/>
          <w:color w:val="2F5496" w:themeColor="accent1" w:themeShade="BF"/>
          <w:sz w:val="20"/>
          <w:szCs w:val="20"/>
        </w:rPr>
        <w:t> transmembrana espressi soprattutto sulla membrana di cellule sentinella come macrofagi e cellule dendritiche) distribuiti nella membrana plasmatica e nelle membrane dell'endosoma</w:t>
      </w:r>
      <w:r w:rsidR="00D921F9">
        <w:rPr>
          <w:rFonts w:asciiTheme="minorHAnsi" w:hAnsiTheme="minorHAnsi" w:cstheme="minorHAnsi"/>
          <w:color w:val="2F5496" w:themeColor="accent1" w:themeShade="BF"/>
          <w:sz w:val="20"/>
          <w:szCs w:val="20"/>
        </w:rPr>
        <w:t>.</w:t>
      </w:r>
      <w:r w:rsidRPr="008F5CAC">
        <w:rPr>
          <w:rFonts w:asciiTheme="minorHAnsi" w:hAnsiTheme="minorHAnsi" w:cstheme="minorHAnsi"/>
          <w:color w:val="2F5496" w:themeColor="accent1" w:themeShade="BF"/>
          <w:sz w:val="20"/>
          <w:szCs w:val="20"/>
        </w:rPr>
        <w:t xml:space="preserve"> </w:t>
      </w:r>
      <w:r w:rsidRPr="008F5CAC">
        <w:rPr>
          <w:rFonts w:asciiTheme="minorHAnsi" w:hAnsiTheme="minorHAnsi" w:cstheme="minorHAnsi"/>
          <w:color w:val="2F5496" w:themeColor="accent1" w:themeShade="BF"/>
          <w:sz w:val="20"/>
          <w:szCs w:val="20"/>
          <w:vertAlign w:val="superscript"/>
        </w:rPr>
        <w:footnoteReference w:id="50"/>
      </w:r>
      <w:r w:rsidRPr="008F5CAC">
        <w:rPr>
          <w:rFonts w:asciiTheme="minorHAnsi" w:hAnsiTheme="minorHAnsi" w:cstheme="minorHAnsi"/>
          <w:color w:val="2F5496" w:themeColor="accent1" w:themeShade="BF"/>
          <w:sz w:val="20"/>
          <w:szCs w:val="20"/>
          <w:vertAlign w:val="superscript"/>
        </w:rPr>
        <w:t xml:space="preserve"> </w:t>
      </w:r>
    </w:p>
    <w:p w:rsidR="00D921F9" w:rsidRDefault="00D921F9" w:rsidP="00D71CED">
      <w:pPr>
        <w:jc w:val="both"/>
        <w:rPr>
          <w:rFonts w:asciiTheme="minorHAnsi" w:hAnsiTheme="minorHAnsi" w:cstheme="minorHAnsi"/>
          <w:color w:val="2F5496" w:themeColor="accent1" w:themeShade="BF"/>
          <w:sz w:val="20"/>
          <w:szCs w:val="20"/>
          <w:vertAlign w:val="superscript"/>
        </w:rPr>
      </w:pPr>
    </w:p>
    <w:p w:rsidR="00110FC0" w:rsidRDefault="00110FC0"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left="567" w:right="701"/>
        <w:jc w:val="both"/>
        <w:rPr>
          <w:rFonts w:asciiTheme="minorHAnsi" w:hAnsiTheme="minorHAnsi" w:cstheme="minorHAnsi"/>
          <w:i/>
          <w:iCs/>
          <w:color w:val="2F5496" w:themeColor="accent1" w:themeShade="BF"/>
          <w:sz w:val="18"/>
          <w:szCs w:val="18"/>
        </w:rPr>
      </w:pPr>
    </w:p>
    <w:p w:rsidR="002B7F58" w:rsidRDefault="002B7F58"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left="567" w:right="701"/>
        <w:jc w:val="both"/>
        <w:rPr>
          <w:rFonts w:asciiTheme="minorHAnsi" w:hAnsiTheme="minorHAnsi" w:cstheme="minorHAnsi"/>
          <w:i/>
          <w:iCs/>
          <w:color w:val="2F5496" w:themeColor="accent1" w:themeShade="BF"/>
          <w:sz w:val="18"/>
          <w:szCs w:val="18"/>
        </w:rPr>
      </w:pPr>
      <w:r w:rsidRPr="00D921F9">
        <w:rPr>
          <w:rFonts w:asciiTheme="minorHAnsi" w:hAnsiTheme="minorHAnsi" w:cstheme="minorHAnsi"/>
          <w:i/>
          <w:iCs/>
          <w:color w:val="2F5496" w:themeColor="accent1" w:themeShade="BF"/>
          <w:sz w:val="18"/>
          <w:szCs w:val="18"/>
        </w:rPr>
        <w:t xml:space="preserve">l'endosoma è una struttura vescicolare presente all’interno della cellula che si forma durante il processo di endocitosi, il  meccanismo cellulare che permette il transito attraverso la membrana di macromolecole e corpuscoli, le cui dimensioni non consentono l'ingresso attraverso i meccanismi </w:t>
      </w:r>
      <w:r w:rsidR="000E4E7C" w:rsidRPr="00D921F9">
        <w:rPr>
          <w:rFonts w:asciiTheme="minorHAnsi" w:hAnsiTheme="minorHAnsi" w:cstheme="minorHAnsi"/>
          <w:i/>
          <w:iCs/>
          <w:color w:val="2F5496" w:themeColor="accent1" w:themeShade="BF"/>
          <w:sz w:val="18"/>
          <w:szCs w:val="18"/>
        </w:rPr>
        <w:t xml:space="preserve">classici </w:t>
      </w:r>
      <w:r w:rsidRPr="00D921F9">
        <w:rPr>
          <w:rFonts w:asciiTheme="minorHAnsi" w:hAnsiTheme="minorHAnsi" w:cstheme="minorHAnsi"/>
          <w:i/>
          <w:iCs/>
          <w:color w:val="2F5496" w:themeColor="accent1" w:themeShade="BF"/>
          <w:sz w:val="18"/>
          <w:szCs w:val="18"/>
        </w:rPr>
        <w:t>del trasporto di membrana).</w:t>
      </w:r>
    </w:p>
    <w:p w:rsidR="00110FC0" w:rsidRPr="00D921F9" w:rsidRDefault="00110FC0"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left="567" w:right="701"/>
        <w:jc w:val="both"/>
        <w:rPr>
          <w:rFonts w:asciiTheme="minorHAnsi" w:hAnsiTheme="minorHAnsi"/>
          <w:i/>
          <w:iCs/>
          <w:sz w:val="18"/>
          <w:szCs w:val="18"/>
        </w:rPr>
      </w:pPr>
    </w:p>
    <w:p w:rsidR="002B7F58" w:rsidRPr="008F5CAC" w:rsidRDefault="002B7F58" w:rsidP="00D71CED">
      <w:pPr>
        <w:jc w:val="both"/>
        <w:rPr>
          <w:rFonts w:asciiTheme="minorHAnsi" w:hAnsiTheme="minorHAnsi" w:cstheme="minorHAnsi"/>
          <w:color w:val="2F5496" w:themeColor="accent1" w:themeShade="BF"/>
          <w:sz w:val="20"/>
          <w:szCs w:val="20"/>
        </w:rPr>
      </w:pPr>
    </w:p>
    <w:p w:rsidR="002B7F58" w:rsidRPr="00717D4D" w:rsidRDefault="002B7F58" w:rsidP="00D71CED">
      <w:pPr>
        <w:rPr>
          <w:rFonts w:asciiTheme="minorHAnsi" w:hAnsiTheme="minorHAnsi"/>
          <w:color w:val="2F5496" w:themeColor="accent1" w:themeShade="BF"/>
        </w:rPr>
      </w:pPr>
      <w:r w:rsidRPr="00717D4D">
        <w:rPr>
          <w:rFonts w:asciiTheme="minorHAnsi" w:hAnsiTheme="minorHAnsi"/>
          <w:color w:val="2F5496" w:themeColor="accent1" w:themeShade="BF"/>
        </w:rPr>
        <w:lastRenderedPageBreak/>
        <w:fldChar w:fldCharType="begin"/>
      </w:r>
      <w:r w:rsidRPr="00717D4D">
        <w:rPr>
          <w:rFonts w:asciiTheme="minorHAnsi" w:hAnsiTheme="minorHAnsi"/>
          <w:color w:val="2F5496" w:themeColor="accent1" w:themeShade="BF"/>
        </w:rPr>
        <w:instrText xml:space="preserve"> INCLUDEPICTURE "https://jcs.biologists.org/content/joces/133/5/jcs239194/F1.large.jpg?width=800&amp;height=600&amp;carousel=1" \* MERGEFORMATINET </w:instrText>
      </w:r>
      <w:r w:rsidRPr="00717D4D">
        <w:rPr>
          <w:rFonts w:asciiTheme="minorHAnsi" w:hAnsiTheme="minorHAnsi"/>
          <w:color w:val="2F5496" w:themeColor="accent1" w:themeShade="BF"/>
        </w:rPr>
        <w:fldChar w:fldCharType="separate"/>
      </w:r>
      <w:r w:rsidRPr="00717D4D">
        <w:rPr>
          <w:rFonts w:asciiTheme="minorHAnsi" w:hAnsiTheme="minorHAnsi"/>
          <w:noProof/>
          <w:color w:val="2F5496" w:themeColor="accent1" w:themeShade="BF"/>
        </w:rPr>
        <w:drawing>
          <wp:inline distT="0" distB="0" distL="0" distR="0" wp14:anchorId="3D768E17" wp14:editId="0835E4E5">
            <wp:extent cx="6116320" cy="4191635"/>
            <wp:effectExtent l="0" t="0" r="1270" b="3810"/>
            <wp:docPr id="11" name="Immagine 11" descr="https://jcs.biologists.org/content/joces/133/5/jcs239194/F1.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cs.biologists.org/content/joces/133/5/jcs239194/F1.large.jpg?width=800&amp;height=600&amp;carousel=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6320" cy="4191635"/>
                    </a:xfrm>
                    <a:prstGeom prst="rect">
                      <a:avLst/>
                    </a:prstGeom>
                    <a:noFill/>
                    <a:ln>
                      <a:noFill/>
                    </a:ln>
                  </pic:spPr>
                </pic:pic>
              </a:graphicData>
            </a:graphic>
          </wp:inline>
        </w:drawing>
      </w:r>
      <w:r w:rsidRPr="00717D4D">
        <w:rPr>
          <w:rFonts w:asciiTheme="minorHAnsi" w:hAnsiTheme="minorHAnsi"/>
          <w:color w:val="2F5496" w:themeColor="accent1" w:themeShade="BF"/>
        </w:rPr>
        <w:fldChar w:fldCharType="end"/>
      </w:r>
    </w:p>
    <w:p w:rsidR="002B7F58" w:rsidRPr="00D921F9" w:rsidRDefault="0052743C" w:rsidP="00D921F9">
      <w:pPr>
        <w:shd w:val="clear" w:color="auto" w:fill="F2F2F2" w:themeFill="background1" w:themeFillShade="F2"/>
        <w:rPr>
          <w:rFonts w:asciiTheme="minorHAnsi" w:hAnsiTheme="minorHAnsi" w:cstheme="minorHAnsi"/>
          <w:color w:val="2F5496" w:themeColor="accent1" w:themeShade="BF"/>
          <w:sz w:val="18"/>
          <w:szCs w:val="18"/>
        </w:rPr>
      </w:pPr>
      <w:hyperlink r:id="rId64" w:history="1">
        <w:r w:rsidR="002B7F58" w:rsidRPr="00D921F9">
          <w:rPr>
            <w:rStyle w:val="Hyperlink"/>
            <w:rFonts w:asciiTheme="minorHAnsi" w:eastAsiaTheme="majorEastAsia" w:hAnsiTheme="minorHAnsi" w:cstheme="minorHAnsi"/>
            <w:color w:val="2F5496" w:themeColor="accent1" w:themeShade="BF"/>
            <w:sz w:val="18"/>
            <w:szCs w:val="18"/>
            <w:u w:val="none"/>
          </w:rPr>
          <w:t>https://jcs.biologists.org/content/joces/133/5/jcs239194.full.pdf</w:t>
        </w:r>
      </w:hyperlink>
    </w:p>
    <w:p w:rsidR="002B7F58" w:rsidRPr="00D921F9" w:rsidRDefault="002B7F58" w:rsidP="00D921F9">
      <w:pPr>
        <w:shd w:val="clear" w:color="auto" w:fill="F2F2F2" w:themeFill="background1" w:themeFillShade="F2"/>
        <w:jc w:val="both"/>
        <w:rPr>
          <w:rFonts w:asciiTheme="minorHAnsi" w:hAnsiTheme="minorHAnsi" w:cstheme="minorHAnsi"/>
          <w:iCs/>
          <w:color w:val="2F5496" w:themeColor="accent1" w:themeShade="BF"/>
          <w:sz w:val="18"/>
          <w:szCs w:val="18"/>
        </w:rPr>
      </w:pPr>
      <w:r w:rsidRPr="00D921F9">
        <w:rPr>
          <w:rFonts w:asciiTheme="minorHAnsi" w:hAnsiTheme="minorHAnsi" w:cstheme="minorHAnsi"/>
          <w:iCs/>
          <w:color w:val="2F5496" w:themeColor="accent1" w:themeShade="BF"/>
          <w:sz w:val="18"/>
          <w:szCs w:val="18"/>
        </w:rPr>
        <w:t xml:space="preserve">I TLR sono posizionati sulla superficie cellulare o sui compartimenti endosomiali per la segnalazione. Dopo l'associazione dei ligandi (pallini colorati), la segnalazione TLR </w:t>
      </w:r>
      <w:r w:rsidR="000E4E7C" w:rsidRPr="00D921F9">
        <w:rPr>
          <w:rFonts w:asciiTheme="minorHAnsi" w:hAnsiTheme="minorHAnsi" w:cstheme="minorHAnsi"/>
          <w:iCs/>
          <w:color w:val="2F5496" w:themeColor="accent1" w:themeShade="BF"/>
          <w:sz w:val="18"/>
          <w:szCs w:val="18"/>
        </w:rPr>
        <w:t xml:space="preserve">inizia con la </w:t>
      </w:r>
      <w:r w:rsidRPr="00D921F9">
        <w:rPr>
          <w:rFonts w:asciiTheme="minorHAnsi" w:hAnsiTheme="minorHAnsi" w:cstheme="minorHAnsi"/>
          <w:iCs/>
          <w:color w:val="2F5496" w:themeColor="accent1" w:themeShade="BF"/>
          <w:sz w:val="18"/>
          <w:szCs w:val="18"/>
        </w:rPr>
        <w:t xml:space="preserve">dimerizzazione dei recettori, che consente il reclutamento di set specifici di adattatori per i diversi TLR (MyD88, Mal, TRIF, TRAM, BCAP e SCIMP). SARM regola negativamente la segnalazione TLR dipendente da TRIF (frecce rosse). L'impegno dell'adattatore di segnalazione stimola le vie di segnalazione a valle per guidare l'induzione di citochine pro-infiammatorie e, nel caso dei TLR endosomiali, la produzione di interferoni di tipo I (IFN). I domini proteici evidenziati sono il recettore Toll / interleuchina-1 (TIR), il dominio transmembrana (TMD), il dominio ricco di prolina (PRD) e il motivo </w:t>
      </w:r>
      <w:r w:rsidRPr="00D921F9">
        <w:rPr>
          <w:rFonts w:asciiTheme="minorHAnsi" w:hAnsiTheme="minorHAnsi" w:cstheme="minorHAnsi"/>
          <w:iCs/>
          <w:color w:val="2F5496" w:themeColor="accent1" w:themeShade="BF"/>
          <w:sz w:val="18"/>
          <w:szCs w:val="18"/>
          <w:lang w:val="en-US"/>
        </w:rPr>
        <w:t>α</w:t>
      </w:r>
      <w:r w:rsidRPr="00D921F9">
        <w:rPr>
          <w:rFonts w:asciiTheme="minorHAnsi" w:hAnsiTheme="minorHAnsi" w:cstheme="minorHAnsi"/>
          <w:iCs/>
          <w:color w:val="2F5496" w:themeColor="accent1" w:themeShade="BF"/>
          <w:sz w:val="18"/>
          <w:szCs w:val="18"/>
        </w:rPr>
        <w:t xml:space="preserve"> sterile (SAM) (vedi Key). TLR1 / 2: eterodimero di TLR1 e TLR2; TLR2 / 6: eterodimero o TLR2 e TLR6. </w:t>
      </w:r>
    </w:p>
    <w:p w:rsidR="002B7F58" w:rsidRPr="008F5CAC" w:rsidRDefault="002B7F58" w:rsidP="00D71CED">
      <w:pPr>
        <w:jc w:val="both"/>
        <w:rPr>
          <w:rFonts w:asciiTheme="minorHAnsi" w:hAnsiTheme="minorHAnsi" w:cstheme="minorHAnsi"/>
          <w:color w:val="2F5496" w:themeColor="accent1" w:themeShade="BF"/>
          <w:sz w:val="20"/>
          <w:szCs w:val="20"/>
        </w:rPr>
      </w:pPr>
    </w:p>
    <w:p w:rsidR="008F5CAC" w:rsidRDefault="002B7F58" w:rsidP="00D71CED">
      <w:pPr>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Di questi, i </w:t>
      </w:r>
      <w:r w:rsidRPr="008F5CAC">
        <w:rPr>
          <w:rFonts w:asciiTheme="minorHAnsi" w:hAnsiTheme="minorHAnsi" w:cstheme="minorHAnsi"/>
          <w:b/>
          <w:bCs/>
          <w:color w:val="2F5496" w:themeColor="accent1" w:themeShade="BF"/>
          <w:sz w:val="20"/>
          <w:szCs w:val="20"/>
        </w:rPr>
        <w:t xml:space="preserve">TLR-2 e TLR-4 </w:t>
      </w:r>
      <w:r w:rsidRPr="008F5CAC">
        <w:rPr>
          <w:rFonts w:asciiTheme="minorHAnsi" w:hAnsiTheme="minorHAnsi" w:cstheme="minorHAnsi"/>
          <w:color w:val="2F5496" w:themeColor="accent1" w:themeShade="BF"/>
          <w:sz w:val="20"/>
          <w:szCs w:val="20"/>
        </w:rPr>
        <w:t xml:space="preserve">possono rilevare la glicoproteina della superficie virale prima della penetrazione virale. </w:t>
      </w:r>
    </w:p>
    <w:p w:rsidR="008F5CAC" w:rsidRDefault="002B7F58" w:rsidP="00D71CED">
      <w:pPr>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Altri come </w:t>
      </w:r>
      <w:r w:rsidRPr="008F5CAC">
        <w:rPr>
          <w:rFonts w:asciiTheme="minorHAnsi" w:hAnsiTheme="minorHAnsi" w:cstheme="minorHAnsi"/>
          <w:b/>
          <w:bCs/>
          <w:color w:val="2F5496" w:themeColor="accent1" w:themeShade="BF"/>
          <w:sz w:val="20"/>
          <w:szCs w:val="20"/>
        </w:rPr>
        <w:t>TLR-3, TLR-8 e TLR-9</w:t>
      </w:r>
      <w:r w:rsidRPr="008F5CAC">
        <w:rPr>
          <w:rFonts w:asciiTheme="minorHAnsi" w:hAnsiTheme="minorHAnsi" w:cstheme="minorHAnsi"/>
          <w:color w:val="2F5496" w:themeColor="accent1" w:themeShade="BF"/>
          <w:sz w:val="20"/>
          <w:szCs w:val="20"/>
        </w:rPr>
        <w:t xml:space="preserve"> rilevano diversi tipi di acidi nucleici virali negli endosomi durante l'ingresso del virus. TLR-8 rileva ssRNA genomico, TLR-3 rileva dsRNA e TLR-9 rileva il DNA virale CpG non metilato. </w:t>
      </w:r>
    </w:p>
    <w:p w:rsidR="00D921F9" w:rsidRDefault="00D921F9" w:rsidP="00D71CED">
      <w:pPr>
        <w:jc w:val="both"/>
        <w:rPr>
          <w:rFonts w:asciiTheme="minorHAnsi" w:hAnsiTheme="minorHAnsi" w:cstheme="minorHAnsi"/>
          <w:color w:val="2F5496" w:themeColor="accent1" w:themeShade="BF"/>
          <w:sz w:val="20"/>
          <w:szCs w:val="20"/>
        </w:rPr>
      </w:pPr>
    </w:p>
    <w:p w:rsidR="002B7F58" w:rsidRPr="008F5CAC" w:rsidRDefault="002B7F58" w:rsidP="00D71CED">
      <w:pPr>
        <w:jc w:val="both"/>
        <w:rPr>
          <w:rFonts w:asciiTheme="minorHAnsi" w:hAnsiTheme="minorHAnsi" w:cstheme="minorHAnsi"/>
          <w:color w:val="2F5496" w:themeColor="accent1" w:themeShade="BF"/>
          <w:sz w:val="20"/>
          <w:szCs w:val="20"/>
        </w:rPr>
      </w:pPr>
      <w:r w:rsidRPr="008F5CAC">
        <w:rPr>
          <w:rFonts w:asciiTheme="minorHAnsi" w:hAnsiTheme="minorHAnsi" w:cstheme="minorHAnsi"/>
          <w:color w:val="2F5496" w:themeColor="accent1" w:themeShade="BF"/>
          <w:sz w:val="20"/>
          <w:szCs w:val="20"/>
        </w:rPr>
        <w:t xml:space="preserve">Un altro tipo di recettori che percepiscono l'RNA virale sono i </w:t>
      </w:r>
      <w:r w:rsidRPr="008F5CAC">
        <w:rPr>
          <w:rFonts w:asciiTheme="minorHAnsi" w:hAnsiTheme="minorHAnsi" w:cstheme="minorHAnsi"/>
          <w:b/>
          <w:bCs/>
          <w:color w:val="2F5496" w:themeColor="accent1" w:themeShade="BF"/>
          <w:sz w:val="20"/>
          <w:szCs w:val="20"/>
        </w:rPr>
        <w:t>recettori delle elicasi di RNA</w:t>
      </w:r>
      <w:r w:rsidRPr="008F5CAC">
        <w:rPr>
          <w:rFonts w:asciiTheme="minorHAnsi" w:hAnsiTheme="minorHAnsi" w:cstheme="minorHAnsi"/>
          <w:color w:val="2F5496" w:themeColor="accent1" w:themeShade="BF"/>
          <w:sz w:val="20"/>
          <w:szCs w:val="20"/>
        </w:rPr>
        <w:t xml:space="preserve"> come il RIG-I e il gene 5 associato alla differenziazione del melanoma (MDA5); questi recettori hanno dimostrato di rilevare il dsRNA virale genomico o una forma intermedia durante la replicazione, che si forma virtualmente</w:t>
      </w:r>
      <w:r w:rsidR="00DB463C">
        <w:rPr>
          <w:rFonts w:asciiTheme="minorHAnsi" w:hAnsiTheme="minorHAnsi" w:cstheme="minorHAnsi"/>
          <w:color w:val="2F5496" w:themeColor="accent1" w:themeShade="BF"/>
          <w:sz w:val="20"/>
          <w:szCs w:val="20"/>
        </w:rPr>
        <w:t xml:space="preserve"> </w:t>
      </w:r>
      <w:r w:rsidRPr="008F5CAC">
        <w:rPr>
          <w:rFonts w:asciiTheme="minorHAnsi" w:hAnsiTheme="minorHAnsi" w:cstheme="minorHAnsi"/>
          <w:color w:val="2F5496" w:themeColor="accent1" w:themeShade="BF"/>
          <w:sz w:val="20"/>
          <w:szCs w:val="20"/>
        </w:rPr>
        <w:t xml:space="preserve">per tutti i virus </w:t>
      </w:r>
      <w:r w:rsidR="000E4E7C" w:rsidRPr="008F5CAC">
        <w:rPr>
          <w:rFonts w:asciiTheme="minorHAnsi" w:hAnsiTheme="minorHAnsi" w:cstheme="minorHAnsi"/>
          <w:color w:val="2F5496" w:themeColor="accent1" w:themeShade="BF"/>
          <w:sz w:val="20"/>
          <w:szCs w:val="20"/>
        </w:rPr>
        <w:t xml:space="preserve">a </w:t>
      </w:r>
      <w:r w:rsidRPr="008F5CAC">
        <w:rPr>
          <w:rFonts w:asciiTheme="minorHAnsi" w:hAnsiTheme="minorHAnsi" w:cstheme="minorHAnsi"/>
          <w:color w:val="2F5496" w:themeColor="accent1" w:themeShade="BF"/>
          <w:sz w:val="20"/>
          <w:szCs w:val="20"/>
        </w:rPr>
        <w:t xml:space="preserve">RNA </w:t>
      </w:r>
      <w:r w:rsidR="000E4E7C" w:rsidRPr="008F5CAC">
        <w:rPr>
          <w:rFonts w:asciiTheme="minorHAnsi" w:hAnsiTheme="minorHAnsi" w:cstheme="minorHAnsi"/>
          <w:color w:val="2F5496" w:themeColor="accent1" w:themeShade="BF"/>
          <w:sz w:val="20"/>
          <w:szCs w:val="20"/>
        </w:rPr>
        <w:t xml:space="preserve">a filamento </w:t>
      </w:r>
      <w:r w:rsidRPr="008F5CAC">
        <w:rPr>
          <w:rFonts w:asciiTheme="minorHAnsi" w:hAnsiTheme="minorHAnsi" w:cstheme="minorHAnsi"/>
          <w:color w:val="2F5496" w:themeColor="accent1" w:themeShade="BF"/>
          <w:sz w:val="20"/>
          <w:szCs w:val="20"/>
        </w:rPr>
        <w:t xml:space="preserve">singolo o doppio durante la replicazione virale. </w:t>
      </w:r>
      <w:r w:rsidR="000E4E7C" w:rsidRPr="008F5CAC">
        <w:rPr>
          <w:rFonts w:asciiTheme="minorHAnsi" w:hAnsiTheme="minorHAnsi" w:cstheme="minorHAnsi"/>
          <w:color w:val="2F5496" w:themeColor="accent1" w:themeShade="BF"/>
          <w:sz w:val="20"/>
          <w:szCs w:val="20"/>
        </w:rPr>
        <w:t>C</w:t>
      </w:r>
      <w:r w:rsidRPr="008F5CAC">
        <w:rPr>
          <w:rFonts w:asciiTheme="minorHAnsi" w:hAnsiTheme="minorHAnsi" w:cstheme="minorHAnsi"/>
          <w:color w:val="2F5496" w:themeColor="accent1" w:themeShade="BF"/>
          <w:sz w:val="20"/>
          <w:szCs w:val="20"/>
        </w:rPr>
        <w:t xml:space="preserve">i sono prove che alcuni intermedi replicativi di dsRNA possono traslocare negli endosomi dove i TLR possono rilevare e innescare la cascata del segnale. </w:t>
      </w:r>
    </w:p>
    <w:p w:rsidR="002B7F58" w:rsidRPr="00717D4D" w:rsidRDefault="002B7F58" w:rsidP="00D71CED">
      <w:pPr>
        <w:jc w:val="both"/>
        <w:rPr>
          <w:rFonts w:asciiTheme="minorHAnsi" w:hAnsiTheme="minorHAnsi" w:cstheme="minorHAnsi"/>
          <w:color w:val="2F5496" w:themeColor="accent1" w:themeShade="BF"/>
        </w:rPr>
      </w:pPr>
    </w:p>
    <w:p w:rsidR="002B7F58" w:rsidRPr="00D921F9" w:rsidRDefault="002B7F58" w:rsidP="00E91FBB">
      <w:pPr>
        <w:rPr>
          <w:rFonts w:asciiTheme="minorHAnsi" w:hAnsiTheme="minorHAnsi" w:cstheme="minorHAnsi"/>
          <w:b/>
          <w:bCs/>
          <w:i/>
          <w:iCs/>
          <w:color w:val="C00000"/>
          <w:sz w:val="22"/>
          <w:szCs w:val="22"/>
        </w:rPr>
      </w:pPr>
      <w:r w:rsidRPr="00D921F9">
        <w:rPr>
          <w:rFonts w:asciiTheme="minorHAnsi" w:hAnsiTheme="minorHAnsi" w:cstheme="minorHAnsi"/>
          <w:b/>
          <w:bCs/>
          <w:i/>
          <w:iCs/>
          <w:color w:val="C00000"/>
          <w:sz w:val="22"/>
          <w:szCs w:val="22"/>
        </w:rPr>
        <w:t>Citochine prodotte nelle infezioni virali</w:t>
      </w:r>
    </w:p>
    <w:p w:rsidR="00DB463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Esistono molte citochine con funzioni distinte. Tutte sono molecole di meno di 20 KDa e possono essere pleiotropiche o ridondanti e inoltre si possono sinergizzare o antagonizzare a vicenda</w:t>
      </w:r>
      <w:r w:rsidR="000E4E7C" w:rsidRPr="00DB463C">
        <w:rPr>
          <w:rFonts w:asciiTheme="minorHAnsi" w:hAnsiTheme="minorHAnsi" w:cstheme="minorHAnsi"/>
          <w:color w:val="2F5496" w:themeColor="accent1" w:themeShade="BF"/>
          <w:sz w:val="20"/>
          <w:szCs w:val="20"/>
        </w:rPr>
        <w:t xml:space="preserve"> </w:t>
      </w:r>
      <w:r w:rsidRPr="00DB463C">
        <w:rPr>
          <w:rFonts w:asciiTheme="minorHAnsi" w:hAnsiTheme="minorHAnsi" w:cstheme="minorHAnsi"/>
          <w:color w:val="2F5496" w:themeColor="accent1" w:themeShade="BF"/>
          <w:sz w:val="20"/>
          <w:szCs w:val="20"/>
        </w:rPr>
        <w:t xml:space="preserve">per garantire l'eliminazione del virus attraverso la regolazione della risposta immunitaria. </w:t>
      </w:r>
    </w:p>
    <w:p w:rsidR="00DC48B4" w:rsidRDefault="00DC48B4" w:rsidP="00D71CED">
      <w:pPr>
        <w:jc w:val="both"/>
        <w:rPr>
          <w:rFonts w:asciiTheme="minorHAnsi" w:hAnsiTheme="minorHAnsi" w:cstheme="minorHAnsi"/>
          <w:color w:val="2F5496" w:themeColor="accent1" w:themeShade="BF"/>
          <w:sz w:val="20"/>
          <w:szCs w:val="20"/>
        </w:rPr>
      </w:pPr>
    </w:p>
    <w:p w:rsidR="002B7F58"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 xml:space="preserve">Il processo include il rilevamento dell'agente patogeno, il segnale alle cellule vicine, l'attivazione e la differenziazione delle cellule immunitarie innate, la produzione di molecole di adesione sulle cellule endoteliali per lo stravaso delle cellule immunitarie circolanti, </w:t>
      </w:r>
      <w:r w:rsidR="000E4E7C" w:rsidRPr="00DB463C">
        <w:rPr>
          <w:rFonts w:asciiTheme="minorHAnsi" w:hAnsiTheme="minorHAnsi" w:cstheme="minorHAnsi"/>
          <w:color w:val="2F5496" w:themeColor="accent1" w:themeShade="BF"/>
          <w:sz w:val="20"/>
          <w:szCs w:val="20"/>
        </w:rPr>
        <w:t>e del</w:t>
      </w:r>
      <w:r w:rsidRPr="00DB463C">
        <w:rPr>
          <w:rFonts w:asciiTheme="minorHAnsi" w:hAnsiTheme="minorHAnsi" w:cstheme="minorHAnsi"/>
          <w:color w:val="2F5496" w:themeColor="accent1" w:themeShade="BF"/>
          <w:sz w:val="20"/>
          <w:szCs w:val="20"/>
        </w:rPr>
        <w:t>le molecole chemiotattiche per attrarre le cellule verso i focolai di infezione, l'aumento della fagocitosi e l’attivazione di cellule adatt</w:t>
      </w:r>
      <w:r w:rsidR="000E4E7C" w:rsidRPr="00DB463C">
        <w:rPr>
          <w:rFonts w:asciiTheme="minorHAnsi" w:hAnsiTheme="minorHAnsi" w:cstheme="minorHAnsi"/>
          <w:color w:val="2F5496" w:themeColor="accent1" w:themeShade="BF"/>
          <w:sz w:val="20"/>
          <w:szCs w:val="20"/>
        </w:rPr>
        <w:t>at</w:t>
      </w:r>
      <w:r w:rsidRPr="00DB463C">
        <w:rPr>
          <w:rFonts w:asciiTheme="minorHAnsi" w:hAnsiTheme="minorHAnsi" w:cstheme="minorHAnsi"/>
          <w:color w:val="2F5496" w:themeColor="accent1" w:themeShade="BF"/>
          <w:sz w:val="20"/>
          <w:szCs w:val="20"/>
        </w:rPr>
        <w:t>ive per eliminare specificamente le cellule infette e il virus extracellulare.</w:t>
      </w:r>
    </w:p>
    <w:p w:rsidR="00D921F9" w:rsidRPr="00DB463C" w:rsidRDefault="00D921F9" w:rsidP="00D71CED">
      <w:pPr>
        <w:jc w:val="both"/>
        <w:rPr>
          <w:rFonts w:asciiTheme="minorHAnsi" w:hAnsiTheme="minorHAnsi" w:cstheme="minorHAnsi"/>
          <w:color w:val="2F5496" w:themeColor="accent1" w:themeShade="BF"/>
          <w:sz w:val="20"/>
          <w:szCs w:val="20"/>
        </w:rPr>
      </w:pPr>
    </w:p>
    <w:p w:rsidR="002B7F58" w:rsidRPr="00DB463C" w:rsidRDefault="002B7F58" w:rsidP="00D71CED">
      <w:pPr>
        <w:jc w:val="both"/>
        <w:rPr>
          <w:rFonts w:asciiTheme="minorHAnsi" w:hAnsiTheme="minorHAnsi" w:cstheme="minorHAnsi"/>
          <w:color w:val="2F5496" w:themeColor="accent1" w:themeShade="BF"/>
          <w:sz w:val="20"/>
          <w:szCs w:val="20"/>
        </w:rPr>
      </w:pPr>
    </w:p>
    <w:p w:rsidR="000E4E7C" w:rsidRPr="00DB463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lastRenderedPageBreak/>
        <w:t xml:space="preserve">La rete di citochine contro i virus inizia con alcune citochine prodotte da cellule infettate da virus. </w:t>
      </w:r>
    </w:p>
    <w:p w:rsidR="000E4E7C" w:rsidRPr="00DB463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 xml:space="preserve">La cellula epiteliale può produrre IFN, IL-8, IL-6, IL-1, GM-CSF, TNFα, IL-18, IL-12, IL-2 e IL-23. </w:t>
      </w:r>
    </w:p>
    <w:p w:rsidR="000E4E7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Il ruolo di queste citochine è vario, l'</w:t>
      </w:r>
      <w:r w:rsidRPr="00DB463C">
        <w:rPr>
          <w:rFonts w:asciiTheme="minorHAnsi" w:hAnsiTheme="minorHAnsi" w:cstheme="minorHAnsi"/>
          <w:b/>
          <w:bCs/>
          <w:color w:val="2F5496" w:themeColor="accent1" w:themeShade="BF"/>
          <w:sz w:val="20"/>
          <w:szCs w:val="20"/>
        </w:rPr>
        <w:t>IFN</w:t>
      </w:r>
      <w:r w:rsidRPr="00DB463C">
        <w:rPr>
          <w:rFonts w:asciiTheme="minorHAnsi" w:hAnsiTheme="minorHAnsi" w:cstheme="minorHAnsi"/>
          <w:color w:val="2F5496" w:themeColor="accent1" w:themeShade="BF"/>
          <w:sz w:val="20"/>
          <w:szCs w:val="20"/>
        </w:rPr>
        <w:t xml:space="preserve"> induce una risposta antivirale e l'</w:t>
      </w:r>
      <w:r w:rsidRPr="00DB463C">
        <w:rPr>
          <w:rFonts w:asciiTheme="minorHAnsi" w:hAnsiTheme="minorHAnsi" w:cstheme="minorHAnsi"/>
          <w:b/>
          <w:bCs/>
          <w:color w:val="2F5496" w:themeColor="accent1" w:themeShade="BF"/>
          <w:sz w:val="20"/>
          <w:szCs w:val="20"/>
        </w:rPr>
        <w:t xml:space="preserve">IL-8 </w:t>
      </w:r>
      <w:r w:rsidRPr="00DB463C">
        <w:rPr>
          <w:rFonts w:asciiTheme="minorHAnsi" w:hAnsiTheme="minorHAnsi" w:cstheme="minorHAnsi"/>
          <w:color w:val="2F5496" w:themeColor="accent1" w:themeShade="BF"/>
          <w:sz w:val="20"/>
          <w:szCs w:val="20"/>
        </w:rPr>
        <w:t>è un potente infiammatorio che attira le cellule fagocitarie nel sito di infezione. L'</w:t>
      </w:r>
      <w:r w:rsidRPr="00DB463C">
        <w:rPr>
          <w:rFonts w:asciiTheme="minorHAnsi" w:hAnsiTheme="minorHAnsi" w:cstheme="minorHAnsi"/>
          <w:b/>
          <w:bCs/>
          <w:color w:val="2F5496" w:themeColor="accent1" w:themeShade="BF"/>
          <w:sz w:val="20"/>
          <w:szCs w:val="20"/>
        </w:rPr>
        <w:t xml:space="preserve">IL-1 </w:t>
      </w:r>
      <w:r w:rsidRPr="00DB463C">
        <w:rPr>
          <w:rFonts w:asciiTheme="minorHAnsi" w:hAnsiTheme="minorHAnsi" w:cstheme="minorHAnsi"/>
          <w:color w:val="2F5496" w:themeColor="accent1" w:themeShade="BF"/>
          <w:sz w:val="20"/>
          <w:szCs w:val="20"/>
        </w:rPr>
        <w:t xml:space="preserve">può favorire l'apoptosi ed è proinfiammatoria e chemiotattica per i neutrofili. </w:t>
      </w:r>
    </w:p>
    <w:p w:rsidR="00DC48B4" w:rsidRPr="00DB463C" w:rsidRDefault="00DC48B4" w:rsidP="00D71CED">
      <w:pPr>
        <w:jc w:val="both"/>
        <w:rPr>
          <w:rFonts w:asciiTheme="minorHAnsi" w:hAnsiTheme="minorHAnsi" w:cstheme="minorHAnsi"/>
          <w:color w:val="2F5496" w:themeColor="accent1" w:themeShade="BF"/>
          <w:sz w:val="20"/>
          <w:szCs w:val="20"/>
        </w:rPr>
      </w:pPr>
    </w:p>
    <w:p w:rsidR="00DB463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 xml:space="preserve">Il </w:t>
      </w:r>
      <w:r w:rsidRPr="00DB463C">
        <w:rPr>
          <w:rFonts w:asciiTheme="minorHAnsi" w:hAnsiTheme="minorHAnsi" w:cstheme="minorHAnsi"/>
          <w:b/>
          <w:bCs/>
          <w:color w:val="2F5496" w:themeColor="accent1" w:themeShade="BF"/>
          <w:sz w:val="20"/>
          <w:szCs w:val="20"/>
        </w:rPr>
        <w:t>GM-CSF</w:t>
      </w:r>
      <w:r w:rsidRPr="00DB463C">
        <w:rPr>
          <w:rFonts w:asciiTheme="minorHAnsi" w:hAnsiTheme="minorHAnsi" w:cstheme="minorHAnsi"/>
          <w:color w:val="2F5496" w:themeColor="accent1" w:themeShade="BF"/>
          <w:sz w:val="20"/>
          <w:szCs w:val="20"/>
        </w:rPr>
        <w:t xml:space="preserve"> è un fattore di crescita ematopoietico che recluta varie cellule immunitarie per la difesa dell’ospite. </w:t>
      </w:r>
    </w:p>
    <w:p w:rsidR="002B7F58"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 xml:space="preserve">Inoltre, nel corso dell'infezione, varie citochine sono anche prodotte da cellule innate e adattive che possono essere a loro volta infettate o attivate. </w:t>
      </w:r>
    </w:p>
    <w:p w:rsidR="00DC48B4" w:rsidRPr="00DB463C" w:rsidRDefault="00DC48B4" w:rsidP="00D71CED">
      <w:pPr>
        <w:jc w:val="both"/>
        <w:rPr>
          <w:rFonts w:asciiTheme="minorHAnsi" w:hAnsiTheme="minorHAnsi" w:cstheme="minorHAnsi"/>
          <w:color w:val="2F5496" w:themeColor="accent1" w:themeShade="BF"/>
          <w:sz w:val="20"/>
          <w:szCs w:val="20"/>
        </w:rPr>
      </w:pPr>
    </w:p>
    <w:p w:rsidR="000E4E7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 xml:space="preserve">Pertanto, la cellula infettata può sovraregolare più geni di citochine coinvolti in diversi processi come l’attivazione di Natural Killer, macrofagi e cellule dendritiche e può aumentare la produzione di citochine che fungono da ponte tra la risposta innata e adattativa. </w:t>
      </w:r>
    </w:p>
    <w:p w:rsidR="00DC48B4" w:rsidRPr="00DB463C" w:rsidRDefault="00DC48B4" w:rsidP="00D71CED">
      <w:pPr>
        <w:jc w:val="both"/>
        <w:rPr>
          <w:rFonts w:asciiTheme="minorHAnsi" w:hAnsiTheme="minorHAnsi" w:cstheme="minorHAnsi"/>
          <w:color w:val="2F5496" w:themeColor="accent1" w:themeShade="BF"/>
          <w:sz w:val="20"/>
          <w:szCs w:val="20"/>
        </w:rPr>
      </w:pPr>
    </w:p>
    <w:p w:rsidR="002B7F58" w:rsidRPr="00DB463C" w:rsidRDefault="002B7F58" w:rsidP="00D921F9">
      <w:pPr>
        <w:shd w:val="clear" w:color="auto" w:fill="FBF9E1"/>
        <w:jc w:val="both"/>
        <w:rPr>
          <w:rFonts w:asciiTheme="minorHAnsi" w:hAnsiTheme="minorHAnsi" w:cstheme="minorHAnsi"/>
          <w:color w:val="2F5496" w:themeColor="accent1" w:themeShade="BF"/>
          <w:sz w:val="20"/>
          <w:szCs w:val="20"/>
        </w:rPr>
      </w:pPr>
      <w:r w:rsidRPr="00DB463C">
        <w:rPr>
          <w:rFonts w:asciiTheme="minorHAnsi" w:hAnsiTheme="minorHAnsi" w:cstheme="minorHAnsi"/>
          <w:b/>
          <w:bCs/>
          <w:color w:val="2F5496" w:themeColor="accent1" w:themeShade="BF"/>
          <w:sz w:val="20"/>
          <w:szCs w:val="20"/>
        </w:rPr>
        <w:t>Nel processo di infiammazione, le cellule infettate dal virus producono e secernono citochine proinfiammatorie come IL-1, IL-6, IL-8, TNF e IFN</w:t>
      </w:r>
      <w:r w:rsidRPr="00DB463C">
        <w:rPr>
          <w:rFonts w:asciiTheme="minorHAnsi" w:hAnsiTheme="minorHAnsi" w:cstheme="minorHAnsi"/>
          <w:color w:val="2F5496" w:themeColor="accent1" w:themeShade="BF"/>
          <w:sz w:val="20"/>
          <w:szCs w:val="20"/>
        </w:rPr>
        <w:t xml:space="preserve">, </w:t>
      </w:r>
      <w:r w:rsidRPr="00DB463C">
        <w:rPr>
          <w:rFonts w:asciiTheme="minorHAnsi" w:hAnsiTheme="minorHAnsi" w:cstheme="minorHAnsi"/>
          <w:b/>
          <w:bCs/>
          <w:color w:val="2F5496" w:themeColor="accent1" w:themeShade="BF"/>
          <w:sz w:val="20"/>
          <w:szCs w:val="20"/>
        </w:rPr>
        <w:t>coinvolte nella difesa precoce dell'organismo</w:t>
      </w:r>
      <w:r w:rsidRPr="00DB463C">
        <w:rPr>
          <w:rFonts w:asciiTheme="minorHAnsi" w:hAnsiTheme="minorHAnsi" w:cstheme="minorHAnsi"/>
          <w:color w:val="2F5496" w:themeColor="accent1" w:themeShade="BF"/>
          <w:sz w:val="20"/>
          <w:szCs w:val="20"/>
        </w:rPr>
        <w:t>. Possono attivare le cellule presenti nel sito di infezione e reclutare cellule leucocitarie dal sistema circolante attraverso il processo di infiammazione.</w:t>
      </w:r>
    </w:p>
    <w:p w:rsidR="002B7F58" w:rsidRPr="00717D4D" w:rsidRDefault="002B7F58" w:rsidP="00D71CED">
      <w:pPr>
        <w:jc w:val="both"/>
        <w:rPr>
          <w:rFonts w:asciiTheme="minorHAnsi" w:hAnsiTheme="minorHAnsi" w:cstheme="minorHAnsi"/>
          <w:color w:val="2F5496" w:themeColor="accent1" w:themeShade="BF"/>
        </w:rPr>
      </w:pPr>
    </w:p>
    <w:p w:rsidR="002B7F58" w:rsidRDefault="00D921F9" w:rsidP="00D71CED">
      <w:pPr>
        <w:jc w:val="center"/>
        <w:rPr>
          <w:rFonts w:asciiTheme="minorHAnsi" w:hAnsiTheme="minorHAnsi" w:cstheme="minorHAnsi"/>
          <w:color w:val="2F5496" w:themeColor="accent1" w:themeShade="BF"/>
        </w:rPr>
      </w:pPr>
      <w:r>
        <w:rPr>
          <w:rFonts w:asciiTheme="minorHAnsi" w:hAnsiTheme="minorHAnsi" w:cstheme="minorHAnsi"/>
          <w:noProof/>
          <w:color w:val="2F5496" w:themeColor="accent1" w:themeShade="BF"/>
        </w:rPr>
        <w:drawing>
          <wp:inline distT="0" distB="0" distL="0" distR="0">
            <wp:extent cx="5243012" cy="5658338"/>
            <wp:effectExtent l="0" t="0" r="2540" b="6350"/>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chermata 2020-06-18 alle 14.17.10.png"/>
                    <pic:cNvPicPr/>
                  </pic:nvPicPr>
                  <pic:blipFill>
                    <a:blip r:embed="rId65">
                      <a:extLst>
                        <a:ext uri="{28A0092B-C50C-407E-A947-70E740481C1C}">
                          <a14:useLocalDpi xmlns:a14="http://schemas.microsoft.com/office/drawing/2010/main" val="0"/>
                        </a:ext>
                      </a:extLst>
                    </a:blip>
                    <a:stretch>
                      <a:fillRect/>
                    </a:stretch>
                  </pic:blipFill>
                  <pic:spPr>
                    <a:xfrm>
                      <a:off x="0" y="0"/>
                      <a:ext cx="5270949" cy="5688488"/>
                    </a:xfrm>
                    <a:prstGeom prst="rect">
                      <a:avLst/>
                    </a:prstGeom>
                  </pic:spPr>
                </pic:pic>
              </a:graphicData>
            </a:graphic>
          </wp:inline>
        </w:drawing>
      </w:r>
    </w:p>
    <w:p w:rsidR="00D921F9" w:rsidRPr="00D921F9" w:rsidRDefault="00D921F9" w:rsidP="00D921F9">
      <w:pPr>
        <w:shd w:val="clear" w:color="auto" w:fill="F2F2F2" w:themeFill="background1" w:themeFillShade="F2"/>
        <w:rPr>
          <w:rFonts w:asciiTheme="minorHAnsi" w:hAnsiTheme="minorHAnsi" w:cstheme="minorHAnsi"/>
          <w:color w:val="2F5496" w:themeColor="accent1" w:themeShade="BF"/>
          <w:sz w:val="18"/>
          <w:szCs w:val="18"/>
        </w:rPr>
      </w:pPr>
      <w:r w:rsidRPr="00D921F9">
        <w:rPr>
          <w:rFonts w:asciiTheme="minorHAnsi" w:hAnsiTheme="minorHAnsi" w:cstheme="minorHAnsi"/>
          <w:color w:val="2F5496" w:themeColor="accent1" w:themeShade="BF"/>
          <w:sz w:val="18"/>
          <w:szCs w:val="18"/>
        </w:rPr>
        <w:t xml:space="preserve">Tratta da </w:t>
      </w:r>
      <w:hyperlink r:id="rId66" w:history="1">
        <w:r w:rsidRPr="00D921F9">
          <w:rPr>
            <w:rStyle w:val="Hyperlink"/>
            <w:rFonts w:asciiTheme="minorHAnsi" w:eastAsiaTheme="majorEastAsia" w:hAnsiTheme="minorHAnsi" w:cstheme="minorHAnsi"/>
            <w:color w:val="2F5496" w:themeColor="accent1" w:themeShade="BF"/>
            <w:sz w:val="18"/>
            <w:szCs w:val="18"/>
            <w:u w:val="none"/>
          </w:rPr>
          <w:t>https://www.ncbi.nlm.nih.gov/pmc/articles/PMC5805548/pdf/oncotarget-09-7204.pdf</w:t>
        </w:r>
      </w:hyperlink>
      <w:r w:rsidRPr="00D921F9">
        <w:rPr>
          <w:rFonts w:asciiTheme="minorHAnsi" w:hAnsiTheme="minorHAnsi" w:cstheme="minorHAnsi"/>
          <w:color w:val="2F5496" w:themeColor="accent1" w:themeShade="BF"/>
          <w:sz w:val="18"/>
          <w:szCs w:val="18"/>
        </w:rPr>
        <w:t xml:space="preserve"> </w:t>
      </w:r>
      <w:r w:rsidRPr="00D921F9">
        <w:rPr>
          <w:rStyle w:val="FootnoteReference"/>
          <w:rFonts w:asciiTheme="minorHAnsi" w:hAnsiTheme="minorHAnsi" w:cstheme="minorHAnsi"/>
          <w:color w:val="2F5496" w:themeColor="accent1" w:themeShade="BF"/>
          <w:sz w:val="18"/>
          <w:szCs w:val="18"/>
        </w:rPr>
        <w:footnoteReference w:id="51"/>
      </w:r>
    </w:p>
    <w:p w:rsidR="002B7F58" w:rsidRPr="00717D4D" w:rsidRDefault="002B7F58" w:rsidP="00D71CED">
      <w:pPr>
        <w:ind w:right="-7"/>
        <w:jc w:val="center"/>
        <w:rPr>
          <w:rFonts w:asciiTheme="minorHAnsi" w:hAnsiTheme="minorHAnsi"/>
          <w:color w:val="2F5496" w:themeColor="accent1" w:themeShade="BF"/>
        </w:rPr>
      </w:pPr>
      <w:r w:rsidRPr="00717D4D">
        <w:rPr>
          <w:rFonts w:asciiTheme="minorHAnsi" w:hAnsiTheme="minorHAnsi"/>
          <w:color w:val="2F5496" w:themeColor="accent1" w:themeShade="BF"/>
        </w:rPr>
        <w:lastRenderedPageBreak/>
        <w:fldChar w:fldCharType="begin"/>
      </w:r>
      <w:r w:rsidRPr="00717D4D">
        <w:rPr>
          <w:rFonts w:asciiTheme="minorHAnsi" w:hAnsiTheme="minorHAnsi"/>
          <w:color w:val="2F5496" w:themeColor="accent1" w:themeShade="BF"/>
        </w:rPr>
        <w:instrText xml:space="preserve"> INCLUDEPICTURE "https://www.intechopen.com/media/chapter/63913/media/F3.png" \* MERGEFORMATINET </w:instrText>
      </w:r>
      <w:r w:rsidRPr="00717D4D">
        <w:rPr>
          <w:rFonts w:asciiTheme="minorHAnsi" w:hAnsiTheme="minorHAnsi"/>
          <w:color w:val="2F5496" w:themeColor="accent1" w:themeShade="BF"/>
        </w:rPr>
        <w:fldChar w:fldCharType="separate"/>
      </w:r>
      <w:r w:rsidRPr="00717D4D">
        <w:rPr>
          <w:rFonts w:asciiTheme="minorHAnsi" w:hAnsiTheme="minorHAnsi"/>
          <w:noProof/>
          <w:color w:val="2F5496" w:themeColor="accent1" w:themeShade="BF"/>
        </w:rPr>
        <w:drawing>
          <wp:inline distT="0" distB="0" distL="0" distR="0" wp14:anchorId="55E2FDE0" wp14:editId="003260CE">
            <wp:extent cx="6125028" cy="4116843"/>
            <wp:effectExtent l="0" t="0" r="0" b="0"/>
            <wp:docPr id="14" name="Immagine 14" descr="https://www.intechopen.com/media/chapter/63913/medi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echopen.com/media/chapter/63913/media/F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43045" cy="4263380"/>
                    </a:xfrm>
                    <a:prstGeom prst="rect">
                      <a:avLst/>
                    </a:prstGeom>
                    <a:noFill/>
                    <a:ln>
                      <a:noFill/>
                    </a:ln>
                  </pic:spPr>
                </pic:pic>
              </a:graphicData>
            </a:graphic>
          </wp:inline>
        </w:drawing>
      </w:r>
      <w:r w:rsidRPr="00717D4D">
        <w:rPr>
          <w:rFonts w:asciiTheme="minorHAnsi" w:hAnsiTheme="minorHAnsi"/>
          <w:color w:val="2F5496" w:themeColor="accent1" w:themeShade="BF"/>
        </w:rPr>
        <w:fldChar w:fldCharType="end"/>
      </w:r>
    </w:p>
    <w:p w:rsidR="002B7F58" w:rsidRPr="00DB463C" w:rsidRDefault="002B7F58" w:rsidP="00D71CED">
      <w:pPr>
        <w:jc w:val="both"/>
        <w:rPr>
          <w:rFonts w:asciiTheme="minorHAnsi" w:hAnsiTheme="minorHAnsi" w:cstheme="minorHAnsi"/>
          <w:color w:val="2F5496" w:themeColor="accent1" w:themeShade="BF"/>
          <w:sz w:val="16"/>
          <w:szCs w:val="16"/>
        </w:rPr>
      </w:pPr>
    </w:p>
    <w:p w:rsidR="002B7F58" w:rsidRPr="00D921F9" w:rsidRDefault="002B7F58" w:rsidP="00D921F9">
      <w:pPr>
        <w:shd w:val="clear" w:color="auto" w:fill="F2F2F2" w:themeFill="background1" w:themeFillShade="F2"/>
        <w:jc w:val="both"/>
        <w:rPr>
          <w:rFonts w:asciiTheme="minorHAnsi" w:hAnsiTheme="minorHAnsi" w:cstheme="minorHAnsi"/>
          <w:color w:val="2F5496" w:themeColor="accent1" w:themeShade="BF"/>
          <w:sz w:val="18"/>
          <w:szCs w:val="18"/>
        </w:rPr>
      </w:pPr>
      <w:r w:rsidRPr="00D921F9">
        <w:rPr>
          <w:rFonts w:asciiTheme="minorHAnsi" w:hAnsiTheme="minorHAnsi" w:cstheme="minorHAnsi"/>
          <w:color w:val="2F5496" w:themeColor="accent1" w:themeShade="BF"/>
          <w:sz w:val="18"/>
          <w:szCs w:val="18"/>
        </w:rPr>
        <w:t xml:space="preserve">Tratta da </w:t>
      </w:r>
      <w:hyperlink r:id="rId68" w:history="1">
        <w:r w:rsidRPr="00D921F9">
          <w:rPr>
            <w:rStyle w:val="Hyperlink"/>
            <w:rFonts w:asciiTheme="minorHAnsi" w:eastAsiaTheme="majorEastAsia" w:hAnsiTheme="minorHAnsi" w:cstheme="minorHAnsi"/>
            <w:color w:val="2F5496" w:themeColor="accent1" w:themeShade="BF"/>
            <w:sz w:val="18"/>
            <w:szCs w:val="18"/>
            <w:u w:val="none"/>
          </w:rPr>
          <w:t>https://www.intechopen.com/books/immune-response-activation-and-immunomodulation/cytokine-profiling-plays-a-crucial-role-in-activating-immune-system-to-clear-infectious-pathogens</w:t>
        </w:r>
      </w:hyperlink>
    </w:p>
    <w:p w:rsidR="00D921F9" w:rsidRPr="00D921F9" w:rsidRDefault="00D921F9" w:rsidP="00D921F9">
      <w:pPr>
        <w:shd w:val="clear" w:color="auto" w:fill="F2F2F2" w:themeFill="background1" w:themeFillShade="F2"/>
        <w:jc w:val="both"/>
        <w:rPr>
          <w:rFonts w:asciiTheme="minorHAnsi" w:hAnsiTheme="minorHAnsi" w:cstheme="minorHAnsi"/>
          <w:iCs/>
          <w:color w:val="2F5496" w:themeColor="accent1" w:themeShade="BF"/>
          <w:sz w:val="18"/>
          <w:szCs w:val="18"/>
        </w:rPr>
      </w:pPr>
      <w:r w:rsidRPr="00D921F9">
        <w:rPr>
          <w:rFonts w:asciiTheme="minorHAnsi" w:hAnsiTheme="minorHAnsi" w:cstheme="minorHAnsi"/>
          <w:b/>
          <w:iCs/>
          <w:color w:val="2F5496" w:themeColor="accent1" w:themeShade="BF"/>
          <w:sz w:val="18"/>
          <w:szCs w:val="18"/>
        </w:rPr>
        <w:t>Didascalia:</w:t>
      </w:r>
      <w:r w:rsidRPr="00D921F9">
        <w:rPr>
          <w:rFonts w:asciiTheme="minorHAnsi" w:hAnsiTheme="minorHAnsi" w:cstheme="minorHAnsi"/>
          <w:iCs/>
          <w:color w:val="2F5496" w:themeColor="accent1" w:themeShade="BF"/>
          <w:sz w:val="18"/>
          <w:szCs w:val="18"/>
        </w:rPr>
        <w:t xml:space="preserve"> La rete di citochine contro i virus inizia con alcune citochine prodotte da cellule infettate da virus, come IFN, IL-8, IL-6, IL-1, GM-CSF, TNFα, IL-18, IL-12, IL-2 e IL- 23, che inducono una potente risposta infiammatoria, attirando e attivando cellule fagocitarie (ad esempio neutrofili, macrofagi, cellule dendritiche), mastociti e cellule NK, nel sito di infezione. Inoltre, queste citochine sono coinvolte nell'induzione di un tipo di risposta immunitaria Th1 / CTL allo scopo di eliminare le cellule infettate e i virus extracellulari mentre le citochine come IL-4, IL-10, IL-13, IL-37 e TGF- β modulano la risposta immunitaria a un fenotipo Th2 e Th17, per produrre azioni immunomodulanti e antinfiammatorie.</w:t>
      </w:r>
    </w:p>
    <w:p w:rsidR="00D921F9" w:rsidRDefault="00D921F9" w:rsidP="00D71CED">
      <w:pPr>
        <w:jc w:val="center"/>
        <w:rPr>
          <w:rFonts w:asciiTheme="minorHAnsi" w:hAnsiTheme="minorHAnsi" w:cstheme="minorHAnsi"/>
          <w:color w:val="2F5496" w:themeColor="accent1" w:themeShade="BF"/>
        </w:rPr>
      </w:pPr>
      <w:bookmarkStart w:id="28" w:name="_Toc43342378"/>
    </w:p>
    <w:p w:rsidR="00D921F9" w:rsidRDefault="00D921F9" w:rsidP="00D71CED">
      <w:pPr>
        <w:jc w:val="center"/>
        <w:rPr>
          <w:rFonts w:asciiTheme="minorHAnsi" w:hAnsiTheme="minorHAnsi" w:cstheme="minorHAnsi"/>
          <w:color w:val="2F5496" w:themeColor="accent1" w:themeShade="BF"/>
        </w:rPr>
      </w:pPr>
    </w:p>
    <w:p w:rsidR="00D921F9" w:rsidRDefault="00D921F9" w:rsidP="00D71CED">
      <w:pPr>
        <w:jc w:val="center"/>
        <w:rPr>
          <w:rFonts w:asciiTheme="minorHAnsi" w:hAnsiTheme="minorHAnsi" w:cstheme="minorHAnsi"/>
          <w:color w:val="2F5496" w:themeColor="accent1" w:themeShade="BF"/>
        </w:rPr>
      </w:pPr>
    </w:p>
    <w:p w:rsidR="00D66984" w:rsidRPr="00DB463C" w:rsidRDefault="002B7F58" w:rsidP="00D921F9">
      <w:pPr>
        <w:shd w:val="clear" w:color="auto" w:fill="E2EFD9" w:themeFill="accent6" w:themeFillTint="33"/>
        <w:jc w:val="center"/>
        <w:rPr>
          <w:rFonts w:asciiTheme="minorHAnsi" w:hAnsiTheme="minorHAnsi" w:cstheme="minorHAnsi"/>
          <w:b/>
          <w:color w:val="C00000"/>
        </w:rPr>
      </w:pPr>
      <w:r w:rsidRPr="00DB463C">
        <w:rPr>
          <w:rStyle w:val="Heading2Char"/>
          <w:rFonts w:asciiTheme="minorHAnsi" w:hAnsiTheme="minorHAnsi" w:cstheme="minorHAnsi"/>
          <w:b/>
          <w:color w:val="C00000"/>
          <w:sz w:val="24"/>
          <w:szCs w:val="24"/>
        </w:rPr>
        <w:t>La tempesta di citochine</w:t>
      </w:r>
      <w:bookmarkEnd w:id="28"/>
      <w:r w:rsidRPr="00DB463C">
        <w:rPr>
          <w:rFonts w:asciiTheme="minorHAnsi" w:hAnsiTheme="minorHAnsi" w:cstheme="minorHAnsi"/>
          <w:b/>
          <w:color w:val="C00000"/>
        </w:rPr>
        <w:t xml:space="preserve"> </w:t>
      </w:r>
      <w:r w:rsidRPr="00DB463C">
        <w:rPr>
          <w:rStyle w:val="FootnoteReference"/>
          <w:rFonts w:asciiTheme="minorHAnsi" w:hAnsiTheme="minorHAnsi" w:cstheme="minorHAnsi"/>
          <w:b/>
          <w:color w:val="C00000"/>
        </w:rPr>
        <w:footnoteReference w:id="52"/>
      </w:r>
      <w:r w:rsidR="00D66984" w:rsidRPr="00DB463C">
        <w:rPr>
          <w:rFonts w:asciiTheme="minorHAnsi" w:hAnsiTheme="minorHAnsi" w:cstheme="minorHAnsi"/>
          <w:b/>
          <w:color w:val="C00000"/>
        </w:rPr>
        <w:t xml:space="preserve"> </w:t>
      </w:r>
    </w:p>
    <w:p w:rsidR="00CF4C89" w:rsidRDefault="002B7F58" w:rsidP="00D921F9">
      <w:pPr>
        <w:shd w:val="clear" w:color="auto" w:fill="FBF9E1"/>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lastRenderedPageBreak/>
        <w:t xml:space="preserve">Lo sviluppo di una tempesta di citochine è una </w:t>
      </w:r>
      <w:r w:rsidRPr="00DB463C">
        <w:rPr>
          <w:rFonts w:asciiTheme="minorHAnsi" w:hAnsiTheme="minorHAnsi" w:cstheme="minorHAnsi"/>
          <w:b/>
          <w:bCs/>
          <w:color w:val="2F5496" w:themeColor="accent1" w:themeShade="BF"/>
          <w:sz w:val="20"/>
          <w:szCs w:val="20"/>
        </w:rPr>
        <w:t xml:space="preserve">condizione immunitaria potenzialmente fatale </w:t>
      </w:r>
      <w:r w:rsidRPr="00DB463C">
        <w:rPr>
          <w:rFonts w:asciiTheme="minorHAnsi" w:hAnsiTheme="minorHAnsi" w:cstheme="minorHAnsi"/>
          <w:color w:val="2F5496" w:themeColor="accent1" w:themeShade="BF"/>
          <w:sz w:val="20"/>
          <w:szCs w:val="20"/>
        </w:rPr>
        <w:t xml:space="preserve">caratterizzata da rapida proliferazione e iperattivazione di cellule T, macrofagi, cellule killer naturali e </w:t>
      </w:r>
      <w:r w:rsidR="001B5306" w:rsidRPr="00DB463C">
        <w:rPr>
          <w:rFonts w:asciiTheme="minorHAnsi" w:hAnsiTheme="minorHAnsi" w:cstheme="minorHAnsi"/>
          <w:color w:val="2F5496" w:themeColor="accent1" w:themeShade="BF"/>
          <w:sz w:val="20"/>
          <w:szCs w:val="20"/>
        </w:rPr>
        <w:t>sovrapproduzione</w:t>
      </w:r>
      <w:r w:rsidRPr="00DB463C">
        <w:rPr>
          <w:rFonts w:asciiTheme="minorHAnsi" w:hAnsiTheme="minorHAnsi" w:cstheme="minorHAnsi"/>
          <w:color w:val="2F5496" w:themeColor="accent1" w:themeShade="BF"/>
          <w:sz w:val="20"/>
          <w:szCs w:val="20"/>
        </w:rPr>
        <w:t xml:space="preserve"> di oltre 150 citochine infiammatorie e mediatori chimici rilasciati da cellule immunitarie o non immuni. </w:t>
      </w:r>
    </w:p>
    <w:p w:rsidR="00DB463C" w:rsidRPr="00DB463C" w:rsidRDefault="00DB463C" w:rsidP="00D71CED">
      <w:pPr>
        <w:jc w:val="both"/>
        <w:rPr>
          <w:rFonts w:asciiTheme="minorHAnsi" w:hAnsiTheme="minorHAnsi" w:cstheme="minorHAnsi"/>
          <w:color w:val="2F5496" w:themeColor="accent1" w:themeShade="BF"/>
          <w:sz w:val="20"/>
          <w:szCs w:val="20"/>
        </w:rPr>
      </w:pPr>
    </w:p>
    <w:p w:rsidR="00DB463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 xml:space="preserve">Nelle infezioni virali, il </w:t>
      </w:r>
      <w:r w:rsidRPr="00DB463C">
        <w:rPr>
          <w:rFonts w:asciiTheme="minorHAnsi" w:hAnsiTheme="minorHAnsi" w:cstheme="minorHAnsi"/>
          <w:b/>
          <w:bCs/>
          <w:color w:val="2F5496" w:themeColor="accent1" w:themeShade="BF"/>
          <w:sz w:val="20"/>
          <w:szCs w:val="20"/>
        </w:rPr>
        <w:t xml:space="preserve">rilascio aberrante di fattori pro-infiammatori </w:t>
      </w:r>
      <w:r w:rsidR="00CF4C89" w:rsidRPr="00DB463C">
        <w:rPr>
          <w:rFonts w:asciiTheme="minorHAnsi" w:hAnsiTheme="minorHAnsi" w:cstheme="minorHAnsi"/>
          <w:b/>
          <w:bCs/>
          <w:color w:val="2F5496" w:themeColor="accent1" w:themeShade="BF"/>
          <w:sz w:val="20"/>
          <w:szCs w:val="20"/>
        </w:rPr>
        <w:t>nei polmoni</w:t>
      </w:r>
      <w:r w:rsidR="00CF4C89" w:rsidRPr="00DB463C">
        <w:rPr>
          <w:rFonts w:asciiTheme="minorHAnsi" w:hAnsiTheme="minorHAnsi" w:cstheme="minorHAnsi"/>
          <w:color w:val="2F5496" w:themeColor="accent1" w:themeShade="BF"/>
          <w:sz w:val="20"/>
          <w:szCs w:val="20"/>
        </w:rPr>
        <w:t xml:space="preserve"> </w:t>
      </w:r>
      <w:r w:rsidRPr="00DB463C">
        <w:rPr>
          <w:rFonts w:asciiTheme="minorHAnsi" w:hAnsiTheme="minorHAnsi" w:cstheme="minorHAnsi"/>
          <w:color w:val="2F5496" w:themeColor="accent1" w:themeShade="BF"/>
          <w:sz w:val="20"/>
          <w:szCs w:val="20"/>
        </w:rPr>
        <w:t xml:space="preserve">porta all'apoptosi delle cellule epiteliali ed endoteliali polmonari che danneggia la barriera polmonare delle cellule epiteliali microvascolari e alveolari, portando a perdite vascolari, edema alveolare e ipossia. </w:t>
      </w:r>
    </w:p>
    <w:p w:rsidR="00DB463C" w:rsidRDefault="00DB463C" w:rsidP="00D71CED">
      <w:pPr>
        <w:jc w:val="both"/>
        <w:rPr>
          <w:rFonts w:asciiTheme="minorHAnsi" w:hAnsiTheme="minorHAnsi" w:cstheme="minorHAnsi"/>
          <w:color w:val="2F5496" w:themeColor="accent1" w:themeShade="BF"/>
          <w:sz w:val="20"/>
          <w:szCs w:val="20"/>
        </w:rPr>
      </w:pPr>
    </w:p>
    <w:p w:rsidR="002B7F58" w:rsidRPr="00DB463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 xml:space="preserve">La produzione incontrollata di fattori pro-infiammatori, contenenti IL-6, IL-8, IL-1β e GM-CSF, e le chemochine come CCL2, CCL-5, IP-10 e CCL3, insieme alle specie reattive dell'ossigeno causano </w:t>
      </w:r>
      <w:r w:rsidR="00CF4C89" w:rsidRPr="00DB463C">
        <w:rPr>
          <w:rFonts w:asciiTheme="minorHAnsi" w:hAnsiTheme="minorHAnsi" w:cstheme="minorHAnsi"/>
          <w:color w:val="2F5496" w:themeColor="accent1" w:themeShade="BF"/>
          <w:sz w:val="20"/>
          <w:szCs w:val="20"/>
        </w:rPr>
        <w:t>l’</w:t>
      </w:r>
      <w:r w:rsidRPr="00DB463C">
        <w:rPr>
          <w:rFonts w:asciiTheme="minorHAnsi" w:hAnsiTheme="minorHAnsi" w:cstheme="minorHAnsi"/>
          <w:b/>
          <w:bCs/>
          <w:color w:val="2F5496" w:themeColor="accent1" w:themeShade="BF"/>
          <w:sz w:val="20"/>
          <w:szCs w:val="20"/>
        </w:rPr>
        <w:t>ARDS</w:t>
      </w:r>
      <w:r w:rsidRPr="00DB463C">
        <w:rPr>
          <w:rFonts w:asciiTheme="minorHAnsi" w:hAnsiTheme="minorHAnsi" w:cstheme="minorHAnsi"/>
          <w:color w:val="2F5496" w:themeColor="accent1" w:themeShade="BF"/>
          <w:sz w:val="20"/>
          <w:szCs w:val="20"/>
        </w:rPr>
        <w:t xml:space="preserve"> </w:t>
      </w:r>
      <w:r w:rsidR="00D4706B" w:rsidRPr="00DB463C">
        <w:rPr>
          <w:rFonts w:asciiTheme="minorHAnsi" w:hAnsiTheme="minorHAnsi" w:cstheme="minorHAnsi"/>
          <w:color w:val="2F5496" w:themeColor="accent1" w:themeShade="BF"/>
          <w:sz w:val="20"/>
          <w:szCs w:val="20"/>
        </w:rPr>
        <w:t>(Acute respiratory distress syndrome</w:t>
      </w:r>
      <w:r w:rsidR="00D66984" w:rsidRPr="00DB463C">
        <w:rPr>
          <w:rFonts w:asciiTheme="minorHAnsi" w:hAnsiTheme="minorHAnsi" w:cstheme="minorHAnsi"/>
          <w:color w:val="2F5496" w:themeColor="accent1" w:themeShade="BF"/>
          <w:sz w:val="20"/>
          <w:szCs w:val="20"/>
        </w:rPr>
        <w:t xml:space="preserve"> - </w:t>
      </w:r>
      <w:r w:rsidR="00D4706B" w:rsidRPr="00DB463C">
        <w:rPr>
          <w:rFonts w:asciiTheme="minorHAnsi" w:hAnsiTheme="minorHAnsi" w:cstheme="minorHAnsi"/>
          <w:color w:val="2F5496" w:themeColor="accent1" w:themeShade="BF"/>
          <w:sz w:val="20"/>
          <w:szCs w:val="20"/>
        </w:rPr>
        <w:t>sindrome da distress respiratorio</w:t>
      </w:r>
      <w:r w:rsidR="00D66984" w:rsidRPr="00DB463C">
        <w:rPr>
          <w:rFonts w:asciiTheme="minorHAnsi" w:hAnsiTheme="minorHAnsi" w:cstheme="minorHAnsi"/>
          <w:color w:val="2F5496" w:themeColor="accent1" w:themeShade="BF"/>
          <w:sz w:val="20"/>
          <w:szCs w:val="20"/>
        </w:rPr>
        <w:t xml:space="preserve"> acuto</w:t>
      </w:r>
      <w:r w:rsidR="00D4706B" w:rsidRPr="00DB463C">
        <w:rPr>
          <w:rFonts w:asciiTheme="minorHAnsi" w:hAnsiTheme="minorHAnsi" w:cstheme="minorHAnsi"/>
          <w:color w:val="2F5496" w:themeColor="accent1" w:themeShade="BF"/>
          <w:sz w:val="20"/>
          <w:szCs w:val="20"/>
        </w:rPr>
        <w:t xml:space="preserve">) </w:t>
      </w:r>
      <w:r w:rsidRPr="00DB463C">
        <w:rPr>
          <w:rFonts w:asciiTheme="minorHAnsi" w:hAnsiTheme="minorHAnsi" w:cstheme="minorHAnsi"/>
          <w:color w:val="2F5496" w:themeColor="accent1" w:themeShade="BF"/>
          <w:sz w:val="20"/>
          <w:szCs w:val="20"/>
        </w:rPr>
        <w:t>che porta alla fibrosi polmonare e alla morte</w:t>
      </w:r>
      <w:r w:rsidR="00D4706B" w:rsidRPr="00DB463C">
        <w:rPr>
          <w:rFonts w:asciiTheme="minorHAnsi" w:hAnsiTheme="minorHAnsi" w:cstheme="minorHAnsi"/>
          <w:color w:val="2F5496" w:themeColor="accent1" w:themeShade="BF"/>
          <w:sz w:val="20"/>
          <w:szCs w:val="20"/>
        </w:rPr>
        <w:t>.</w:t>
      </w:r>
    </w:p>
    <w:p w:rsidR="002B7F58" w:rsidRPr="00717D4D" w:rsidRDefault="002B7F58" w:rsidP="00D71CED">
      <w:pPr>
        <w:jc w:val="both"/>
        <w:rPr>
          <w:rFonts w:asciiTheme="minorHAnsi" w:hAnsiTheme="minorHAnsi" w:cstheme="minorHAnsi"/>
          <w:color w:val="2F5496" w:themeColor="accent1" w:themeShade="BF"/>
        </w:rPr>
      </w:pPr>
    </w:p>
    <w:p w:rsidR="002B7F58" w:rsidRPr="00717D4D" w:rsidRDefault="002B7F58" w:rsidP="00D71CED">
      <w:pPr>
        <w:jc w:val="both"/>
        <w:rPr>
          <w:rFonts w:asciiTheme="minorHAnsi" w:hAnsiTheme="minorHAnsi" w:cstheme="minorHAnsi"/>
          <w:color w:val="2F5496" w:themeColor="accent1" w:themeShade="BF"/>
          <w:sz w:val="18"/>
          <w:szCs w:val="18"/>
        </w:rPr>
      </w:pPr>
    </w:p>
    <w:p w:rsidR="002B7F58" w:rsidRPr="00717D4D" w:rsidRDefault="002B7F58" w:rsidP="00D71CED">
      <w:pPr>
        <w:rPr>
          <w:rFonts w:asciiTheme="minorHAnsi" w:hAnsiTheme="minorHAnsi"/>
          <w:color w:val="2F5496" w:themeColor="accent1" w:themeShade="BF"/>
        </w:rPr>
      </w:pPr>
      <w:r w:rsidRPr="00717D4D">
        <w:rPr>
          <w:rFonts w:asciiTheme="minorHAnsi" w:hAnsiTheme="minorHAnsi"/>
          <w:color w:val="2F5496" w:themeColor="accent1" w:themeShade="BF"/>
        </w:rPr>
        <w:fldChar w:fldCharType="begin"/>
      </w:r>
      <w:r w:rsidRPr="00717D4D">
        <w:rPr>
          <w:rFonts w:asciiTheme="minorHAnsi" w:hAnsiTheme="minorHAnsi"/>
          <w:color w:val="2F5496" w:themeColor="accent1" w:themeShade="BF"/>
        </w:rPr>
        <w:instrText xml:space="preserve"> INCLUDEPICTURE "https://www.ncbi.nlm.nih.gov/pmc/articles/PMC6003181/bin/40425_2018_343_Fig3_HTML.jpg" \* MERGEFORMATINET </w:instrText>
      </w:r>
      <w:r w:rsidRPr="00717D4D">
        <w:rPr>
          <w:rFonts w:asciiTheme="minorHAnsi" w:hAnsiTheme="minorHAnsi"/>
          <w:color w:val="2F5496" w:themeColor="accent1" w:themeShade="BF"/>
        </w:rPr>
        <w:fldChar w:fldCharType="separate"/>
      </w:r>
      <w:r w:rsidRPr="00717D4D">
        <w:rPr>
          <w:rFonts w:asciiTheme="minorHAnsi" w:hAnsiTheme="minorHAnsi"/>
          <w:noProof/>
          <w:color w:val="2F5496" w:themeColor="accent1" w:themeShade="BF"/>
        </w:rPr>
        <w:drawing>
          <wp:inline distT="0" distB="0" distL="0" distR="0" wp14:anchorId="27B87DED" wp14:editId="6BC3C4B0">
            <wp:extent cx="6116320" cy="4427220"/>
            <wp:effectExtent l="0" t="0" r="5080" b="5080"/>
            <wp:docPr id="36" name="Immagine 36" descr="An external file that holds a picture, illustration, etc.&#10;Object name is 40425_2018_343_Fig3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xternal file that holds a picture, illustration, etc.&#10;Object name is 40425_2018_343_Fig3_HTM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6320" cy="4427220"/>
                    </a:xfrm>
                    <a:prstGeom prst="rect">
                      <a:avLst/>
                    </a:prstGeom>
                    <a:noFill/>
                    <a:ln>
                      <a:noFill/>
                    </a:ln>
                  </pic:spPr>
                </pic:pic>
              </a:graphicData>
            </a:graphic>
          </wp:inline>
        </w:drawing>
      </w:r>
      <w:r w:rsidRPr="00717D4D">
        <w:rPr>
          <w:rFonts w:asciiTheme="minorHAnsi" w:hAnsiTheme="minorHAnsi"/>
          <w:color w:val="2F5496" w:themeColor="accent1" w:themeShade="BF"/>
        </w:rPr>
        <w:fldChar w:fldCharType="end"/>
      </w:r>
    </w:p>
    <w:p w:rsidR="00110FC0" w:rsidRDefault="00110FC0" w:rsidP="00D71CED">
      <w:pPr>
        <w:rPr>
          <w:rFonts w:asciiTheme="minorHAnsi" w:hAnsiTheme="minorHAnsi"/>
          <w:color w:val="2F5496" w:themeColor="accent1" w:themeShade="BF"/>
          <w:sz w:val="18"/>
          <w:szCs w:val="18"/>
        </w:rPr>
      </w:pPr>
    </w:p>
    <w:p w:rsidR="002B7F58" w:rsidRPr="002911D4" w:rsidRDefault="00D921F9" w:rsidP="00D71CED">
      <w:pPr>
        <w:rPr>
          <w:rFonts w:asciiTheme="minorHAnsi" w:hAnsiTheme="minorHAnsi" w:cstheme="minorHAnsi"/>
          <w:color w:val="2F5496" w:themeColor="accent1" w:themeShade="BF"/>
          <w:sz w:val="18"/>
          <w:szCs w:val="18"/>
        </w:rPr>
      </w:pPr>
      <w:r w:rsidRPr="002911D4">
        <w:rPr>
          <w:rFonts w:asciiTheme="minorHAnsi" w:hAnsiTheme="minorHAnsi"/>
          <w:color w:val="2F5496" w:themeColor="accent1" w:themeShade="BF"/>
          <w:sz w:val="18"/>
          <w:szCs w:val="18"/>
        </w:rPr>
        <w:t xml:space="preserve">Tratta da </w:t>
      </w:r>
      <w:hyperlink r:id="rId70" w:history="1">
        <w:r w:rsidRPr="002911D4">
          <w:rPr>
            <w:rStyle w:val="Hyperlink"/>
            <w:rFonts w:asciiTheme="minorHAnsi" w:eastAsiaTheme="majorEastAsia" w:hAnsiTheme="minorHAnsi" w:cstheme="minorHAnsi"/>
            <w:color w:val="2F5496" w:themeColor="accent1" w:themeShade="BF"/>
            <w:sz w:val="18"/>
            <w:szCs w:val="18"/>
            <w:u w:val="none"/>
          </w:rPr>
          <w:t>https://www.ncbi.nlm.nih.gov/pmc/articles/PMC6003181/</w:t>
        </w:r>
      </w:hyperlink>
    </w:p>
    <w:p w:rsidR="002B7F58" w:rsidRPr="00D921F9" w:rsidRDefault="002B7F58" w:rsidP="00D71CED">
      <w:pPr>
        <w:jc w:val="both"/>
        <w:rPr>
          <w:rFonts w:asciiTheme="minorHAnsi" w:hAnsiTheme="minorHAnsi" w:cstheme="minorHAnsi"/>
          <w:color w:val="2F5496" w:themeColor="accent1" w:themeShade="BF"/>
          <w:sz w:val="18"/>
          <w:szCs w:val="18"/>
        </w:rPr>
      </w:pPr>
      <w:r w:rsidRPr="00D921F9">
        <w:rPr>
          <w:rFonts w:asciiTheme="minorHAnsi" w:hAnsiTheme="minorHAnsi" w:cstheme="minorHAnsi"/>
          <w:color w:val="2F5496" w:themeColor="accent1" w:themeShade="BF"/>
          <w:sz w:val="18"/>
          <w:szCs w:val="18"/>
        </w:rPr>
        <w:t>L'attivazione delle cellule T o la lisi delle cellule immunitarie induce un rilascio di interferone gamma (IFN-</w:t>
      </w:r>
      <w:r w:rsidRPr="00D921F9">
        <w:rPr>
          <w:rFonts w:asciiTheme="minorHAnsi" w:hAnsiTheme="minorHAnsi" w:cstheme="minorHAnsi"/>
          <w:color w:val="2F5496" w:themeColor="accent1" w:themeShade="BF"/>
          <w:sz w:val="18"/>
          <w:szCs w:val="18"/>
          <w:lang w:val="en-US"/>
        </w:rPr>
        <w:t>γ</w:t>
      </w:r>
      <w:r w:rsidRPr="00D921F9">
        <w:rPr>
          <w:rFonts w:asciiTheme="minorHAnsi" w:hAnsiTheme="minorHAnsi" w:cstheme="minorHAnsi"/>
          <w:color w:val="2F5496" w:themeColor="accent1" w:themeShade="BF"/>
          <w:sz w:val="18"/>
          <w:szCs w:val="18"/>
        </w:rPr>
        <w:t>) o del fattore di necrosi tumorale alfa (TNF-</w:t>
      </w:r>
      <w:r w:rsidRPr="00D921F9">
        <w:rPr>
          <w:rFonts w:asciiTheme="minorHAnsi" w:hAnsiTheme="minorHAnsi" w:cstheme="minorHAnsi"/>
          <w:color w:val="2F5496" w:themeColor="accent1" w:themeShade="BF"/>
          <w:sz w:val="18"/>
          <w:szCs w:val="18"/>
          <w:lang w:val="en-US"/>
        </w:rPr>
        <w:t>α</w:t>
      </w:r>
      <w:r w:rsidRPr="00D921F9">
        <w:rPr>
          <w:rFonts w:asciiTheme="minorHAnsi" w:hAnsiTheme="minorHAnsi" w:cstheme="minorHAnsi"/>
          <w:color w:val="2F5496" w:themeColor="accent1" w:themeShade="BF"/>
          <w:sz w:val="18"/>
          <w:szCs w:val="18"/>
        </w:rPr>
        <w:t xml:space="preserve">). Ciò porta all'attivazione di macrofagi, cellule dendritiche, altre cellule immunitarie e cellule endoteliali, che rilasciano citochine pro-infiammatorie, in particolare, grandi quantità di interleuchina 6 che, con un feedback positivo, attiva le cellule T e altre cellule immunitarie portando alla tempesta di citochine. </w:t>
      </w:r>
    </w:p>
    <w:p w:rsidR="00D921F9" w:rsidRPr="00D921F9" w:rsidRDefault="00D921F9" w:rsidP="00D921F9">
      <w:pPr>
        <w:jc w:val="both"/>
        <w:rPr>
          <w:rFonts w:asciiTheme="minorHAnsi" w:hAnsiTheme="minorHAnsi" w:cstheme="minorHAnsi"/>
          <w:color w:val="2F5496" w:themeColor="accent1" w:themeShade="BF"/>
          <w:sz w:val="18"/>
          <w:szCs w:val="18"/>
        </w:rPr>
      </w:pPr>
      <w:r w:rsidRPr="00D921F9">
        <w:rPr>
          <w:rFonts w:asciiTheme="minorHAnsi" w:hAnsiTheme="minorHAnsi" w:cstheme="minorHAnsi"/>
          <w:color w:val="2F5496" w:themeColor="accent1" w:themeShade="BF"/>
          <w:sz w:val="18"/>
          <w:szCs w:val="18"/>
        </w:rPr>
        <w:t>Abbreviazioni: FiO2: frazione di ossigeno inspirato; IL-6: interleuchina 6; IFN-γ: interferone gamma; TNF-α: fattore di necrosi tumorale alfa</w:t>
      </w:r>
    </w:p>
    <w:p w:rsidR="002B7F58" w:rsidRDefault="002B7F58"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Pr="00717D4D" w:rsidRDefault="00D921F9" w:rsidP="00D71CED">
      <w:pPr>
        <w:jc w:val="both"/>
        <w:rPr>
          <w:rFonts w:asciiTheme="minorHAnsi" w:hAnsiTheme="minorHAnsi" w:cstheme="minorHAnsi"/>
          <w:color w:val="2F5496" w:themeColor="accent1" w:themeShade="BF"/>
          <w:sz w:val="16"/>
          <w:szCs w:val="16"/>
        </w:rPr>
      </w:pPr>
    </w:p>
    <w:p w:rsidR="00DB463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lastRenderedPageBreak/>
        <w:t>La secrezione di citochine multiple è strettamente correlata allo sviluppo di sintomi clinici; per esempio</w:t>
      </w:r>
      <w:r w:rsidR="00DB463C">
        <w:rPr>
          <w:rFonts w:asciiTheme="minorHAnsi" w:hAnsiTheme="minorHAnsi" w:cstheme="minorHAnsi"/>
          <w:color w:val="2F5496" w:themeColor="accent1" w:themeShade="BF"/>
          <w:sz w:val="20"/>
          <w:szCs w:val="20"/>
        </w:rPr>
        <w:t>:</w:t>
      </w:r>
      <w:r w:rsidRPr="00DB463C">
        <w:rPr>
          <w:rFonts w:asciiTheme="minorHAnsi" w:hAnsiTheme="minorHAnsi" w:cstheme="minorHAnsi"/>
          <w:color w:val="2F5496" w:themeColor="accent1" w:themeShade="BF"/>
          <w:sz w:val="20"/>
          <w:szCs w:val="20"/>
        </w:rPr>
        <w:t xml:space="preserve"> </w:t>
      </w:r>
    </w:p>
    <w:p w:rsidR="00DB463C" w:rsidRDefault="00DB463C" w:rsidP="00D71CED">
      <w:pPr>
        <w:jc w:val="both"/>
        <w:rPr>
          <w:rFonts w:asciiTheme="minorHAnsi" w:hAnsiTheme="minorHAnsi" w:cstheme="minorHAnsi"/>
          <w:color w:val="2F5496" w:themeColor="accent1" w:themeShade="BF"/>
          <w:sz w:val="20"/>
          <w:szCs w:val="20"/>
        </w:rPr>
      </w:pPr>
    </w:p>
    <w:p w:rsidR="00DB463C" w:rsidRDefault="00DB463C" w:rsidP="00D71CED">
      <w:pPr>
        <w:jc w:val="both"/>
        <w:rPr>
          <w:rFonts w:asciiTheme="minorHAnsi" w:hAnsiTheme="minorHAnsi" w:cstheme="minorHAnsi"/>
          <w:color w:val="2F5496" w:themeColor="accent1" w:themeShade="BF"/>
          <w:sz w:val="20"/>
          <w:szCs w:val="20"/>
        </w:rPr>
      </w:pPr>
      <w:r>
        <w:rPr>
          <w:rFonts w:asciiTheme="minorHAnsi" w:hAnsiTheme="minorHAnsi" w:cstheme="minorHAnsi"/>
          <w:b/>
          <w:color w:val="2F5496" w:themeColor="accent1" w:themeShade="BF"/>
          <w:sz w:val="20"/>
          <w:szCs w:val="20"/>
        </w:rPr>
        <w:t>l’</w:t>
      </w:r>
      <w:r w:rsidR="002B7F58" w:rsidRPr="00DB463C">
        <w:rPr>
          <w:rFonts w:asciiTheme="minorHAnsi" w:hAnsiTheme="minorHAnsi" w:cstheme="minorHAnsi"/>
          <w:b/>
          <w:color w:val="2F5496" w:themeColor="accent1" w:themeShade="BF"/>
          <w:sz w:val="20"/>
          <w:szCs w:val="20"/>
        </w:rPr>
        <w:t>IFN-γ</w:t>
      </w:r>
      <w:r w:rsidR="002B7F58" w:rsidRPr="00DB463C">
        <w:rPr>
          <w:rFonts w:asciiTheme="minorHAnsi" w:hAnsiTheme="minorHAnsi" w:cstheme="minorHAnsi"/>
          <w:color w:val="2F5496" w:themeColor="accent1" w:themeShade="BF"/>
          <w:sz w:val="20"/>
          <w:szCs w:val="20"/>
        </w:rPr>
        <w:t xml:space="preserve"> può causare febbre, brividi, mal di testa, vertigini e affaticamento; </w:t>
      </w:r>
    </w:p>
    <w:p w:rsidR="00DB463C" w:rsidRDefault="00DB463C" w:rsidP="00D71CED">
      <w:pPr>
        <w:jc w:val="both"/>
        <w:rPr>
          <w:rFonts w:asciiTheme="minorHAnsi" w:hAnsiTheme="minorHAnsi" w:cstheme="minorHAnsi"/>
          <w:color w:val="2F5496" w:themeColor="accent1" w:themeShade="BF"/>
          <w:sz w:val="20"/>
          <w:szCs w:val="20"/>
        </w:rPr>
      </w:pPr>
    </w:p>
    <w:p w:rsidR="00DB463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 xml:space="preserve">Il </w:t>
      </w:r>
      <w:r w:rsidRPr="00DB463C">
        <w:rPr>
          <w:rFonts w:asciiTheme="minorHAnsi" w:hAnsiTheme="minorHAnsi" w:cstheme="minorHAnsi"/>
          <w:b/>
          <w:color w:val="2F5496" w:themeColor="accent1" w:themeShade="BF"/>
          <w:sz w:val="20"/>
          <w:szCs w:val="20"/>
        </w:rPr>
        <w:t>TNF-α</w:t>
      </w:r>
      <w:r w:rsidRPr="00DB463C">
        <w:rPr>
          <w:rFonts w:asciiTheme="minorHAnsi" w:hAnsiTheme="minorHAnsi" w:cstheme="minorHAnsi"/>
          <w:color w:val="2F5496" w:themeColor="accent1" w:themeShade="BF"/>
          <w:sz w:val="20"/>
          <w:szCs w:val="20"/>
        </w:rPr>
        <w:t xml:space="preserve"> può causare sintomi simil-influenzali come l'IFN-γ, con febbre, malessere generale e affaticamento, ma può anche causare perdite vascolari, cardiomiopatia, lesioni polmonari e sintesi proteica in fase acuta. </w:t>
      </w:r>
    </w:p>
    <w:p w:rsidR="00DB463C" w:rsidRDefault="00DB463C" w:rsidP="00D71CED">
      <w:pPr>
        <w:jc w:val="both"/>
        <w:rPr>
          <w:rFonts w:asciiTheme="minorHAnsi" w:hAnsiTheme="minorHAnsi" w:cstheme="minorHAnsi"/>
          <w:color w:val="2F5496" w:themeColor="accent1" w:themeShade="BF"/>
          <w:sz w:val="20"/>
          <w:szCs w:val="20"/>
        </w:rPr>
      </w:pPr>
    </w:p>
    <w:p w:rsidR="00DB463C" w:rsidRDefault="002B7F58"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L'</w:t>
      </w:r>
      <w:r w:rsidRPr="00DB463C">
        <w:rPr>
          <w:rFonts w:asciiTheme="minorHAnsi" w:hAnsiTheme="minorHAnsi" w:cstheme="minorHAnsi"/>
          <w:b/>
          <w:color w:val="2F5496" w:themeColor="accent1" w:themeShade="BF"/>
          <w:sz w:val="20"/>
          <w:szCs w:val="20"/>
        </w:rPr>
        <w:t>IL-6</w:t>
      </w:r>
      <w:r w:rsidRPr="00DB463C">
        <w:rPr>
          <w:rFonts w:asciiTheme="minorHAnsi" w:hAnsiTheme="minorHAnsi" w:cstheme="minorHAnsi"/>
          <w:color w:val="2F5496" w:themeColor="accent1" w:themeShade="BF"/>
          <w:sz w:val="20"/>
          <w:szCs w:val="20"/>
        </w:rPr>
        <w:t xml:space="preserve"> può portare alla perdita vascolare, all'attivazione del complemento e alla cascata della coagulazione, portando ai sintomi gravi caratteristici della </w:t>
      </w:r>
      <w:r w:rsidRPr="00DB463C">
        <w:rPr>
          <w:rFonts w:asciiTheme="minorHAnsi" w:hAnsiTheme="minorHAnsi" w:cstheme="minorHAnsi"/>
          <w:b/>
          <w:bCs/>
          <w:color w:val="2F5496" w:themeColor="accent1" w:themeShade="BF"/>
          <w:sz w:val="20"/>
          <w:szCs w:val="20"/>
        </w:rPr>
        <w:t>sindrome da rilascio di citochine</w:t>
      </w:r>
      <w:r w:rsidRPr="00DB463C">
        <w:rPr>
          <w:rFonts w:asciiTheme="minorHAnsi" w:hAnsiTheme="minorHAnsi" w:cstheme="minorHAnsi"/>
          <w:color w:val="2F5496" w:themeColor="accent1" w:themeShade="BF"/>
          <w:sz w:val="20"/>
          <w:szCs w:val="20"/>
        </w:rPr>
        <w:t xml:space="preserve"> (CRS), come la </w:t>
      </w:r>
      <w:r w:rsidRPr="00DB463C">
        <w:rPr>
          <w:rFonts w:asciiTheme="minorHAnsi" w:hAnsiTheme="minorHAnsi" w:cstheme="minorHAnsi"/>
          <w:b/>
          <w:bCs/>
          <w:color w:val="2F5496" w:themeColor="accent1" w:themeShade="BF"/>
          <w:sz w:val="20"/>
          <w:szCs w:val="20"/>
        </w:rPr>
        <w:t>coagulazione intravascolare diffusa</w:t>
      </w:r>
      <w:r w:rsidRPr="00DB463C">
        <w:rPr>
          <w:rFonts w:asciiTheme="minorHAnsi" w:hAnsiTheme="minorHAnsi" w:cstheme="minorHAnsi"/>
          <w:color w:val="2F5496" w:themeColor="accent1" w:themeShade="BF"/>
          <w:sz w:val="20"/>
          <w:szCs w:val="20"/>
        </w:rPr>
        <w:t xml:space="preserve"> (DIC). </w:t>
      </w:r>
    </w:p>
    <w:p w:rsidR="002B7F58" w:rsidRPr="00DB463C" w:rsidRDefault="00CF4C89" w:rsidP="00D71CED">
      <w:pPr>
        <w:jc w:val="both"/>
        <w:rPr>
          <w:rFonts w:asciiTheme="minorHAnsi" w:hAnsiTheme="minorHAnsi" w:cstheme="minorHAnsi"/>
          <w:color w:val="2F5496" w:themeColor="accent1" w:themeShade="BF"/>
          <w:sz w:val="20"/>
          <w:szCs w:val="20"/>
        </w:rPr>
      </w:pPr>
      <w:r w:rsidRPr="00DB463C">
        <w:rPr>
          <w:rFonts w:asciiTheme="minorHAnsi" w:hAnsiTheme="minorHAnsi" w:cstheme="minorHAnsi"/>
          <w:color w:val="2F5496" w:themeColor="accent1" w:themeShade="BF"/>
          <w:sz w:val="20"/>
          <w:szCs w:val="20"/>
        </w:rPr>
        <w:t>Probabilmente</w:t>
      </w:r>
      <w:r w:rsidR="002B7F58" w:rsidRPr="00DB463C">
        <w:rPr>
          <w:rFonts w:asciiTheme="minorHAnsi" w:hAnsiTheme="minorHAnsi" w:cstheme="minorHAnsi"/>
          <w:color w:val="2F5496" w:themeColor="accent1" w:themeShade="BF"/>
          <w:sz w:val="20"/>
          <w:szCs w:val="20"/>
        </w:rPr>
        <w:t xml:space="preserve"> IL-6 </w:t>
      </w:r>
      <w:r w:rsidRPr="00DB463C">
        <w:rPr>
          <w:rFonts w:asciiTheme="minorHAnsi" w:hAnsiTheme="minorHAnsi" w:cstheme="minorHAnsi"/>
          <w:color w:val="2F5496" w:themeColor="accent1" w:themeShade="BF"/>
          <w:sz w:val="20"/>
          <w:szCs w:val="20"/>
        </w:rPr>
        <w:t>è responsabile anche</w:t>
      </w:r>
      <w:r w:rsidR="002B7F58" w:rsidRPr="00DB463C">
        <w:rPr>
          <w:rFonts w:asciiTheme="minorHAnsi" w:hAnsiTheme="minorHAnsi" w:cstheme="minorHAnsi"/>
          <w:color w:val="2F5496" w:themeColor="accent1" w:themeShade="BF"/>
          <w:sz w:val="20"/>
          <w:szCs w:val="20"/>
        </w:rPr>
        <w:t xml:space="preserve"> </w:t>
      </w:r>
      <w:r w:rsidRPr="00DB463C">
        <w:rPr>
          <w:rFonts w:asciiTheme="minorHAnsi" w:hAnsiTheme="minorHAnsi" w:cstheme="minorHAnsi"/>
          <w:color w:val="2F5496" w:themeColor="accent1" w:themeShade="BF"/>
          <w:sz w:val="20"/>
          <w:szCs w:val="20"/>
        </w:rPr>
        <w:t xml:space="preserve">della </w:t>
      </w:r>
      <w:r w:rsidR="002B7F58" w:rsidRPr="00DB463C">
        <w:rPr>
          <w:rFonts w:asciiTheme="minorHAnsi" w:hAnsiTheme="minorHAnsi" w:cstheme="minorHAnsi"/>
          <w:b/>
          <w:bCs/>
          <w:color w:val="2F5496" w:themeColor="accent1" w:themeShade="BF"/>
          <w:sz w:val="20"/>
          <w:szCs w:val="20"/>
        </w:rPr>
        <w:t>cardiomiopatia</w:t>
      </w:r>
      <w:r w:rsidR="002B7F58" w:rsidRPr="00DB463C">
        <w:rPr>
          <w:rFonts w:asciiTheme="minorHAnsi" w:hAnsiTheme="minorHAnsi" w:cstheme="minorHAnsi"/>
          <w:color w:val="2F5496" w:themeColor="accent1" w:themeShade="BF"/>
          <w:sz w:val="20"/>
          <w:szCs w:val="20"/>
        </w:rPr>
        <w:t xml:space="preserve"> spesso osservata in pazienti con CRS. </w:t>
      </w:r>
    </w:p>
    <w:p w:rsidR="002B7F58" w:rsidRPr="00DB463C" w:rsidRDefault="002B7F58" w:rsidP="00D71CED">
      <w:pPr>
        <w:jc w:val="both"/>
        <w:rPr>
          <w:rFonts w:asciiTheme="minorHAnsi" w:hAnsiTheme="minorHAnsi" w:cstheme="minorHAnsi"/>
          <w:color w:val="2F5496" w:themeColor="accent1" w:themeShade="BF"/>
          <w:sz w:val="20"/>
          <w:szCs w:val="20"/>
        </w:rPr>
      </w:pPr>
    </w:p>
    <w:p w:rsidR="002B7F58" w:rsidRPr="00717D4D" w:rsidRDefault="002B7F58" w:rsidP="00D71CED">
      <w:pPr>
        <w:jc w:val="center"/>
        <w:rPr>
          <w:rFonts w:asciiTheme="minorHAnsi" w:hAnsiTheme="minorHAnsi"/>
          <w:color w:val="2F5496" w:themeColor="accent1" w:themeShade="BF"/>
        </w:rPr>
      </w:pPr>
      <w:r w:rsidRPr="00717D4D">
        <w:rPr>
          <w:rFonts w:asciiTheme="minorHAnsi" w:hAnsiTheme="minorHAnsi"/>
          <w:color w:val="2F5496" w:themeColor="accent1" w:themeShade="BF"/>
        </w:rPr>
        <w:fldChar w:fldCharType="begin"/>
      </w:r>
      <w:r w:rsidRPr="00717D4D">
        <w:rPr>
          <w:rFonts w:asciiTheme="minorHAnsi" w:hAnsiTheme="minorHAnsi"/>
          <w:color w:val="2F5496" w:themeColor="accent1" w:themeShade="BF"/>
        </w:rPr>
        <w:instrText xml:space="preserve"> INCLUDEPICTURE "https://www.ncbi.nlm.nih.gov/pmc/articles/PMC7182527/bin/gr1_lrg.jpg" \* MERGEFORMATINET </w:instrText>
      </w:r>
      <w:r w:rsidRPr="00717D4D">
        <w:rPr>
          <w:rFonts w:asciiTheme="minorHAnsi" w:hAnsiTheme="minorHAnsi"/>
          <w:color w:val="2F5496" w:themeColor="accent1" w:themeShade="BF"/>
        </w:rPr>
        <w:fldChar w:fldCharType="separate"/>
      </w:r>
      <w:r w:rsidRPr="00717D4D">
        <w:rPr>
          <w:rFonts w:asciiTheme="minorHAnsi" w:hAnsiTheme="minorHAnsi"/>
          <w:noProof/>
          <w:color w:val="2F5496" w:themeColor="accent1" w:themeShade="BF"/>
        </w:rPr>
        <w:drawing>
          <wp:inline distT="0" distB="0" distL="0" distR="0" wp14:anchorId="505D8920" wp14:editId="2F626DC3">
            <wp:extent cx="6226166" cy="3376170"/>
            <wp:effectExtent l="0" t="0" r="0" b="2540"/>
            <wp:docPr id="16" name="Immagine 16"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35961" cy="3489932"/>
                    </a:xfrm>
                    <a:prstGeom prst="rect">
                      <a:avLst/>
                    </a:prstGeom>
                    <a:noFill/>
                    <a:ln>
                      <a:noFill/>
                    </a:ln>
                  </pic:spPr>
                </pic:pic>
              </a:graphicData>
            </a:graphic>
          </wp:inline>
        </w:drawing>
      </w:r>
      <w:r w:rsidRPr="00717D4D">
        <w:rPr>
          <w:rFonts w:asciiTheme="minorHAnsi" w:hAnsiTheme="minorHAnsi"/>
          <w:color w:val="2F5496" w:themeColor="accent1" w:themeShade="BF"/>
        </w:rPr>
        <w:fldChar w:fldCharType="end"/>
      </w:r>
    </w:p>
    <w:p w:rsidR="002B7F58" w:rsidRPr="00D921F9" w:rsidRDefault="00D71CED" w:rsidP="00D921F9">
      <w:pPr>
        <w:shd w:val="clear" w:color="auto" w:fill="F2F2F2" w:themeFill="background1" w:themeFillShade="F2"/>
        <w:jc w:val="both"/>
        <w:rPr>
          <w:rFonts w:asciiTheme="minorHAnsi" w:hAnsiTheme="minorHAnsi" w:cstheme="minorHAnsi"/>
          <w:color w:val="2F5496" w:themeColor="accent1" w:themeShade="BF"/>
          <w:sz w:val="18"/>
          <w:szCs w:val="18"/>
        </w:rPr>
      </w:pPr>
      <w:r w:rsidRPr="00D921F9">
        <w:rPr>
          <w:rFonts w:asciiTheme="minorHAnsi" w:hAnsiTheme="minorHAnsi" w:cstheme="minorHAnsi"/>
          <w:color w:val="2F5496" w:themeColor="accent1" w:themeShade="BF"/>
          <w:sz w:val="18"/>
          <w:szCs w:val="18"/>
        </w:rPr>
        <w:t>tratta da</w:t>
      </w:r>
      <w:r w:rsidRPr="00D921F9">
        <w:rPr>
          <w:rFonts w:asciiTheme="minorHAnsi" w:hAnsiTheme="minorHAnsi"/>
          <w:color w:val="2F5496" w:themeColor="accent1" w:themeShade="BF"/>
          <w:sz w:val="18"/>
          <w:szCs w:val="18"/>
        </w:rPr>
        <w:t xml:space="preserve"> </w:t>
      </w:r>
      <w:hyperlink r:id="rId72" w:history="1">
        <w:r w:rsidRPr="00D921F9">
          <w:rPr>
            <w:rStyle w:val="Hyperlink"/>
            <w:rFonts w:asciiTheme="minorHAnsi" w:eastAsiaTheme="majorEastAsia" w:hAnsiTheme="minorHAnsi" w:cstheme="minorHAnsi"/>
            <w:sz w:val="18"/>
            <w:szCs w:val="18"/>
            <w:u w:val="none"/>
            <w14:textFill>
              <w14:solidFill>
                <w14:srgbClr w14:val="0000FF">
                  <w14:lumMod w14:val="75000"/>
                </w14:srgbClr>
              </w14:solidFill>
            </w14:textFill>
          </w:rPr>
          <w:t>https://www.ncbi.nlm.nih.gov/pmc/articles/pmc7182527/</w:t>
        </w:r>
      </w:hyperlink>
    </w:p>
    <w:p w:rsidR="002B7F58" w:rsidRPr="00717D4D" w:rsidRDefault="002B7F58" w:rsidP="00D71CED">
      <w:pPr>
        <w:jc w:val="both"/>
        <w:rPr>
          <w:rFonts w:asciiTheme="minorHAnsi" w:hAnsiTheme="minorHAnsi" w:cstheme="minorHAnsi"/>
          <w:color w:val="2F5496" w:themeColor="accent1" w:themeShade="BF"/>
          <w:sz w:val="16"/>
          <w:szCs w:val="16"/>
        </w:rPr>
      </w:pPr>
    </w:p>
    <w:p w:rsidR="00750B7B" w:rsidRDefault="00750B7B"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Default="00D921F9" w:rsidP="00D71CED">
      <w:pPr>
        <w:jc w:val="both"/>
        <w:rPr>
          <w:rFonts w:asciiTheme="minorHAnsi" w:hAnsiTheme="minorHAnsi" w:cstheme="minorHAnsi"/>
          <w:color w:val="2F5496" w:themeColor="accent1" w:themeShade="BF"/>
          <w:sz w:val="16"/>
          <w:szCs w:val="16"/>
        </w:rPr>
      </w:pPr>
    </w:p>
    <w:p w:rsidR="00D921F9" w:rsidRPr="001F5DBD" w:rsidRDefault="00D921F9" w:rsidP="00D71CED">
      <w:pPr>
        <w:jc w:val="both"/>
        <w:rPr>
          <w:rFonts w:asciiTheme="minorHAnsi" w:hAnsiTheme="minorHAnsi" w:cstheme="minorHAnsi"/>
          <w:color w:val="2F5496" w:themeColor="accent1" w:themeShade="BF"/>
          <w:sz w:val="16"/>
          <w:szCs w:val="16"/>
        </w:rPr>
      </w:pPr>
    </w:p>
    <w:p w:rsidR="0072185E" w:rsidRPr="00717D4D" w:rsidRDefault="0072185E" w:rsidP="0072185E">
      <w:pPr>
        <w:pStyle w:val="Heading1"/>
        <w:jc w:val="center"/>
        <w:rPr>
          <w:rFonts w:asciiTheme="minorHAnsi" w:hAnsiTheme="minorHAnsi" w:cstheme="minorHAnsi"/>
          <w:color w:val="1C1E21"/>
          <w:sz w:val="20"/>
          <w:szCs w:val="20"/>
        </w:rPr>
      </w:pPr>
      <w:bookmarkStart w:id="29" w:name="_Toc43342379"/>
      <w:r w:rsidRPr="00717D4D">
        <w:rPr>
          <w:rFonts w:asciiTheme="minorHAnsi" w:hAnsiTheme="minorHAnsi" w:cstheme="minorHAnsi"/>
          <w:b/>
          <w:color w:val="000000" w:themeColor="text1"/>
          <w:sz w:val="24"/>
          <w:szCs w:val="24"/>
        </w:rPr>
        <w:lastRenderedPageBreak/>
        <w:t>LE RISPOSTE IMMUNITARIE INDOTTE DALL'INFEZIONE DA SARS-COV-2</w:t>
      </w:r>
      <w:bookmarkEnd w:id="29"/>
    </w:p>
    <w:p w:rsidR="0072185E" w:rsidRPr="00717D4D" w:rsidRDefault="0072185E" w:rsidP="002B7F58">
      <w:pPr>
        <w:shd w:val="clear" w:color="auto" w:fill="FFFFFF"/>
        <w:jc w:val="both"/>
        <w:rPr>
          <w:rFonts w:asciiTheme="minorHAnsi" w:hAnsiTheme="minorHAnsi" w:cstheme="minorHAnsi"/>
          <w:color w:val="1C1E21"/>
        </w:rPr>
      </w:pPr>
    </w:p>
    <w:p w:rsidR="00DB463C" w:rsidRDefault="002B7F58" w:rsidP="002B7F58">
      <w:pPr>
        <w:shd w:val="clear" w:color="auto" w:fill="FFFFFF"/>
        <w:jc w:val="both"/>
        <w:rPr>
          <w:rFonts w:asciiTheme="minorHAnsi" w:hAnsiTheme="minorHAnsi" w:cstheme="minorHAnsi"/>
          <w:color w:val="1C1E21"/>
          <w:sz w:val="20"/>
          <w:szCs w:val="20"/>
        </w:rPr>
      </w:pPr>
      <w:r w:rsidRPr="00DB463C">
        <w:rPr>
          <w:rFonts w:asciiTheme="minorHAnsi" w:hAnsiTheme="minorHAnsi" w:cstheme="minorHAnsi"/>
          <w:color w:val="1C1E21"/>
          <w:sz w:val="20"/>
          <w:szCs w:val="20"/>
        </w:rPr>
        <w:t>Dal punto di vista clinico, le risposte immunitarie indotte dall'infezione da SARS-CoV-2  sono suddivisibili in due fasi:</w:t>
      </w:r>
    </w:p>
    <w:p w:rsidR="00DB463C" w:rsidRDefault="00DB463C" w:rsidP="002B7F58">
      <w:pPr>
        <w:shd w:val="clear" w:color="auto" w:fill="FFFFFF"/>
        <w:jc w:val="both"/>
        <w:rPr>
          <w:rFonts w:asciiTheme="minorHAnsi" w:hAnsiTheme="minorHAnsi" w:cstheme="minorHAnsi"/>
          <w:color w:val="1C1E21"/>
          <w:sz w:val="20"/>
          <w:szCs w:val="20"/>
        </w:rPr>
      </w:pPr>
    </w:p>
    <w:p w:rsidR="00DB463C" w:rsidRDefault="002B7F58" w:rsidP="00D921F9">
      <w:pPr>
        <w:shd w:val="clear" w:color="auto" w:fill="FBF9E1"/>
        <w:spacing w:line="360" w:lineRule="auto"/>
        <w:jc w:val="both"/>
        <w:rPr>
          <w:rFonts w:asciiTheme="minorHAnsi" w:hAnsiTheme="minorHAnsi" w:cstheme="minorHAnsi"/>
          <w:color w:val="1C1E21"/>
          <w:sz w:val="20"/>
          <w:szCs w:val="20"/>
        </w:rPr>
      </w:pPr>
      <w:r w:rsidRPr="00DB463C">
        <w:rPr>
          <w:rFonts w:asciiTheme="minorHAnsi" w:hAnsiTheme="minorHAnsi" w:cstheme="minorHAnsi"/>
          <w:color w:val="1C1E21"/>
          <w:sz w:val="20"/>
          <w:szCs w:val="20"/>
        </w:rPr>
        <w:t xml:space="preserve">una </w:t>
      </w:r>
      <w:r w:rsidRPr="00DB463C">
        <w:rPr>
          <w:rFonts w:asciiTheme="minorHAnsi" w:hAnsiTheme="minorHAnsi" w:cstheme="minorHAnsi"/>
          <w:b/>
          <w:color w:val="1C1E21"/>
          <w:sz w:val="20"/>
          <w:szCs w:val="20"/>
        </w:rPr>
        <w:t>fase proinfiammatoria effettrice</w:t>
      </w:r>
      <w:r w:rsidRPr="00DB463C">
        <w:rPr>
          <w:rFonts w:asciiTheme="minorHAnsi" w:hAnsiTheme="minorHAnsi" w:cstheme="minorHAnsi"/>
          <w:color w:val="1C1E21"/>
          <w:sz w:val="20"/>
          <w:szCs w:val="20"/>
        </w:rPr>
        <w:t xml:space="preserve"> e </w:t>
      </w:r>
    </w:p>
    <w:p w:rsidR="00DB463C" w:rsidRDefault="002B7F58" w:rsidP="00D921F9">
      <w:pPr>
        <w:shd w:val="clear" w:color="auto" w:fill="FBF9E1"/>
        <w:spacing w:line="360" w:lineRule="auto"/>
        <w:jc w:val="both"/>
        <w:rPr>
          <w:rFonts w:asciiTheme="minorHAnsi" w:hAnsiTheme="minorHAnsi" w:cstheme="minorHAnsi"/>
          <w:color w:val="1C1E21"/>
          <w:sz w:val="20"/>
          <w:szCs w:val="20"/>
        </w:rPr>
      </w:pPr>
      <w:r w:rsidRPr="00DB463C">
        <w:rPr>
          <w:rFonts w:asciiTheme="minorHAnsi" w:hAnsiTheme="minorHAnsi" w:cstheme="minorHAnsi"/>
          <w:color w:val="1C1E21"/>
          <w:sz w:val="20"/>
          <w:szCs w:val="20"/>
        </w:rPr>
        <w:t xml:space="preserve">una </w:t>
      </w:r>
      <w:r w:rsidRPr="00DB463C">
        <w:rPr>
          <w:rFonts w:asciiTheme="minorHAnsi" w:hAnsiTheme="minorHAnsi" w:cstheme="minorHAnsi"/>
          <w:b/>
          <w:color w:val="1C1E21"/>
          <w:sz w:val="20"/>
          <w:szCs w:val="20"/>
        </w:rPr>
        <w:t>fase regolatoria di riparo</w:t>
      </w:r>
      <w:r w:rsidRPr="00DB463C">
        <w:rPr>
          <w:rFonts w:asciiTheme="minorHAnsi" w:hAnsiTheme="minorHAnsi" w:cstheme="minorHAnsi"/>
          <w:color w:val="1C1E21"/>
          <w:sz w:val="20"/>
          <w:szCs w:val="20"/>
        </w:rPr>
        <w:t xml:space="preserve">. </w:t>
      </w:r>
    </w:p>
    <w:p w:rsidR="00DB463C" w:rsidRDefault="00DB463C" w:rsidP="002B7F58">
      <w:pPr>
        <w:shd w:val="clear" w:color="auto" w:fill="FFFFFF"/>
        <w:jc w:val="both"/>
        <w:rPr>
          <w:rFonts w:asciiTheme="minorHAnsi" w:hAnsiTheme="minorHAnsi" w:cstheme="minorHAnsi"/>
          <w:color w:val="1C1E21"/>
          <w:sz w:val="20"/>
          <w:szCs w:val="20"/>
        </w:rPr>
      </w:pPr>
    </w:p>
    <w:p w:rsidR="00DB463C" w:rsidRDefault="002B7F58" w:rsidP="002B7F58">
      <w:pPr>
        <w:shd w:val="clear" w:color="auto" w:fill="FFFFFF"/>
        <w:jc w:val="both"/>
        <w:rPr>
          <w:rFonts w:asciiTheme="minorHAnsi" w:hAnsiTheme="minorHAnsi" w:cstheme="minorHAnsi"/>
          <w:color w:val="1C1E21"/>
          <w:sz w:val="20"/>
          <w:szCs w:val="20"/>
        </w:rPr>
      </w:pPr>
      <w:r w:rsidRPr="00DB463C">
        <w:rPr>
          <w:rFonts w:asciiTheme="minorHAnsi" w:hAnsiTheme="minorHAnsi" w:cstheme="minorHAnsi"/>
          <w:color w:val="1C1E21"/>
          <w:sz w:val="20"/>
          <w:szCs w:val="20"/>
        </w:rPr>
        <w:t xml:space="preserve">La risposta complessiva di difesa deve essere in grado di portare ad un danno minimo all’organismo. </w:t>
      </w:r>
      <w:r w:rsidRPr="00DB463C">
        <w:rPr>
          <w:rStyle w:val="FootnoteReference"/>
          <w:rFonts w:asciiTheme="minorHAnsi" w:hAnsiTheme="minorHAnsi" w:cstheme="minorHAnsi"/>
          <w:color w:val="1C1E21"/>
          <w:sz w:val="20"/>
          <w:szCs w:val="20"/>
        </w:rPr>
        <w:footnoteReference w:id="53"/>
      </w:r>
      <w:r w:rsidRPr="00DB463C">
        <w:rPr>
          <w:rFonts w:asciiTheme="minorHAnsi" w:hAnsiTheme="minorHAnsi" w:cstheme="minorHAnsi"/>
          <w:color w:val="1C1E21"/>
          <w:sz w:val="20"/>
          <w:szCs w:val="20"/>
        </w:rPr>
        <w:t xml:space="preserve">  </w:t>
      </w:r>
    </w:p>
    <w:p w:rsidR="00DB463C" w:rsidRDefault="002B7F58" w:rsidP="002B7F58">
      <w:pPr>
        <w:shd w:val="clear" w:color="auto" w:fill="FFFFFF"/>
        <w:jc w:val="both"/>
        <w:rPr>
          <w:rFonts w:asciiTheme="minorHAnsi" w:hAnsiTheme="minorHAnsi" w:cstheme="minorHAnsi"/>
          <w:color w:val="1C1E21"/>
          <w:sz w:val="20"/>
          <w:szCs w:val="20"/>
        </w:rPr>
      </w:pPr>
      <w:r w:rsidRPr="00DB463C">
        <w:rPr>
          <w:rFonts w:asciiTheme="minorHAnsi" w:hAnsiTheme="minorHAnsi" w:cstheme="minorHAnsi"/>
          <w:b/>
          <w:bCs/>
          <w:color w:val="1C1E21"/>
          <w:sz w:val="20"/>
          <w:szCs w:val="20"/>
        </w:rPr>
        <w:t>Durante l'incubazione e la fase non grave</w:t>
      </w:r>
      <w:r w:rsidRPr="00DB463C">
        <w:rPr>
          <w:rFonts w:asciiTheme="minorHAnsi" w:hAnsiTheme="minorHAnsi" w:cstheme="minorHAnsi"/>
          <w:color w:val="1C1E21"/>
          <w:sz w:val="20"/>
          <w:szCs w:val="20"/>
        </w:rPr>
        <w:t xml:space="preserve">, è necessaria una risposta immunitaria innata e adattativa specifica per eliminare il virus e precludere la progressione della malattia alle fasi gravi. </w:t>
      </w:r>
    </w:p>
    <w:p w:rsidR="002B7F58" w:rsidRPr="00DB463C" w:rsidRDefault="002B7F58" w:rsidP="002B7F58">
      <w:pPr>
        <w:shd w:val="clear" w:color="auto" w:fill="FFFFFF"/>
        <w:jc w:val="both"/>
        <w:rPr>
          <w:rFonts w:asciiTheme="minorHAnsi" w:hAnsiTheme="minorHAnsi" w:cstheme="minorHAnsi"/>
          <w:color w:val="1C1E21"/>
          <w:sz w:val="20"/>
          <w:szCs w:val="20"/>
        </w:rPr>
      </w:pPr>
      <w:r w:rsidRPr="00DB463C">
        <w:rPr>
          <w:rFonts w:asciiTheme="minorHAnsi" w:hAnsiTheme="minorHAnsi" w:cstheme="minorHAnsi"/>
          <w:color w:val="1C1E21"/>
          <w:sz w:val="20"/>
          <w:szCs w:val="20"/>
        </w:rPr>
        <w:t xml:space="preserve">Pertanto, le strategie per </w:t>
      </w:r>
      <w:r w:rsidR="0072185E" w:rsidRPr="00DB463C">
        <w:rPr>
          <w:rFonts w:asciiTheme="minorHAnsi" w:hAnsiTheme="minorHAnsi" w:cstheme="minorHAnsi"/>
          <w:color w:val="1C1E21"/>
          <w:sz w:val="20"/>
          <w:szCs w:val="20"/>
        </w:rPr>
        <w:t xml:space="preserve">rafforzare </w:t>
      </w:r>
      <w:r w:rsidRPr="00DB463C">
        <w:rPr>
          <w:rFonts w:asciiTheme="minorHAnsi" w:hAnsiTheme="minorHAnsi" w:cstheme="minorHAnsi"/>
          <w:color w:val="1C1E21"/>
          <w:sz w:val="20"/>
          <w:szCs w:val="20"/>
        </w:rPr>
        <w:t xml:space="preserve">le difese immunitarie in questa fase sono </w:t>
      </w:r>
      <w:r w:rsidR="00CF4C89" w:rsidRPr="00DB463C">
        <w:rPr>
          <w:rFonts w:asciiTheme="minorHAnsi" w:hAnsiTheme="minorHAnsi" w:cstheme="minorHAnsi"/>
          <w:color w:val="1C1E21"/>
          <w:sz w:val="20"/>
          <w:szCs w:val="20"/>
        </w:rPr>
        <w:t>molto</w:t>
      </w:r>
      <w:r w:rsidRPr="00DB463C">
        <w:rPr>
          <w:rFonts w:asciiTheme="minorHAnsi" w:hAnsiTheme="minorHAnsi" w:cstheme="minorHAnsi"/>
          <w:color w:val="1C1E21"/>
          <w:sz w:val="20"/>
          <w:szCs w:val="20"/>
        </w:rPr>
        <w:t xml:space="preserve"> importanti. Per lo sviluppo di una risposta immunitaria protettiva endogena </w:t>
      </w:r>
      <w:r w:rsidR="00CF4C89" w:rsidRPr="00DB463C">
        <w:rPr>
          <w:rFonts w:asciiTheme="minorHAnsi" w:hAnsiTheme="minorHAnsi" w:cstheme="minorHAnsi"/>
          <w:color w:val="1C1E21"/>
          <w:sz w:val="20"/>
          <w:szCs w:val="20"/>
        </w:rPr>
        <w:t xml:space="preserve">efficace </w:t>
      </w:r>
      <w:r w:rsidRPr="00DB463C">
        <w:rPr>
          <w:rFonts w:asciiTheme="minorHAnsi" w:hAnsiTheme="minorHAnsi" w:cstheme="minorHAnsi"/>
          <w:color w:val="1C1E21"/>
          <w:sz w:val="20"/>
          <w:szCs w:val="20"/>
        </w:rPr>
        <w:t xml:space="preserve">durante l'incubazione e le fasi non gravi, l'ospite deve essere in buona salute generale e avere un background genetico adeguato (ad es. HLA) </w:t>
      </w:r>
      <w:r w:rsidR="004A1482" w:rsidRPr="00DB463C">
        <w:rPr>
          <w:rFonts w:asciiTheme="minorHAnsi" w:hAnsiTheme="minorHAnsi" w:cstheme="minorHAnsi"/>
          <w:color w:val="1C1E21"/>
          <w:sz w:val="20"/>
          <w:szCs w:val="20"/>
        </w:rPr>
        <w:t xml:space="preserve">a </w:t>
      </w:r>
      <w:r w:rsidRPr="00DB463C">
        <w:rPr>
          <w:rFonts w:asciiTheme="minorHAnsi" w:hAnsiTheme="minorHAnsi" w:cstheme="minorHAnsi"/>
          <w:color w:val="1C1E21"/>
          <w:sz w:val="20"/>
          <w:szCs w:val="20"/>
        </w:rPr>
        <w:t>suscit</w:t>
      </w:r>
      <w:r w:rsidR="004A1482" w:rsidRPr="00DB463C">
        <w:rPr>
          <w:rFonts w:asciiTheme="minorHAnsi" w:hAnsiTheme="minorHAnsi" w:cstheme="minorHAnsi"/>
          <w:color w:val="1C1E21"/>
          <w:sz w:val="20"/>
          <w:szCs w:val="20"/>
        </w:rPr>
        <w:t xml:space="preserve">are </w:t>
      </w:r>
      <w:r w:rsidRPr="00DB463C">
        <w:rPr>
          <w:rFonts w:asciiTheme="minorHAnsi" w:hAnsiTheme="minorHAnsi" w:cstheme="minorHAnsi"/>
          <w:color w:val="1C1E21"/>
          <w:sz w:val="20"/>
          <w:szCs w:val="20"/>
        </w:rPr>
        <w:t>un'immunità antivirale specifica.</w:t>
      </w:r>
    </w:p>
    <w:p w:rsidR="004A1482" w:rsidRDefault="002B7F58" w:rsidP="002B7F58">
      <w:pPr>
        <w:shd w:val="clear" w:color="auto" w:fill="FFFFFF"/>
        <w:jc w:val="both"/>
        <w:rPr>
          <w:rFonts w:asciiTheme="minorHAnsi" w:hAnsiTheme="minorHAnsi" w:cstheme="minorHAnsi"/>
          <w:color w:val="1C1E21"/>
          <w:sz w:val="20"/>
          <w:szCs w:val="20"/>
        </w:rPr>
      </w:pPr>
      <w:r w:rsidRPr="00DB463C">
        <w:rPr>
          <w:rFonts w:asciiTheme="minorHAnsi" w:hAnsiTheme="minorHAnsi" w:cstheme="minorHAnsi"/>
          <w:color w:val="1C1E21"/>
          <w:sz w:val="20"/>
          <w:szCs w:val="20"/>
        </w:rPr>
        <w:t xml:space="preserve">Le differenze genetiche </w:t>
      </w:r>
      <w:r w:rsidR="0072185E" w:rsidRPr="00DB463C">
        <w:rPr>
          <w:rFonts w:asciiTheme="minorHAnsi" w:hAnsiTheme="minorHAnsi" w:cstheme="minorHAnsi"/>
          <w:color w:val="1C1E21"/>
          <w:sz w:val="20"/>
          <w:szCs w:val="20"/>
        </w:rPr>
        <w:t xml:space="preserve">infatti, </w:t>
      </w:r>
      <w:r w:rsidRPr="00DB463C">
        <w:rPr>
          <w:rFonts w:asciiTheme="minorHAnsi" w:hAnsiTheme="minorHAnsi" w:cstheme="minorHAnsi"/>
          <w:color w:val="1C1E21"/>
          <w:sz w:val="20"/>
          <w:szCs w:val="20"/>
        </w:rPr>
        <w:t xml:space="preserve">sono ben note per contribuire alle variazioni individuali nella risposta immunitaria ai patogeni. </w:t>
      </w:r>
    </w:p>
    <w:p w:rsidR="00B43469" w:rsidRPr="00DB463C" w:rsidRDefault="00B43469" w:rsidP="002B7F58">
      <w:pPr>
        <w:shd w:val="clear" w:color="auto" w:fill="FFFFFF"/>
        <w:jc w:val="both"/>
        <w:rPr>
          <w:rFonts w:asciiTheme="minorHAnsi" w:hAnsiTheme="minorHAnsi" w:cstheme="minorHAnsi"/>
          <w:color w:val="1C1E21"/>
          <w:sz w:val="20"/>
          <w:szCs w:val="20"/>
        </w:rPr>
      </w:pPr>
    </w:p>
    <w:p w:rsidR="00B43469" w:rsidRDefault="004A1482" w:rsidP="002B7F58">
      <w:pPr>
        <w:shd w:val="clear" w:color="auto" w:fill="FFFFFF"/>
        <w:jc w:val="both"/>
        <w:rPr>
          <w:rFonts w:asciiTheme="minorHAnsi" w:hAnsiTheme="minorHAnsi" w:cstheme="minorHAnsi"/>
          <w:color w:val="1C1E21"/>
          <w:sz w:val="20"/>
          <w:szCs w:val="20"/>
        </w:rPr>
      </w:pPr>
      <w:r w:rsidRPr="00B43469">
        <w:rPr>
          <w:rFonts w:asciiTheme="minorHAnsi" w:hAnsiTheme="minorHAnsi" w:cstheme="minorHAnsi"/>
          <w:b/>
          <w:bCs/>
          <w:color w:val="1C1E21"/>
          <w:sz w:val="20"/>
          <w:szCs w:val="20"/>
        </w:rPr>
        <w:t>Quando</w:t>
      </w:r>
      <w:r w:rsidR="002B7F58" w:rsidRPr="00B43469">
        <w:rPr>
          <w:rFonts w:asciiTheme="minorHAnsi" w:hAnsiTheme="minorHAnsi" w:cstheme="minorHAnsi"/>
          <w:b/>
          <w:bCs/>
          <w:color w:val="1C1E21"/>
          <w:sz w:val="20"/>
          <w:szCs w:val="20"/>
        </w:rPr>
        <w:t xml:space="preserve"> una risposta immunitaria protettiva è compromessa</w:t>
      </w:r>
      <w:r w:rsidR="002B7F58" w:rsidRPr="00DB463C">
        <w:rPr>
          <w:rFonts w:asciiTheme="minorHAnsi" w:hAnsiTheme="minorHAnsi" w:cstheme="minorHAnsi"/>
          <w:color w:val="1C1E21"/>
          <w:sz w:val="20"/>
          <w:szCs w:val="20"/>
        </w:rPr>
        <w:t xml:space="preserve">, il virus si </w:t>
      </w:r>
      <w:r w:rsidRPr="00DB463C">
        <w:rPr>
          <w:rFonts w:asciiTheme="minorHAnsi" w:hAnsiTheme="minorHAnsi" w:cstheme="minorHAnsi"/>
          <w:color w:val="1C1E21"/>
          <w:sz w:val="20"/>
          <w:szCs w:val="20"/>
        </w:rPr>
        <w:t>diffonderà</w:t>
      </w:r>
      <w:r w:rsidR="002B7F58" w:rsidRPr="00DB463C">
        <w:rPr>
          <w:rFonts w:asciiTheme="minorHAnsi" w:hAnsiTheme="minorHAnsi" w:cstheme="minorHAnsi"/>
          <w:color w:val="1C1E21"/>
          <w:sz w:val="20"/>
          <w:szCs w:val="20"/>
        </w:rPr>
        <w:t xml:space="preserve"> </w:t>
      </w:r>
      <w:r w:rsidRPr="00DB463C">
        <w:rPr>
          <w:rFonts w:asciiTheme="minorHAnsi" w:hAnsiTheme="minorHAnsi" w:cstheme="minorHAnsi"/>
          <w:color w:val="1C1E21"/>
          <w:sz w:val="20"/>
          <w:szCs w:val="20"/>
        </w:rPr>
        <w:t>causando</w:t>
      </w:r>
      <w:r w:rsidR="002B7F58" w:rsidRPr="00DB463C">
        <w:rPr>
          <w:rFonts w:asciiTheme="minorHAnsi" w:hAnsiTheme="minorHAnsi" w:cstheme="minorHAnsi"/>
          <w:color w:val="1C1E21"/>
          <w:sz w:val="20"/>
          <w:szCs w:val="20"/>
        </w:rPr>
        <w:t xml:space="preserve"> una massiccia distruzione dei tessuti interessati, specialmente negli organi che hanno un'espressione ACE2 elevata, ad esempio </w:t>
      </w:r>
      <w:r w:rsidRPr="00DB463C">
        <w:rPr>
          <w:rFonts w:asciiTheme="minorHAnsi" w:hAnsiTheme="minorHAnsi" w:cstheme="minorHAnsi"/>
          <w:color w:val="1C1E21"/>
          <w:sz w:val="20"/>
          <w:szCs w:val="20"/>
        </w:rPr>
        <w:t>l’</w:t>
      </w:r>
      <w:r w:rsidR="002B7F58" w:rsidRPr="00DB463C">
        <w:rPr>
          <w:rFonts w:asciiTheme="minorHAnsi" w:hAnsiTheme="minorHAnsi" w:cstheme="minorHAnsi"/>
          <w:color w:val="1C1E21"/>
          <w:sz w:val="20"/>
          <w:szCs w:val="20"/>
        </w:rPr>
        <w:t xml:space="preserve">intestino e </w:t>
      </w:r>
      <w:r w:rsidRPr="00DB463C">
        <w:rPr>
          <w:rFonts w:asciiTheme="minorHAnsi" w:hAnsiTheme="minorHAnsi" w:cstheme="minorHAnsi"/>
          <w:color w:val="1C1E21"/>
          <w:sz w:val="20"/>
          <w:szCs w:val="20"/>
        </w:rPr>
        <w:t xml:space="preserve">i </w:t>
      </w:r>
      <w:r w:rsidR="002B7F58" w:rsidRPr="00DB463C">
        <w:rPr>
          <w:rFonts w:asciiTheme="minorHAnsi" w:hAnsiTheme="minorHAnsi" w:cstheme="minorHAnsi"/>
          <w:color w:val="1C1E21"/>
          <w:sz w:val="20"/>
          <w:szCs w:val="20"/>
        </w:rPr>
        <w:t xml:space="preserve">reni. </w:t>
      </w:r>
    </w:p>
    <w:p w:rsidR="00B43469" w:rsidRDefault="002B7F58" w:rsidP="002B7F58">
      <w:pPr>
        <w:shd w:val="clear" w:color="auto" w:fill="FFFFFF"/>
        <w:jc w:val="both"/>
        <w:rPr>
          <w:rFonts w:asciiTheme="minorHAnsi" w:hAnsiTheme="minorHAnsi" w:cstheme="minorHAnsi"/>
          <w:color w:val="1C1E21"/>
          <w:sz w:val="20"/>
          <w:szCs w:val="20"/>
        </w:rPr>
      </w:pPr>
      <w:r w:rsidRPr="00DB463C">
        <w:rPr>
          <w:rFonts w:asciiTheme="minorHAnsi" w:hAnsiTheme="minorHAnsi" w:cstheme="minorHAnsi"/>
          <w:color w:val="1C1E21"/>
          <w:sz w:val="20"/>
          <w:szCs w:val="20"/>
        </w:rPr>
        <w:t xml:space="preserve">Le cellule danneggiate inducono un’infiammazione </w:t>
      </w:r>
      <w:r w:rsidR="004A1482" w:rsidRPr="00DB463C">
        <w:rPr>
          <w:rFonts w:asciiTheme="minorHAnsi" w:hAnsiTheme="minorHAnsi" w:cstheme="minorHAnsi"/>
          <w:color w:val="1C1E21"/>
          <w:sz w:val="20"/>
          <w:szCs w:val="20"/>
        </w:rPr>
        <w:t xml:space="preserve">secondaria nei </w:t>
      </w:r>
      <w:r w:rsidRPr="00DB463C">
        <w:rPr>
          <w:rFonts w:asciiTheme="minorHAnsi" w:hAnsiTheme="minorHAnsi" w:cstheme="minorHAnsi"/>
          <w:color w:val="1C1E21"/>
          <w:sz w:val="20"/>
          <w:szCs w:val="20"/>
        </w:rPr>
        <w:t>polmon</w:t>
      </w:r>
      <w:r w:rsidR="004A1482" w:rsidRPr="00DB463C">
        <w:rPr>
          <w:rFonts w:asciiTheme="minorHAnsi" w:hAnsiTheme="minorHAnsi" w:cstheme="minorHAnsi"/>
          <w:color w:val="1C1E21"/>
          <w:sz w:val="20"/>
          <w:szCs w:val="20"/>
        </w:rPr>
        <w:t>i</w:t>
      </w:r>
      <w:r w:rsidRPr="00DB463C">
        <w:rPr>
          <w:rFonts w:asciiTheme="minorHAnsi" w:hAnsiTheme="minorHAnsi" w:cstheme="minorHAnsi"/>
          <w:color w:val="1C1E21"/>
          <w:sz w:val="20"/>
          <w:szCs w:val="20"/>
        </w:rPr>
        <w:t xml:space="preserve"> mediata in gran parte da macrofagi e granulociti proinfiammatori. </w:t>
      </w:r>
    </w:p>
    <w:p w:rsidR="00D921F9" w:rsidRDefault="00D921F9" w:rsidP="002B7F58">
      <w:pPr>
        <w:shd w:val="clear" w:color="auto" w:fill="FFFFFF"/>
        <w:jc w:val="both"/>
        <w:rPr>
          <w:rFonts w:asciiTheme="minorHAnsi" w:hAnsiTheme="minorHAnsi" w:cstheme="minorHAnsi"/>
          <w:color w:val="1C1E21"/>
          <w:sz w:val="20"/>
          <w:szCs w:val="20"/>
        </w:rPr>
      </w:pPr>
    </w:p>
    <w:p w:rsidR="001D7829" w:rsidRDefault="001D7829" w:rsidP="001D7829">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709" w:right="560"/>
        <w:jc w:val="both"/>
        <w:rPr>
          <w:rFonts w:asciiTheme="minorHAnsi" w:hAnsiTheme="minorHAnsi" w:cstheme="minorHAnsi"/>
          <w:i/>
          <w:iCs/>
          <w:color w:val="1C1E21"/>
          <w:sz w:val="20"/>
          <w:szCs w:val="20"/>
        </w:rPr>
      </w:pPr>
    </w:p>
    <w:p w:rsidR="002B7F58" w:rsidRDefault="002B7F58" w:rsidP="001D7829">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709" w:right="560"/>
        <w:jc w:val="both"/>
        <w:rPr>
          <w:rFonts w:asciiTheme="minorHAnsi" w:hAnsiTheme="minorHAnsi" w:cstheme="minorHAnsi"/>
          <w:i/>
          <w:iCs/>
          <w:color w:val="1C1E21"/>
          <w:sz w:val="20"/>
          <w:szCs w:val="20"/>
        </w:rPr>
      </w:pPr>
      <w:r w:rsidRPr="001D7829">
        <w:rPr>
          <w:rFonts w:asciiTheme="minorHAnsi" w:hAnsiTheme="minorHAnsi" w:cstheme="minorHAnsi"/>
          <w:i/>
          <w:iCs/>
          <w:color w:val="1C1E21"/>
          <w:sz w:val="20"/>
          <w:szCs w:val="20"/>
        </w:rPr>
        <w:t xml:space="preserve">L’infiammazione del polmone è la causa principale </w:t>
      </w:r>
      <w:r w:rsidR="004A1482" w:rsidRPr="001D7829">
        <w:rPr>
          <w:rFonts w:asciiTheme="minorHAnsi" w:hAnsiTheme="minorHAnsi" w:cstheme="minorHAnsi"/>
          <w:i/>
          <w:iCs/>
          <w:color w:val="1C1E21"/>
          <w:sz w:val="20"/>
          <w:szCs w:val="20"/>
        </w:rPr>
        <w:t>delle complicazioni</w:t>
      </w:r>
      <w:r w:rsidRPr="001D7829">
        <w:rPr>
          <w:rFonts w:asciiTheme="minorHAnsi" w:hAnsiTheme="minorHAnsi" w:cstheme="minorHAnsi"/>
          <w:i/>
          <w:iCs/>
          <w:color w:val="1C1E21"/>
          <w:sz w:val="20"/>
          <w:szCs w:val="20"/>
        </w:rPr>
        <w:t xml:space="preserve"> potenzialmente letali delle vie respiratorie nella fase grave, e come si è potuto dimostrare recentemente la coagulazione intravascolare disseminata è il fenomeno che porta a morte il paziente se non trattato </w:t>
      </w:r>
      <w:r w:rsidR="004A1482" w:rsidRPr="001D7829">
        <w:rPr>
          <w:rFonts w:asciiTheme="minorHAnsi" w:hAnsiTheme="minorHAnsi" w:cstheme="minorHAnsi"/>
          <w:i/>
          <w:iCs/>
          <w:color w:val="1C1E21"/>
          <w:sz w:val="20"/>
          <w:szCs w:val="20"/>
        </w:rPr>
        <w:t xml:space="preserve">opportunamente </w:t>
      </w:r>
      <w:r w:rsidRPr="001D7829">
        <w:rPr>
          <w:rFonts w:asciiTheme="minorHAnsi" w:hAnsiTheme="minorHAnsi" w:cstheme="minorHAnsi"/>
          <w:i/>
          <w:iCs/>
          <w:color w:val="1C1E21"/>
          <w:sz w:val="20"/>
          <w:szCs w:val="20"/>
        </w:rPr>
        <w:t>nella fase iniziale</w:t>
      </w:r>
      <w:r w:rsidR="00B43469" w:rsidRPr="001D7829">
        <w:rPr>
          <w:rFonts w:asciiTheme="minorHAnsi" w:hAnsiTheme="minorHAnsi" w:cstheme="minorHAnsi"/>
          <w:i/>
          <w:iCs/>
          <w:color w:val="1C1E21"/>
          <w:sz w:val="20"/>
          <w:szCs w:val="20"/>
        </w:rPr>
        <w:t>.</w:t>
      </w:r>
      <w:r w:rsidRPr="001D7829">
        <w:rPr>
          <w:rStyle w:val="FootnoteReference"/>
          <w:rFonts w:asciiTheme="minorHAnsi" w:hAnsiTheme="minorHAnsi" w:cstheme="minorHAnsi"/>
          <w:i/>
          <w:iCs/>
          <w:color w:val="1C1E21"/>
          <w:sz w:val="20"/>
          <w:szCs w:val="20"/>
        </w:rPr>
        <w:footnoteReference w:id="54"/>
      </w:r>
      <w:r w:rsidRPr="001D7829">
        <w:rPr>
          <w:rFonts w:asciiTheme="minorHAnsi" w:hAnsiTheme="minorHAnsi" w:cstheme="minorHAnsi"/>
          <w:i/>
          <w:iCs/>
          <w:color w:val="1C1E21"/>
          <w:sz w:val="20"/>
          <w:szCs w:val="20"/>
        </w:rPr>
        <w:t xml:space="preserve"> </w:t>
      </w:r>
    </w:p>
    <w:p w:rsidR="001D7829" w:rsidRPr="001D7829" w:rsidRDefault="001D7829" w:rsidP="001D7829">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709" w:right="560"/>
        <w:jc w:val="both"/>
        <w:rPr>
          <w:rFonts w:asciiTheme="minorHAnsi" w:hAnsiTheme="minorHAnsi" w:cstheme="minorHAnsi"/>
          <w:i/>
          <w:iCs/>
          <w:color w:val="1C1E21"/>
          <w:sz w:val="20"/>
          <w:szCs w:val="20"/>
        </w:rPr>
      </w:pPr>
    </w:p>
    <w:p w:rsidR="002B7F58" w:rsidRPr="00DB463C" w:rsidRDefault="002B7F58" w:rsidP="002B7F58">
      <w:pPr>
        <w:shd w:val="clear" w:color="auto" w:fill="FFFFFF"/>
        <w:jc w:val="both"/>
        <w:rPr>
          <w:rFonts w:asciiTheme="minorHAnsi" w:hAnsiTheme="minorHAnsi" w:cstheme="minorHAnsi"/>
          <w:color w:val="1C1E21"/>
          <w:sz w:val="20"/>
          <w:szCs w:val="20"/>
        </w:rPr>
      </w:pPr>
    </w:p>
    <w:p w:rsidR="002B7F58" w:rsidRPr="00717D4D" w:rsidRDefault="002B7F58" w:rsidP="001D7829">
      <w:pPr>
        <w:shd w:val="clear" w:color="auto" w:fill="FFFFFF"/>
        <w:jc w:val="center"/>
        <w:rPr>
          <w:rFonts w:asciiTheme="minorHAnsi" w:hAnsiTheme="minorHAnsi" w:cstheme="minorHAnsi"/>
          <w:color w:val="1C1E21"/>
        </w:rPr>
      </w:pPr>
      <w:r w:rsidRPr="00717D4D">
        <w:rPr>
          <w:rFonts w:asciiTheme="minorHAnsi" w:hAnsiTheme="minorHAnsi" w:cstheme="minorHAnsi"/>
          <w:noProof/>
          <w:color w:val="1C1E21"/>
        </w:rPr>
        <w:drawing>
          <wp:inline distT="0" distB="0" distL="0" distR="0" wp14:anchorId="7A1128B4" wp14:editId="7F537D05">
            <wp:extent cx="5768926" cy="304018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20-04-14 alle 17.00.27.png"/>
                    <pic:cNvPicPr/>
                  </pic:nvPicPr>
                  <pic:blipFill>
                    <a:blip r:embed="rId73">
                      <a:extLst>
                        <a:ext uri="{28A0092B-C50C-407E-A947-70E740481C1C}">
                          <a14:useLocalDpi xmlns:a14="http://schemas.microsoft.com/office/drawing/2010/main" val="0"/>
                        </a:ext>
                      </a:extLst>
                    </a:blip>
                    <a:stretch>
                      <a:fillRect/>
                    </a:stretch>
                  </pic:blipFill>
                  <pic:spPr>
                    <a:xfrm>
                      <a:off x="0" y="0"/>
                      <a:ext cx="5930041" cy="3125091"/>
                    </a:xfrm>
                    <a:prstGeom prst="rect">
                      <a:avLst/>
                    </a:prstGeom>
                  </pic:spPr>
                </pic:pic>
              </a:graphicData>
            </a:graphic>
          </wp:inline>
        </w:drawing>
      </w:r>
    </w:p>
    <w:p w:rsidR="00B43469" w:rsidRPr="001D7829" w:rsidRDefault="00B43469" w:rsidP="001D7829">
      <w:pPr>
        <w:shd w:val="clear" w:color="auto" w:fill="F2F2F2" w:themeFill="background1" w:themeFillShade="F2"/>
        <w:jc w:val="both"/>
        <w:rPr>
          <w:rStyle w:val="Hyperlink"/>
          <w:rFonts w:asciiTheme="minorHAnsi" w:eastAsiaTheme="majorEastAsia" w:hAnsiTheme="minorHAnsi" w:cstheme="minorHAnsi"/>
          <w:color w:val="000000" w:themeColor="text1"/>
          <w:sz w:val="18"/>
          <w:szCs w:val="18"/>
          <w:u w:val="none"/>
        </w:rPr>
      </w:pPr>
      <w:r w:rsidRPr="001D7829">
        <w:rPr>
          <w:rFonts w:asciiTheme="minorHAnsi" w:hAnsiTheme="minorHAnsi" w:cstheme="minorHAnsi"/>
          <w:color w:val="000000" w:themeColor="text1"/>
          <w:sz w:val="18"/>
          <w:szCs w:val="18"/>
        </w:rPr>
        <w:lastRenderedPageBreak/>
        <w:t xml:space="preserve">adattata da </w:t>
      </w:r>
      <w:hyperlink r:id="rId74" w:history="1">
        <w:r w:rsidRPr="001D7829">
          <w:rPr>
            <w:rStyle w:val="Hyperlink"/>
            <w:rFonts w:asciiTheme="minorHAnsi" w:eastAsiaTheme="majorEastAsia" w:hAnsiTheme="minorHAnsi" w:cstheme="minorHAnsi"/>
            <w:color w:val="000000" w:themeColor="text1"/>
            <w:sz w:val="18"/>
            <w:szCs w:val="18"/>
            <w:u w:val="none"/>
          </w:rPr>
          <w:t>https://www.jhltonline.org/article/S1053-2498(20)31473-X/pdf</w:t>
        </w:r>
      </w:hyperlink>
    </w:p>
    <w:p w:rsidR="002B7F58" w:rsidRPr="001D7829" w:rsidRDefault="002B7F58" w:rsidP="001D7829">
      <w:pPr>
        <w:shd w:val="clear" w:color="auto" w:fill="F2F2F2" w:themeFill="background1" w:themeFillShade="F2"/>
        <w:jc w:val="both"/>
        <w:rPr>
          <w:rFonts w:asciiTheme="minorHAnsi" w:hAnsiTheme="minorHAnsi" w:cstheme="minorHAnsi"/>
          <w:b/>
          <w:sz w:val="18"/>
          <w:szCs w:val="18"/>
        </w:rPr>
      </w:pPr>
      <w:r w:rsidRPr="001D7829">
        <w:rPr>
          <w:rFonts w:asciiTheme="minorHAnsi" w:hAnsiTheme="minorHAnsi" w:cstheme="minorHAnsi"/>
          <w:b/>
          <w:sz w:val="18"/>
          <w:szCs w:val="18"/>
        </w:rPr>
        <w:t xml:space="preserve">Classificazione degli stati della malattia COVID-19 </w:t>
      </w:r>
    </w:p>
    <w:p w:rsidR="0008711C" w:rsidRPr="001D7829" w:rsidRDefault="002B7F58" w:rsidP="001D7829">
      <w:pPr>
        <w:shd w:val="clear" w:color="auto" w:fill="F2F2F2" w:themeFill="background1" w:themeFillShade="F2"/>
        <w:jc w:val="both"/>
        <w:rPr>
          <w:rFonts w:asciiTheme="minorHAnsi" w:hAnsiTheme="minorHAnsi" w:cstheme="minorHAnsi"/>
          <w:sz w:val="18"/>
          <w:szCs w:val="18"/>
        </w:rPr>
      </w:pPr>
      <w:r w:rsidRPr="001D7829">
        <w:rPr>
          <w:rFonts w:asciiTheme="minorHAnsi" w:hAnsiTheme="minorHAnsi" w:cstheme="minorHAnsi"/>
          <w:sz w:val="18"/>
          <w:szCs w:val="18"/>
        </w:rPr>
        <w:t>Legenda: la figura mostra 3 fasi crescenti della progressione della malattia con COVID-19, con segni e sintomi specifici della fase. ARDS = sindrome da distress respiratorio acuto; CRP = Proteina</w:t>
      </w:r>
      <w:r w:rsidR="0008711C" w:rsidRPr="001D7829">
        <w:rPr>
          <w:rFonts w:asciiTheme="minorHAnsi" w:hAnsiTheme="minorHAnsi" w:cstheme="minorHAnsi"/>
          <w:sz w:val="18"/>
          <w:szCs w:val="18"/>
        </w:rPr>
        <w:t xml:space="preserve"> C </w:t>
      </w:r>
      <w:r w:rsidRPr="001D7829">
        <w:rPr>
          <w:rFonts w:asciiTheme="minorHAnsi" w:hAnsiTheme="minorHAnsi" w:cstheme="minorHAnsi"/>
          <w:sz w:val="18"/>
          <w:szCs w:val="18"/>
        </w:rPr>
        <w:t>rea</w:t>
      </w:r>
      <w:r w:rsidR="0008711C" w:rsidRPr="001D7829">
        <w:rPr>
          <w:rFonts w:asciiTheme="minorHAnsi" w:hAnsiTheme="minorHAnsi" w:cstheme="minorHAnsi"/>
          <w:sz w:val="18"/>
          <w:szCs w:val="18"/>
        </w:rPr>
        <w:t>t</w:t>
      </w:r>
      <w:r w:rsidRPr="001D7829">
        <w:rPr>
          <w:rFonts w:asciiTheme="minorHAnsi" w:hAnsiTheme="minorHAnsi" w:cstheme="minorHAnsi"/>
          <w:sz w:val="18"/>
          <w:szCs w:val="18"/>
        </w:rPr>
        <w:t xml:space="preserve">tiva; IL = Interleuchina; JAK = Janus Kinase; LDH = lattato deidrogenasi; SIRS = Sindrome da risposta infiammatoria sistemica; </w:t>
      </w:r>
    </w:p>
    <w:p w:rsidR="00B80B1B" w:rsidRPr="00717D4D" w:rsidRDefault="00B80B1B" w:rsidP="0072185E">
      <w:pPr>
        <w:jc w:val="both"/>
        <w:rPr>
          <w:rFonts w:asciiTheme="minorHAnsi" w:eastAsiaTheme="majorEastAsia" w:hAnsiTheme="minorHAnsi" w:cstheme="minorHAnsi"/>
          <w:color w:val="0000FF"/>
          <w:sz w:val="18"/>
          <w:szCs w:val="18"/>
          <w:u w:val="single"/>
        </w:rPr>
      </w:pPr>
    </w:p>
    <w:p w:rsidR="0008711C" w:rsidRDefault="002B7F58" w:rsidP="002B7F58">
      <w:pPr>
        <w:shd w:val="clear" w:color="auto" w:fill="FFFFFF"/>
        <w:jc w:val="both"/>
        <w:rPr>
          <w:rFonts w:asciiTheme="minorHAnsi" w:hAnsiTheme="minorHAnsi" w:cstheme="minorHAnsi"/>
          <w:color w:val="1C1E21"/>
          <w:sz w:val="20"/>
          <w:szCs w:val="20"/>
        </w:rPr>
      </w:pPr>
      <w:r w:rsidRPr="00B43469">
        <w:rPr>
          <w:rFonts w:asciiTheme="minorHAnsi" w:hAnsiTheme="minorHAnsi" w:cstheme="minorHAnsi"/>
          <w:color w:val="1C1E21"/>
          <w:sz w:val="20"/>
          <w:szCs w:val="20"/>
        </w:rPr>
        <w:t xml:space="preserve">In caso di infezione </w:t>
      </w:r>
      <w:r w:rsidR="00341EA1" w:rsidRPr="00B43469">
        <w:rPr>
          <w:rFonts w:asciiTheme="minorHAnsi" w:hAnsiTheme="minorHAnsi" w:cstheme="minorHAnsi"/>
          <w:color w:val="1C1E21"/>
          <w:sz w:val="20"/>
          <w:szCs w:val="20"/>
        </w:rPr>
        <w:t>virale</w:t>
      </w:r>
      <w:r w:rsidRPr="00B43469">
        <w:rPr>
          <w:rFonts w:asciiTheme="minorHAnsi" w:hAnsiTheme="minorHAnsi" w:cstheme="minorHAnsi"/>
          <w:color w:val="1C1E21"/>
          <w:sz w:val="20"/>
          <w:szCs w:val="20"/>
        </w:rPr>
        <w:t>, le cellule immunitarie partecipano</w:t>
      </w:r>
      <w:r w:rsidR="0008711C" w:rsidRPr="00B43469">
        <w:rPr>
          <w:rFonts w:asciiTheme="minorHAnsi" w:hAnsiTheme="minorHAnsi" w:cstheme="minorHAnsi"/>
          <w:color w:val="1C1E21"/>
          <w:sz w:val="20"/>
          <w:szCs w:val="20"/>
        </w:rPr>
        <w:t xml:space="preserve"> nelle</w:t>
      </w:r>
      <w:r w:rsidRPr="00B43469">
        <w:rPr>
          <w:rFonts w:asciiTheme="minorHAnsi" w:hAnsiTheme="minorHAnsi" w:cstheme="minorHAnsi"/>
          <w:color w:val="1C1E21"/>
          <w:sz w:val="20"/>
          <w:szCs w:val="20"/>
        </w:rPr>
        <w:t xml:space="preserve"> tre fasi: </w:t>
      </w:r>
    </w:p>
    <w:p w:rsidR="00B43469" w:rsidRPr="00B43469" w:rsidRDefault="00B43469" w:rsidP="002B7F58">
      <w:pPr>
        <w:shd w:val="clear" w:color="auto" w:fill="FFFFFF"/>
        <w:jc w:val="both"/>
        <w:rPr>
          <w:rFonts w:asciiTheme="minorHAnsi" w:hAnsiTheme="minorHAnsi" w:cstheme="minorHAnsi"/>
          <w:color w:val="1C1E21"/>
          <w:sz w:val="20"/>
          <w:szCs w:val="20"/>
        </w:rPr>
      </w:pPr>
    </w:p>
    <w:p w:rsidR="00341EA1" w:rsidRDefault="002B7F58" w:rsidP="001D7829">
      <w:pPr>
        <w:pStyle w:val="ListParagraph"/>
        <w:numPr>
          <w:ilvl w:val="0"/>
          <w:numId w:val="7"/>
        </w:numPr>
        <w:shd w:val="clear" w:color="auto" w:fill="FBF9E1"/>
        <w:tabs>
          <w:tab w:val="left" w:pos="284"/>
        </w:tabs>
        <w:ind w:left="0" w:firstLine="0"/>
        <w:jc w:val="both"/>
        <w:rPr>
          <w:rFonts w:asciiTheme="minorHAnsi" w:hAnsiTheme="minorHAnsi" w:cstheme="minorHAnsi"/>
          <w:color w:val="1C1E21"/>
          <w:sz w:val="20"/>
          <w:szCs w:val="20"/>
        </w:rPr>
      </w:pPr>
      <w:r w:rsidRPr="00B43469">
        <w:rPr>
          <w:rFonts w:asciiTheme="minorHAnsi" w:hAnsiTheme="minorHAnsi" w:cstheme="minorHAnsi"/>
          <w:color w:val="1C1E21"/>
          <w:sz w:val="20"/>
          <w:szCs w:val="20"/>
        </w:rPr>
        <w:t xml:space="preserve">le </w:t>
      </w:r>
      <w:r w:rsidRPr="00B43469">
        <w:rPr>
          <w:rFonts w:asciiTheme="minorHAnsi" w:hAnsiTheme="minorHAnsi" w:cstheme="minorHAnsi"/>
          <w:b/>
          <w:bCs/>
          <w:color w:val="1C1E21"/>
          <w:sz w:val="20"/>
          <w:szCs w:val="20"/>
        </w:rPr>
        <w:t>cellule immunitarie innate</w:t>
      </w:r>
      <w:r w:rsidRPr="00B43469">
        <w:rPr>
          <w:rFonts w:asciiTheme="minorHAnsi" w:hAnsiTheme="minorHAnsi" w:cstheme="minorHAnsi"/>
          <w:color w:val="1C1E21"/>
          <w:sz w:val="20"/>
          <w:szCs w:val="20"/>
        </w:rPr>
        <w:t xml:space="preserve"> rilevano la presenza del virus e iniziano le prime risposte antivirali e innescano la risposta adattativa; </w:t>
      </w:r>
    </w:p>
    <w:p w:rsidR="00B43469" w:rsidRPr="00B43469" w:rsidRDefault="00B43469" w:rsidP="001D7829">
      <w:pPr>
        <w:pStyle w:val="ListParagraph"/>
        <w:shd w:val="clear" w:color="auto" w:fill="FBF9E1"/>
        <w:tabs>
          <w:tab w:val="left" w:pos="284"/>
        </w:tabs>
        <w:ind w:left="0"/>
        <w:jc w:val="both"/>
        <w:rPr>
          <w:rFonts w:asciiTheme="minorHAnsi" w:hAnsiTheme="minorHAnsi" w:cstheme="minorHAnsi"/>
          <w:color w:val="1C1E21"/>
          <w:sz w:val="20"/>
          <w:szCs w:val="20"/>
        </w:rPr>
      </w:pPr>
    </w:p>
    <w:p w:rsidR="00341EA1" w:rsidRDefault="002B7F58" w:rsidP="001D7829">
      <w:pPr>
        <w:pStyle w:val="ListParagraph"/>
        <w:numPr>
          <w:ilvl w:val="0"/>
          <w:numId w:val="7"/>
        </w:numPr>
        <w:shd w:val="clear" w:color="auto" w:fill="FBF9E1"/>
        <w:tabs>
          <w:tab w:val="left" w:pos="284"/>
        </w:tabs>
        <w:ind w:left="0" w:firstLine="0"/>
        <w:jc w:val="both"/>
        <w:rPr>
          <w:rFonts w:asciiTheme="minorHAnsi" w:hAnsiTheme="minorHAnsi" w:cstheme="minorHAnsi"/>
          <w:color w:val="1C1E21"/>
          <w:sz w:val="20"/>
          <w:szCs w:val="20"/>
        </w:rPr>
      </w:pPr>
      <w:r w:rsidRPr="00B43469">
        <w:rPr>
          <w:rFonts w:asciiTheme="minorHAnsi" w:hAnsiTheme="minorHAnsi" w:cstheme="minorHAnsi"/>
          <w:color w:val="1C1E21"/>
          <w:sz w:val="20"/>
          <w:szCs w:val="20"/>
        </w:rPr>
        <w:t xml:space="preserve">le </w:t>
      </w:r>
      <w:r w:rsidRPr="00B43469">
        <w:rPr>
          <w:rFonts w:asciiTheme="minorHAnsi" w:hAnsiTheme="minorHAnsi" w:cstheme="minorHAnsi"/>
          <w:b/>
          <w:bCs/>
          <w:color w:val="1C1E21"/>
          <w:sz w:val="20"/>
          <w:szCs w:val="20"/>
        </w:rPr>
        <w:t>cellule immunitarie effettrici o adatt</w:t>
      </w:r>
      <w:r w:rsidR="00341EA1" w:rsidRPr="00B43469">
        <w:rPr>
          <w:rFonts w:asciiTheme="minorHAnsi" w:hAnsiTheme="minorHAnsi" w:cstheme="minorHAnsi"/>
          <w:b/>
          <w:bCs/>
          <w:color w:val="1C1E21"/>
          <w:sz w:val="20"/>
          <w:szCs w:val="20"/>
        </w:rPr>
        <w:t>at</w:t>
      </w:r>
      <w:r w:rsidRPr="00B43469">
        <w:rPr>
          <w:rFonts w:asciiTheme="minorHAnsi" w:hAnsiTheme="minorHAnsi" w:cstheme="minorHAnsi"/>
          <w:b/>
          <w:bCs/>
          <w:color w:val="1C1E21"/>
          <w:sz w:val="20"/>
          <w:szCs w:val="20"/>
        </w:rPr>
        <w:t>ive</w:t>
      </w:r>
      <w:r w:rsidRPr="00B43469">
        <w:rPr>
          <w:rFonts w:asciiTheme="minorHAnsi" w:hAnsiTheme="minorHAnsi" w:cstheme="minorHAnsi"/>
          <w:color w:val="1C1E21"/>
          <w:sz w:val="20"/>
          <w:szCs w:val="20"/>
        </w:rPr>
        <w:t xml:space="preserve"> eliminano il virus uccidendo le cellule infette e producendo anticorpi antivirali, seguite dalla conversione di un sottogruppo in linfociti della memoria; </w:t>
      </w:r>
    </w:p>
    <w:p w:rsidR="00B43469" w:rsidRPr="00B43469" w:rsidRDefault="00B43469" w:rsidP="001D7829">
      <w:pPr>
        <w:pStyle w:val="ListParagraph"/>
        <w:shd w:val="clear" w:color="auto" w:fill="FBF9E1"/>
        <w:tabs>
          <w:tab w:val="left" w:pos="284"/>
        </w:tabs>
        <w:ind w:left="0"/>
        <w:jc w:val="both"/>
        <w:rPr>
          <w:rFonts w:asciiTheme="minorHAnsi" w:hAnsiTheme="minorHAnsi" w:cstheme="minorHAnsi"/>
          <w:color w:val="1C1E21"/>
          <w:sz w:val="20"/>
          <w:szCs w:val="20"/>
        </w:rPr>
      </w:pPr>
    </w:p>
    <w:p w:rsidR="002B7F58" w:rsidRPr="00B43469" w:rsidRDefault="002B7F58" w:rsidP="001D7829">
      <w:pPr>
        <w:pStyle w:val="ListParagraph"/>
        <w:numPr>
          <w:ilvl w:val="0"/>
          <w:numId w:val="7"/>
        </w:numPr>
        <w:shd w:val="clear" w:color="auto" w:fill="FBF9E1"/>
        <w:tabs>
          <w:tab w:val="left" w:pos="284"/>
        </w:tabs>
        <w:ind w:left="0" w:firstLine="0"/>
        <w:jc w:val="both"/>
        <w:rPr>
          <w:rFonts w:asciiTheme="minorHAnsi" w:hAnsiTheme="minorHAnsi" w:cstheme="minorHAnsi"/>
          <w:color w:val="1C1E21"/>
          <w:sz w:val="20"/>
          <w:szCs w:val="20"/>
        </w:rPr>
      </w:pPr>
      <w:r w:rsidRPr="00B43469">
        <w:rPr>
          <w:rFonts w:asciiTheme="minorHAnsi" w:hAnsiTheme="minorHAnsi" w:cstheme="minorHAnsi"/>
          <w:color w:val="1C1E21"/>
          <w:sz w:val="20"/>
          <w:szCs w:val="20"/>
        </w:rPr>
        <w:t xml:space="preserve">le </w:t>
      </w:r>
      <w:r w:rsidRPr="00B43469">
        <w:rPr>
          <w:rFonts w:asciiTheme="minorHAnsi" w:hAnsiTheme="minorHAnsi" w:cstheme="minorHAnsi"/>
          <w:b/>
          <w:bCs/>
          <w:color w:val="1C1E21"/>
          <w:sz w:val="20"/>
          <w:szCs w:val="20"/>
        </w:rPr>
        <w:t>cellule immunitarie innate</w:t>
      </w:r>
      <w:r w:rsidRPr="00B43469">
        <w:rPr>
          <w:rFonts w:asciiTheme="minorHAnsi" w:hAnsiTheme="minorHAnsi" w:cstheme="minorHAnsi"/>
          <w:color w:val="1C1E21"/>
          <w:sz w:val="20"/>
          <w:szCs w:val="20"/>
        </w:rPr>
        <w:t xml:space="preserve"> agiscono di concerto con i percorsi di rigenerazione epiteliale per riparare i tessuti </w:t>
      </w:r>
      <w:r w:rsidR="00341EA1" w:rsidRPr="00B43469">
        <w:rPr>
          <w:rFonts w:asciiTheme="minorHAnsi" w:hAnsiTheme="minorHAnsi" w:cstheme="minorHAnsi"/>
          <w:color w:val="1C1E21"/>
          <w:sz w:val="20"/>
          <w:szCs w:val="20"/>
        </w:rPr>
        <w:t>danneggiati</w:t>
      </w:r>
      <w:r w:rsidRPr="00B43469">
        <w:rPr>
          <w:rFonts w:asciiTheme="minorHAnsi" w:hAnsiTheme="minorHAnsi" w:cstheme="minorHAnsi"/>
          <w:color w:val="1C1E21"/>
          <w:sz w:val="20"/>
          <w:szCs w:val="20"/>
        </w:rPr>
        <w:t xml:space="preserve"> e produrre mediatori che riportano il sistema immunitario all'omeostasi.</w:t>
      </w:r>
    </w:p>
    <w:p w:rsidR="00341EA1" w:rsidRPr="00B43469" w:rsidRDefault="00341EA1" w:rsidP="00341EA1">
      <w:pPr>
        <w:pStyle w:val="ListParagraph"/>
        <w:shd w:val="clear" w:color="auto" w:fill="FFFFFF"/>
        <w:tabs>
          <w:tab w:val="left" w:pos="284"/>
        </w:tabs>
        <w:ind w:left="0"/>
        <w:jc w:val="both"/>
        <w:rPr>
          <w:rFonts w:asciiTheme="minorHAnsi" w:hAnsiTheme="minorHAnsi" w:cstheme="minorHAnsi"/>
          <w:color w:val="1C1E21"/>
          <w:sz w:val="20"/>
          <w:szCs w:val="20"/>
        </w:rPr>
      </w:pPr>
    </w:p>
    <w:p w:rsidR="00341EA1" w:rsidRDefault="002B7F58" w:rsidP="002B7F58">
      <w:pPr>
        <w:shd w:val="clear" w:color="auto" w:fill="FFFFFF"/>
        <w:jc w:val="both"/>
        <w:rPr>
          <w:rFonts w:asciiTheme="minorHAnsi" w:hAnsiTheme="minorHAnsi" w:cstheme="minorHAnsi"/>
          <w:color w:val="1C1E21"/>
          <w:sz w:val="20"/>
          <w:szCs w:val="20"/>
        </w:rPr>
      </w:pPr>
      <w:r w:rsidRPr="00B43469">
        <w:rPr>
          <w:rFonts w:asciiTheme="minorHAnsi" w:hAnsiTheme="minorHAnsi" w:cstheme="minorHAnsi"/>
          <w:color w:val="1C1E21"/>
          <w:sz w:val="20"/>
          <w:szCs w:val="20"/>
        </w:rPr>
        <w:t xml:space="preserve">I virus in genere suscitano </w:t>
      </w:r>
      <w:r w:rsidRPr="00B43469">
        <w:rPr>
          <w:rFonts w:asciiTheme="minorHAnsi" w:hAnsiTheme="minorHAnsi" w:cstheme="minorHAnsi"/>
          <w:b/>
          <w:bCs/>
          <w:color w:val="1C1E21"/>
          <w:sz w:val="20"/>
          <w:szCs w:val="20"/>
        </w:rPr>
        <w:t>forti risposte immunitarie di tipo 1</w:t>
      </w:r>
      <w:r w:rsidRPr="00B43469">
        <w:rPr>
          <w:rFonts w:asciiTheme="minorHAnsi" w:hAnsiTheme="minorHAnsi" w:cstheme="minorHAnsi"/>
          <w:color w:val="1C1E21"/>
          <w:sz w:val="20"/>
          <w:szCs w:val="20"/>
        </w:rPr>
        <w:t xml:space="preserve"> che coinvolgono la produzione di </w:t>
      </w:r>
      <w:r w:rsidRPr="00B43469">
        <w:rPr>
          <w:rFonts w:asciiTheme="minorHAnsi" w:hAnsiTheme="minorHAnsi" w:cstheme="minorHAnsi"/>
          <w:b/>
          <w:bCs/>
          <w:color w:val="1C1E21"/>
          <w:sz w:val="20"/>
          <w:szCs w:val="20"/>
        </w:rPr>
        <w:t>interferoni di tipo I e III</w:t>
      </w:r>
      <w:r w:rsidRPr="00B43469">
        <w:rPr>
          <w:rFonts w:asciiTheme="minorHAnsi" w:hAnsiTheme="minorHAnsi" w:cstheme="minorHAnsi"/>
          <w:color w:val="1C1E21"/>
          <w:sz w:val="20"/>
          <w:szCs w:val="20"/>
        </w:rPr>
        <w:t xml:space="preserve"> da parte delle cellule mieloidi con attività antivirale e </w:t>
      </w:r>
      <w:r w:rsidRPr="00B43469">
        <w:rPr>
          <w:rFonts w:asciiTheme="minorHAnsi" w:hAnsiTheme="minorHAnsi" w:cstheme="minorHAnsi"/>
          <w:b/>
          <w:bCs/>
          <w:color w:val="1C1E21"/>
          <w:sz w:val="20"/>
          <w:szCs w:val="20"/>
        </w:rPr>
        <w:t>mediatori proinfiammatori</w:t>
      </w:r>
      <w:r w:rsidRPr="00B43469">
        <w:rPr>
          <w:rFonts w:asciiTheme="minorHAnsi" w:hAnsiTheme="minorHAnsi" w:cstheme="minorHAnsi"/>
          <w:color w:val="1C1E21"/>
          <w:sz w:val="20"/>
          <w:szCs w:val="20"/>
        </w:rPr>
        <w:t xml:space="preserve"> come IL-12, TNFα e CCL2 e la produzione di IFNγ da parte dei linfociti necessari per la successiva risposta immunitaria. </w:t>
      </w:r>
    </w:p>
    <w:p w:rsidR="00B43469" w:rsidRPr="00B43469" w:rsidRDefault="00B43469" w:rsidP="002B7F58">
      <w:pPr>
        <w:shd w:val="clear" w:color="auto" w:fill="FFFFFF"/>
        <w:jc w:val="both"/>
        <w:rPr>
          <w:rFonts w:asciiTheme="minorHAnsi" w:hAnsiTheme="minorHAnsi" w:cstheme="minorHAnsi"/>
          <w:color w:val="1C1E21"/>
          <w:sz w:val="20"/>
          <w:szCs w:val="20"/>
        </w:rPr>
      </w:pPr>
    </w:p>
    <w:p w:rsidR="006642C1" w:rsidRPr="00B43469" w:rsidRDefault="002B7F58" w:rsidP="006642C1">
      <w:pPr>
        <w:shd w:val="clear" w:color="auto" w:fill="FFFFFF"/>
        <w:jc w:val="both"/>
        <w:rPr>
          <w:rFonts w:asciiTheme="minorHAnsi" w:hAnsiTheme="minorHAnsi" w:cstheme="minorHAnsi"/>
          <w:color w:val="1C1E21"/>
          <w:sz w:val="20"/>
          <w:szCs w:val="20"/>
        </w:rPr>
      </w:pPr>
      <w:r w:rsidRPr="00B43469">
        <w:rPr>
          <w:rFonts w:asciiTheme="minorHAnsi" w:hAnsiTheme="minorHAnsi" w:cstheme="minorHAnsi"/>
          <w:b/>
          <w:bCs/>
          <w:color w:val="1C1E21"/>
          <w:sz w:val="20"/>
          <w:szCs w:val="20"/>
        </w:rPr>
        <w:t>Le risposte immunitarie regolatorie di tipo 2 sono importanti nelle fasi successive dell'infezione virale</w:t>
      </w:r>
      <w:r w:rsidRPr="00B43469">
        <w:rPr>
          <w:rFonts w:asciiTheme="minorHAnsi" w:hAnsiTheme="minorHAnsi" w:cstheme="minorHAnsi"/>
          <w:color w:val="1C1E21"/>
          <w:sz w:val="20"/>
          <w:szCs w:val="20"/>
        </w:rPr>
        <w:t>. Ora è riconosciuto che mentre le risposte di tipo 1 sono importanti per la clearance virale, le risposte di tipo 2 promuovono la riparazione del tessuto danneggiato e la risoluzione della risposta immunitaria.</w:t>
      </w:r>
    </w:p>
    <w:p w:rsidR="006642C1" w:rsidRPr="00B43469" w:rsidRDefault="006642C1" w:rsidP="006642C1">
      <w:pPr>
        <w:shd w:val="clear" w:color="auto" w:fill="FFFFFF"/>
        <w:jc w:val="both"/>
        <w:rPr>
          <w:rFonts w:asciiTheme="minorHAnsi" w:hAnsiTheme="minorHAnsi" w:cstheme="minorHAnsi"/>
          <w:color w:val="1C1E21"/>
          <w:sz w:val="20"/>
          <w:szCs w:val="20"/>
        </w:rPr>
      </w:pPr>
    </w:p>
    <w:p w:rsidR="006642C1" w:rsidRPr="00B43469" w:rsidRDefault="00B43469" w:rsidP="006642C1">
      <w:pPr>
        <w:jc w:val="both"/>
        <w:rPr>
          <w:rFonts w:asciiTheme="minorHAnsi" w:hAnsiTheme="minorHAnsi" w:cstheme="minorHAnsi"/>
          <w:sz w:val="20"/>
          <w:szCs w:val="20"/>
        </w:rPr>
      </w:pPr>
      <w:r w:rsidRPr="00B43469">
        <w:rPr>
          <w:rFonts w:asciiTheme="minorHAnsi" w:hAnsiTheme="minorHAnsi" w:cstheme="minorHAnsi"/>
          <w:sz w:val="20"/>
          <w:szCs w:val="20"/>
        </w:rPr>
        <w:t>È</w:t>
      </w:r>
      <w:r w:rsidR="006642C1" w:rsidRPr="00B43469">
        <w:rPr>
          <w:rFonts w:asciiTheme="minorHAnsi" w:hAnsiTheme="minorHAnsi" w:cstheme="minorHAnsi"/>
          <w:sz w:val="20"/>
          <w:szCs w:val="20"/>
        </w:rPr>
        <w:t xml:space="preserve"> importante fare presente che rispetto ad altri virus respiratori, l'infezione da SARS-CoV-2 determina una risposta trascrizionale antivirale inferiore caratterizzata da bassi livelli di IFN-I e IFN-III e da un'elevata espressione di chemochine e di IL-6, che potrebbe spiegare </w:t>
      </w:r>
      <w:r w:rsidR="002B1AFC" w:rsidRPr="00B43469">
        <w:rPr>
          <w:rFonts w:asciiTheme="minorHAnsi" w:hAnsiTheme="minorHAnsi" w:cstheme="minorHAnsi"/>
          <w:sz w:val="20"/>
          <w:szCs w:val="20"/>
        </w:rPr>
        <w:t xml:space="preserve">la </w:t>
      </w:r>
      <w:r w:rsidR="002B1AFC" w:rsidRPr="009E718E">
        <w:rPr>
          <w:rFonts w:asciiTheme="minorHAnsi" w:hAnsiTheme="minorHAnsi" w:cstheme="minorHAnsi"/>
          <w:b/>
          <w:bCs/>
          <w:sz w:val="20"/>
          <w:szCs w:val="20"/>
        </w:rPr>
        <w:t xml:space="preserve">coesistenza di uno </w:t>
      </w:r>
      <w:r w:rsidR="006642C1" w:rsidRPr="009E718E">
        <w:rPr>
          <w:rFonts w:asciiTheme="minorHAnsi" w:hAnsiTheme="minorHAnsi" w:cstheme="minorHAnsi"/>
          <w:b/>
          <w:bCs/>
          <w:sz w:val="20"/>
          <w:szCs w:val="20"/>
        </w:rPr>
        <w:t xml:space="preserve">stato di </w:t>
      </w:r>
      <w:r w:rsidR="002B1AFC" w:rsidRPr="009E718E">
        <w:rPr>
          <w:rFonts w:asciiTheme="minorHAnsi" w:hAnsiTheme="minorHAnsi" w:cstheme="minorHAnsi"/>
          <w:b/>
          <w:bCs/>
          <w:sz w:val="20"/>
          <w:szCs w:val="20"/>
        </w:rPr>
        <w:t xml:space="preserve">immunosoppressione </w:t>
      </w:r>
      <w:r w:rsidR="006642C1" w:rsidRPr="009E718E">
        <w:rPr>
          <w:rFonts w:asciiTheme="minorHAnsi" w:hAnsiTheme="minorHAnsi" w:cstheme="minorHAnsi"/>
          <w:b/>
          <w:bCs/>
          <w:sz w:val="20"/>
          <w:szCs w:val="20"/>
        </w:rPr>
        <w:t xml:space="preserve"> </w:t>
      </w:r>
      <w:r w:rsidR="002B1AFC" w:rsidRPr="009E718E">
        <w:rPr>
          <w:rFonts w:asciiTheme="minorHAnsi" w:hAnsiTheme="minorHAnsi" w:cstheme="minorHAnsi"/>
          <w:b/>
          <w:bCs/>
          <w:sz w:val="20"/>
          <w:szCs w:val="20"/>
        </w:rPr>
        <w:t>e iperinfiammazione</w:t>
      </w:r>
      <w:r w:rsidR="006642C1" w:rsidRPr="00B43469">
        <w:rPr>
          <w:rFonts w:asciiTheme="minorHAnsi" w:hAnsiTheme="minorHAnsi" w:cstheme="minorHAnsi"/>
          <w:sz w:val="20"/>
          <w:szCs w:val="20"/>
        </w:rPr>
        <w:t xml:space="preserve"> associat</w:t>
      </w:r>
      <w:r w:rsidR="002B1AFC" w:rsidRPr="00B43469">
        <w:rPr>
          <w:rFonts w:asciiTheme="minorHAnsi" w:hAnsiTheme="minorHAnsi" w:cstheme="minorHAnsi"/>
          <w:sz w:val="20"/>
          <w:szCs w:val="20"/>
        </w:rPr>
        <w:t>i</w:t>
      </w:r>
      <w:r w:rsidR="006642C1" w:rsidRPr="00B43469">
        <w:rPr>
          <w:rFonts w:asciiTheme="minorHAnsi" w:hAnsiTheme="minorHAnsi" w:cstheme="minorHAnsi"/>
          <w:sz w:val="20"/>
          <w:szCs w:val="20"/>
        </w:rPr>
        <w:t xml:space="preserve"> a COVID-19</w:t>
      </w:r>
      <w:r w:rsidR="002B1AFC" w:rsidRPr="00B43469">
        <w:rPr>
          <w:rFonts w:asciiTheme="minorHAnsi" w:hAnsiTheme="minorHAnsi" w:cstheme="minorHAnsi"/>
          <w:sz w:val="20"/>
          <w:szCs w:val="20"/>
        </w:rPr>
        <w:t>, come si discuterà più nel dettaglio in seguito (vedi: SOTTOTIPI DELLA TEMPESTA DI CITOCHINE)</w:t>
      </w:r>
      <w:r w:rsidR="006642C1" w:rsidRPr="00B43469">
        <w:rPr>
          <w:rFonts w:asciiTheme="minorHAnsi" w:hAnsiTheme="minorHAnsi" w:cstheme="minorHAnsi"/>
          <w:sz w:val="20"/>
          <w:szCs w:val="20"/>
        </w:rPr>
        <w:t xml:space="preserve"> </w:t>
      </w:r>
      <w:r w:rsidR="006642C1" w:rsidRPr="00B43469">
        <w:rPr>
          <w:rStyle w:val="FootnoteReference"/>
          <w:rFonts w:asciiTheme="minorHAnsi" w:hAnsiTheme="minorHAnsi" w:cstheme="minorHAnsi"/>
          <w:sz w:val="20"/>
          <w:szCs w:val="20"/>
        </w:rPr>
        <w:footnoteReference w:id="55"/>
      </w:r>
    </w:p>
    <w:p w:rsidR="006642C1" w:rsidRPr="00B43469" w:rsidRDefault="006642C1" w:rsidP="00553BD0">
      <w:pPr>
        <w:jc w:val="center"/>
        <w:rPr>
          <w:sz w:val="20"/>
          <w:szCs w:val="20"/>
        </w:rPr>
      </w:pPr>
    </w:p>
    <w:p w:rsidR="005B3F7F" w:rsidRDefault="006642C1" w:rsidP="00553BD0">
      <w:pPr>
        <w:jc w:val="center"/>
        <w:rPr>
          <w:rFonts w:asciiTheme="minorHAnsi" w:hAnsiTheme="minorHAnsi" w:cstheme="minorHAnsi"/>
          <w:bCs/>
          <w:color w:val="000000" w:themeColor="text1"/>
          <w:sz w:val="16"/>
          <w:szCs w:val="16"/>
        </w:rPr>
      </w:pPr>
      <w:r>
        <w:rPr>
          <w:rFonts w:asciiTheme="minorHAnsi" w:hAnsiTheme="minorHAnsi" w:cstheme="minorHAnsi"/>
          <w:b/>
          <w:noProof/>
          <w:color w:val="000000" w:themeColor="text1"/>
        </w:rPr>
        <w:drawing>
          <wp:inline distT="0" distB="0" distL="0" distR="0">
            <wp:extent cx="3382485" cy="3399692"/>
            <wp:effectExtent l="0" t="0" r="0" b="4445"/>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hermata 2020-06-04 alle 21.27.23.png"/>
                    <pic:cNvPicPr/>
                  </pic:nvPicPr>
                  <pic:blipFill>
                    <a:blip r:embed="rId75">
                      <a:extLst>
                        <a:ext uri="{28A0092B-C50C-407E-A947-70E740481C1C}">
                          <a14:useLocalDpi xmlns:a14="http://schemas.microsoft.com/office/drawing/2010/main" val="0"/>
                        </a:ext>
                      </a:extLst>
                    </a:blip>
                    <a:stretch>
                      <a:fillRect/>
                    </a:stretch>
                  </pic:blipFill>
                  <pic:spPr>
                    <a:xfrm>
                      <a:off x="0" y="0"/>
                      <a:ext cx="3438186" cy="3455677"/>
                    </a:xfrm>
                    <a:prstGeom prst="rect">
                      <a:avLst/>
                    </a:prstGeom>
                  </pic:spPr>
                </pic:pic>
              </a:graphicData>
            </a:graphic>
          </wp:inline>
        </w:drawing>
      </w:r>
    </w:p>
    <w:p w:rsidR="00892F48" w:rsidRPr="001D7829" w:rsidRDefault="006642C1" w:rsidP="001D7829">
      <w:pPr>
        <w:shd w:val="clear" w:color="auto" w:fill="F2F2F2" w:themeFill="background1" w:themeFillShade="F2"/>
        <w:jc w:val="both"/>
        <w:rPr>
          <w:rFonts w:asciiTheme="minorHAnsi" w:hAnsiTheme="minorHAnsi" w:cstheme="minorHAnsi"/>
          <w:bCs/>
          <w:color w:val="000000" w:themeColor="text1"/>
          <w:sz w:val="18"/>
          <w:szCs w:val="18"/>
        </w:rPr>
      </w:pPr>
      <w:r w:rsidRPr="001D7829">
        <w:rPr>
          <w:rFonts w:asciiTheme="minorHAnsi" w:hAnsiTheme="minorHAnsi" w:cstheme="minorHAnsi"/>
          <w:bCs/>
          <w:color w:val="000000" w:themeColor="text1"/>
          <w:sz w:val="18"/>
          <w:szCs w:val="18"/>
        </w:rPr>
        <w:t xml:space="preserve">Tratta da </w:t>
      </w:r>
      <w:r w:rsidR="005B3F7F" w:rsidRPr="001D7829">
        <w:rPr>
          <w:rFonts w:asciiTheme="minorHAnsi" w:hAnsiTheme="minorHAnsi" w:cstheme="minorHAnsi"/>
          <w:bCs/>
          <w:color w:val="000000" w:themeColor="text1"/>
          <w:sz w:val="18"/>
          <w:szCs w:val="18"/>
        </w:rPr>
        <w:t>https://www.ncbi.nlm.nih.gov/pmc/articles/PMC7227586/</w:t>
      </w:r>
    </w:p>
    <w:p w:rsidR="00892F48" w:rsidRDefault="00892F48" w:rsidP="00892F48"/>
    <w:p w:rsidR="005D211B" w:rsidRDefault="005D211B" w:rsidP="00892F48"/>
    <w:p w:rsidR="00DC48B4" w:rsidRDefault="00910431" w:rsidP="001D7829">
      <w:pPr>
        <w:pBdr>
          <w:top w:val="single" w:sz="4" w:space="1" w:color="auto"/>
          <w:left w:val="single" w:sz="4" w:space="4" w:color="auto"/>
          <w:bottom w:val="single" w:sz="4" w:space="1" w:color="auto"/>
          <w:right w:val="single" w:sz="4" w:space="4" w:color="auto"/>
        </w:pBdr>
        <w:shd w:val="clear" w:color="auto" w:fill="FFE599" w:themeFill="accent4" w:themeFillTint="66"/>
        <w:ind w:left="851" w:right="1127"/>
        <w:jc w:val="center"/>
        <w:rPr>
          <w:rFonts w:asciiTheme="minorHAnsi" w:hAnsiTheme="minorHAnsi" w:cstheme="minorHAnsi"/>
          <w:b/>
          <w:bCs/>
          <w:color w:val="C00000"/>
        </w:rPr>
      </w:pPr>
      <w:r w:rsidRPr="00DC48B4">
        <w:rPr>
          <w:rFonts w:asciiTheme="minorHAnsi" w:hAnsiTheme="minorHAnsi" w:cstheme="minorHAnsi"/>
          <w:b/>
          <w:bCs/>
          <w:color w:val="C00000"/>
        </w:rPr>
        <w:t>IN BREVE</w:t>
      </w:r>
    </w:p>
    <w:p w:rsidR="00910431" w:rsidRPr="005D211B" w:rsidRDefault="00910431" w:rsidP="001D7829">
      <w:pPr>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18"/>
          <w:szCs w:val="18"/>
        </w:rPr>
      </w:pPr>
    </w:p>
    <w:p w:rsidR="00DC48B4" w:rsidRPr="005D211B" w:rsidRDefault="00DC48B4" w:rsidP="001D7829">
      <w:pPr>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r w:rsidRPr="005D211B">
        <w:rPr>
          <w:rFonts w:asciiTheme="minorHAnsi" w:hAnsiTheme="minorHAnsi" w:cstheme="minorHAnsi"/>
          <w:i/>
          <w:iCs/>
          <w:color w:val="000000" w:themeColor="text1"/>
          <w:sz w:val="20"/>
          <w:szCs w:val="20"/>
        </w:rPr>
        <w:t xml:space="preserve">Durante la risposta all’infezione virale da SARS-Cov-2 si possono distinguere </w:t>
      </w:r>
      <w:r w:rsidR="00B67C25" w:rsidRPr="005D211B">
        <w:rPr>
          <w:rFonts w:asciiTheme="minorHAnsi" w:hAnsiTheme="minorHAnsi" w:cstheme="minorHAnsi"/>
          <w:i/>
          <w:iCs/>
          <w:color w:val="000000" w:themeColor="text1"/>
          <w:sz w:val="20"/>
          <w:szCs w:val="20"/>
        </w:rPr>
        <w:t>tre</w:t>
      </w:r>
      <w:r w:rsidRPr="005D211B">
        <w:rPr>
          <w:rFonts w:asciiTheme="minorHAnsi" w:hAnsiTheme="minorHAnsi" w:cstheme="minorHAnsi"/>
          <w:i/>
          <w:iCs/>
          <w:color w:val="000000" w:themeColor="text1"/>
          <w:sz w:val="20"/>
          <w:szCs w:val="20"/>
        </w:rPr>
        <w:t xml:space="preserve"> fasi:</w:t>
      </w:r>
    </w:p>
    <w:p w:rsidR="00B079B9" w:rsidRPr="005D211B" w:rsidRDefault="00B079B9" w:rsidP="001D7829">
      <w:pPr>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p>
    <w:p w:rsidR="00B67C25" w:rsidRPr="005D211B" w:rsidRDefault="00B67C25" w:rsidP="001D7829">
      <w:pPr>
        <w:pStyle w:val="ListParagraph"/>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r w:rsidRPr="005D211B">
        <w:rPr>
          <w:rFonts w:asciiTheme="minorHAnsi" w:hAnsiTheme="minorHAnsi" w:cstheme="minorHAnsi"/>
          <w:b/>
          <w:bCs/>
          <w:i/>
          <w:iCs/>
          <w:color w:val="C00000"/>
          <w:sz w:val="20"/>
          <w:szCs w:val="20"/>
        </w:rPr>
        <w:t>fase sintomatica dell’infezione virale</w:t>
      </w:r>
      <w:r w:rsidRPr="005D211B">
        <w:rPr>
          <w:rFonts w:asciiTheme="minorHAnsi" w:hAnsiTheme="minorHAnsi" w:cstheme="minorHAnsi"/>
          <w:i/>
          <w:iCs/>
          <w:color w:val="C00000"/>
          <w:sz w:val="20"/>
          <w:szCs w:val="20"/>
        </w:rPr>
        <w:t xml:space="preserve">: </w:t>
      </w:r>
      <w:r w:rsidRPr="005D211B">
        <w:rPr>
          <w:rFonts w:asciiTheme="minorHAnsi" w:hAnsiTheme="minorHAnsi" w:cstheme="minorHAnsi"/>
          <w:i/>
          <w:iCs/>
          <w:color w:val="000000" w:themeColor="text1"/>
          <w:sz w:val="20"/>
          <w:szCs w:val="20"/>
        </w:rPr>
        <w:t>i sintomi sono simili a quelli influenzali e durano circa 7-10 giorni. Il sistema immunitario innato reagisce per bloccare la replicazione del virus. Una peculiarità di questa infezione è la perdita del gusto e dell’olfatto, sintomi gastrointestinali e neurologici. Se la persona ha un sistema immunitario efficiente l’infezione si risolve senza complicazioni.</w:t>
      </w:r>
    </w:p>
    <w:p w:rsidR="00B079B9" w:rsidRPr="005D211B" w:rsidRDefault="00B079B9" w:rsidP="001D7829">
      <w:pPr>
        <w:pStyle w:val="ListParagraph"/>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p>
    <w:p w:rsidR="00B67C25" w:rsidRPr="005D211B" w:rsidRDefault="00B67C25" w:rsidP="001D7829">
      <w:pPr>
        <w:pStyle w:val="ListParagraph"/>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r w:rsidRPr="005D211B">
        <w:rPr>
          <w:rFonts w:asciiTheme="minorHAnsi" w:hAnsiTheme="minorHAnsi" w:cstheme="minorHAnsi"/>
          <w:b/>
          <w:bCs/>
          <w:i/>
          <w:iCs/>
          <w:color w:val="C00000"/>
          <w:sz w:val="20"/>
          <w:szCs w:val="20"/>
        </w:rPr>
        <w:t>complicazione dell’infezione:</w:t>
      </w:r>
      <w:r w:rsidRPr="005D211B">
        <w:rPr>
          <w:rFonts w:asciiTheme="minorHAnsi" w:hAnsiTheme="minorHAnsi" w:cstheme="minorHAnsi"/>
          <w:i/>
          <w:iCs/>
          <w:color w:val="C00000"/>
          <w:sz w:val="20"/>
          <w:szCs w:val="20"/>
        </w:rPr>
        <w:t xml:space="preserve"> </w:t>
      </w:r>
      <w:r w:rsidRPr="005D211B">
        <w:rPr>
          <w:rFonts w:asciiTheme="minorHAnsi" w:hAnsiTheme="minorHAnsi" w:cstheme="minorHAnsi"/>
          <w:i/>
          <w:iCs/>
          <w:color w:val="000000" w:themeColor="text1"/>
          <w:sz w:val="20"/>
          <w:szCs w:val="20"/>
        </w:rPr>
        <w:t>comparsa dei sintomi polmonari. Il sistema immunitario adattativo reagisce in maniera esagerata all’infezione non contenuta durante la prima fase con la produzione di alte quantità di mediatori dell’infiammazione.  Se non si interviene</w:t>
      </w:r>
      <w:r w:rsidR="007C7F93">
        <w:rPr>
          <w:rFonts w:asciiTheme="minorHAnsi" w:hAnsiTheme="minorHAnsi" w:cstheme="minorHAnsi"/>
          <w:i/>
          <w:iCs/>
          <w:color w:val="000000" w:themeColor="text1"/>
          <w:sz w:val="20"/>
          <w:szCs w:val="20"/>
        </w:rPr>
        <w:t xml:space="preserve"> farmacologicamnte,</w:t>
      </w:r>
      <w:r w:rsidRPr="005D211B">
        <w:rPr>
          <w:rFonts w:asciiTheme="minorHAnsi" w:hAnsiTheme="minorHAnsi" w:cstheme="minorHAnsi"/>
          <w:i/>
          <w:iCs/>
          <w:color w:val="000000" w:themeColor="text1"/>
          <w:sz w:val="20"/>
          <w:szCs w:val="20"/>
        </w:rPr>
        <w:t xml:space="preserve"> la complicazione </w:t>
      </w:r>
      <w:r w:rsidR="00B079B9" w:rsidRPr="005D211B">
        <w:rPr>
          <w:rFonts w:asciiTheme="minorHAnsi" w:hAnsiTheme="minorHAnsi" w:cstheme="minorHAnsi"/>
          <w:i/>
          <w:iCs/>
          <w:color w:val="000000" w:themeColor="text1"/>
          <w:sz w:val="20"/>
          <w:szCs w:val="20"/>
        </w:rPr>
        <w:t xml:space="preserve">può progredire rapidamente alla fase più grave. </w:t>
      </w:r>
    </w:p>
    <w:p w:rsidR="00B079B9" w:rsidRPr="005D211B" w:rsidRDefault="00B079B9" w:rsidP="001D7829">
      <w:pPr>
        <w:pStyle w:val="ListParagraph"/>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p>
    <w:p w:rsidR="00B079B9" w:rsidRPr="005D211B" w:rsidRDefault="00B67C25" w:rsidP="001D7829">
      <w:pPr>
        <w:pStyle w:val="ListParagraph"/>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r w:rsidRPr="005D211B">
        <w:rPr>
          <w:rFonts w:asciiTheme="minorHAnsi" w:hAnsiTheme="minorHAnsi" w:cstheme="minorHAnsi"/>
          <w:b/>
          <w:bCs/>
          <w:i/>
          <w:iCs/>
          <w:color w:val="C00000"/>
          <w:sz w:val="20"/>
          <w:szCs w:val="20"/>
        </w:rPr>
        <w:t>fase molto severa/fatale:</w:t>
      </w:r>
      <w:r w:rsidRPr="005D211B">
        <w:rPr>
          <w:rFonts w:asciiTheme="minorHAnsi" w:hAnsiTheme="minorHAnsi" w:cstheme="minorHAnsi"/>
          <w:i/>
          <w:iCs/>
          <w:color w:val="C00000"/>
          <w:sz w:val="20"/>
          <w:szCs w:val="20"/>
        </w:rPr>
        <w:t xml:space="preserve"> </w:t>
      </w:r>
      <w:r w:rsidRPr="005D211B">
        <w:rPr>
          <w:rFonts w:asciiTheme="minorHAnsi" w:hAnsiTheme="minorHAnsi" w:cstheme="minorHAnsi"/>
          <w:i/>
          <w:iCs/>
          <w:color w:val="000000" w:themeColor="text1"/>
          <w:sz w:val="20"/>
          <w:szCs w:val="20"/>
        </w:rPr>
        <w:t>comparsa della sindrome da distress respiratorio, fallimento multiorgano, tromboembolia disseminata</w:t>
      </w:r>
      <w:r w:rsidR="00B079B9" w:rsidRPr="005D211B">
        <w:rPr>
          <w:rFonts w:asciiTheme="minorHAnsi" w:hAnsiTheme="minorHAnsi" w:cstheme="minorHAnsi"/>
          <w:i/>
          <w:iCs/>
          <w:color w:val="000000" w:themeColor="text1"/>
          <w:sz w:val="20"/>
          <w:szCs w:val="20"/>
        </w:rPr>
        <w:t>. Queste manifestazioni sono legate all’attacco delle strutture dell’organismo da parte del sistema immunitario</w:t>
      </w:r>
      <w:r w:rsidR="00594092" w:rsidRPr="005D211B">
        <w:rPr>
          <w:rFonts w:asciiTheme="minorHAnsi" w:hAnsiTheme="minorHAnsi" w:cstheme="minorHAnsi"/>
          <w:i/>
          <w:iCs/>
          <w:color w:val="000000" w:themeColor="text1"/>
          <w:sz w:val="20"/>
          <w:szCs w:val="20"/>
        </w:rPr>
        <w:t>.</w:t>
      </w:r>
      <w:r w:rsidR="00B079B9" w:rsidRPr="005D211B">
        <w:rPr>
          <w:rFonts w:asciiTheme="minorHAnsi" w:hAnsiTheme="minorHAnsi" w:cstheme="minorHAnsi"/>
          <w:i/>
          <w:iCs/>
          <w:color w:val="000000" w:themeColor="text1"/>
          <w:sz w:val="20"/>
          <w:szCs w:val="20"/>
        </w:rPr>
        <w:t xml:space="preserve"> </w:t>
      </w:r>
    </w:p>
    <w:p w:rsidR="00B079B9" w:rsidRPr="005D211B" w:rsidRDefault="00B079B9" w:rsidP="001D7829">
      <w:pPr>
        <w:pStyle w:val="ListParagraph"/>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p>
    <w:p w:rsidR="00B079B9" w:rsidRPr="005D211B" w:rsidRDefault="00B079B9" w:rsidP="001D7829">
      <w:pPr>
        <w:pStyle w:val="ListParagraph"/>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r w:rsidRPr="005D211B">
        <w:rPr>
          <w:rFonts w:asciiTheme="minorHAnsi" w:hAnsiTheme="minorHAnsi" w:cstheme="minorHAnsi"/>
          <w:i/>
          <w:iCs/>
          <w:color w:val="000000" w:themeColor="text1"/>
          <w:sz w:val="20"/>
          <w:szCs w:val="20"/>
        </w:rPr>
        <w:t xml:space="preserve">durante la complicazione la persona può andare incontro a </w:t>
      </w:r>
      <w:r w:rsidRPr="005D211B">
        <w:rPr>
          <w:rFonts w:asciiTheme="minorHAnsi" w:hAnsiTheme="minorHAnsi" w:cstheme="minorHAnsi"/>
          <w:b/>
          <w:bCs/>
          <w:i/>
          <w:iCs/>
          <w:color w:val="C00000"/>
          <w:sz w:val="20"/>
          <w:szCs w:val="20"/>
        </w:rPr>
        <w:t>coinfezioni di tipo batterico</w:t>
      </w:r>
      <w:r w:rsidRPr="005D211B">
        <w:rPr>
          <w:rFonts w:asciiTheme="minorHAnsi" w:hAnsiTheme="minorHAnsi" w:cstheme="minorHAnsi"/>
          <w:i/>
          <w:iCs/>
          <w:color w:val="000000" w:themeColor="text1"/>
          <w:sz w:val="20"/>
          <w:szCs w:val="20"/>
        </w:rPr>
        <w:t xml:space="preserve"> </w:t>
      </w:r>
      <w:r w:rsidR="00910431" w:rsidRPr="005D211B">
        <w:rPr>
          <w:rFonts w:asciiTheme="minorHAnsi" w:hAnsiTheme="minorHAnsi" w:cstheme="minorHAnsi"/>
          <w:i/>
          <w:iCs/>
          <w:color w:val="000000" w:themeColor="text1"/>
          <w:sz w:val="20"/>
          <w:szCs w:val="20"/>
        </w:rPr>
        <w:t xml:space="preserve">(soprattutto ospedaliere antibiotico-resistenti) </w:t>
      </w:r>
      <w:r w:rsidRPr="005D211B">
        <w:rPr>
          <w:rFonts w:asciiTheme="minorHAnsi" w:hAnsiTheme="minorHAnsi" w:cstheme="minorHAnsi"/>
          <w:i/>
          <w:iCs/>
          <w:color w:val="000000" w:themeColor="text1"/>
          <w:sz w:val="20"/>
          <w:szCs w:val="20"/>
        </w:rPr>
        <w:t xml:space="preserve">che aggravano ulteriormente il quadro clinico. </w:t>
      </w:r>
    </w:p>
    <w:p w:rsidR="00B079B9" w:rsidRPr="005D211B" w:rsidRDefault="00B079B9" w:rsidP="001D7829">
      <w:pPr>
        <w:pStyle w:val="ListParagraph"/>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p>
    <w:p w:rsidR="00B079B9" w:rsidRPr="007C7F93" w:rsidRDefault="00910431" w:rsidP="001D7829">
      <w:pPr>
        <w:pStyle w:val="ListParagraph"/>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i/>
          <w:iCs/>
          <w:color w:val="000000" w:themeColor="text1"/>
          <w:sz w:val="20"/>
          <w:szCs w:val="20"/>
        </w:rPr>
      </w:pPr>
      <w:r w:rsidRPr="007C7F93">
        <w:rPr>
          <w:rFonts w:asciiTheme="minorHAnsi" w:hAnsiTheme="minorHAnsi" w:cstheme="minorHAnsi"/>
          <w:b/>
          <w:bCs/>
          <w:i/>
          <w:iCs/>
          <w:color w:val="C00000"/>
          <w:sz w:val="20"/>
          <w:szCs w:val="20"/>
        </w:rPr>
        <w:t xml:space="preserve">Fase </w:t>
      </w:r>
      <w:r w:rsidR="00B079B9" w:rsidRPr="007C7F93">
        <w:rPr>
          <w:rFonts w:asciiTheme="minorHAnsi" w:hAnsiTheme="minorHAnsi" w:cstheme="minorHAnsi"/>
          <w:b/>
          <w:bCs/>
          <w:i/>
          <w:iCs/>
          <w:color w:val="C00000"/>
          <w:sz w:val="20"/>
          <w:szCs w:val="20"/>
        </w:rPr>
        <w:t>post-infettiv</w:t>
      </w:r>
      <w:r w:rsidRPr="007C7F93">
        <w:rPr>
          <w:rFonts w:asciiTheme="minorHAnsi" w:hAnsiTheme="minorHAnsi" w:cstheme="minorHAnsi"/>
          <w:b/>
          <w:bCs/>
          <w:i/>
          <w:iCs/>
          <w:color w:val="C00000"/>
          <w:sz w:val="20"/>
          <w:szCs w:val="20"/>
        </w:rPr>
        <w:t>a</w:t>
      </w:r>
      <w:r w:rsidR="00B079B9" w:rsidRPr="007C7F93">
        <w:rPr>
          <w:rFonts w:asciiTheme="minorHAnsi" w:hAnsiTheme="minorHAnsi" w:cstheme="minorHAnsi"/>
          <w:i/>
          <w:iCs/>
          <w:color w:val="C00000"/>
          <w:sz w:val="20"/>
          <w:szCs w:val="20"/>
        </w:rPr>
        <w:t xml:space="preserve">: </w:t>
      </w:r>
      <w:r w:rsidR="00B079B9" w:rsidRPr="007C7F93">
        <w:rPr>
          <w:rFonts w:asciiTheme="minorHAnsi" w:hAnsiTheme="minorHAnsi" w:cstheme="minorHAnsi"/>
          <w:i/>
          <w:iCs/>
          <w:color w:val="000000" w:themeColor="text1"/>
          <w:sz w:val="20"/>
          <w:szCs w:val="20"/>
        </w:rPr>
        <w:t>sarà importante effettuare il monitoraggio dei pazienti che hanno superato le complicazioni</w:t>
      </w:r>
      <w:r w:rsidR="00594092" w:rsidRPr="007C7F93">
        <w:rPr>
          <w:rFonts w:asciiTheme="minorHAnsi" w:hAnsiTheme="minorHAnsi" w:cstheme="minorHAnsi"/>
          <w:i/>
          <w:iCs/>
          <w:color w:val="000000" w:themeColor="text1"/>
          <w:sz w:val="20"/>
          <w:szCs w:val="20"/>
        </w:rPr>
        <w:t xml:space="preserve">, in quanto come si vedrà in seguito sono possibili reazioni autoimmuni a lungo termine </w:t>
      </w:r>
    </w:p>
    <w:p w:rsidR="00B079B9" w:rsidRDefault="00B079B9" w:rsidP="001D7829">
      <w:pPr>
        <w:pStyle w:val="ListParagraph"/>
        <w:pBdr>
          <w:top w:val="single" w:sz="4" w:space="1" w:color="auto"/>
          <w:left w:val="single" w:sz="4" w:space="5" w:color="auto"/>
          <w:bottom w:val="single" w:sz="4" w:space="1" w:color="auto"/>
          <w:right w:val="single" w:sz="4" w:space="4" w:color="auto"/>
        </w:pBdr>
        <w:shd w:val="clear" w:color="auto" w:fill="FBF9E1"/>
        <w:ind w:left="851" w:right="1127"/>
        <w:jc w:val="both"/>
        <w:rPr>
          <w:rFonts w:asciiTheme="minorHAnsi" w:hAnsiTheme="minorHAnsi" w:cstheme="minorHAnsi"/>
          <w:color w:val="000000" w:themeColor="text1"/>
          <w:sz w:val="20"/>
          <w:szCs w:val="20"/>
        </w:rPr>
      </w:pPr>
    </w:p>
    <w:p w:rsidR="00B67C25" w:rsidRDefault="00B079B9" w:rsidP="00B079B9">
      <w:pPr>
        <w:pStyle w:val="ListParagraph"/>
        <w:ind w:left="709" w:right="1127"/>
        <w:jc w:val="both"/>
        <w:rPr>
          <w:rFonts w:asciiTheme="minorHAnsi" w:hAnsiTheme="minorHAnsi" w:cstheme="minorHAnsi"/>
          <w:b/>
          <w:bCs/>
          <w:color w:val="C00000"/>
        </w:rPr>
      </w:pPr>
      <w:r>
        <w:rPr>
          <w:rFonts w:asciiTheme="minorHAnsi" w:hAnsiTheme="minorHAnsi" w:cstheme="minorHAnsi"/>
          <w:b/>
          <w:bCs/>
          <w:color w:val="C00000"/>
        </w:rPr>
        <w:t xml:space="preserve"> </w:t>
      </w:r>
      <w:r w:rsidR="00B67C25">
        <w:rPr>
          <w:rFonts w:asciiTheme="minorHAnsi" w:hAnsiTheme="minorHAnsi" w:cstheme="minorHAnsi"/>
          <w:b/>
          <w:bCs/>
          <w:color w:val="C00000"/>
        </w:rPr>
        <w:t xml:space="preserve">  </w:t>
      </w: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Default="001D7829" w:rsidP="00B079B9">
      <w:pPr>
        <w:pStyle w:val="ListParagraph"/>
        <w:ind w:left="709" w:right="1127"/>
        <w:jc w:val="both"/>
        <w:rPr>
          <w:rFonts w:asciiTheme="minorHAnsi" w:hAnsiTheme="minorHAnsi" w:cstheme="minorHAnsi"/>
          <w:b/>
          <w:bCs/>
          <w:color w:val="C00000"/>
        </w:rPr>
      </w:pPr>
    </w:p>
    <w:p w:rsidR="001D7829" w:rsidRPr="00DC48B4" w:rsidRDefault="001D7829" w:rsidP="00B079B9">
      <w:pPr>
        <w:pStyle w:val="ListParagraph"/>
        <w:ind w:left="709" w:right="1127"/>
        <w:jc w:val="both"/>
        <w:rPr>
          <w:rFonts w:asciiTheme="minorHAnsi" w:hAnsiTheme="minorHAnsi" w:cstheme="minorHAnsi"/>
          <w:b/>
          <w:bCs/>
          <w:color w:val="C00000"/>
        </w:rPr>
      </w:pPr>
    </w:p>
    <w:p w:rsidR="002B7F58" w:rsidRPr="00717D4D" w:rsidRDefault="00892F48" w:rsidP="001D7829">
      <w:pPr>
        <w:pStyle w:val="Heading1"/>
        <w:jc w:val="center"/>
        <w:rPr>
          <w:rFonts w:asciiTheme="minorHAnsi" w:hAnsiTheme="minorHAnsi" w:cstheme="minorHAnsi"/>
          <w:b/>
          <w:color w:val="000000" w:themeColor="text1"/>
          <w:sz w:val="24"/>
          <w:szCs w:val="24"/>
        </w:rPr>
      </w:pPr>
      <w:bookmarkStart w:id="30" w:name="_Toc43342380"/>
      <w:r>
        <w:rPr>
          <w:rFonts w:asciiTheme="minorHAnsi" w:hAnsiTheme="minorHAnsi" w:cstheme="minorHAnsi"/>
          <w:b/>
          <w:color w:val="000000" w:themeColor="text1"/>
          <w:sz w:val="24"/>
          <w:szCs w:val="24"/>
        </w:rPr>
        <w:lastRenderedPageBreak/>
        <w:t>L</w:t>
      </w:r>
      <w:r w:rsidR="0072185E" w:rsidRPr="00717D4D">
        <w:rPr>
          <w:rFonts w:asciiTheme="minorHAnsi" w:hAnsiTheme="minorHAnsi" w:cstheme="minorHAnsi"/>
          <w:b/>
          <w:color w:val="000000" w:themeColor="text1"/>
          <w:sz w:val="24"/>
          <w:szCs w:val="24"/>
        </w:rPr>
        <w:t>A FEBBRE NELLA RISPOSTA ALL’INFEZIONE VIRALE DA SARS-COV-2 E LE SUE COMPLICANZE</w:t>
      </w:r>
      <w:bookmarkEnd w:id="30"/>
    </w:p>
    <w:p w:rsidR="002B7F58" w:rsidRPr="00717D4D" w:rsidRDefault="002B7F58" w:rsidP="001D2A46">
      <w:pPr>
        <w:jc w:val="both"/>
        <w:rPr>
          <w:rFonts w:asciiTheme="minorHAnsi" w:hAnsiTheme="minorHAnsi" w:cstheme="minorHAnsi"/>
          <w:b/>
          <w:color w:val="FF0000"/>
        </w:rPr>
      </w:pPr>
    </w:p>
    <w:p w:rsidR="00892F48" w:rsidRPr="009E718E" w:rsidRDefault="00892F48" w:rsidP="00892F48">
      <w:pPr>
        <w:jc w:val="both"/>
        <w:rPr>
          <w:rFonts w:asciiTheme="minorHAnsi" w:hAnsiTheme="minorHAnsi" w:cstheme="minorHAnsi"/>
          <w:color w:val="000000" w:themeColor="text1"/>
          <w:sz w:val="20"/>
          <w:szCs w:val="20"/>
        </w:rPr>
      </w:pPr>
      <w:r w:rsidRPr="009E718E">
        <w:rPr>
          <w:rFonts w:asciiTheme="minorHAnsi" w:hAnsiTheme="minorHAnsi" w:cstheme="minorHAnsi"/>
          <w:color w:val="000000" w:themeColor="text1"/>
          <w:sz w:val="20"/>
          <w:szCs w:val="20"/>
        </w:rPr>
        <w:t>L’andamento della febbre nel corso dell’infezione virale fino alla complicazione fatale è di grande rilevanza per comprendere lo stadio della patologia.</w:t>
      </w:r>
    </w:p>
    <w:p w:rsidR="001D2A46" w:rsidRPr="00717D4D" w:rsidRDefault="001D2A46" w:rsidP="001D2A46">
      <w:pPr>
        <w:jc w:val="both"/>
        <w:rPr>
          <w:rFonts w:asciiTheme="minorHAnsi" w:hAnsiTheme="minorHAnsi" w:cstheme="minorHAnsi"/>
          <w:color w:val="000000" w:themeColor="text1"/>
        </w:rPr>
      </w:pPr>
    </w:p>
    <w:p w:rsidR="002B7F58" w:rsidRPr="007C2192" w:rsidRDefault="002B7F58" w:rsidP="001D7829">
      <w:pPr>
        <w:shd w:val="clear" w:color="auto" w:fill="E2EFD9" w:themeFill="accent6" w:themeFillTint="33"/>
        <w:jc w:val="center"/>
        <w:rPr>
          <w:color w:val="2F5496" w:themeColor="accent1" w:themeShade="BF"/>
        </w:rPr>
      </w:pPr>
      <w:bookmarkStart w:id="31" w:name="_Toc42028103"/>
      <w:bookmarkStart w:id="32" w:name="_Toc42113151"/>
      <w:r w:rsidRPr="009E718E">
        <w:rPr>
          <w:rFonts w:asciiTheme="minorHAnsi" w:hAnsiTheme="minorHAnsi" w:cstheme="minorHAnsi"/>
          <w:b/>
          <w:bCs/>
          <w:color w:val="C00000"/>
          <w:sz w:val="22"/>
          <w:szCs w:val="22"/>
        </w:rPr>
        <w:t>Definizione di Febbre, piressia ed ipertermia</w:t>
      </w:r>
      <w:r w:rsidRPr="009E718E">
        <w:rPr>
          <w:color w:val="C00000"/>
        </w:rPr>
        <w:t xml:space="preserve"> </w:t>
      </w:r>
      <w:r w:rsidRPr="001D7829">
        <w:rPr>
          <w:rStyle w:val="FootnoteReference"/>
          <w:rFonts w:asciiTheme="minorHAnsi" w:hAnsiTheme="minorHAnsi" w:cstheme="minorHAnsi"/>
          <w:color w:val="000000" w:themeColor="text1"/>
          <w:sz w:val="20"/>
          <w:szCs w:val="20"/>
        </w:rPr>
        <w:footnoteReference w:id="56"/>
      </w:r>
      <w:bookmarkEnd w:id="31"/>
      <w:bookmarkEnd w:id="32"/>
    </w:p>
    <w:p w:rsidR="002B7F58" w:rsidRPr="007C2192" w:rsidRDefault="002B7F58" w:rsidP="008E1123">
      <w:pPr>
        <w:jc w:val="center"/>
        <w:rPr>
          <w:color w:val="2F5496" w:themeColor="accent1" w:themeShade="BF"/>
        </w:rPr>
      </w:pPr>
    </w:p>
    <w:p w:rsidR="009E718E" w:rsidRPr="001D7829" w:rsidRDefault="002B7F58" w:rsidP="00D71CED">
      <w:pPr>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 xml:space="preserve">La temperatura umana normale è considerata di 37°C, ma può variare fino a 1°C in soggetti sani. </w:t>
      </w:r>
      <w:r w:rsidRPr="001D7829">
        <w:rPr>
          <w:rFonts w:asciiTheme="minorHAnsi" w:hAnsiTheme="minorHAnsi" w:cstheme="minorHAnsi"/>
          <w:b/>
          <w:bCs/>
          <w:color w:val="000000" w:themeColor="text1"/>
          <w:sz w:val="20"/>
          <w:szCs w:val="20"/>
        </w:rPr>
        <w:t>L'elevata temperatura interna è un sintomo comune nella terapia intensiva, che colpisce fino al 70% dei pazienti.</w:t>
      </w:r>
      <w:r w:rsidRPr="001D7829">
        <w:rPr>
          <w:rFonts w:asciiTheme="minorHAnsi" w:hAnsiTheme="minorHAnsi" w:cstheme="minorHAnsi"/>
          <w:color w:val="000000" w:themeColor="text1"/>
          <w:sz w:val="20"/>
          <w:szCs w:val="20"/>
        </w:rPr>
        <w:t xml:space="preserve"> </w:t>
      </w:r>
    </w:p>
    <w:p w:rsidR="009E718E" w:rsidRDefault="002B7F58" w:rsidP="00D71CED">
      <w:pPr>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 xml:space="preserve">Nonostante l'uso generale, i termini "piressia", "febbre" e "ipertermia" non sono ancora universalmente definiti. </w:t>
      </w:r>
    </w:p>
    <w:p w:rsidR="001D7829" w:rsidRPr="001D7829" w:rsidRDefault="001D7829" w:rsidP="00D71CED">
      <w:pPr>
        <w:jc w:val="both"/>
        <w:rPr>
          <w:rFonts w:asciiTheme="minorHAnsi" w:hAnsiTheme="minorHAnsi" w:cstheme="minorHAnsi"/>
          <w:color w:val="000000" w:themeColor="text1"/>
          <w:sz w:val="20"/>
          <w:szCs w:val="20"/>
        </w:rPr>
      </w:pPr>
    </w:p>
    <w:p w:rsidR="009E718E" w:rsidRDefault="002B7F58" w:rsidP="00D71CED">
      <w:pPr>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 xml:space="preserve">L'American College of Critical Care Medicine, la International Statistical Classification of Diseases e la Infectious Diseases Society of America definiscono la </w:t>
      </w:r>
      <w:r w:rsidRPr="001D7829">
        <w:rPr>
          <w:rFonts w:asciiTheme="minorHAnsi" w:hAnsiTheme="minorHAnsi" w:cstheme="minorHAnsi"/>
          <w:b/>
          <w:bCs/>
          <w:color w:val="000000" w:themeColor="text1"/>
          <w:sz w:val="20"/>
          <w:szCs w:val="20"/>
        </w:rPr>
        <w:t xml:space="preserve">febbre </w:t>
      </w:r>
      <w:r w:rsidRPr="001D7829">
        <w:rPr>
          <w:rFonts w:asciiTheme="minorHAnsi" w:hAnsiTheme="minorHAnsi" w:cstheme="minorHAnsi"/>
          <w:color w:val="000000" w:themeColor="text1"/>
          <w:sz w:val="20"/>
          <w:szCs w:val="20"/>
        </w:rPr>
        <w:t xml:space="preserve">come una temperatura interna di 38,3°C o superiore, cioè appena sopra il limite superiore di una normale temperatura umana, indipendentemente dalla causa. </w:t>
      </w:r>
    </w:p>
    <w:p w:rsidR="001D7829" w:rsidRPr="001D7829" w:rsidRDefault="001D7829" w:rsidP="00D71CED">
      <w:pPr>
        <w:jc w:val="both"/>
        <w:rPr>
          <w:rFonts w:asciiTheme="minorHAnsi" w:hAnsiTheme="minorHAnsi" w:cstheme="minorHAnsi"/>
          <w:color w:val="000000" w:themeColor="text1"/>
          <w:sz w:val="20"/>
          <w:szCs w:val="20"/>
        </w:rPr>
      </w:pPr>
    </w:p>
    <w:p w:rsidR="002B7F58" w:rsidRDefault="002B7F58" w:rsidP="00D71CED">
      <w:pPr>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La febbre ha le sue basi etimologiche in latino, che significa semplicemente "calore", e la piressia viene dal greco "pir", che significa fuoco o febbre. Alcune fonti usano i termini in modo intercambiabile, mentre altre conservano la "febbre" per indicare un aumento della temperatura causato dall'azione dei pirogeni termoregolatori sull'ipotalamo, per esempio nella sepsi e in condizioni infiammatorie.</w:t>
      </w:r>
    </w:p>
    <w:p w:rsidR="001D7829" w:rsidRPr="001D7829" w:rsidRDefault="001D7829" w:rsidP="00D71CED">
      <w:pPr>
        <w:jc w:val="both"/>
        <w:rPr>
          <w:rFonts w:asciiTheme="minorHAnsi" w:hAnsiTheme="minorHAnsi" w:cstheme="minorHAnsi"/>
          <w:color w:val="000000" w:themeColor="text1"/>
          <w:sz w:val="20"/>
          <w:szCs w:val="20"/>
        </w:rPr>
      </w:pPr>
    </w:p>
    <w:p w:rsidR="002B7F58" w:rsidRPr="001D7829" w:rsidRDefault="002B7F58" w:rsidP="00D71CED">
      <w:pPr>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Anche l'</w:t>
      </w:r>
      <w:r w:rsidRPr="001D7829">
        <w:rPr>
          <w:rFonts w:asciiTheme="minorHAnsi" w:hAnsiTheme="minorHAnsi" w:cstheme="minorHAnsi"/>
          <w:b/>
          <w:bCs/>
          <w:color w:val="000000" w:themeColor="text1"/>
          <w:sz w:val="20"/>
          <w:szCs w:val="20"/>
        </w:rPr>
        <w:t xml:space="preserve">ipertermia </w:t>
      </w:r>
      <w:r w:rsidRPr="001D7829">
        <w:rPr>
          <w:rFonts w:asciiTheme="minorHAnsi" w:hAnsiTheme="minorHAnsi" w:cstheme="minorHAnsi"/>
          <w:color w:val="000000" w:themeColor="text1"/>
          <w:sz w:val="20"/>
          <w:szCs w:val="20"/>
        </w:rPr>
        <w:t>non ha una definizione concordata, ma viene di solito definita come una temperatura interna superiore a 38,2°C, indipendentemente dalla causa.</w:t>
      </w:r>
    </w:p>
    <w:p w:rsidR="00325D89" w:rsidRPr="001D7829" w:rsidRDefault="00325D89" w:rsidP="00D71CED">
      <w:pPr>
        <w:jc w:val="both"/>
        <w:rPr>
          <w:rFonts w:asciiTheme="minorHAnsi" w:hAnsiTheme="minorHAnsi" w:cstheme="minorHAnsi"/>
          <w:color w:val="000000" w:themeColor="text1"/>
          <w:sz w:val="20"/>
          <w:szCs w:val="20"/>
        </w:rPr>
      </w:pPr>
    </w:p>
    <w:p w:rsidR="002B7F58" w:rsidRPr="001D7829" w:rsidRDefault="002B7F58" w:rsidP="001D7829">
      <w:pPr>
        <w:pStyle w:val="ListParagraph"/>
        <w:numPr>
          <w:ilvl w:val="0"/>
          <w:numId w:val="1"/>
        </w:numPr>
        <w:shd w:val="clear" w:color="auto" w:fill="FBF9E1"/>
        <w:ind w:left="284" w:hanging="284"/>
        <w:jc w:val="both"/>
        <w:rPr>
          <w:rFonts w:asciiTheme="minorHAnsi" w:hAnsiTheme="minorHAnsi" w:cstheme="minorHAnsi"/>
          <w:color w:val="000000" w:themeColor="text1"/>
          <w:sz w:val="20"/>
          <w:szCs w:val="20"/>
        </w:rPr>
      </w:pPr>
      <w:r w:rsidRPr="001D7829">
        <w:rPr>
          <w:rFonts w:asciiTheme="minorHAnsi" w:hAnsiTheme="minorHAnsi" w:cstheme="minorHAnsi"/>
          <w:b/>
          <w:bCs/>
          <w:color w:val="000000" w:themeColor="text1"/>
          <w:sz w:val="20"/>
          <w:szCs w:val="20"/>
        </w:rPr>
        <w:t>FEBBRE</w:t>
      </w:r>
      <w:r w:rsidRPr="001D7829">
        <w:rPr>
          <w:rFonts w:asciiTheme="minorHAnsi" w:hAnsiTheme="minorHAnsi" w:cstheme="minorHAnsi"/>
          <w:color w:val="000000" w:themeColor="text1"/>
          <w:sz w:val="20"/>
          <w:szCs w:val="20"/>
        </w:rPr>
        <w:t xml:space="preserve"> (Piressia) È un aumento della temperatura corporea al di sopra del normale intervallo  circadiano della variazione giornaliera</w:t>
      </w:r>
      <w:r w:rsidR="003B6AAE" w:rsidRPr="001D7829">
        <w:rPr>
          <w:rFonts w:asciiTheme="minorHAnsi" w:hAnsiTheme="minorHAnsi" w:cstheme="minorHAnsi"/>
          <w:color w:val="000000" w:themeColor="text1"/>
          <w:sz w:val="20"/>
          <w:szCs w:val="20"/>
        </w:rPr>
        <w:t xml:space="preserve"> </w:t>
      </w:r>
      <w:r w:rsidRPr="001D7829">
        <w:rPr>
          <w:rFonts w:asciiTheme="minorHAnsi" w:hAnsiTheme="minorHAnsi" w:cstheme="minorHAnsi"/>
          <w:color w:val="000000" w:themeColor="text1"/>
          <w:sz w:val="20"/>
          <w:szCs w:val="20"/>
        </w:rPr>
        <w:t>a seguito di un cambiamento nel centro termoregolatore situato nell'ipotalamo anteriore e nell'area pre-ottica (cioè un aumento del limite ipotalamico di 37° C) a causa di un’infezione, disordini metabolici o un aumento della distruzione cellulare.</w:t>
      </w:r>
    </w:p>
    <w:p w:rsidR="00325D89" w:rsidRPr="001D7829" w:rsidRDefault="00325D89" w:rsidP="001D7829">
      <w:pPr>
        <w:pStyle w:val="ListParagraph"/>
        <w:ind w:left="284"/>
        <w:jc w:val="both"/>
        <w:rPr>
          <w:rFonts w:asciiTheme="minorHAnsi" w:hAnsiTheme="minorHAnsi" w:cstheme="minorHAnsi"/>
          <w:color w:val="000000" w:themeColor="text1"/>
          <w:sz w:val="20"/>
          <w:szCs w:val="20"/>
        </w:rPr>
      </w:pPr>
    </w:p>
    <w:p w:rsidR="009E718E" w:rsidRPr="001D7829" w:rsidRDefault="002B7F58" w:rsidP="001D7829">
      <w:pPr>
        <w:shd w:val="clear" w:color="auto" w:fill="FBF9E1"/>
        <w:tabs>
          <w:tab w:val="left" w:pos="284"/>
        </w:tabs>
        <w:ind w:left="284" w:hanging="284"/>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 xml:space="preserve">• </w:t>
      </w:r>
      <w:r w:rsidRPr="001D7829">
        <w:rPr>
          <w:rFonts w:asciiTheme="minorHAnsi" w:hAnsiTheme="minorHAnsi" w:cstheme="minorHAnsi"/>
          <w:color w:val="000000" w:themeColor="text1"/>
          <w:sz w:val="20"/>
          <w:szCs w:val="20"/>
        </w:rPr>
        <w:tab/>
        <w:t>L'</w:t>
      </w:r>
      <w:r w:rsidRPr="001D7829">
        <w:rPr>
          <w:rFonts w:asciiTheme="minorHAnsi" w:hAnsiTheme="minorHAnsi" w:cstheme="minorHAnsi"/>
          <w:b/>
          <w:bCs/>
          <w:color w:val="000000" w:themeColor="text1"/>
          <w:sz w:val="20"/>
          <w:szCs w:val="20"/>
        </w:rPr>
        <w:t xml:space="preserve">IPERTERMIA </w:t>
      </w:r>
      <w:r w:rsidRPr="001D7829">
        <w:rPr>
          <w:rFonts w:asciiTheme="minorHAnsi" w:hAnsiTheme="minorHAnsi" w:cstheme="minorHAnsi"/>
          <w:color w:val="000000" w:themeColor="text1"/>
          <w:sz w:val="20"/>
          <w:szCs w:val="20"/>
        </w:rPr>
        <w:t xml:space="preserve">è uno stato di temperatura interna elevata che aumenta rapidamente al di sopra dei 40°C,  secondario al fallimento della termoregolazione, che si verifica quando un corpo produce o assorbe più calore di quello che dissipa. </w:t>
      </w:r>
    </w:p>
    <w:p w:rsidR="002B7F58" w:rsidRPr="001D7829" w:rsidRDefault="009E718E" w:rsidP="00D71CED">
      <w:pPr>
        <w:tabs>
          <w:tab w:val="left" w:pos="284"/>
        </w:tabs>
        <w:ind w:left="284" w:hanging="284"/>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lastRenderedPageBreak/>
        <w:tab/>
      </w:r>
      <w:r w:rsidR="002B7F58" w:rsidRPr="001D7829">
        <w:rPr>
          <w:rFonts w:asciiTheme="minorHAnsi" w:hAnsiTheme="minorHAnsi" w:cstheme="minorHAnsi"/>
          <w:color w:val="000000" w:themeColor="text1"/>
          <w:sz w:val="20"/>
          <w:szCs w:val="20"/>
        </w:rPr>
        <w:t>In contrapposizione alla febbre, la regolazione del centro termoregolatorio durante l'ipertermia rimane invariata a livelli normotermici, mentre nel corpo la temperatura aumenta in modo incontrollato e prevale sulla capacità di perdere calore. L'esposizione al calore esterno e la produzione di calore endogeno sono due meccanismi attraverso i quali l'ipertermia può provocare una temperatura interna pericolosamente alta. Può essere rapidamente fatale e il suo trattamento differisce da quello della febbre. La causa sottostante deve essere rimossa e gli antipiretici non riducono l'elevata temperatura.</w:t>
      </w:r>
    </w:p>
    <w:p w:rsidR="00A03DCF" w:rsidRPr="001D7829" w:rsidRDefault="00A03DCF" w:rsidP="00D71CED">
      <w:pPr>
        <w:tabs>
          <w:tab w:val="left" w:pos="284"/>
        </w:tabs>
        <w:ind w:left="284" w:hanging="284"/>
        <w:jc w:val="both"/>
        <w:rPr>
          <w:rFonts w:asciiTheme="minorHAnsi" w:hAnsiTheme="minorHAnsi" w:cstheme="minorHAnsi"/>
          <w:color w:val="000000" w:themeColor="text1"/>
          <w:sz w:val="20"/>
          <w:szCs w:val="20"/>
        </w:rPr>
      </w:pPr>
    </w:p>
    <w:p w:rsidR="002B7F58" w:rsidRPr="001D7829" w:rsidRDefault="002B7F58" w:rsidP="001D7829">
      <w:pPr>
        <w:shd w:val="clear" w:color="auto" w:fill="FBF9E1"/>
        <w:ind w:left="284" w:hanging="284"/>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 xml:space="preserve">•   </w:t>
      </w:r>
      <w:r w:rsidRPr="001D7829">
        <w:rPr>
          <w:rFonts w:asciiTheme="minorHAnsi" w:hAnsiTheme="minorHAnsi" w:cstheme="minorHAnsi"/>
          <w:b/>
          <w:bCs/>
          <w:color w:val="000000" w:themeColor="text1"/>
          <w:sz w:val="20"/>
          <w:szCs w:val="20"/>
        </w:rPr>
        <w:t xml:space="preserve"> IPERPIRESSIA</w:t>
      </w:r>
      <w:r w:rsidRPr="001D7829">
        <w:rPr>
          <w:rFonts w:asciiTheme="minorHAnsi" w:hAnsiTheme="minorHAnsi" w:cstheme="minorHAnsi"/>
          <w:color w:val="000000" w:themeColor="text1"/>
          <w:sz w:val="20"/>
          <w:szCs w:val="20"/>
        </w:rPr>
        <w:t xml:space="preserve"> </w:t>
      </w:r>
      <w:r w:rsidR="009E718E" w:rsidRPr="001D7829">
        <w:rPr>
          <w:rFonts w:asciiTheme="minorHAnsi" w:hAnsiTheme="minorHAnsi" w:cstheme="minorHAnsi"/>
          <w:color w:val="000000" w:themeColor="text1"/>
          <w:sz w:val="20"/>
          <w:szCs w:val="20"/>
        </w:rPr>
        <w:t xml:space="preserve"> E’</w:t>
      </w:r>
      <w:r w:rsidRPr="001D7829">
        <w:rPr>
          <w:rFonts w:asciiTheme="minorHAnsi" w:hAnsiTheme="minorHAnsi" w:cstheme="minorHAnsi"/>
          <w:color w:val="000000" w:themeColor="text1"/>
          <w:sz w:val="20"/>
          <w:szCs w:val="20"/>
        </w:rPr>
        <w:t xml:space="preserve"> il termine per una febbre straordinariamente alta (&gt; 41,5°C), che può essere osservata in pazienti con infezioni gravi, ma la maggior parte dei casi si verifica in pazienti con emorragie nel sistema nervoso centrale SNC.</w:t>
      </w:r>
    </w:p>
    <w:p w:rsidR="002B7F58" w:rsidRPr="001D7829" w:rsidRDefault="002B7F58" w:rsidP="00325D89">
      <w:pPr>
        <w:tabs>
          <w:tab w:val="left" w:pos="284"/>
        </w:tabs>
        <w:jc w:val="center"/>
        <w:textAlignment w:val="baseline"/>
        <w:rPr>
          <w:rFonts w:asciiTheme="minorHAnsi" w:hAnsiTheme="minorHAnsi" w:cstheme="majorHAnsi"/>
          <w:color w:val="000000" w:themeColor="text1"/>
        </w:rPr>
      </w:pPr>
      <w:r w:rsidRPr="001D7829">
        <w:rPr>
          <w:rFonts w:asciiTheme="minorHAnsi" w:hAnsiTheme="minorHAnsi" w:cstheme="minorHAnsi"/>
          <w:noProof/>
          <w:color w:val="000000" w:themeColor="text1"/>
        </w:rPr>
        <w:drawing>
          <wp:inline distT="0" distB="0" distL="0" distR="0" wp14:anchorId="0E569C60" wp14:editId="2BB9C3DA">
            <wp:extent cx="3499658" cy="3221345"/>
            <wp:effectExtent l="0" t="0" r="5715" b="508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hermata 2020-05-14 alle 16.26.45.png"/>
                    <pic:cNvPicPr/>
                  </pic:nvPicPr>
                  <pic:blipFill>
                    <a:blip r:embed="rId76">
                      <a:extLst>
                        <a:ext uri="{28A0092B-C50C-407E-A947-70E740481C1C}">
                          <a14:useLocalDpi xmlns:a14="http://schemas.microsoft.com/office/drawing/2010/main" val="0"/>
                        </a:ext>
                      </a:extLst>
                    </a:blip>
                    <a:stretch>
                      <a:fillRect/>
                    </a:stretch>
                  </pic:blipFill>
                  <pic:spPr>
                    <a:xfrm>
                      <a:off x="0" y="0"/>
                      <a:ext cx="3583490" cy="3298510"/>
                    </a:xfrm>
                    <a:prstGeom prst="rect">
                      <a:avLst/>
                    </a:prstGeom>
                  </pic:spPr>
                </pic:pic>
              </a:graphicData>
            </a:graphic>
          </wp:inline>
        </w:drawing>
      </w:r>
    </w:p>
    <w:p w:rsidR="00325D89" w:rsidRPr="001D7829" w:rsidRDefault="00325D89" w:rsidP="001D7829">
      <w:pPr>
        <w:shd w:val="clear" w:color="auto" w:fill="F2F2F2" w:themeFill="background1" w:themeFillShade="F2"/>
        <w:rPr>
          <w:rFonts w:asciiTheme="minorHAnsi" w:hAnsiTheme="minorHAnsi"/>
          <w:color w:val="000000" w:themeColor="text1"/>
          <w:sz w:val="18"/>
          <w:szCs w:val="18"/>
        </w:rPr>
      </w:pPr>
      <w:r w:rsidRPr="001D7829">
        <w:rPr>
          <w:rFonts w:asciiTheme="minorHAnsi" w:hAnsiTheme="minorHAnsi"/>
          <w:color w:val="000000" w:themeColor="text1"/>
          <w:sz w:val="18"/>
          <w:szCs w:val="18"/>
        </w:rPr>
        <w:t xml:space="preserve">Tratta da </w:t>
      </w:r>
      <w:hyperlink r:id="rId77" w:history="1">
        <w:r w:rsidR="003B6AAE" w:rsidRPr="001D7829">
          <w:rPr>
            <w:rStyle w:val="Hyperlink"/>
            <w:rFonts w:asciiTheme="minorHAnsi" w:eastAsiaTheme="majorEastAsia" w:hAnsiTheme="minorHAnsi"/>
            <w:color w:val="000000" w:themeColor="text1"/>
            <w:sz w:val="18"/>
            <w:szCs w:val="18"/>
            <w:u w:val="none"/>
          </w:rPr>
          <w:t>https://reader.elsevier.com/reader/sd/pii/S1876034111000256?token=AC31C2C9E32AE728E17E26C69BF8E70B65CB89C5A661621D922C227EA6E38D5CC7A67AA679ACAA010C2A9D59CD011EF4</w:t>
        </w:r>
      </w:hyperlink>
    </w:p>
    <w:p w:rsidR="00325D89" w:rsidRPr="001D7829" w:rsidRDefault="00325D89" w:rsidP="00325D89">
      <w:pPr>
        <w:pStyle w:val="NormalWeb"/>
        <w:tabs>
          <w:tab w:val="left" w:pos="284"/>
        </w:tabs>
        <w:spacing w:before="0" w:beforeAutospacing="0" w:after="0" w:afterAutospacing="0"/>
        <w:jc w:val="both"/>
        <w:textAlignment w:val="baseline"/>
        <w:rPr>
          <w:rFonts w:asciiTheme="minorHAnsi" w:hAnsiTheme="minorHAnsi" w:cstheme="majorHAnsi"/>
          <w:color w:val="000000" w:themeColor="text1"/>
          <w:sz w:val="22"/>
          <w:szCs w:val="22"/>
        </w:rPr>
      </w:pPr>
    </w:p>
    <w:p w:rsidR="00325D89" w:rsidRPr="001D7829" w:rsidRDefault="00325D89" w:rsidP="00325D89">
      <w:pPr>
        <w:pStyle w:val="NormalWeb"/>
        <w:tabs>
          <w:tab w:val="left" w:pos="284"/>
        </w:tabs>
        <w:spacing w:before="0" w:beforeAutospacing="0" w:after="0" w:afterAutospacing="0"/>
        <w:jc w:val="both"/>
        <w:textAlignment w:val="baseline"/>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A seconda della</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b w:val="0"/>
          <w:bCs w:val="0"/>
          <w:color w:val="000000" w:themeColor="text1"/>
          <w:sz w:val="20"/>
          <w:szCs w:val="20"/>
          <w:bdr w:val="none" w:sz="0" w:space="0" w:color="auto" w:frame="1"/>
        </w:rPr>
        <w:t xml:space="preserve">temperatura misurata </w:t>
      </w:r>
      <w:r w:rsidRPr="001D7829">
        <w:rPr>
          <w:rStyle w:val="Strong"/>
          <w:rFonts w:asciiTheme="minorHAnsi" w:hAnsiTheme="minorHAnsi" w:cstheme="majorHAnsi"/>
          <w:color w:val="000000" w:themeColor="text1"/>
          <w:sz w:val="20"/>
          <w:szCs w:val="20"/>
          <w:bdr w:val="none" w:sz="0" w:space="0" w:color="auto" w:frame="1"/>
        </w:rPr>
        <w:t>a livello ascellare</w:t>
      </w:r>
      <w:r w:rsidRPr="001D7829">
        <w:rPr>
          <w:rFonts w:asciiTheme="minorHAnsi" w:hAnsiTheme="minorHAnsi" w:cstheme="majorHAnsi"/>
          <w:color w:val="000000" w:themeColor="text1"/>
          <w:sz w:val="20"/>
          <w:szCs w:val="20"/>
        </w:rPr>
        <w:t>, la febbre può essere classificata in:</w:t>
      </w:r>
    </w:p>
    <w:p w:rsidR="009E718E" w:rsidRPr="001D7829" w:rsidRDefault="009E718E" w:rsidP="00325D89">
      <w:pPr>
        <w:pStyle w:val="NormalWeb"/>
        <w:tabs>
          <w:tab w:val="left" w:pos="284"/>
        </w:tabs>
        <w:spacing w:before="0" w:beforeAutospacing="0" w:after="0" w:afterAutospacing="0"/>
        <w:jc w:val="both"/>
        <w:textAlignment w:val="baseline"/>
        <w:rPr>
          <w:rFonts w:asciiTheme="minorHAnsi" w:hAnsiTheme="minorHAnsi" w:cstheme="majorHAnsi"/>
          <w:color w:val="000000" w:themeColor="text1"/>
          <w:sz w:val="20"/>
          <w:szCs w:val="20"/>
        </w:rPr>
      </w:pPr>
    </w:p>
    <w:p w:rsidR="00325D89" w:rsidRPr="001D7829" w:rsidRDefault="00325D89" w:rsidP="00325D89">
      <w:pPr>
        <w:tabs>
          <w:tab w:val="left" w:pos="284"/>
        </w:tabs>
        <w:jc w:val="both"/>
        <w:textAlignment w:val="baseline"/>
        <w:rPr>
          <w:rFonts w:asciiTheme="minorHAnsi" w:hAnsiTheme="minorHAnsi" w:cstheme="majorHAnsi"/>
          <w:color w:val="000000" w:themeColor="text1"/>
          <w:sz w:val="20"/>
          <w:szCs w:val="20"/>
        </w:rPr>
        <w:sectPr w:rsidR="00325D89" w:rsidRPr="001D7829" w:rsidSect="00AB2EDE">
          <w:type w:val="continuous"/>
          <w:pgSz w:w="11900" w:h="16840"/>
          <w:pgMar w:top="1417" w:right="1134" w:bottom="1134" w:left="1134" w:header="708" w:footer="708" w:gutter="0"/>
          <w:cols w:space="708"/>
          <w:docGrid w:linePitch="360"/>
        </w:sectPr>
      </w:pPr>
    </w:p>
    <w:p w:rsidR="00325D89" w:rsidRPr="001D7829" w:rsidRDefault="00325D89" w:rsidP="00325D89">
      <w:pPr>
        <w:tabs>
          <w:tab w:val="left" w:pos="284"/>
        </w:tabs>
        <w:jc w:val="both"/>
        <w:textAlignment w:val="baseline"/>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Sub-febbre (37-37,5°C)</w:t>
      </w:r>
    </w:p>
    <w:p w:rsidR="00325D89" w:rsidRPr="001D7829" w:rsidRDefault="00325D89" w:rsidP="00325D89">
      <w:pPr>
        <w:tabs>
          <w:tab w:val="left" w:pos="284"/>
        </w:tabs>
        <w:jc w:val="both"/>
        <w:textAlignment w:val="baseline"/>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Febbricola (37,5-37,9°C)</w:t>
      </w:r>
    </w:p>
    <w:p w:rsidR="00325D89" w:rsidRPr="001D7829" w:rsidRDefault="00325D89" w:rsidP="00325D89">
      <w:pPr>
        <w:tabs>
          <w:tab w:val="left" w:pos="284"/>
        </w:tabs>
        <w:jc w:val="both"/>
        <w:textAlignment w:val="baseline"/>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Febbre moderata (38-38,9°C)</w:t>
      </w:r>
    </w:p>
    <w:p w:rsidR="00325D89" w:rsidRPr="001D7829" w:rsidRDefault="00325D89" w:rsidP="00325D89">
      <w:pPr>
        <w:tabs>
          <w:tab w:val="left" w:pos="284"/>
        </w:tabs>
        <w:jc w:val="both"/>
        <w:textAlignment w:val="baseline"/>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Febbre elevata (39-39,9°C)</w:t>
      </w:r>
    </w:p>
    <w:p w:rsidR="00325D89" w:rsidRPr="001D7829" w:rsidRDefault="00325D89" w:rsidP="00325D89">
      <w:pPr>
        <w:tabs>
          <w:tab w:val="left" w:pos="284"/>
        </w:tabs>
        <w:jc w:val="both"/>
        <w:textAlignment w:val="baseline"/>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Iperpiressia (&gt;40°C)</w:t>
      </w:r>
    </w:p>
    <w:p w:rsidR="00325D89" w:rsidRPr="001D7829" w:rsidRDefault="00325D89" w:rsidP="00D71CED">
      <w:pPr>
        <w:jc w:val="both"/>
        <w:rPr>
          <w:rFonts w:asciiTheme="minorHAnsi" w:hAnsiTheme="minorHAnsi" w:cstheme="majorHAnsi"/>
          <w:b/>
          <w:color w:val="000000" w:themeColor="text1"/>
          <w:sz w:val="20"/>
          <w:szCs w:val="20"/>
        </w:rPr>
        <w:sectPr w:rsidR="00325D89" w:rsidRPr="001D7829" w:rsidSect="00325D89">
          <w:type w:val="continuous"/>
          <w:pgSz w:w="11900" w:h="16840"/>
          <w:pgMar w:top="1417" w:right="1134" w:bottom="1134" w:left="1134" w:header="708" w:footer="708" w:gutter="0"/>
          <w:cols w:num="2" w:space="136" w:equalWidth="0">
            <w:col w:w="2626" w:space="708"/>
            <w:col w:w="6296"/>
          </w:cols>
          <w:docGrid w:linePitch="360"/>
        </w:sectPr>
      </w:pPr>
    </w:p>
    <w:p w:rsidR="002B7F58" w:rsidRPr="001D7829" w:rsidRDefault="002B7F58" w:rsidP="00D71CED">
      <w:pPr>
        <w:jc w:val="both"/>
        <w:rPr>
          <w:rFonts w:asciiTheme="minorHAnsi" w:hAnsiTheme="minorHAnsi" w:cstheme="majorHAnsi"/>
          <w:b/>
          <w:color w:val="000000" w:themeColor="text1"/>
          <w:sz w:val="20"/>
          <w:szCs w:val="20"/>
        </w:rPr>
      </w:pPr>
    </w:p>
    <w:p w:rsidR="00A03DCF" w:rsidRPr="001D7829" w:rsidRDefault="00A03DCF" w:rsidP="00A03DCF">
      <w:pPr>
        <w:jc w:val="both"/>
        <w:rPr>
          <w:rFonts w:asciiTheme="minorHAnsi" w:hAnsiTheme="minorHAnsi" w:cstheme="minorHAnsi"/>
          <w:color w:val="000000" w:themeColor="text1"/>
          <w:sz w:val="20"/>
          <w:szCs w:val="20"/>
        </w:rPr>
        <w:sectPr w:rsidR="00A03DCF" w:rsidRPr="001D7829" w:rsidSect="00325D89">
          <w:type w:val="continuous"/>
          <w:pgSz w:w="11900" w:h="16840"/>
          <w:pgMar w:top="1417" w:right="1134" w:bottom="1134" w:left="1134" w:header="708" w:footer="708" w:gutter="0"/>
          <w:cols w:num="2" w:space="708" w:equalWidth="0">
            <w:col w:w="2626" w:space="708"/>
            <w:col w:w="6296"/>
          </w:cols>
          <w:docGrid w:linePitch="360"/>
        </w:sectPr>
      </w:pPr>
    </w:p>
    <w:p w:rsidR="00A03DCF" w:rsidRDefault="00A03DCF" w:rsidP="00A03DCF">
      <w:pPr>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 xml:space="preserve">Rispetto ai bambini più grandi e agli adulti, i </w:t>
      </w:r>
      <w:r w:rsidRPr="001D7829">
        <w:rPr>
          <w:rFonts w:asciiTheme="minorHAnsi" w:hAnsiTheme="minorHAnsi" w:cstheme="minorHAnsi"/>
          <w:b/>
          <w:bCs/>
          <w:color w:val="000000" w:themeColor="text1"/>
          <w:sz w:val="20"/>
          <w:szCs w:val="20"/>
        </w:rPr>
        <w:t>neonati e i bambini piccoli presentano febbri più alte e più prolungate</w:t>
      </w:r>
      <w:r w:rsidRPr="001D7829">
        <w:rPr>
          <w:rFonts w:asciiTheme="minorHAnsi" w:hAnsiTheme="minorHAnsi" w:cstheme="minorHAnsi"/>
          <w:color w:val="000000" w:themeColor="text1"/>
          <w:sz w:val="20"/>
          <w:szCs w:val="20"/>
        </w:rPr>
        <w:t xml:space="preserve">, aumenti più rapidi della temperatura e maggiori fluttuazioni della temperatura. </w:t>
      </w:r>
    </w:p>
    <w:p w:rsidR="001D7829" w:rsidRPr="001D7829" w:rsidRDefault="001D7829" w:rsidP="00A03DCF">
      <w:pPr>
        <w:jc w:val="both"/>
        <w:rPr>
          <w:rFonts w:asciiTheme="minorHAnsi" w:hAnsiTheme="minorHAnsi" w:cstheme="minorHAnsi"/>
          <w:color w:val="000000" w:themeColor="text1"/>
          <w:sz w:val="20"/>
          <w:szCs w:val="20"/>
        </w:rPr>
      </w:pPr>
    </w:p>
    <w:p w:rsidR="00A03DCF" w:rsidRPr="001D7829" w:rsidRDefault="00A03DCF" w:rsidP="00A03DCF">
      <w:pPr>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 xml:space="preserve">Nel </w:t>
      </w:r>
      <w:r w:rsidRPr="001D7829">
        <w:rPr>
          <w:rFonts w:asciiTheme="minorHAnsi" w:hAnsiTheme="minorHAnsi" w:cstheme="minorHAnsi"/>
          <w:b/>
          <w:bCs/>
          <w:color w:val="000000" w:themeColor="text1"/>
          <w:sz w:val="20"/>
          <w:szCs w:val="20"/>
        </w:rPr>
        <w:t>gruppo geriatrico (&gt; 65 anni)</w:t>
      </w:r>
      <w:r w:rsidRPr="001D7829">
        <w:rPr>
          <w:rFonts w:asciiTheme="minorHAnsi" w:hAnsiTheme="minorHAnsi" w:cstheme="minorHAnsi"/>
          <w:color w:val="000000" w:themeColor="text1"/>
          <w:sz w:val="20"/>
          <w:szCs w:val="20"/>
        </w:rPr>
        <w:t>, che ha probabilmente temperature corporee più basse, IDSA (</w:t>
      </w:r>
      <w:r w:rsidRPr="001D7829">
        <w:rPr>
          <w:rFonts w:asciiTheme="minorHAnsi" w:hAnsiTheme="minorHAnsi" w:cstheme="minorHAnsi"/>
          <w:color w:val="000000" w:themeColor="text1"/>
          <w:sz w:val="20"/>
          <w:szCs w:val="20"/>
          <w:shd w:val="clear" w:color="auto" w:fill="FFFFFF"/>
        </w:rPr>
        <w:t>Infectious Diseases Society of America)</w:t>
      </w:r>
      <w:r w:rsidRPr="001D7829">
        <w:rPr>
          <w:rFonts w:asciiTheme="minorHAnsi" w:hAnsiTheme="minorHAnsi" w:cstheme="minorHAnsi"/>
          <w:color w:val="000000" w:themeColor="text1"/>
          <w:sz w:val="20"/>
          <w:szCs w:val="20"/>
        </w:rPr>
        <w:t xml:space="preserve"> definisce la </w:t>
      </w:r>
      <w:r w:rsidRPr="001D7829">
        <w:rPr>
          <w:rFonts w:asciiTheme="minorHAnsi" w:hAnsiTheme="minorHAnsi" w:cstheme="minorHAnsi"/>
          <w:b/>
          <w:bCs/>
          <w:color w:val="000000" w:themeColor="text1"/>
          <w:sz w:val="20"/>
          <w:szCs w:val="20"/>
        </w:rPr>
        <w:t>febbre</w:t>
      </w:r>
      <w:r w:rsidRPr="001D7829">
        <w:rPr>
          <w:rFonts w:asciiTheme="minorHAnsi" w:hAnsiTheme="minorHAnsi" w:cstheme="minorHAnsi"/>
          <w:color w:val="000000" w:themeColor="text1"/>
          <w:sz w:val="20"/>
          <w:szCs w:val="20"/>
        </w:rPr>
        <w:t xml:space="preserve"> come: </w:t>
      </w:r>
    </w:p>
    <w:p w:rsidR="009E718E" w:rsidRPr="001D7829" w:rsidRDefault="009E718E" w:rsidP="00A03DCF">
      <w:pPr>
        <w:jc w:val="both"/>
        <w:rPr>
          <w:rFonts w:asciiTheme="minorHAnsi" w:hAnsiTheme="minorHAnsi" w:cstheme="minorHAnsi"/>
          <w:color w:val="000000" w:themeColor="text1"/>
          <w:sz w:val="20"/>
          <w:szCs w:val="20"/>
        </w:rPr>
      </w:pPr>
    </w:p>
    <w:p w:rsidR="00A03DCF" w:rsidRPr="001D7829" w:rsidRDefault="00A03DCF" w:rsidP="001D7829">
      <w:pPr>
        <w:pStyle w:val="ListParagraph"/>
        <w:numPr>
          <w:ilvl w:val="0"/>
          <w:numId w:val="7"/>
        </w:numPr>
        <w:shd w:val="clear" w:color="auto" w:fill="FBF9E1"/>
        <w:tabs>
          <w:tab w:val="left" w:pos="284"/>
        </w:tabs>
        <w:ind w:left="0" w:firstLine="0"/>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 xml:space="preserve">singola temperatura orale &gt; 100°F (&gt; 37,8°C); </w:t>
      </w:r>
    </w:p>
    <w:p w:rsidR="00A03DCF" w:rsidRPr="001D7829" w:rsidRDefault="00A03DCF" w:rsidP="001D7829">
      <w:pPr>
        <w:pStyle w:val="ListParagraph"/>
        <w:numPr>
          <w:ilvl w:val="0"/>
          <w:numId w:val="7"/>
        </w:numPr>
        <w:shd w:val="clear" w:color="auto" w:fill="FBF9E1"/>
        <w:tabs>
          <w:tab w:val="left" w:pos="284"/>
        </w:tabs>
        <w:ind w:left="0" w:firstLine="0"/>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 xml:space="preserve">temperature orali ripetute &gt; 37,2°C (99°F) o temperature rettali &gt; 37,5°C (99,5°F); </w:t>
      </w:r>
    </w:p>
    <w:p w:rsidR="00A03DCF" w:rsidRPr="001D7829" w:rsidRDefault="00A03DCF" w:rsidP="001D7829">
      <w:pPr>
        <w:pStyle w:val="ListParagraph"/>
        <w:numPr>
          <w:ilvl w:val="0"/>
          <w:numId w:val="7"/>
        </w:numPr>
        <w:shd w:val="clear" w:color="auto" w:fill="FBF9E1"/>
        <w:tabs>
          <w:tab w:val="left" w:pos="284"/>
        </w:tabs>
        <w:ind w:left="0" w:firstLine="0"/>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un aumento della temperatura di &gt; 2°F (&gt; 1,1°C) rispetto alla temperatura di base.</w:t>
      </w:r>
    </w:p>
    <w:p w:rsidR="00A03DCF" w:rsidRPr="001D7829" w:rsidRDefault="00A03DCF" w:rsidP="001D7829">
      <w:pPr>
        <w:shd w:val="clear" w:color="auto" w:fill="FBF9E1"/>
        <w:tabs>
          <w:tab w:val="left" w:pos="284"/>
        </w:tabs>
        <w:rPr>
          <w:rFonts w:asciiTheme="minorHAnsi" w:hAnsiTheme="minorHAnsi" w:cstheme="minorHAnsi"/>
          <w:b/>
          <w:bCs/>
          <w:color w:val="000000" w:themeColor="text1"/>
          <w:sz w:val="20"/>
          <w:szCs w:val="20"/>
        </w:rPr>
        <w:sectPr w:rsidR="00A03DCF" w:rsidRPr="001D7829" w:rsidSect="00A03DCF">
          <w:type w:val="continuous"/>
          <w:pgSz w:w="11900" w:h="16840"/>
          <w:pgMar w:top="1417" w:right="1134" w:bottom="1134" w:left="1134" w:header="708" w:footer="708" w:gutter="0"/>
          <w:cols w:space="708"/>
          <w:docGrid w:linePitch="360"/>
        </w:sectPr>
      </w:pPr>
    </w:p>
    <w:p w:rsidR="00A03DCF" w:rsidRDefault="00A03DCF" w:rsidP="008E1123">
      <w:pPr>
        <w:rPr>
          <w:rFonts w:asciiTheme="minorHAnsi" w:hAnsiTheme="minorHAnsi" w:cstheme="minorHAnsi"/>
          <w:b/>
          <w:bCs/>
          <w:color w:val="000000" w:themeColor="text1"/>
        </w:rPr>
      </w:pPr>
    </w:p>
    <w:p w:rsidR="001D7829" w:rsidRDefault="001D7829" w:rsidP="008E1123">
      <w:pPr>
        <w:rPr>
          <w:rFonts w:asciiTheme="minorHAnsi" w:hAnsiTheme="minorHAnsi" w:cstheme="minorHAnsi"/>
          <w:b/>
          <w:bCs/>
          <w:color w:val="000000" w:themeColor="text1"/>
        </w:rPr>
      </w:pPr>
    </w:p>
    <w:p w:rsidR="001D7829" w:rsidRDefault="001D7829" w:rsidP="008E1123">
      <w:pPr>
        <w:rPr>
          <w:rFonts w:asciiTheme="minorHAnsi" w:hAnsiTheme="minorHAnsi" w:cstheme="minorHAnsi"/>
          <w:b/>
          <w:bCs/>
          <w:color w:val="000000" w:themeColor="text1"/>
        </w:rPr>
      </w:pPr>
    </w:p>
    <w:p w:rsidR="001D7829" w:rsidRDefault="001D7829" w:rsidP="008E1123">
      <w:pPr>
        <w:rPr>
          <w:rFonts w:asciiTheme="minorHAnsi" w:hAnsiTheme="minorHAnsi" w:cstheme="minorHAnsi"/>
          <w:b/>
          <w:bCs/>
          <w:color w:val="000000" w:themeColor="text1"/>
        </w:rPr>
      </w:pPr>
    </w:p>
    <w:p w:rsidR="001D7829" w:rsidRDefault="001D7829" w:rsidP="008E1123">
      <w:pPr>
        <w:rPr>
          <w:rFonts w:asciiTheme="minorHAnsi" w:hAnsiTheme="minorHAnsi" w:cstheme="minorHAnsi"/>
          <w:b/>
          <w:bCs/>
          <w:color w:val="000000" w:themeColor="text1"/>
        </w:rPr>
      </w:pPr>
    </w:p>
    <w:p w:rsidR="001D7829" w:rsidRDefault="001D7829" w:rsidP="008E1123">
      <w:pPr>
        <w:rPr>
          <w:rFonts w:asciiTheme="minorHAnsi" w:hAnsiTheme="minorHAnsi" w:cstheme="minorHAnsi"/>
          <w:b/>
          <w:bCs/>
          <w:color w:val="000000" w:themeColor="text1"/>
        </w:rPr>
      </w:pPr>
    </w:p>
    <w:p w:rsidR="001D7829" w:rsidRDefault="001D7829" w:rsidP="008E1123">
      <w:pPr>
        <w:rPr>
          <w:rFonts w:asciiTheme="minorHAnsi" w:hAnsiTheme="minorHAnsi" w:cstheme="minorHAnsi"/>
          <w:b/>
          <w:bCs/>
          <w:color w:val="000000" w:themeColor="text1"/>
        </w:rPr>
      </w:pPr>
    </w:p>
    <w:p w:rsidR="001D7829" w:rsidRPr="001D7829" w:rsidRDefault="001D7829" w:rsidP="008E1123">
      <w:pPr>
        <w:rPr>
          <w:rFonts w:asciiTheme="minorHAnsi" w:hAnsiTheme="minorHAnsi" w:cstheme="minorHAnsi"/>
          <w:b/>
          <w:bCs/>
          <w:color w:val="000000" w:themeColor="text1"/>
        </w:rPr>
      </w:pPr>
    </w:p>
    <w:p w:rsidR="00A03DCF" w:rsidRPr="001D7829" w:rsidRDefault="00A03DCF" w:rsidP="008E1123">
      <w:pPr>
        <w:rPr>
          <w:rFonts w:asciiTheme="minorHAnsi" w:hAnsiTheme="minorHAnsi" w:cstheme="minorHAnsi"/>
          <w:b/>
          <w:bCs/>
          <w:color w:val="000000" w:themeColor="text1"/>
        </w:rPr>
      </w:pPr>
    </w:p>
    <w:p w:rsidR="00A03DCF" w:rsidRPr="001D7829" w:rsidRDefault="00A03DCF" w:rsidP="008E1123">
      <w:pPr>
        <w:rPr>
          <w:rFonts w:asciiTheme="minorHAnsi" w:hAnsiTheme="minorHAnsi" w:cstheme="minorHAnsi"/>
          <w:b/>
          <w:bCs/>
          <w:color w:val="000000" w:themeColor="text1"/>
        </w:rPr>
        <w:sectPr w:rsidR="00A03DCF" w:rsidRPr="001D7829" w:rsidSect="00325D89">
          <w:type w:val="continuous"/>
          <w:pgSz w:w="11900" w:h="16840"/>
          <w:pgMar w:top="1417" w:right="1134" w:bottom="1134" w:left="1134" w:header="708" w:footer="708" w:gutter="0"/>
          <w:cols w:num="2" w:space="708" w:equalWidth="0">
            <w:col w:w="2626" w:space="708"/>
            <w:col w:w="6296"/>
          </w:cols>
          <w:docGrid w:linePitch="360"/>
        </w:sectPr>
      </w:pPr>
    </w:p>
    <w:p w:rsidR="002B7F58" w:rsidRPr="001D7829" w:rsidRDefault="002B7F58" w:rsidP="000C69DF">
      <w:pPr>
        <w:jc w:val="both"/>
        <w:rPr>
          <w:rFonts w:asciiTheme="minorHAnsi" w:hAnsiTheme="minorHAnsi" w:cstheme="minorHAnsi"/>
          <w:b/>
          <w:bCs/>
          <w:i/>
          <w:iCs/>
          <w:color w:val="C00000"/>
        </w:rPr>
      </w:pPr>
      <w:r w:rsidRPr="001D7829">
        <w:rPr>
          <w:rFonts w:asciiTheme="minorHAnsi" w:hAnsiTheme="minorHAnsi" w:cstheme="minorHAnsi"/>
          <w:b/>
          <w:bCs/>
          <w:i/>
          <w:iCs/>
          <w:color w:val="C00000"/>
        </w:rPr>
        <w:lastRenderedPageBreak/>
        <w:t xml:space="preserve">Pirogeni </w:t>
      </w:r>
      <w:r w:rsidR="005D6923" w:rsidRPr="001D7829">
        <w:rPr>
          <w:rStyle w:val="FootnoteReference"/>
          <w:rFonts w:asciiTheme="minorHAnsi" w:hAnsiTheme="minorHAnsi" w:cstheme="minorHAnsi"/>
          <w:b/>
          <w:bCs/>
          <w:i/>
          <w:iCs/>
          <w:color w:val="C00000"/>
        </w:rPr>
        <w:footnoteReference w:id="57"/>
      </w:r>
    </w:p>
    <w:p w:rsidR="002B7F58" w:rsidRPr="001D7829" w:rsidRDefault="005D6923" w:rsidP="00D71CED">
      <w:pPr>
        <w:jc w:val="both"/>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I pirogeni sono sostanze che inducono la febbre. Agiscono sul centro termoregolatorio ipotalamico. Inibiscono i neuroni sensibili al calore mentre stimolano i neuroni sensibili al freddo, determinando così un aumento della temperatura corporea nell'ipotalamo al di sopra dell'intervallo normale. I</w:t>
      </w:r>
      <w:r w:rsidR="003B6AAE" w:rsidRPr="001D7829">
        <w:rPr>
          <w:rFonts w:asciiTheme="minorHAnsi" w:hAnsiTheme="minorHAnsi" w:cstheme="majorHAnsi"/>
          <w:color w:val="000000" w:themeColor="text1"/>
          <w:sz w:val="20"/>
          <w:szCs w:val="20"/>
        </w:rPr>
        <w:t xml:space="preserve"> pirogeni </w:t>
      </w:r>
      <w:r w:rsidR="002B7F58" w:rsidRPr="001D7829">
        <w:rPr>
          <w:rFonts w:asciiTheme="minorHAnsi" w:hAnsiTheme="minorHAnsi" w:cstheme="majorHAnsi"/>
          <w:color w:val="000000" w:themeColor="text1"/>
          <w:sz w:val="20"/>
          <w:szCs w:val="20"/>
        </w:rPr>
        <w:t xml:space="preserve">possono essere esogeni o endogeni. </w:t>
      </w:r>
    </w:p>
    <w:p w:rsidR="002B7F58" w:rsidRPr="001D7829" w:rsidRDefault="002B7F58" w:rsidP="00D71CED">
      <w:pPr>
        <w:jc w:val="both"/>
        <w:rPr>
          <w:rFonts w:asciiTheme="minorHAnsi" w:hAnsiTheme="minorHAnsi" w:cstheme="majorHAnsi"/>
          <w:color w:val="000000" w:themeColor="text1"/>
          <w:sz w:val="20"/>
          <w:szCs w:val="20"/>
        </w:rPr>
      </w:pPr>
    </w:p>
    <w:p w:rsidR="002B7F58" w:rsidRPr="001D7829" w:rsidRDefault="002B7F58" w:rsidP="00144EDD">
      <w:pPr>
        <w:jc w:val="both"/>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 xml:space="preserve">• </w:t>
      </w:r>
      <w:r w:rsidRPr="00144EDD">
        <w:rPr>
          <w:rFonts w:asciiTheme="minorHAnsi" w:hAnsiTheme="minorHAnsi" w:cstheme="majorHAnsi"/>
          <w:b/>
          <w:bCs/>
          <w:color w:val="000000" w:themeColor="text1"/>
          <w:sz w:val="20"/>
          <w:szCs w:val="20"/>
          <w:shd w:val="clear" w:color="auto" w:fill="FBF9E1"/>
        </w:rPr>
        <w:t>Pirogeni esogeni</w:t>
      </w:r>
      <w:r w:rsidR="005D6923" w:rsidRPr="001D7829">
        <w:rPr>
          <w:rFonts w:asciiTheme="minorHAnsi" w:hAnsiTheme="minorHAnsi" w:cstheme="majorHAnsi"/>
          <w:color w:val="000000" w:themeColor="text1"/>
          <w:sz w:val="20"/>
          <w:szCs w:val="20"/>
        </w:rPr>
        <w:t>:</w:t>
      </w:r>
      <w:r w:rsidRPr="001D7829">
        <w:rPr>
          <w:rFonts w:asciiTheme="minorHAnsi" w:hAnsiTheme="minorHAnsi" w:cstheme="majorHAnsi"/>
          <w:color w:val="000000" w:themeColor="text1"/>
          <w:sz w:val="20"/>
          <w:szCs w:val="20"/>
        </w:rPr>
        <w:t xml:space="preserve"> principalmente microbi o loro prodotti</w:t>
      </w:r>
      <w:r w:rsidR="005D6923" w:rsidRPr="001D7829">
        <w:rPr>
          <w:rFonts w:asciiTheme="minorHAnsi" w:hAnsiTheme="minorHAnsi" w:cstheme="majorHAnsi"/>
          <w:color w:val="000000" w:themeColor="text1"/>
          <w:sz w:val="20"/>
          <w:szCs w:val="20"/>
        </w:rPr>
        <w:t xml:space="preserve"> </w:t>
      </w:r>
      <w:r w:rsidR="00DC2644" w:rsidRPr="001D7829">
        <w:rPr>
          <w:rFonts w:asciiTheme="minorHAnsi" w:hAnsiTheme="minorHAnsi" w:cstheme="majorHAnsi"/>
          <w:color w:val="000000" w:themeColor="text1"/>
          <w:sz w:val="20"/>
          <w:szCs w:val="20"/>
        </w:rPr>
        <w:t>(b</w:t>
      </w:r>
      <w:r w:rsidR="005D6923" w:rsidRPr="001D7829">
        <w:rPr>
          <w:rFonts w:asciiTheme="minorHAnsi" w:hAnsiTheme="minorHAnsi" w:cstheme="majorHAnsi"/>
          <w:color w:val="000000" w:themeColor="text1"/>
          <w:sz w:val="20"/>
          <w:szCs w:val="20"/>
        </w:rPr>
        <w:t>atteri, virus, prioni</w:t>
      </w:r>
      <w:r w:rsidR="00DC2644" w:rsidRPr="001D7829">
        <w:rPr>
          <w:rFonts w:asciiTheme="minorHAnsi" w:hAnsiTheme="minorHAnsi" w:cstheme="majorHAnsi"/>
          <w:color w:val="000000" w:themeColor="text1"/>
          <w:sz w:val="20"/>
          <w:szCs w:val="20"/>
        </w:rPr>
        <w:t xml:space="preserve">, </w:t>
      </w:r>
      <w:r w:rsidRPr="001D7829">
        <w:rPr>
          <w:rFonts w:asciiTheme="minorHAnsi" w:hAnsiTheme="minorHAnsi" w:cstheme="majorHAnsi"/>
          <w:color w:val="000000" w:themeColor="text1"/>
          <w:sz w:val="20"/>
          <w:szCs w:val="20"/>
        </w:rPr>
        <w:t>tossine</w:t>
      </w:r>
      <w:r w:rsidR="00DC2644" w:rsidRPr="001D7829">
        <w:rPr>
          <w:rFonts w:asciiTheme="minorHAnsi" w:hAnsiTheme="minorHAnsi" w:cstheme="majorHAnsi"/>
          <w:color w:val="000000" w:themeColor="text1"/>
          <w:sz w:val="20"/>
          <w:szCs w:val="20"/>
        </w:rPr>
        <w:t xml:space="preserve"> ect)</w:t>
      </w:r>
    </w:p>
    <w:p w:rsidR="001D7829" w:rsidRDefault="001D7829" w:rsidP="00DC2644">
      <w:pPr>
        <w:ind w:left="142" w:hanging="142"/>
        <w:jc w:val="both"/>
        <w:rPr>
          <w:rFonts w:asciiTheme="minorHAnsi" w:hAnsiTheme="minorHAnsi" w:cstheme="majorHAnsi"/>
          <w:color w:val="000000" w:themeColor="text1"/>
          <w:sz w:val="20"/>
          <w:szCs w:val="20"/>
        </w:rPr>
      </w:pPr>
    </w:p>
    <w:p w:rsidR="002B7F58" w:rsidRPr="001D7829" w:rsidRDefault="002B7F58" w:rsidP="00DC2644">
      <w:pPr>
        <w:ind w:left="142" w:hanging="142"/>
        <w:jc w:val="both"/>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 xml:space="preserve">- </w:t>
      </w:r>
      <w:r w:rsidR="00DC2644" w:rsidRPr="001D7829">
        <w:rPr>
          <w:rFonts w:asciiTheme="minorHAnsi" w:hAnsiTheme="minorHAnsi" w:cstheme="majorHAnsi"/>
          <w:color w:val="000000" w:themeColor="text1"/>
          <w:sz w:val="20"/>
          <w:szCs w:val="20"/>
        </w:rPr>
        <w:t xml:space="preserve">Le endotossine sono prodotti microbici denominati ligandi dei recettori Toll-like (TLR), ad es. </w:t>
      </w:r>
      <w:r w:rsidRPr="001D7829">
        <w:rPr>
          <w:rFonts w:asciiTheme="minorHAnsi" w:hAnsiTheme="minorHAnsi" w:cstheme="majorHAnsi"/>
          <w:color w:val="000000" w:themeColor="text1"/>
          <w:sz w:val="20"/>
          <w:szCs w:val="20"/>
        </w:rPr>
        <w:t xml:space="preserve">endotossina lipopolisaccaridica </w:t>
      </w:r>
      <w:r w:rsidR="00DC2644" w:rsidRPr="001D7829">
        <w:rPr>
          <w:rFonts w:asciiTheme="minorHAnsi" w:hAnsiTheme="minorHAnsi" w:cstheme="majorHAnsi"/>
          <w:color w:val="000000" w:themeColor="text1"/>
          <w:sz w:val="20"/>
          <w:szCs w:val="20"/>
        </w:rPr>
        <w:t>(</w:t>
      </w:r>
      <w:r w:rsidRPr="001D7829">
        <w:rPr>
          <w:rFonts w:asciiTheme="minorHAnsi" w:hAnsiTheme="minorHAnsi" w:cstheme="majorHAnsi"/>
          <w:color w:val="000000" w:themeColor="text1"/>
          <w:sz w:val="20"/>
          <w:szCs w:val="20"/>
        </w:rPr>
        <w:t>prodotta da tutti i batteri gram-negativi</w:t>
      </w:r>
      <w:r w:rsidR="00DC2644" w:rsidRPr="001D7829">
        <w:rPr>
          <w:rFonts w:asciiTheme="minorHAnsi" w:hAnsiTheme="minorHAnsi" w:cstheme="majorHAnsi"/>
          <w:color w:val="000000" w:themeColor="text1"/>
          <w:sz w:val="20"/>
          <w:szCs w:val="20"/>
        </w:rPr>
        <w:t xml:space="preserve">); </w:t>
      </w:r>
      <w:r w:rsidRPr="001D7829">
        <w:rPr>
          <w:rFonts w:asciiTheme="minorHAnsi" w:hAnsiTheme="minorHAnsi" w:cstheme="majorHAnsi"/>
          <w:color w:val="000000" w:themeColor="text1"/>
          <w:sz w:val="20"/>
          <w:szCs w:val="20"/>
        </w:rPr>
        <w:t>tossina della sindrome da shock tossico (TSST-1</w:t>
      </w:r>
      <w:r w:rsidR="00DC2644" w:rsidRPr="001D7829">
        <w:rPr>
          <w:rFonts w:asciiTheme="minorHAnsi" w:hAnsiTheme="minorHAnsi" w:cstheme="majorHAnsi"/>
          <w:color w:val="000000" w:themeColor="text1"/>
          <w:sz w:val="20"/>
          <w:szCs w:val="20"/>
        </w:rPr>
        <w:t xml:space="preserve"> </w:t>
      </w:r>
      <w:r w:rsidRPr="001D7829">
        <w:rPr>
          <w:rFonts w:asciiTheme="minorHAnsi" w:hAnsiTheme="minorHAnsi" w:cstheme="majorHAnsi"/>
          <w:color w:val="000000" w:themeColor="text1"/>
          <w:sz w:val="20"/>
          <w:szCs w:val="20"/>
        </w:rPr>
        <w:t>associata a ceppi di Staphylococcus aureus</w:t>
      </w:r>
      <w:r w:rsidR="00DC2644" w:rsidRPr="001D7829">
        <w:rPr>
          <w:rFonts w:asciiTheme="minorHAnsi" w:hAnsiTheme="minorHAnsi" w:cstheme="majorHAnsi"/>
          <w:color w:val="000000" w:themeColor="text1"/>
          <w:sz w:val="20"/>
          <w:szCs w:val="20"/>
        </w:rPr>
        <w:t>)</w:t>
      </w:r>
    </w:p>
    <w:p w:rsidR="002B7F58" w:rsidRPr="001D7829" w:rsidRDefault="002B7F58" w:rsidP="00D71CED">
      <w:pPr>
        <w:jc w:val="both"/>
        <w:rPr>
          <w:rFonts w:asciiTheme="minorHAnsi" w:hAnsiTheme="minorHAnsi" w:cstheme="majorHAnsi"/>
          <w:color w:val="000000" w:themeColor="text1"/>
          <w:sz w:val="20"/>
          <w:szCs w:val="20"/>
          <w:vertAlign w:val="subscript"/>
        </w:rPr>
      </w:pPr>
      <w:r w:rsidRPr="001D7829">
        <w:rPr>
          <w:rFonts w:asciiTheme="minorHAnsi" w:hAnsiTheme="minorHAnsi" w:cstheme="majorHAnsi"/>
          <w:color w:val="000000" w:themeColor="text1"/>
          <w:sz w:val="20"/>
          <w:szCs w:val="20"/>
        </w:rPr>
        <w:t>- le esotossine dello streptococco di gruppo A agiscono sia come tossine dirette, sia come superantigeni</w:t>
      </w:r>
      <w:r w:rsidR="002D7857" w:rsidRPr="001D7829">
        <w:rPr>
          <w:rFonts w:asciiTheme="minorHAnsi" w:hAnsiTheme="minorHAnsi" w:cstheme="majorHAnsi"/>
          <w:color w:val="000000" w:themeColor="text1"/>
          <w:sz w:val="20"/>
          <w:szCs w:val="20"/>
        </w:rPr>
        <w:t xml:space="preserve"> </w:t>
      </w:r>
      <w:r w:rsidR="002A4124" w:rsidRPr="001D7829">
        <w:rPr>
          <w:rFonts w:asciiTheme="minorHAnsi" w:hAnsiTheme="minorHAnsi" w:cstheme="majorHAnsi"/>
          <w:color w:val="000000" w:themeColor="text1"/>
          <w:sz w:val="20"/>
          <w:szCs w:val="20"/>
        </w:rPr>
        <w:t>*</w:t>
      </w:r>
      <w:r w:rsidR="002D7857" w:rsidRPr="001D7829">
        <w:rPr>
          <w:rFonts w:asciiTheme="minorHAnsi" w:hAnsiTheme="minorHAnsi" w:cstheme="majorHAnsi"/>
          <w:color w:val="000000" w:themeColor="text1"/>
          <w:sz w:val="20"/>
          <w:szCs w:val="20"/>
        </w:rPr>
        <w:t xml:space="preserve">                   </w:t>
      </w:r>
    </w:p>
    <w:p w:rsidR="002D7857" w:rsidRPr="001D7829" w:rsidRDefault="002D7857" w:rsidP="00D71CED">
      <w:pPr>
        <w:jc w:val="both"/>
        <w:rPr>
          <w:rFonts w:asciiTheme="minorHAnsi" w:hAnsiTheme="minorHAnsi" w:cstheme="majorHAnsi"/>
          <w:color w:val="000000" w:themeColor="text1"/>
          <w:sz w:val="20"/>
          <w:szCs w:val="20"/>
        </w:rPr>
      </w:pPr>
    </w:p>
    <w:p w:rsidR="002D7857" w:rsidRPr="001D7829" w:rsidRDefault="002D7857" w:rsidP="002911D4">
      <w:pPr>
        <w:pBdr>
          <w:top w:val="dashSmallGap" w:sz="4" w:space="1" w:color="auto"/>
          <w:left w:val="dashSmallGap" w:sz="4" w:space="4" w:color="auto"/>
          <w:bottom w:val="dashSmallGap" w:sz="4" w:space="1" w:color="auto"/>
          <w:right w:val="dashSmallGap" w:sz="4" w:space="4" w:color="auto"/>
        </w:pBdr>
        <w:shd w:val="clear" w:color="auto" w:fill="FFFFFF" w:themeFill="background1"/>
        <w:ind w:left="426" w:right="843"/>
        <w:jc w:val="both"/>
        <w:rPr>
          <w:rFonts w:asciiTheme="minorHAnsi" w:hAnsiTheme="minorHAnsi" w:cstheme="majorHAnsi"/>
          <w:i/>
          <w:iCs/>
          <w:color w:val="000000" w:themeColor="text1"/>
          <w:sz w:val="18"/>
          <w:szCs w:val="18"/>
        </w:rPr>
      </w:pPr>
      <w:r w:rsidRPr="002911D4">
        <w:rPr>
          <w:rFonts w:asciiTheme="minorHAnsi" w:hAnsiTheme="minorHAnsi" w:cstheme="majorHAnsi"/>
          <w:color w:val="000000" w:themeColor="text1"/>
          <w:sz w:val="18"/>
          <w:szCs w:val="18"/>
          <w:shd w:val="clear" w:color="auto" w:fill="FFFFFF" w:themeFill="background1"/>
        </w:rPr>
        <w:t>*</w:t>
      </w:r>
      <w:r w:rsidRPr="002911D4">
        <w:rPr>
          <w:rFonts w:asciiTheme="minorHAnsi" w:hAnsiTheme="minorHAnsi" w:cstheme="majorHAnsi"/>
          <w:i/>
          <w:iCs/>
          <w:color w:val="000000" w:themeColor="text1"/>
          <w:sz w:val="18"/>
          <w:szCs w:val="18"/>
          <w:shd w:val="clear" w:color="auto" w:fill="FFFFFF" w:themeFill="background1"/>
        </w:rPr>
        <w:t>i superantigeni, o tossine di tipo I sono antigeni proteici dei batteri che provocano una risposta immunitaria molto intensa</w:t>
      </w:r>
      <w:r w:rsidRPr="001D7829">
        <w:rPr>
          <w:rFonts w:asciiTheme="minorHAnsi" w:hAnsiTheme="minorHAnsi" w:cstheme="majorHAnsi"/>
          <w:i/>
          <w:iCs/>
          <w:color w:val="000000" w:themeColor="text1"/>
          <w:sz w:val="18"/>
          <w:szCs w:val="18"/>
        </w:rPr>
        <w:t xml:space="preserve">, con la liberazione dai linfociti T di grandi quantità di citochine. </w:t>
      </w:r>
    </w:p>
    <w:p w:rsidR="002D7857" w:rsidRPr="001D7829" w:rsidRDefault="002D7857" w:rsidP="00D71CED">
      <w:pPr>
        <w:jc w:val="both"/>
        <w:rPr>
          <w:rFonts w:asciiTheme="minorHAnsi" w:hAnsiTheme="minorHAnsi" w:cstheme="majorHAnsi"/>
          <w:color w:val="000000" w:themeColor="text1"/>
          <w:sz w:val="20"/>
          <w:szCs w:val="20"/>
        </w:rPr>
      </w:pPr>
    </w:p>
    <w:p w:rsidR="002B7F58" w:rsidRPr="001D7829" w:rsidRDefault="002B7F58" w:rsidP="00144EDD">
      <w:pPr>
        <w:jc w:val="both"/>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 xml:space="preserve">• </w:t>
      </w:r>
      <w:r w:rsidR="005D6923" w:rsidRPr="00144EDD">
        <w:rPr>
          <w:rFonts w:asciiTheme="minorHAnsi" w:hAnsiTheme="minorHAnsi" w:cstheme="majorHAnsi"/>
          <w:b/>
          <w:bCs/>
          <w:color w:val="000000" w:themeColor="text1"/>
          <w:sz w:val="20"/>
          <w:szCs w:val="20"/>
          <w:shd w:val="clear" w:color="auto" w:fill="FBF9E1"/>
        </w:rPr>
        <w:t>Pirogeni endogeni</w:t>
      </w:r>
      <w:r w:rsidR="005D6923" w:rsidRPr="001D7829">
        <w:rPr>
          <w:rFonts w:asciiTheme="minorHAnsi" w:hAnsiTheme="minorHAnsi" w:cstheme="majorHAnsi"/>
          <w:color w:val="000000" w:themeColor="text1"/>
          <w:sz w:val="20"/>
          <w:szCs w:val="20"/>
        </w:rPr>
        <w:t xml:space="preserve">: </w:t>
      </w:r>
      <w:r w:rsidRPr="001D7829">
        <w:rPr>
          <w:rFonts w:asciiTheme="minorHAnsi" w:hAnsiTheme="minorHAnsi" w:cstheme="majorHAnsi"/>
          <w:color w:val="000000" w:themeColor="text1"/>
          <w:sz w:val="20"/>
          <w:szCs w:val="20"/>
        </w:rPr>
        <w:t>Citochine pirogeniche - sono citochine specifiche prodotte dopo l'attivazione del TLR che causa la febbre</w:t>
      </w:r>
    </w:p>
    <w:p w:rsidR="001D7829" w:rsidRDefault="001D7829" w:rsidP="009E718E">
      <w:pPr>
        <w:ind w:left="142" w:hanging="142"/>
        <w:jc w:val="both"/>
        <w:rPr>
          <w:rFonts w:asciiTheme="minorHAnsi" w:hAnsiTheme="minorHAnsi" w:cstheme="majorHAnsi"/>
          <w:color w:val="000000" w:themeColor="text1"/>
          <w:sz w:val="20"/>
          <w:szCs w:val="20"/>
        </w:rPr>
      </w:pPr>
    </w:p>
    <w:p w:rsidR="002B7F58" w:rsidRDefault="002B7F58" w:rsidP="009E718E">
      <w:pPr>
        <w:ind w:left="142" w:hanging="142"/>
        <w:jc w:val="both"/>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 xml:space="preserve">- IL-1, TNF, </w:t>
      </w:r>
      <w:r w:rsidR="005D6923" w:rsidRPr="001D7829">
        <w:rPr>
          <w:rFonts w:asciiTheme="minorHAnsi" w:hAnsiTheme="minorHAnsi" w:cstheme="majorHAnsi"/>
          <w:color w:val="000000" w:themeColor="text1"/>
          <w:sz w:val="20"/>
          <w:szCs w:val="20"/>
        </w:rPr>
        <w:t xml:space="preserve">IF-alfa </w:t>
      </w:r>
      <w:r w:rsidRPr="001D7829">
        <w:rPr>
          <w:rFonts w:asciiTheme="minorHAnsi" w:hAnsiTheme="minorHAnsi" w:cstheme="majorHAnsi"/>
          <w:color w:val="000000" w:themeColor="text1"/>
          <w:sz w:val="20"/>
          <w:szCs w:val="20"/>
        </w:rPr>
        <w:t xml:space="preserve">e IL-6 </w:t>
      </w:r>
      <w:r w:rsidR="005D6923" w:rsidRPr="001D7829">
        <w:rPr>
          <w:rFonts w:asciiTheme="minorHAnsi" w:hAnsiTheme="minorHAnsi" w:cstheme="majorHAnsi"/>
          <w:color w:val="000000" w:themeColor="text1"/>
          <w:sz w:val="20"/>
          <w:szCs w:val="20"/>
        </w:rPr>
        <w:t>vengono rilasciati da monociti, neutrofili, linfociti, cellule gliali dell'endotelio, e cellule mesenchimali. Le citochine pirogeniche agiscono sull'endotelio fenestrato degli organi circumventricolari rilasciando la prostaglandina E2, che a sua volta agisce sul centro termoregolatorio dell'ipotalamo. In risposta, l'ipotalamo aumenta la temperatura del corpo al di sopra dell'intervallo normale con conseguente febbre.</w:t>
      </w:r>
    </w:p>
    <w:p w:rsidR="001D7829" w:rsidRDefault="001D7829" w:rsidP="009E718E">
      <w:pPr>
        <w:ind w:left="142" w:hanging="142"/>
        <w:jc w:val="both"/>
        <w:rPr>
          <w:rFonts w:asciiTheme="minorHAnsi" w:hAnsiTheme="minorHAnsi" w:cstheme="majorHAnsi"/>
          <w:color w:val="000000" w:themeColor="text1"/>
          <w:sz w:val="20"/>
          <w:szCs w:val="20"/>
        </w:rPr>
      </w:pPr>
    </w:p>
    <w:p w:rsidR="001D7829" w:rsidRPr="001D7829" w:rsidRDefault="001D7829" w:rsidP="009E718E">
      <w:pPr>
        <w:ind w:left="142" w:hanging="142"/>
        <w:jc w:val="both"/>
        <w:rPr>
          <w:rFonts w:asciiTheme="minorHAnsi" w:hAnsiTheme="minorHAnsi" w:cstheme="majorHAnsi"/>
          <w:color w:val="000000" w:themeColor="text1"/>
          <w:sz w:val="20"/>
          <w:szCs w:val="20"/>
        </w:rPr>
      </w:pPr>
    </w:p>
    <w:p w:rsidR="002B7F58" w:rsidRPr="001D7829" w:rsidRDefault="002B7F58" w:rsidP="00D71CED">
      <w:pPr>
        <w:jc w:val="both"/>
        <w:rPr>
          <w:rFonts w:asciiTheme="minorHAnsi" w:hAnsiTheme="minorHAnsi" w:cstheme="minorHAnsi"/>
          <w:color w:val="000000" w:themeColor="text1"/>
        </w:rPr>
      </w:pPr>
    </w:p>
    <w:p w:rsidR="002B7F58" w:rsidRPr="001D7829" w:rsidRDefault="002B7F58" w:rsidP="001D7829">
      <w:pPr>
        <w:shd w:val="clear" w:color="auto" w:fill="E2EFD9" w:themeFill="accent6" w:themeFillTint="33"/>
        <w:jc w:val="center"/>
        <w:rPr>
          <w:rFonts w:cstheme="majorHAnsi"/>
          <w:b/>
          <w:bCs/>
          <w:color w:val="C00000"/>
        </w:rPr>
      </w:pPr>
      <w:bookmarkStart w:id="33" w:name="_Toc42028104"/>
      <w:bookmarkStart w:id="34" w:name="_Toc42113152"/>
      <w:bookmarkStart w:id="35" w:name="_Toc42113445"/>
      <w:bookmarkStart w:id="36" w:name="_Toc42364930"/>
      <w:bookmarkStart w:id="37" w:name="_Toc42365843"/>
      <w:bookmarkStart w:id="38" w:name="_Toc43126667"/>
      <w:bookmarkStart w:id="39" w:name="_Toc43342381"/>
      <w:bookmarkStart w:id="40" w:name="_Toc41086474"/>
      <w:r w:rsidRPr="001D7829">
        <w:rPr>
          <w:rStyle w:val="Heading2Char"/>
          <w:rFonts w:asciiTheme="minorHAnsi" w:hAnsiTheme="minorHAnsi" w:cstheme="minorHAnsi"/>
          <w:b/>
          <w:bCs/>
          <w:color w:val="C00000"/>
          <w:sz w:val="24"/>
          <w:szCs w:val="24"/>
        </w:rPr>
        <w:t>Le fasi della febbre</w:t>
      </w:r>
      <w:bookmarkEnd w:id="33"/>
      <w:bookmarkEnd w:id="34"/>
      <w:bookmarkEnd w:id="35"/>
      <w:bookmarkEnd w:id="36"/>
      <w:bookmarkEnd w:id="37"/>
      <w:bookmarkEnd w:id="38"/>
      <w:bookmarkEnd w:id="39"/>
      <w:r w:rsidRPr="001D7829">
        <w:rPr>
          <w:rFonts w:cstheme="majorHAnsi"/>
          <w:b/>
          <w:bCs/>
          <w:color w:val="C00000"/>
        </w:rPr>
        <w:t xml:space="preserve"> </w:t>
      </w:r>
      <w:r w:rsidRPr="001D7829">
        <w:rPr>
          <w:rStyle w:val="FootnoteReference"/>
          <w:rFonts w:asciiTheme="minorHAnsi" w:hAnsiTheme="minorHAnsi" w:cstheme="majorHAnsi"/>
          <w:b/>
          <w:bCs/>
          <w:color w:val="C00000"/>
        </w:rPr>
        <w:footnoteReference w:id="58"/>
      </w:r>
      <w:bookmarkEnd w:id="40"/>
    </w:p>
    <w:p w:rsidR="002B7F58" w:rsidRPr="001D7829" w:rsidRDefault="0052743C" w:rsidP="00D71CED">
      <w:pPr>
        <w:pStyle w:val="Heading3"/>
        <w:tabs>
          <w:tab w:val="left" w:pos="284"/>
        </w:tabs>
        <w:spacing w:before="0" w:beforeAutospacing="0" w:after="0" w:afterAutospacing="0"/>
        <w:jc w:val="both"/>
        <w:textAlignment w:val="baseline"/>
        <w:rPr>
          <w:rFonts w:asciiTheme="minorHAnsi" w:hAnsiTheme="minorHAnsi" w:cstheme="majorHAnsi"/>
          <w:color w:val="000000" w:themeColor="text1"/>
          <w:sz w:val="20"/>
          <w:szCs w:val="20"/>
        </w:rPr>
      </w:pPr>
      <w:hyperlink r:id="rId78" w:anchor="top" w:tooltip="Torna su" w:history="1"/>
    </w:p>
    <w:p w:rsidR="002B7F58" w:rsidRPr="001D7829" w:rsidRDefault="002B7F58" w:rsidP="00D71CED">
      <w:pPr>
        <w:rPr>
          <w:rFonts w:asciiTheme="minorHAnsi" w:hAnsiTheme="minorHAnsi" w:cstheme="majorHAnsi"/>
          <w:color w:val="000000" w:themeColor="text1"/>
          <w:sz w:val="20"/>
          <w:szCs w:val="20"/>
        </w:rPr>
      </w:pPr>
      <w:bookmarkStart w:id="41" w:name="_Toc41008338"/>
      <w:r w:rsidRPr="001D7829">
        <w:rPr>
          <w:rFonts w:asciiTheme="minorHAnsi" w:hAnsiTheme="minorHAnsi" w:cstheme="majorHAnsi"/>
          <w:color w:val="000000" w:themeColor="text1"/>
          <w:sz w:val="20"/>
          <w:szCs w:val="20"/>
        </w:rPr>
        <w:t>Le</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b w:val="0"/>
          <w:color w:val="000000" w:themeColor="text1"/>
          <w:sz w:val="20"/>
          <w:szCs w:val="20"/>
          <w:bdr w:val="none" w:sz="0" w:space="0" w:color="auto" w:frame="1"/>
        </w:rPr>
        <w:t>manifestazioni febbrili</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possono essere suddivise in tre fasi, corrispondenti all'innalzamento, al periodo di picco e all'abbassamento della</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b w:val="0"/>
          <w:color w:val="000000" w:themeColor="text1"/>
          <w:sz w:val="20"/>
          <w:szCs w:val="20"/>
          <w:bdr w:val="none" w:sz="0" w:space="0" w:color="auto" w:frame="1"/>
        </w:rPr>
        <w:t>temperatura corporea</w:t>
      </w:r>
      <w:r w:rsidRPr="001D7829">
        <w:rPr>
          <w:rFonts w:asciiTheme="minorHAnsi" w:hAnsiTheme="minorHAnsi" w:cstheme="majorHAnsi"/>
          <w:color w:val="000000" w:themeColor="text1"/>
          <w:sz w:val="20"/>
          <w:szCs w:val="20"/>
        </w:rPr>
        <w:t>.</w:t>
      </w:r>
      <w:bookmarkEnd w:id="41"/>
    </w:p>
    <w:p w:rsidR="009E718E" w:rsidRPr="001D7829" w:rsidRDefault="009E718E" w:rsidP="00D71CED">
      <w:pPr>
        <w:rPr>
          <w:rFonts w:asciiTheme="minorHAnsi" w:hAnsiTheme="minorHAnsi" w:cstheme="majorHAnsi"/>
          <w:color w:val="000000" w:themeColor="text1"/>
          <w:sz w:val="20"/>
          <w:szCs w:val="20"/>
        </w:rPr>
      </w:pPr>
    </w:p>
    <w:p w:rsidR="002B7F58" w:rsidRPr="001D7829" w:rsidRDefault="002B7F58" w:rsidP="007321EA">
      <w:pPr>
        <w:pStyle w:val="NormalWeb"/>
        <w:numPr>
          <w:ilvl w:val="0"/>
          <w:numId w:val="2"/>
        </w:numPr>
        <w:tabs>
          <w:tab w:val="left" w:pos="284"/>
        </w:tabs>
        <w:spacing w:before="0" w:beforeAutospacing="0" w:after="0" w:afterAutospacing="0"/>
        <w:ind w:left="0" w:firstLine="0"/>
        <w:jc w:val="both"/>
        <w:textAlignment w:val="baseline"/>
        <w:rPr>
          <w:rFonts w:asciiTheme="minorHAnsi" w:hAnsiTheme="minorHAnsi" w:cstheme="majorHAnsi"/>
          <w:color w:val="000000" w:themeColor="text1"/>
          <w:sz w:val="20"/>
          <w:szCs w:val="20"/>
        </w:rPr>
      </w:pPr>
      <w:r w:rsidRPr="001D7829">
        <w:rPr>
          <w:rStyle w:val="Strong"/>
          <w:rFonts w:asciiTheme="minorHAnsi" w:hAnsiTheme="minorHAnsi" w:cstheme="majorHAnsi"/>
          <w:color w:val="000000" w:themeColor="text1"/>
          <w:sz w:val="20"/>
          <w:szCs w:val="20"/>
          <w:bdr w:val="none" w:sz="0" w:space="0" w:color="auto" w:frame="1"/>
          <w:shd w:val="clear" w:color="auto" w:fill="FBF9E1"/>
        </w:rPr>
        <w:t>Fase prodromica o di ascesa</w:t>
      </w:r>
      <w:r w:rsidRPr="001D7829">
        <w:rPr>
          <w:rFonts w:asciiTheme="minorHAnsi" w:hAnsiTheme="minorHAnsi" w:cstheme="majorHAnsi"/>
          <w:color w:val="000000" w:themeColor="text1"/>
          <w:sz w:val="20"/>
          <w:szCs w:val="20"/>
          <w:shd w:val="clear" w:color="auto" w:fill="FBF9E1"/>
        </w:rPr>
        <w:t>:</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coincide con l'inizio della produzione di prostaglandine, sostanze proinfiammatorie prodotte dall'organismo in risposta alle infezioni. Le prostaglandine presenti nel sangue raggiungono il cervello e segnalano a uno specifico gruppo di neuroni presenti a</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bCs/>
          <w:color w:val="000000" w:themeColor="text1"/>
          <w:sz w:val="20"/>
          <w:szCs w:val="20"/>
          <w:bdr w:val="none" w:sz="0" w:space="0" w:color="auto" w:frame="1"/>
        </w:rPr>
        <w:t>livello</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dell'ipotalamo la necessità di aumentare la temperatura corporea portandola, ad esempio, a 38° o 39°C rispetto al valore basale, di norma settato a 37°C. I neuroni ipotalamici funzionano come un termostato biologico: la loro riprogrammazione da parte delle prostaglandine innesca una serie di reazioni che portano all'instaurarsi della febbre (brividi, vasocostrizione, stimolazione dell'attività della tiroide con conseguente accelerazione del metabolismo basale). In questa fase, in genere,</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color w:val="000000" w:themeColor="text1"/>
          <w:sz w:val="20"/>
          <w:szCs w:val="20"/>
          <w:bdr w:val="none" w:sz="0" w:space="0" w:color="auto" w:frame="1"/>
        </w:rPr>
        <w:t>si prova freddo</w:t>
      </w:r>
      <w:r w:rsidRPr="001D7829">
        <w:rPr>
          <w:rFonts w:asciiTheme="minorHAnsi" w:hAnsiTheme="minorHAnsi" w:cstheme="majorHAnsi"/>
          <w:color w:val="000000" w:themeColor="text1"/>
          <w:sz w:val="20"/>
          <w:szCs w:val="20"/>
        </w:rPr>
        <w:t>.</w:t>
      </w:r>
    </w:p>
    <w:p w:rsidR="009E718E" w:rsidRPr="001D7829" w:rsidRDefault="009E718E" w:rsidP="009E718E">
      <w:pPr>
        <w:pStyle w:val="NormalWeb"/>
        <w:tabs>
          <w:tab w:val="left" w:pos="284"/>
        </w:tabs>
        <w:spacing w:before="0" w:beforeAutospacing="0" w:after="0" w:afterAutospacing="0"/>
        <w:jc w:val="both"/>
        <w:textAlignment w:val="baseline"/>
        <w:rPr>
          <w:rFonts w:asciiTheme="minorHAnsi" w:hAnsiTheme="minorHAnsi" w:cstheme="majorHAnsi"/>
          <w:color w:val="000000" w:themeColor="text1"/>
          <w:sz w:val="20"/>
          <w:szCs w:val="20"/>
        </w:rPr>
      </w:pPr>
    </w:p>
    <w:p w:rsidR="002B7F58" w:rsidRPr="001D7829" w:rsidRDefault="002B7F58" w:rsidP="007321EA">
      <w:pPr>
        <w:pStyle w:val="NormalWeb"/>
        <w:numPr>
          <w:ilvl w:val="0"/>
          <w:numId w:val="2"/>
        </w:numPr>
        <w:tabs>
          <w:tab w:val="left" w:pos="284"/>
        </w:tabs>
        <w:spacing w:before="0" w:beforeAutospacing="0" w:after="0" w:afterAutospacing="0"/>
        <w:ind w:left="0" w:firstLine="0"/>
        <w:jc w:val="both"/>
        <w:textAlignment w:val="baseline"/>
        <w:rPr>
          <w:rFonts w:asciiTheme="minorHAnsi" w:hAnsiTheme="minorHAnsi" w:cstheme="majorHAnsi"/>
          <w:color w:val="000000" w:themeColor="text1"/>
          <w:sz w:val="20"/>
          <w:szCs w:val="20"/>
        </w:rPr>
      </w:pPr>
      <w:r w:rsidRPr="001D7829">
        <w:rPr>
          <w:rStyle w:val="Strong"/>
          <w:rFonts w:asciiTheme="minorHAnsi" w:hAnsiTheme="minorHAnsi" w:cstheme="majorHAnsi"/>
          <w:color w:val="000000" w:themeColor="text1"/>
          <w:sz w:val="20"/>
          <w:szCs w:val="20"/>
          <w:bdr w:val="none" w:sz="0" w:space="0" w:color="auto" w:frame="1"/>
          <w:shd w:val="clear" w:color="auto" w:fill="FBF9E1"/>
        </w:rPr>
        <w:t>Fase del fastigio o acme febbrile</w:t>
      </w:r>
      <w:r w:rsidRPr="001D7829">
        <w:rPr>
          <w:rFonts w:asciiTheme="minorHAnsi" w:hAnsiTheme="minorHAnsi" w:cstheme="majorHAnsi"/>
          <w:color w:val="000000" w:themeColor="text1"/>
          <w:sz w:val="20"/>
          <w:szCs w:val="20"/>
          <w:shd w:val="clear" w:color="auto" w:fill="FBF9E1"/>
        </w:rPr>
        <w:t>:</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dura per tutto il periodo di produzione delle prostaglandine. I neuroni ipotalamici mantengono la temperatura sul nuovo valore e la febbre persiste in modo costante o con oscillazioni nell'arco della giornata. In questa fase</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color w:val="000000" w:themeColor="text1"/>
          <w:sz w:val="20"/>
          <w:szCs w:val="20"/>
          <w:bdr w:val="none" w:sz="0" w:space="0" w:color="auto" w:frame="1"/>
        </w:rPr>
        <w:t>si prova caldo</w:t>
      </w:r>
      <w:r w:rsidRPr="001D7829">
        <w:rPr>
          <w:rFonts w:asciiTheme="minorHAnsi" w:hAnsiTheme="minorHAnsi" w:cstheme="majorHAnsi"/>
          <w:color w:val="000000" w:themeColor="text1"/>
          <w:sz w:val="20"/>
          <w:szCs w:val="20"/>
        </w:rPr>
        <w:t>, la cute appare calda e arrossata e compaiono cefalea, dolori muscolari, irrequietezza; la frequenza cardiaca e quella respiratoria possono aumentare.</w:t>
      </w:r>
    </w:p>
    <w:p w:rsidR="009E718E" w:rsidRPr="001D7829" w:rsidRDefault="009E718E" w:rsidP="009E718E">
      <w:pPr>
        <w:pStyle w:val="NormalWeb"/>
        <w:tabs>
          <w:tab w:val="left" w:pos="284"/>
        </w:tabs>
        <w:spacing w:before="0" w:beforeAutospacing="0" w:after="0" w:afterAutospacing="0"/>
        <w:jc w:val="both"/>
        <w:textAlignment w:val="baseline"/>
        <w:rPr>
          <w:rFonts w:asciiTheme="minorHAnsi" w:hAnsiTheme="minorHAnsi" w:cstheme="majorHAnsi"/>
          <w:color w:val="000000" w:themeColor="text1"/>
          <w:sz w:val="20"/>
          <w:szCs w:val="20"/>
        </w:rPr>
      </w:pPr>
    </w:p>
    <w:p w:rsidR="002B7F58" w:rsidRPr="001D7829" w:rsidRDefault="002B7F58" w:rsidP="007321EA">
      <w:pPr>
        <w:pStyle w:val="NormalWeb"/>
        <w:numPr>
          <w:ilvl w:val="0"/>
          <w:numId w:val="2"/>
        </w:numPr>
        <w:tabs>
          <w:tab w:val="left" w:pos="284"/>
        </w:tabs>
        <w:spacing w:before="0" w:beforeAutospacing="0" w:after="0" w:afterAutospacing="0"/>
        <w:ind w:left="0" w:firstLine="0"/>
        <w:jc w:val="both"/>
        <w:textAlignment w:val="baseline"/>
        <w:rPr>
          <w:rFonts w:asciiTheme="minorHAnsi" w:hAnsiTheme="minorHAnsi" w:cstheme="majorHAnsi"/>
          <w:color w:val="000000" w:themeColor="text1"/>
          <w:sz w:val="20"/>
          <w:szCs w:val="20"/>
        </w:rPr>
      </w:pPr>
      <w:r w:rsidRPr="001D7829">
        <w:rPr>
          <w:rStyle w:val="Strong"/>
          <w:rFonts w:asciiTheme="minorHAnsi" w:hAnsiTheme="minorHAnsi" w:cstheme="majorHAnsi"/>
          <w:color w:val="000000" w:themeColor="text1"/>
          <w:sz w:val="20"/>
          <w:szCs w:val="20"/>
          <w:bdr w:val="none" w:sz="0" w:space="0" w:color="auto" w:frame="1"/>
          <w:shd w:val="clear" w:color="auto" w:fill="FBF9E1"/>
        </w:rPr>
        <w:t>Fase di defervescenza</w:t>
      </w:r>
      <w:r w:rsidRPr="001D7829">
        <w:rPr>
          <w:rFonts w:asciiTheme="minorHAnsi" w:hAnsiTheme="minorHAnsi" w:cstheme="majorHAnsi"/>
          <w:color w:val="000000" w:themeColor="text1"/>
          <w:sz w:val="20"/>
          <w:szCs w:val="20"/>
          <w:shd w:val="clear" w:color="auto" w:fill="FBF9E1"/>
        </w:rPr>
        <w:t>:</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si continua ad avere caldo, ma la febbre si riduce progressivamente (defervescenza per lisi) o in modo molto rapido (defervescenza per crisi) in concomitanza con la riduzione dei livelli di prostaglandine. I neuroni ipotalamici vengono ritarati al valore di temperatura media normale. Questa fase è spesso accompagnata da sudorazione.</w:t>
      </w:r>
    </w:p>
    <w:p w:rsidR="005B6077" w:rsidRDefault="005B6077" w:rsidP="00D71CED">
      <w:pPr>
        <w:pStyle w:val="NormalWeb"/>
        <w:tabs>
          <w:tab w:val="left" w:pos="284"/>
        </w:tabs>
        <w:spacing w:before="0" w:beforeAutospacing="0" w:after="0" w:afterAutospacing="0"/>
        <w:jc w:val="both"/>
        <w:textAlignment w:val="baseline"/>
        <w:rPr>
          <w:rStyle w:val="Strong"/>
          <w:rFonts w:asciiTheme="minorHAnsi" w:hAnsiTheme="minorHAnsi" w:cstheme="majorHAnsi"/>
          <w:color w:val="000000" w:themeColor="text1"/>
          <w:sz w:val="20"/>
          <w:szCs w:val="20"/>
          <w:bdr w:val="none" w:sz="0" w:space="0" w:color="auto" w:frame="1"/>
        </w:rPr>
      </w:pPr>
    </w:p>
    <w:p w:rsidR="001D7829" w:rsidRDefault="001D7829" w:rsidP="00D71CED">
      <w:pPr>
        <w:pStyle w:val="NormalWeb"/>
        <w:tabs>
          <w:tab w:val="left" w:pos="284"/>
        </w:tabs>
        <w:spacing w:before="0" w:beforeAutospacing="0" w:after="0" w:afterAutospacing="0"/>
        <w:jc w:val="both"/>
        <w:textAlignment w:val="baseline"/>
        <w:rPr>
          <w:rStyle w:val="Strong"/>
          <w:rFonts w:asciiTheme="minorHAnsi" w:hAnsiTheme="minorHAnsi" w:cstheme="majorHAnsi"/>
          <w:color w:val="000000" w:themeColor="text1"/>
          <w:sz w:val="20"/>
          <w:szCs w:val="20"/>
          <w:bdr w:val="none" w:sz="0" w:space="0" w:color="auto" w:frame="1"/>
        </w:rPr>
      </w:pPr>
    </w:p>
    <w:p w:rsidR="001D7829" w:rsidRDefault="001D7829" w:rsidP="00D71CED">
      <w:pPr>
        <w:pStyle w:val="NormalWeb"/>
        <w:tabs>
          <w:tab w:val="left" w:pos="284"/>
        </w:tabs>
        <w:spacing w:before="0" w:beforeAutospacing="0" w:after="0" w:afterAutospacing="0"/>
        <w:jc w:val="both"/>
        <w:textAlignment w:val="baseline"/>
        <w:rPr>
          <w:rStyle w:val="Strong"/>
          <w:rFonts w:asciiTheme="minorHAnsi" w:hAnsiTheme="minorHAnsi" w:cstheme="majorHAnsi"/>
          <w:color w:val="000000" w:themeColor="text1"/>
          <w:sz w:val="20"/>
          <w:szCs w:val="20"/>
          <w:bdr w:val="none" w:sz="0" w:space="0" w:color="auto" w:frame="1"/>
        </w:rPr>
      </w:pPr>
    </w:p>
    <w:p w:rsidR="001D7829" w:rsidRDefault="001D7829" w:rsidP="00D71CED">
      <w:pPr>
        <w:pStyle w:val="NormalWeb"/>
        <w:tabs>
          <w:tab w:val="left" w:pos="284"/>
        </w:tabs>
        <w:spacing w:before="0" w:beforeAutospacing="0" w:after="0" w:afterAutospacing="0"/>
        <w:jc w:val="both"/>
        <w:textAlignment w:val="baseline"/>
        <w:rPr>
          <w:rStyle w:val="Strong"/>
          <w:rFonts w:asciiTheme="minorHAnsi" w:hAnsiTheme="minorHAnsi" w:cstheme="majorHAnsi"/>
          <w:color w:val="000000" w:themeColor="text1"/>
          <w:sz w:val="20"/>
          <w:szCs w:val="20"/>
          <w:bdr w:val="none" w:sz="0" w:space="0" w:color="auto" w:frame="1"/>
        </w:rPr>
      </w:pPr>
    </w:p>
    <w:p w:rsidR="001D7829" w:rsidRPr="001D7829" w:rsidRDefault="001D7829" w:rsidP="00D71CED">
      <w:pPr>
        <w:pStyle w:val="NormalWeb"/>
        <w:tabs>
          <w:tab w:val="left" w:pos="284"/>
        </w:tabs>
        <w:spacing w:before="0" w:beforeAutospacing="0" w:after="0" w:afterAutospacing="0"/>
        <w:jc w:val="both"/>
        <w:textAlignment w:val="baseline"/>
        <w:rPr>
          <w:rStyle w:val="Strong"/>
          <w:rFonts w:asciiTheme="minorHAnsi" w:hAnsiTheme="minorHAnsi" w:cstheme="majorHAnsi"/>
          <w:color w:val="000000" w:themeColor="text1"/>
          <w:sz w:val="20"/>
          <w:szCs w:val="20"/>
          <w:bdr w:val="none" w:sz="0" w:space="0" w:color="auto" w:frame="1"/>
        </w:rPr>
      </w:pPr>
    </w:p>
    <w:p w:rsidR="002B7F58" w:rsidRPr="001D7829" w:rsidRDefault="002B7F58" w:rsidP="001D7829">
      <w:pPr>
        <w:shd w:val="clear" w:color="auto" w:fill="E2EFD9" w:themeFill="accent6" w:themeFillTint="33"/>
        <w:jc w:val="center"/>
        <w:rPr>
          <w:rFonts w:asciiTheme="minorHAnsi" w:hAnsiTheme="minorHAnsi" w:cstheme="minorHAnsi"/>
          <w:b/>
          <w:bCs/>
          <w:color w:val="C00000"/>
        </w:rPr>
      </w:pPr>
      <w:r w:rsidRPr="001D7829">
        <w:rPr>
          <w:rFonts w:asciiTheme="minorHAnsi" w:hAnsiTheme="minorHAnsi" w:cstheme="minorHAnsi"/>
          <w:b/>
          <w:bCs/>
          <w:color w:val="C00000"/>
        </w:rPr>
        <w:lastRenderedPageBreak/>
        <w:t>Classificazione della febbre</w:t>
      </w:r>
    </w:p>
    <w:p w:rsidR="002F0DCF" w:rsidRPr="001D7829" w:rsidRDefault="002F0DCF" w:rsidP="00D71CED">
      <w:pPr>
        <w:rPr>
          <w:rFonts w:asciiTheme="minorHAnsi" w:hAnsiTheme="minorHAnsi"/>
          <w:color w:val="000000" w:themeColor="text1"/>
          <w:sz w:val="20"/>
          <w:szCs w:val="20"/>
        </w:rPr>
      </w:pPr>
    </w:p>
    <w:p w:rsidR="002B7F58" w:rsidRPr="001D7829" w:rsidRDefault="002B7F58" w:rsidP="00D71CED">
      <w:pPr>
        <w:pStyle w:val="NormalWeb"/>
        <w:tabs>
          <w:tab w:val="left" w:pos="284"/>
        </w:tabs>
        <w:spacing w:before="0" w:beforeAutospacing="0" w:after="0" w:afterAutospacing="0"/>
        <w:jc w:val="both"/>
        <w:textAlignment w:val="baseline"/>
        <w:rPr>
          <w:rFonts w:asciiTheme="minorHAnsi" w:hAnsiTheme="minorHAnsi" w:cstheme="majorHAnsi"/>
          <w:color w:val="000000" w:themeColor="text1"/>
          <w:sz w:val="20"/>
          <w:szCs w:val="20"/>
        </w:rPr>
      </w:pPr>
      <w:r w:rsidRPr="001D7829">
        <w:rPr>
          <w:rFonts w:asciiTheme="minorHAnsi" w:hAnsiTheme="minorHAnsi" w:cstheme="majorHAnsi"/>
          <w:color w:val="000000" w:themeColor="text1"/>
          <w:sz w:val="20"/>
          <w:szCs w:val="20"/>
        </w:rPr>
        <w:t>In relazione all'andamento e alla durata delle diverse fasi, si distinguono diversi tipi di febbre.</w:t>
      </w:r>
    </w:p>
    <w:p w:rsidR="009E718E" w:rsidRPr="001D7829" w:rsidRDefault="009E718E" w:rsidP="00D71CED">
      <w:pPr>
        <w:pStyle w:val="NormalWeb"/>
        <w:tabs>
          <w:tab w:val="left" w:pos="284"/>
        </w:tabs>
        <w:spacing w:before="0" w:beforeAutospacing="0" w:after="0" w:afterAutospacing="0"/>
        <w:jc w:val="both"/>
        <w:textAlignment w:val="baseline"/>
        <w:rPr>
          <w:rFonts w:asciiTheme="minorHAnsi" w:hAnsiTheme="minorHAnsi" w:cstheme="majorHAnsi"/>
          <w:color w:val="000000" w:themeColor="text1"/>
          <w:sz w:val="20"/>
          <w:szCs w:val="20"/>
        </w:rPr>
      </w:pPr>
    </w:p>
    <w:p w:rsidR="002B7F58" w:rsidRPr="001D7829" w:rsidRDefault="002B7F58" w:rsidP="007321EA">
      <w:pPr>
        <w:numPr>
          <w:ilvl w:val="0"/>
          <w:numId w:val="3"/>
        </w:numPr>
        <w:tabs>
          <w:tab w:val="left" w:pos="284"/>
        </w:tabs>
        <w:ind w:left="0" w:firstLine="0"/>
        <w:jc w:val="both"/>
        <w:textAlignment w:val="baseline"/>
        <w:rPr>
          <w:rFonts w:asciiTheme="minorHAnsi" w:hAnsiTheme="minorHAnsi" w:cstheme="majorHAnsi"/>
          <w:color w:val="000000" w:themeColor="text1"/>
          <w:sz w:val="20"/>
          <w:szCs w:val="20"/>
        </w:rPr>
      </w:pPr>
      <w:r w:rsidRPr="001D7829">
        <w:rPr>
          <w:rStyle w:val="Strong"/>
          <w:rFonts w:asciiTheme="minorHAnsi" w:hAnsiTheme="minorHAnsi" w:cstheme="majorHAnsi"/>
          <w:color w:val="000000" w:themeColor="text1"/>
          <w:sz w:val="20"/>
          <w:szCs w:val="20"/>
          <w:bdr w:val="none" w:sz="0" w:space="0" w:color="auto" w:frame="1"/>
          <w:shd w:val="clear" w:color="auto" w:fill="FBF9E1"/>
        </w:rPr>
        <w:t>Febbre continua</w:t>
      </w:r>
      <w:r w:rsidRPr="001D7829">
        <w:rPr>
          <w:rFonts w:asciiTheme="minorHAnsi" w:hAnsiTheme="minorHAnsi" w:cstheme="majorHAnsi"/>
          <w:color w:val="000000" w:themeColor="text1"/>
          <w:sz w:val="20"/>
          <w:szCs w:val="20"/>
        </w:rPr>
        <w:t>:</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la temperatura corporea raggiunge i 40°C e si mantiene pressoché costante durante il periodo del fastigio febbrile. È una forma di febbre tipica delle</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color w:val="000000" w:themeColor="text1"/>
          <w:sz w:val="20"/>
          <w:szCs w:val="20"/>
          <w:bdr w:val="none" w:sz="0" w:space="0" w:color="auto" w:frame="1"/>
        </w:rPr>
        <w:t>polmoniti</w:t>
      </w:r>
      <w:r w:rsidRPr="001D7829">
        <w:rPr>
          <w:rFonts w:asciiTheme="minorHAnsi" w:hAnsiTheme="minorHAnsi" w:cstheme="majorHAnsi"/>
          <w:color w:val="000000" w:themeColor="text1"/>
          <w:sz w:val="20"/>
          <w:szCs w:val="20"/>
        </w:rPr>
        <w:t>. Solitamente si ha defervescenza rapida con sudorazione profusa.</w:t>
      </w:r>
    </w:p>
    <w:p w:rsidR="009E718E" w:rsidRPr="001D7829" w:rsidRDefault="009E718E" w:rsidP="009E718E">
      <w:pPr>
        <w:tabs>
          <w:tab w:val="left" w:pos="284"/>
        </w:tabs>
        <w:jc w:val="both"/>
        <w:textAlignment w:val="baseline"/>
        <w:rPr>
          <w:rFonts w:asciiTheme="minorHAnsi" w:hAnsiTheme="minorHAnsi" w:cstheme="majorHAnsi"/>
          <w:color w:val="000000" w:themeColor="text1"/>
          <w:sz w:val="20"/>
          <w:szCs w:val="20"/>
        </w:rPr>
      </w:pPr>
    </w:p>
    <w:p w:rsidR="002B7F58" w:rsidRPr="001D7829" w:rsidRDefault="002B7F58" w:rsidP="007321EA">
      <w:pPr>
        <w:numPr>
          <w:ilvl w:val="0"/>
          <w:numId w:val="3"/>
        </w:numPr>
        <w:tabs>
          <w:tab w:val="left" w:pos="284"/>
        </w:tabs>
        <w:ind w:left="0" w:firstLine="0"/>
        <w:jc w:val="both"/>
        <w:textAlignment w:val="baseline"/>
        <w:rPr>
          <w:rFonts w:asciiTheme="minorHAnsi" w:hAnsiTheme="minorHAnsi" w:cstheme="majorHAnsi"/>
          <w:color w:val="000000" w:themeColor="text1"/>
          <w:sz w:val="20"/>
          <w:szCs w:val="20"/>
        </w:rPr>
      </w:pPr>
      <w:r w:rsidRPr="001D7829">
        <w:rPr>
          <w:rStyle w:val="Strong"/>
          <w:rFonts w:asciiTheme="minorHAnsi" w:hAnsiTheme="minorHAnsi" w:cstheme="majorHAnsi"/>
          <w:color w:val="000000" w:themeColor="text1"/>
          <w:sz w:val="20"/>
          <w:szCs w:val="20"/>
          <w:bdr w:val="none" w:sz="0" w:space="0" w:color="auto" w:frame="1"/>
          <w:shd w:val="clear" w:color="auto" w:fill="FBF9E1"/>
        </w:rPr>
        <w:t>Febbre remittente o discontinua</w:t>
      </w:r>
      <w:r w:rsidRPr="001D7829">
        <w:rPr>
          <w:rFonts w:asciiTheme="minorHAnsi" w:hAnsiTheme="minorHAnsi" w:cstheme="majorHAnsi"/>
          <w:color w:val="000000" w:themeColor="text1"/>
          <w:sz w:val="20"/>
          <w:szCs w:val="20"/>
        </w:rPr>
        <w:t>:</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la temperatura corporea durante il periodo del fastigio febbrile va incontro a oscillazioni giornaliere di 2-3 gradi, senza che mai si arrivi però alla defervescenza. È una forma di febbre tipica delle</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color w:val="000000" w:themeColor="text1"/>
          <w:sz w:val="20"/>
          <w:szCs w:val="20"/>
          <w:bdr w:val="none" w:sz="0" w:space="0" w:color="auto" w:frame="1"/>
        </w:rPr>
        <w:t>setticemie</w:t>
      </w:r>
      <w:r w:rsidRPr="001D7829">
        <w:rPr>
          <w:rFonts w:asciiTheme="minorHAnsi" w:hAnsiTheme="minorHAnsi" w:cstheme="majorHAnsi"/>
          <w:color w:val="000000" w:themeColor="text1"/>
          <w:sz w:val="20"/>
          <w:szCs w:val="20"/>
        </w:rPr>
        <w:t> (infezioni sistemiche gravi) e delle</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color w:val="000000" w:themeColor="text1"/>
          <w:sz w:val="20"/>
          <w:szCs w:val="20"/>
          <w:bdr w:val="none" w:sz="0" w:space="0" w:color="auto" w:frame="1"/>
        </w:rPr>
        <w:t>malattie virali</w:t>
      </w:r>
      <w:r w:rsidRPr="001D7829">
        <w:rPr>
          <w:rFonts w:asciiTheme="minorHAnsi" w:hAnsiTheme="minorHAnsi" w:cstheme="majorHAnsi"/>
          <w:color w:val="000000" w:themeColor="text1"/>
          <w:sz w:val="20"/>
          <w:szCs w:val="20"/>
        </w:rPr>
        <w:t>. È frequente nella tubercolosi.</w:t>
      </w:r>
    </w:p>
    <w:p w:rsidR="009E718E" w:rsidRPr="001D7829" w:rsidRDefault="009E718E" w:rsidP="009E718E">
      <w:pPr>
        <w:tabs>
          <w:tab w:val="left" w:pos="284"/>
        </w:tabs>
        <w:jc w:val="both"/>
        <w:textAlignment w:val="baseline"/>
        <w:rPr>
          <w:rFonts w:asciiTheme="minorHAnsi" w:hAnsiTheme="minorHAnsi" w:cstheme="majorHAnsi"/>
          <w:color w:val="000000" w:themeColor="text1"/>
          <w:sz w:val="20"/>
          <w:szCs w:val="20"/>
        </w:rPr>
      </w:pPr>
    </w:p>
    <w:p w:rsidR="002B7F58" w:rsidRPr="001D7829" w:rsidRDefault="002B7F58" w:rsidP="007321EA">
      <w:pPr>
        <w:numPr>
          <w:ilvl w:val="0"/>
          <w:numId w:val="3"/>
        </w:numPr>
        <w:tabs>
          <w:tab w:val="left" w:pos="284"/>
        </w:tabs>
        <w:ind w:left="0" w:firstLine="0"/>
        <w:jc w:val="both"/>
        <w:textAlignment w:val="baseline"/>
        <w:rPr>
          <w:rFonts w:asciiTheme="minorHAnsi" w:hAnsiTheme="minorHAnsi" w:cstheme="majorHAnsi"/>
          <w:color w:val="000000" w:themeColor="text1"/>
          <w:sz w:val="20"/>
          <w:szCs w:val="20"/>
        </w:rPr>
      </w:pPr>
      <w:r w:rsidRPr="001D7829">
        <w:rPr>
          <w:rStyle w:val="Strong"/>
          <w:rFonts w:asciiTheme="minorHAnsi" w:hAnsiTheme="minorHAnsi" w:cstheme="majorHAnsi"/>
          <w:color w:val="000000" w:themeColor="text1"/>
          <w:sz w:val="20"/>
          <w:szCs w:val="20"/>
          <w:bdr w:val="none" w:sz="0" w:space="0" w:color="auto" w:frame="1"/>
          <w:shd w:val="clear" w:color="auto" w:fill="FBF9E1"/>
        </w:rPr>
        <w:t>Febbre intermittente</w:t>
      </w:r>
      <w:r w:rsidRPr="001D7829">
        <w:rPr>
          <w:rFonts w:asciiTheme="minorHAnsi" w:hAnsiTheme="minorHAnsi" w:cstheme="majorHAnsi"/>
          <w:color w:val="000000" w:themeColor="text1"/>
          <w:sz w:val="20"/>
          <w:szCs w:val="20"/>
        </w:rPr>
        <w:t>:</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in questa forma si osserva un'alternanza fra periodi di ipertermia e periodi senza febbre nell'arco della stessa giornata. È ciò che accade nelle setticemie, nelle neoplasie e nella febbre iatrogena indotta da farmaci. Oscillazioni che si sviluppano nell'arco di più giorni si osservano invece nella malaria (se il</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color w:val="000000" w:themeColor="text1"/>
          <w:sz w:val="20"/>
          <w:szCs w:val="20"/>
          <w:bdr w:val="none" w:sz="0" w:space="0" w:color="auto" w:frame="1"/>
        </w:rPr>
        <w:t>picco di ipertermia</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si osserva ogni quattro giorni si parla di</w:t>
      </w:r>
      <w:r w:rsidRPr="001D7829">
        <w:rPr>
          <w:rFonts w:asciiTheme="minorHAnsi" w:hAnsiTheme="minorHAnsi" w:cstheme="majorHAnsi"/>
          <w:color w:val="000000" w:themeColor="text1"/>
          <w:sz w:val="20"/>
          <w:szCs w:val="20"/>
          <w:bdr w:val="none" w:sz="0" w:space="0" w:color="auto" w:frame="1"/>
        </w:rPr>
        <w:t> </w:t>
      </w:r>
      <w:r w:rsidRPr="001D7829">
        <w:rPr>
          <w:rStyle w:val="Emphasis"/>
          <w:rFonts w:asciiTheme="minorHAnsi" w:hAnsiTheme="minorHAnsi" w:cstheme="majorHAnsi"/>
          <w:color w:val="000000" w:themeColor="text1"/>
          <w:sz w:val="20"/>
          <w:szCs w:val="20"/>
          <w:bdr w:val="none" w:sz="0" w:space="0" w:color="auto" w:frame="1"/>
        </w:rPr>
        <w:t>febbre quartana</w:t>
      </w:r>
      <w:r w:rsidRPr="001D7829">
        <w:rPr>
          <w:rFonts w:asciiTheme="minorHAnsi" w:hAnsiTheme="minorHAnsi" w:cstheme="majorHAnsi"/>
          <w:color w:val="000000" w:themeColor="text1"/>
          <w:sz w:val="20"/>
          <w:szCs w:val="20"/>
        </w:rPr>
        <w:t>, se si osserva ogni tre giorni di</w:t>
      </w:r>
      <w:r w:rsidRPr="001D7829">
        <w:rPr>
          <w:rFonts w:asciiTheme="minorHAnsi" w:hAnsiTheme="minorHAnsi" w:cstheme="majorHAnsi"/>
          <w:color w:val="000000" w:themeColor="text1"/>
          <w:sz w:val="20"/>
          <w:szCs w:val="20"/>
          <w:bdr w:val="none" w:sz="0" w:space="0" w:color="auto" w:frame="1"/>
        </w:rPr>
        <w:t> </w:t>
      </w:r>
      <w:r w:rsidRPr="001D7829">
        <w:rPr>
          <w:rStyle w:val="Emphasis"/>
          <w:rFonts w:asciiTheme="minorHAnsi" w:hAnsiTheme="minorHAnsi" w:cstheme="majorHAnsi"/>
          <w:color w:val="000000" w:themeColor="text1"/>
          <w:sz w:val="20"/>
          <w:szCs w:val="20"/>
          <w:bdr w:val="none" w:sz="0" w:space="0" w:color="auto" w:frame="1"/>
        </w:rPr>
        <w:t>febbre terzana</w:t>
      </w:r>
      <w:r w:rsidRPr="001D7829">
        <w:rPr>
          <w:rFonts w:asciiTheme="minorHAnsi" w:hAnsiTheme="minorHAnsi" w:cstheme="majorHAnsi"/>
          <w:color w:val="000000" w:themeColor="text1"/>
          <w:sz w:val="20"/>
          <w:szCs w:val="20"/>
        </w:rPr>
        <w:t>), nel linfoma di Hodgkin e in altri linfomi. Una febbre alta (intorno a 40°C oppure compresa fra 37 e 38°C, in presenza di sudorazione), intermittente e associata a</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color w:val="000000" w:themeColor="text1"/>
          <w:sz w:val="20"/>
          <w:szCs w:val="20"/>
          <w:bdr w:val="none" w:sz="0" w:space="0" w:color="auto" w:frame="1"/>
        </w:rPr>
        <w:t>brividi</w:t>
      </w:r>
      <w:r w:rsidRPr="001D7829">
        <w:rPr>
          <w:rFonts w:asciiTheme="minorHAnsi" w:hAnsiTheme="minorHAnsi" w:cstheme="majorHAnsi"/>
          <w:b/>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è il sintomo di una febbre settica, originata da</w:t>
      </w:r>
      <w:r w:rsidRPr="001D7829">
        <w:rPr>
          <w:rFonts w:asciiTheme="minorHAnsi" w:hAnsiTheme="minorHAnsi" w:cstheme="majorHAnsi"/>
          <w:color w:val="000000" w:themeColor="text1"/>
          <w:sz w:val="20"/>
          <w:szCs w:val="20"/>
          <w:bdr w:val="none" w:sz="0" w:space="0" w:color="auto" w:frame="1"/>
        </w:rPr>
        <w:t> </w:t>
      </w:r>
      <w:r w:rsidRPr="001D7829">
        <w:rPr>
          <w:rStyle w:val="Strong"/>
          <w:rFonts w:asciiTheme="minorHAnsi" w:hAnsiTheme="minorHAnsi" w:cstheme="majorHAnsi"/>
          <w:color w:val="000000" w:themeColor="text1"/>
          <w:sz w:val="20"/>
          <w:szCs w:val="20"/>
          <w:bdr w:val="none" w:sz="0" w:space="0" w:color="auto" w:frame="1"/>
        </w:rPr>
        <w:t>un'infezione batterica</w:t>
      </w:r>
      <w:r w:rsidRPr="001D7829">
        <w:rPr>
          <w:rFonts w:asciiTheme="minorHAnsi" w:hAnsiTheme="minorHAnsi" w:cstheme="majorHAnsi"/>
          <w:color w:val="000000" w:themeColor="text1"/>
          <w:sz w:val="20"/>
          <w:szCs w:val="20"/>
        </w:rPr>
        <w:t>.</w:t>
      </w:r>
    </w:p>
    <w:p w:rsidR="009E718E" w:rsidRPr="001D7829" w:rsidRDefault="009E718E" w:rsidP="009E718E">
      <w:pPr>
        <w:tabs>
          <w:tab w:val="left" w:pos="284"/>
        </w:tabs>
        <w:jc w:val="both"/>
        <w:textAlignment w:val="baseline"/>
        <w:rPr>
          <w:rFonts w:asciiTheme="minorHAnsi" w:hAnsiTheme="minorHAnsi" w:cstheme="majorHAnsi"/>
          <w:color w:val="000000" w:themeColor="text1"/>
          <w:sz w:val="20"/>
          <w:szCs w:val="20"/>
        </w:rPr>
      </w:pPr>
    </w:p>
    <w:p w:rsidR="002B7F58" w:rsidRPr="001D7829" w:rsidRDefault="002B7F58" w:rsidP="007321EA">
      <w:pPr>
        <w:numPr>
          <w:ilvl w:val="0"/>
          <w:numId w:val="3"/>
        </w:numPr>
        <w:tabs>
          <w:tab w:val="left" w:pos="284"/>
        </w:tabs>
        <w:ind w:left="0" w:firstLine="0"/>
        <w:jc w:val="both"/>
        <w:textAlignment w:val="baseline"/>
        <w:rPr>
          <w:rFonts w:asciiTheme="minorHAnsi" w:hAnsiTheme="minorHAnsi" w:cstheme="majorHAnsi"/>
          <w:color w:val="000000" w:themeColor="text1"/>
          <w:sz w:val="20"/>
          <w:szCs w:val="20"/>
        </w:rPr>
      </w:pPr>
      <w:r w:rsidRPr="001D7829">
        <w:rPr>
          <w:rStyle w:val="Strong"/>
          <w:rFonts w:asciiTheme="minorHAnsi" w:hAnsiTheme="minorHAnsi" w:cstheme="majorHAnsi"/>
          <w:color w:val="000000" w:themeColor="text1"/>
          <w:sz w:val="20"/>
          <w:szCs w:val="20"/>
          <w:bdr w:val="none" w:sz="0" w:space="0" w:color="auto" w:frame="1"/>
          <w:shd w:val="clear" w:color="auto" w:fill="FBF9E1"/>
        </w:rPr>
        <w:t>Febbre ondulante</w:t>
      </w:r>
      <w:r w:rsidRPr="001D7829">
        <w:rPr>
          <w:rFonts w:asciiTheme="minorHAnsi" w:hAnsiTheme="minorHAnsi" w:cstheme="majorHAnsi"/>
          <w:color w:val="000000" w:themeColor="text1"/>
          <w:sz w:val="20"/>
          <w:szCs w:val="20"/>
        </w:rPr>
        <w:t>:</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il periodo febbrile oscilla da 10 a 15 giorni.</w:t>
      </w:r>
    </w:p>
    <w:p w:rsidR="009E718E" w:rsidRPr="001D7829" w:rsidRDefault="009E718E" w:rsidP="009E718E">
      <w:pPr>
        <w:tabs>
          <w:tab w:val="left" w:pos="284"/>
        </w:tabs>
        <w:jc w:val="both"/>
        <w:textAlignment w:val="baseline"/>
        <w:rPr>
          <w:rFonts w:asciiTheme="minorHAnsi" w:hAnsiTheme="minorHAnsi" w:cstheme="majorHAnsi"/>
          <w:color w:val="000000" w:themeColor="text1"/>
          <w:sz w:val="20"/>
          <w:szCs w:val="20"/>
        </w:rPr>
      </w:pPr>
    </w:p>
    <w:p w:rsidR="002B7F58" w:rsidRPr="001D7829" w:rsidRDefault="002B7F58" w:rsidP="007321EA">
      <w:pPr>
        <w:numPr>
          <w:ilvl w:val="0"/>
          <w:numId w:val="3"/>
        </w:numPr>
        <w:tabs>
          <w:tab w:val="left" w:pos="284"/>
        </w:tabs>
        <w:ind w:left="0" w:firstLine="0"/>
        <w:jc w:val="both"/>
        <w:textAlignment w:val="baseline"/>
        <w:rPr>
          <w:rFonts w:asciiTheme="minorHAnsi" w:hAnsiTheme="minorHAnsi" w:cstheme="majorHAnsi"/>
          <w:color w:val="000000" w:themeColor="text1"/>
          <w:sz w:val="20"/>
          <w:szCs w:val="20"/>
        </w:rPr>
      </w:pPr>
      <w:r w:rsidRPr="001D7829">
        <w:rPr>
          <w:rStyle w:val="Strong"/>
          <w:rFonts w:asciiTheme="minorHAnsi" w:hAnsiTheme="minorHAnsi" w:cstheme="majorHAnsi"/>
          <w:color w:val="000000" w:themeColor="text1"/>
          <w:sz w:val="20"/>
          <w:szCs w:val="20"/>
          <w:bdr w:val="none" w:sz="0" w:space="0" w:color="auto" w:frame="1"/>
          <w:shd w:val="clear" w:color="auto" w:fill="FBF9E1"/>
        </w:rPr>
        <w:t>Febbre ricorrente e familiare</w:t>
      </w:r>
      <w:r w:rsidRPr="001D7829">
        <w:rPr>
          <w:rFonts w:asciiTheme="minorHAnsi" w:hAnsiTheme="minorHAnsi" w:cstheme="majorHAnsi"/>
          <w:color w:val="000000" w:themeColor="text1"/>
          <w:sz w:val="20"/>
          <w:szCs w:val="20"/>
        </w:rPr>
        <w:t>:</w:t>
      </w:r>
      <w:r w:rsidRPr="001D7829">
        <w:rPr>
          <w:rFonts w:asciiTheme="minorHAnsi" w:hAnsiTheme="minorHAnsi" w:cstheme="majorHAnsi"/>
          <w:color w:val="000000" w:themeColor="text1"/>
          <w:sz w:val="20"/>
          <w:szCs w:val="20"/>
          <w:bdr w:val="none" w:sz="0" w:space="0" w:color="auto" w:frame="1"/>
        </w:rPr>
        <w:t> </w:t>
      </w:r>
      <w:r w:rsidRPr="001D7829">
        <w:rPr>
          <w:rFonts w:asciiTheme="minorHAnsi" w:hAnsiTheme="minorHAnsi" w:cstheme="majorHAnsi"/>
          <w:color w:val="000000" w:themeColor="text1"/>
          <w:sz w:val="20"/>
          <w:szCs w:val="20"/>
        </w:rPr>
        <w:t>febbre mediterranea familiare (FMF), in cui il periodo febbrile oscilla da 3 a 5 giorni</w:t>
      </w:r>
    </w:p>
    <w:p w:rsidR="001D2A46" w:rsidRPr="001D7829" w:rsidRDefault="001D2A46" w:rsidP="00D71CED">
      <w:pPr>
        <w:tabs>
          <w:tab w:val="left" w:pos="284"/>
        </w:tabs>
        <w:jc w:val="both"/>
        <w:textAlignment w:val="baseline"/>
        <w:rPr>
          <w:rFonts w:asciiTheme="minorHAnsi" w:hAnsiTheme="minorHAnsi" w:cstheme="majorHAnsi"/>
          <w:color w:val="000000" w:themeColor="text1"/>
          <w:sz w:val="20"/>
          <w:szCs w:val="20"/>
        </w:rPr>
      </w:pPr>
    </w:p>
    <w:p w:rsidR="002B7F58" w:rsidRDefault="002B7F58" w:rsidP="00D71CED">
      <w:pPr>
        <w:pStyle w:val="NormalWeb"/>
        <w:spacing w:before="0" w:beforeAutospacing="0" w:after="0" w:afterAutospacing="0"/>
        <w:textAlignment w:val="baseline"/>
        <w:rPr>
          <w:rFonts w:asciiTheme="minorHAnsi" w:hAnsiTheme="minorHAnsi"/>
          <w:color w:val="000000" w:themeColor="text1"/>
          <w:sz w:val="20"/>
          <w:szCs w:val="20"/>
        </w:rPr>
      </w:pPr>
    </w:p>
    <w:p w:rsidR="001D7829" w:rsidRPr="001D7829" w:rsidRDefault="001D7829" w:rsidP="00D71CED">
      <w:pPr>
        <w:pStyle w:val="NormalWeb"/>
        <w:spacing w:before="0" w:beforeAutospacing="0" w:after="0" w:afterAutospacing="0"/>
        <w:textAlignment w:val="baseline"/>
        <w:rPr>
          <w:rFonts w:asciiTheme="minorHAnsi" w:hAnsiTheme="minorHAnsi"/>
          <w:color w:val="000000" w:themeColor="text1"/>
          <w:sz w:val="20"/>
          <w:szCs w:val="20"/>
        </w:rPr>
      </w:pPr>
    </w:p>
    <w:p w:rsidR="002B7F58" w:rsidRPr="001D7829" w:rsidRDefault="002B7F58" w:rsidP="001D7829">
      <w:pPr>
        <w:shd w:val="clear" w:color="auto" w:fill="E2EFD9" w:themeFill="accent6" w:themeFillTint="33"/>
        <w:jc w:val="center"/>
        <w:rPr>
          <w:color w:val="C00000"/>
        </w:rPr>
      </w:pPr>
      <w:bookmarkStart w:id="42" w:name="_Toc42028105"/>
      <w:bookmarkStart w:id="43" w:name="_Toc42113153"/>
      <w:bookmarkStart w:id="44" w:name="_Toc42113446"/>
      <w:bookmarkStart w:id="45" w:name="_Toc42364931"/>
      <w:bookmarkStart w:id="46" w:name="_Toc42365844"/>
      <w:bookmarkStart w:id="47" w:name="_Toc43126668"/>
      <w:bookmarkStart w:id="48" w:name="_Toc43342382"/>
      <w:r w:rsidRPr="001D7829">
        <w:rPr>
          <w:rStyle w:val="Heading2Char"/>
          <w:rFonts w:asciiTheme="minorHAnsi" w:hAnsiTheme="minorHAnsi" w:cstheme="minorHAnsi"/>
          <w:b/>
          <w:color w:val="C00000"/>
          <w:sz w:val="24"/>
          <w:szCs w:val="24"/>
        </w:rPr>
        <w:t>Meccanismi del danno da febbre</w:t>
      </w:r>
      <w:bookmarkEnd w:id="42"/>
      <w:bookmarkEnd w:id="43"/>
      <w:bookmarkEnd w:id="44"/>
      <w:bookmarkEnd w:id="45"/>
      <w:bookmarkEnd w:id="46"/>
      <w:bookmarkEnd w:id="47"/>
      <w:bookmarkEnd w:id="48"/>
      <w:r w:rsidRPr="001D7829">
        <w:rPr>
          <w:color w:val="C00000"/>
        </w:rPr>
        <w:t xml:space="preserve"> </w:t>
      </w:r>
      <w:r w:rsidRPr="001D7829">
        <w:rPr>
          <w:rStyle w:val="FootnoteReference"/>
          <w:rFonts w:asciiTheme="minorHAnsi" w:hAnsiTheme="minorHAnsi"/>
          <w:b/>
          <w:color w:val="C00000"/>
        </w:rPr>
        <w:footnoteReference w:id="59"/>
      </w:r>
    </w:p>
    <w:p w:rsidR="002F0DCF" w:rsidRPr="001D7829" w:rsidRDefault="002F0DCF" w:rsidP="001D2A46">
      <w:pPr>
        <w:pStyle w:val="NormalWeb"/>
        <w:spacing w:before="0" w:beforeAutospacing="0" w:after="0" w:afterAutospacing="0"/>
        <w:jc w:val="center"/>
        <w:textAlignment w:val="baseline"/>
        <w:rPr>
          <w:rFonts w:asciiTheme="minorHAnsi" w:hAnsiTheme="minorHAnsi"/>
          <w:b/>
          <w:color w:val="000000" w:themeColor="text1"/>
          <w:sz w:val="20"/>
          <w:szCs w:val="20"/>
        </w:rPr>
      </w:pPr>
    </w:p>
    <w:p w:rsidR="002B7F58" w:rsidRPr="001D7829" w:rsidRDefault="002B7F58" w:rsidP="001D2A46">
      <w:pPr>
        <w:pStyle w:val="NormalWeb"/>
        <w:tabs>
          <w:tab w:val="left" w:pos="284"/>
        </w:tabs>
        <w:spacing w:before="0" w:beforeAutospacing="0" w:after="0" w:afterAutospacing="0"/>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Esistono numerosi meccanismi fisiopatologici per gli effetti deleteri della febbre, classificati come segue:</w:t>
      </w:r>
    </w:p>
    <w:p w:rsidR="009E718E" w:rsidRPr="001D7829" w:rsidRDefault="009E718E" w:rsidP="001D2A46">
      <w:pPr>
        <w:pStyle w:val="NormalWeb"/>
        <w:tabs>
          <w:tab w:val="left" w:pos="284"/>
        </w:tabs>
        <w:spacing w:before="0" w:beforeAutospacing="0" w:after="0" w:afterAutospacing="0"/>
        <w:textAlignment w:val="baseline"/>
        <w:rPr>
          <w:rFonts w:asciiTheme="minorHAnsi" w:hAnsiTheme="minorHAnsi"/>
          <w:color w:val="000000" w:themeColor="text1"/>
          <w:sz w:val="20"/>
          <w:szCs w:val="20"/>
        </w:rPr>
      </w:pPr>
    </w:p>
    <w:p w:rsidR="002B7F58" w:rsidRPr="001D7829" w:rsidRDefault="002B7F58" w:rsidP="007321EA">
      <w:pPr>
        <w:pStyle w:val="NormalWeb"/>
        <w:numPr>
          <w:ilvl w:val="0"/>
          <w:numId w:val="1"/>
        </w:numPr>
        <w:tabs>
          <w:tab w:val="left" w:pos="284"/>
        </w:tabs>
        <w:spacing w:before="0" w:beforeAutospacing="0" w:after="0" w:afterAutospacing="0"/>
        <w:ind w:left="0" w:firstLine="0"/>
        <w:textAlignment w:val="baseline"/>
        <w:rPr>
          <w:rFonts w:asciiTheme="minorHAnsi" w:hAnsiTheme="minorHAnsi"/>
          <w:color w:val="000000" w:themeColor="text1"/>
          <w:sz w:val="20"/>
          <w:szCs w:val="20"/>
        </w:rPr>
      </w:pPr>
      <w:r w:rsidRPr="001D7829">
        <w:rPr>
          <w:rFonts w:asciiTheme="minorHAnsi" w:hAnsiTheme="minorHAnsi"/>
          <w:b/>
          <w:color w:val="000000" w:themeColor="text1"/>
          <w:sz w:val="20"/>
          <w:szCs w:val="20"/>
          <w:shd w:val="clear" w:color="auto" w:fill="FBF9E1"/>
        </w:rPr>
        <w:t>Danno cellulare diretto</w:t>
      </w:r>
      <w:r w:rsidRPr="001D7829">
        <w:rPr>
          <w:rFonts w:asciiTheme="minorHAnsi" w:hAnsiTheme="minorHAnsi"/>
          <w:color w:val="000000" w:themeColor="text1"/>
          <w:sz w:val="20"/>
          <w:szCs w:val="20"/>
        </w:rPr>
        <w:t xml:space="preserve">: </w:t>
      </w:r>
    </w:p>
    <w:p w:rsidR="002B7F58" w:rsidRPr="001D7829" w:rsidRDefault="002B7F58"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L'ipertermia è direttamente citotossica e colpisce la stabilità della membrana cellulare e la funzione di trasporto transmembrana delle proteine. Di conseguenza, il trasporto ionico viene interrotto portando ad un aumento del sodio e del calcio intracellulari con una riduzione della concentrazione intracellulare di potassio. La sintesi delle proteine e del DNA viene interrotta in varie fasi del percorso; mentre la sintesi di RNA e proteine può recuperare rapidamente dopo la cessazione dell'ipertermia, la sintesi del DNA rimane interrotta più a lungo. La morte cellulare diretta nell'uomo si verifica a temperature di circa 41°C, con un tasso di morte cellulare che aumenta notevolmente con ulteriori aumenti di temperatura anche modesti. L'energia termica richiesta per la morte cellulare è simile a quella richiesta per la denaturazione delle proteine, suggerendo che la morte cellulare ipertermica può verificarsi  principalmente attraverso i suoi effetti sulla struttura delle proteine.</w:t>
      </w:r>
    </w:p>
    <w:p w:rsidR="009E718E" w:rsidRPr="001D7829" w:rsidRDefault="009E718E"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2B7F58" w:rsidRPr="001D7829" w:rsidRDefault="002B7F58" w:rsidP="007321EA">
      <w:pPr>
        <w:pStyle w:val="NormalWeb"/>
        <w:numPr>
          <w:ilvl w:val="0"/>
          <w:numId w:val="1"/>
        </w:numPr>
        <w:tabs>
          <w:tab w:val="left" w:pos="284"/>
        </w:tabs>
        <w:spacing w:before="0" w:beforeAutospacing="0" w:after="0" w:afterAutospacing="0"/>
        <w:ind w:left="0" w:firstLine="0"/>
        <w:textAlignment w:val="baseline"/>
        <w:rPr>
          <w:rFonts w:asciiTheme="minorHAnsi" w:hAnsiTheme="minorHAnsi"/>
          <w:color w:val="000000" w:themeColor="text1"/>
          <w:sz w:val="20"/>
          <w:szCs w:val="20"/>
        </w:rPr>
      </w:pPr>
      <w:r w:rsidRPr="001D7829">
        <w:rPr>
          <w:rFonts w:asciiTheme="minorHAnsi" w:hAnsiTheme="minorHAnsi"/>
          <w:b/>
          <w:color w:val="000000" w:themeColor="text1"/>
          <w:sz w:val="20"/>
          <w:szCs w:val="20"/>
          <w:shd w:val="clear" w:color="auto" w:fill="FBF9E1"/>
        </w:rPr>
        <w:t>Effetti locali</w:t>
      </w:r>
      <w:r w:rsidRPr="001D7829">
        <w:rPr>
          <w:rFonts w:asciiTheme="minorHAnsi" w:hAnsiTheme="minorHAnsi"/>
          <w:color w:val="000000" w:themeColor="text1"/>
          <w:sz w:val="20"/>
          <w:szCs w:val="20"/>
        </w:rPr>
        <w:t>, ad es. stimolazione di citochine e risposta infiammatoria:</w:t>
      </w:r>
    </w:p>
    <w:p w:rsidR="002B7F58" w:rsidRPr="001D7829" w:rsidRDefault="002B7F58"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 xml:space="preserve">I livelli delle citochine pro-infiammatorie e anti-infiammatorie sono elevati al momento dell'ipertermia da colpo di calore. Di queste, alcune (ad esempio INFγ, IL-1β) sono aumentate in una proporzione di pazienti, mentre l’IL-6 è elevata in tutti i pazienti. Inoltre, vi è una certa correlazione con l'esito: l'aumento di IL-6 e la </w:t>
      </w:r>
      <w:r w:rsidR="005B6077" w:rsidRPr="001D7829">
        <w:rPr>
          <w:rFonts w:asciiTheme="minorHAnsi" w:hAnsiTheme="minorHAnsi"/>
          <w:color w:val="000000" w:themeColor="text1"/>
          <w:sz w:val="20"/>
          <w:szCs w:val="20"/>
        </w:rPr>
        <w:t xml:space="preserve">sua </w:t>
      </w:r>
      <w:r w:rsidRPr="001D7829">
        <w:rPr>
          <w:rFonts w:asciiTheme="minorHAnsi" w:hAnsiTheme="minorHAnsi"/>
          <w:color w:val="000000" w:themeColor="text1"/>
          <w:sz w:val="20"/>
          <w:szCs w:val="20"/>
        </w:rPr>
        <w:t xml:space="preserve">durata sono correlati alla mortalità, indipendentemente dalla massima temperatura interna raggiunta. Oltre alle citochine, vengono prodotte anche le proteine da shock termico (HSP), una famiglia di proteine cellulari che offrono protezione contro una serie di insulti, compreso il calore. Per quanto riguarda invece i cambiamenti vascolari, la maggior parte degli organi mostra </w:t>
      </w:r>
      <w:r w:rsidRPr="001D7829">
        <w:rPr>
          <w:rFonts w:asciiTheme="minorHAnsi" w:hAnsiTheme="minorHAnsi"/>
          <w:color w:val="000000" w:themeColor="text1"/>
          <w:sz w:val="20"/>
          <w:szCs w:val="20"/>
        </w:rPr>
        <w:lastRenderedPageBreak/>
        <w:t>cambiamenti simili costituiti da dilatazione capillare, stasi vascolare e stravaso nell'interstizio, osservabili già dopo 30 minuti a 40,5°C.</w:t>
      </w:r>
    </w:p>
    <w:p w:rsidR="009E718E" w:rsidRPr="001D7829" w:rsidRDefault="009E718E"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2B7F58" w:rsidRPr="001D7829" w:rsidRDefault="002B7F58" w:rsidP="007321EA">
      <w:pPr>
        <w:pStyle w:val="NormalWeb"/>
        <w:numPr>
          <w:ilvl w:val="0"/>
          <w:numId w:val="1"/>
        </w:numPr>
        <w:tabs>
          <w:tab w:val="left" w:pos="284"/>
        </w:tabs>
        <w:spacing w:before="0" w:beforeAutospacing="0" w:after="0" w:afterAutospacing="0"/>
        <w:ind w:left="0" w:firstLine="0"/>
        <w:textAlignment w:val="baseline"/>
        <w:rPr>
          <w:rFonts w:asciiTheme="minorHAnsi" w:hAnsiTheme="minorHAnsi" w:cstheme="minorHAnsi"/>
          <w:color w:val="000000" w:themeColor="text1"/>
          <w:sz w:val="20"/>
          <w:szCs w:val="20"/>
        </w:rPr>
      </w:pPr>
      <w:r w:rsidRPr="001D7829">
        <w:rPr>
          <w:rFonts w:asciiTheme="minorHAnsi" w:hAnsiTheme="minorHAnsi" w:cstheme="minorHAnsi"/>
          <w:b/>
          <w:color w:val="000000" w:themeColor="text1"/>
          <w:sz w:val="20"/>
          <w:szCs w:val="20"/>
          <w:shd w:val="clear" w:color="auto" w:fill="FBF9E1"/>
        </w:rPr>
        <w:t>Effetti sistemici</w:t>
      </w:r>
      <w:r w:rsidRPr="001D7829">
        <w:rPr>
          <w:rFonts w:asciiTheme="minorHAnsi" w:hAnsiTheme="minorHAnsi" w:cstheme="minorHAnsi"/>
          <w:color w:val="000000" w:themeColor="text1"/>
          <w:sz w:val="20"/>
          <w:szCs w:val="20"/>
          <w:shd w:val="clear" w:color="auto" w:fill="FBF9E1"/>
        </w:rPr>
        <w:t>,</w:t>
      </w:r>
      <w:r w:rsidRPr="001D7829">
        <w:rPr>
          <w:rFonts w:asciiTheme="minorHAnsi" w:hAnsiTheme="minorHAnsi" w:cstheme="minorHAnsi"/>
          <w:color w:val="000000" w:themeColor="text1"/>
          <w:sz w:val="20"/>
          <w:szCs w:val="20"/>
        </w:rPr>
        <w:t xml:space="preserve"> ad es. traslocazione batterica intestinale</w:t>
      </w:r>
      <w:r w:rsidR="005B6077" w:rsidRPr="001D7829">
        <w:rPr>
          <w:rFonts w:asciiTheme="minorHAnsi" w:hAnsiTheme="minorHAnsi" w:cstheme="minorHAnsi"/>
          <w:color w:val="000000" w:themeColor="text1"/>
          <w:sz w:val="20"/>
          <w:szCs w:val="20"/>
        </w:rPr>
        <w:t xml:space="preserve"> </w:t>
      </w:r>
      <w:r w:rsidR="005B6077" w:rsidRPr="001D7829">
        <w:rPr>
          <w:rStyle w:val="FootnoteReference"/>
          <w:rFonts w:asciiTheme="minorHAnsi" w:hAnsiTheme="minorHAnsi" w:cstheme="minorHAnsi"/>
          <w:color w:val="000000" w:themeColor="text1"/>
          <w:sz w:val="20"/>
          <w:szCs w:val="20"/>
        </w:rPr>
        <w:footnoteReference w:id="60"/>
      </w:r>
      <w:r w:rsidRPr="001D7829">
        <w:rPr>
          <w:rFonts w:asciiTheme="minorHAnsi" w:hAnsiTheme="minorHAnsi" w:cstheme="minorHAnsi"/>
          <w:color w:val="000000" w:themeColor="text1"/>
          <w:sz w:val="20"/>
          <w:szCs w:val="20"/>
        </w:rPr>
        <w:t xml:space="preserve">: </w:t>
      </w:r>
    </w:p>
    <w:p w:rsidR="00BF525A" w:rsidRPr="001D7829" w:rsidRDefault="005B6077" w:rsidP="00BF525A">
      <w:pPr>
        <w:shd w:val="clear" w:color="auto" w:fill="FFFFFF"/>
        <w:jc w:val="both"/>
        <w:rPr>
          <w:rFonts w:asciiTheme="minorHAnsi" w:hAnsiTheme="minorHAnsi" w:cstheme="minorHAnsi"/>
          <w:color w:val="000000" w:themeColor="text1"/>
          <w:sz w:val="20"/>
          <w:szCs w:val="20"/>
        </w:rPr>
      </w:pPr>
      <w:r w:rsidRPr="001D7829">
        <w:rPr>
          <w:rFonts w:asciiTheme="minorHAnsi" w:hAnsiTheme="minorHAnsi" w:cstheme="minorHAnsi"/>
          <w:color w:val="000000" w:themeColor="text1"/>
          <w:sz w:val="20"/>
          <w:szCs w:val="20"/>
        </w:rPr>
        <w:t>La traslocazione batterica è l</w:t>
      </w:r>
      <w:r w:rsidR="00BF525A" w:rsidRPr="001D7829">
        <w:rPr>
          <w:rFonts w:asciiTheme="minorHAnsi" w:hAnsiTheme="minorHAnsi" w:cstheme="minorHAnsi"/>
          <w:color w:val="000000" w:themeColor="text1"/>
          <w:sz w:val="20"/>
          <w:szCs w:val="20"/>
        </w:rPr>
        <w:t>a diffusione</w:t>
      </w:r>
      <w:r w:rsidRPr="001D7829">
        <w:rPr>
          <w:rFonts w:asciiTheme="minorHAnsi" w:hAnsiTheme="minorHAnsi" w:cstheme="minorHAnsi"/>
          <w:color w:val="000000" w:themeColor="text1"/>
          <w:sz w:val="20"/>
          <w:szCs w:val="20"/>
        </w:rPr>
        <w:t xml:space="preserve"> di germi vitali e non, e </w:t>
      </w:r>
      <w:r w:rsidR="00BF525A" w:rsidRPr="001D7829">
        <w:rPr>
          <w:rFonts w:asciiTheme="minorHAnsi" w:hAnsiTheme="minorHAnsi" w:cstheme="minorHAnsi"/>
          <w:color w:val="000000" w:themeColor="text1"/>
          <w:sz w:val="20"/>
          <w:szCs w:val="20"/>
        </w:rPr>
        <w:t>dei loro metaboliti</w:t>
      </w:r>
      <w:r w:rsidRPr="001D7829">
        <w:rPr>
          <w:rFonts w:asciiTheme="minorHAnsi" w:hAnsiTheme="minorHAnsi" w:cstheme="minorHAnsi"/>
          <w:color w:val="000000" w:themeColor="text1"/>
          <w:sz w:val="20"/>
          <w:szCs w:val="20"/>
        </w:rPr>
        <w:t>, attraverso la  mucosa  dell’intestino  a</w:t>
      </w:r>
      <w:r w:rsidR="00BF525A" w:rsidRPr="001D7829">
        <w:rPr>
          <w:rFonts w:asciiTheme="minorHAnsi" w:hAnsiTheme="minorHAnsi" w:cstheme="minorHAnsi"/>
          <w:color w:val="000000" w:themeColor="text1"/>
          <w:sz w:val="20"/>
          <w:szCs w:val="20"/>
        </w:rPr>
        <w:t>i</w:t>
      </w:r>
      <w:r w:rsidRPr="001D7829">
        <w:rPr>
          <w:rFonts w:asciiTheme="minorHAnsi" w:hAnsiTheme="minorHAnsi" w:cstheme="minorHAnsi"/>
          <w:color w:val="000000" w:themeColor="text1"/>
          <w:sz w:val="20"/>
          <w:szCs w:val="20"/>
        </w:rPr>
        <w:t xml:space="preserve">  linfonodi  mesenterici,  alla  milza,  al  fegato,  </w:t>
      </w:r>
      <w:r w:rsidR="00BF525A" w:rsidRPr="001D7829">
        <w:rPr>
          <w:rFonts w:asciiTheme="minorHAnsi" w:hAnsiTheme="minorHAnsi" w:cstheme="minorHAnsi"/>
          <w:color w:val="000000" w:themeColor="text1"/>
          <w:sz w:val="20"/>
          <w:szCs w:val="20"/>
        </w:rPr>
        <w:t xml:space="preserve">e </w:t>
      </w:r>
      <w:r w:rsidRPr="001D7829">
        <w:rPr>
          <w:rFonts w:asciiTheme="minorHAnsi" w:hAnsiTheme="minorHAnsi" w:cstheme="minorHAnsi"/>
          <w:color w:val="000000" w:themeColor="text1"/>
          <w:sz w:val="20"/>
          <w:szCs w:val="20"/>
        </w:rPr>
        <w:t>al  peritoneo</w:t>
      </w:r>
      <w:r w:rsidR="00BF525A" w:rsidRPr="001D7829">
        <w:rPr>
          <w:rFonts w:asciiTheme="minorHAnsi" w:hAnsiTheme="minorHAnsi" w:cstheme="minorHAnsi"/>
          <w:color w:val="000000" w:themeColor="text1"/>
          <w:sz w:val="20"/>
          <w:szCs w:val="20"/>
        </w:rPr>
        <w:t>. La traslocazione batterica può essere un normale fenomeno che si verifica anche in individui sani senza conseguenze. Quando però il sistema immunitario è sollecitato in modo esteso  esita  in  complicazioni  settiche (setticemia o sepsi)  che  si  localizzano in  siti  lontani  dalla sede originale dell’infezione. La relazione fra traslocazione batterica e multi-organ failure” (MOF – fallimento multiorgano) sta  perciò  nel  fatto  che,  superato  il  filtro  epatico  e  successivamente  quello  polmonare,  avviene la   diffusione   nel   torrente   circolatorio   dei germi con   conseguenti   batteriemie,   fungemie   ed    endotossinemie  che  causano  (e  mantengono)  le sepsi  sistemiche  e  le  MOF.</w:t>
      </w:r>
    </w:p>
    <w:p w:rsidR="00EF6234" w:rsidRPr="001D7829" w:rsidRDefault="00EF6234" w:rsidP="00BF525A">
      <w:pPr>
        <w:shd w:val="clear" w:color="auto" w:fill="FFFFFF"/>
        <w:jc w:val="both"/>
        <w:rPr>
          <w:rFonts w:asciiTheme="minorHAnsi" w:hAnsiTheme="minorHAnsi" w:cstheme="minorHAnsi"/>
          <w:color w:val="000000" w:themeColor="text1"/>
          <w:sz w:val="20"/>
          <w:szCs w:val="20"/>
        </w:rPr>
      </w:pPr>
    </w:p>
    <w:p w:rsidR="002B7F58" w:rsidRDefault="002B7F58"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 xml:space="preserve">La </w:t>
      </w:r>
      <w:r w:rsidRPr="001D7829">
        <w:rPr>
          <w:rFonts w:asciiTheme="minorHAnsi" w:hAnsiTheme="minorHAnsi"/>
          <w:b/>
          <w:color w:val="000000" w:themeColor="text1"/>
          <w:sz w:val="20"/>
          <w:szCs w:val="20"/>
          <w:shd w:val="clear" w:color="auto" w:fill="FBF9E1"/>
        </w:rPr>
        <w:t>febbre pirogenica</w:t>
      </w:r>
      <w:r w:rsidRPr="001D7829">
        <w:rPr>
          <w:rFonts w:asciiTheme="minorHAnsi" w:hAnsiTheme="minorHAnsi"/>
          <w:color w:val="000000" w:themeColor="text1"/>
          <w:sz w:val="20"/>
          <w:szCs w:val="20"/>
        </w:rPr>
        <w:t xml:space="preserve"> è una risposta comune alla sepsi in pazienti gravi e la sua generazione avviene attraverso diversi meccanismi. L'interazione dei pirogeni esogeni (ad es. microrganismi) o pirogeni endogeni (ad es. interleuchina (IL) -1, IL-6, fattore di necrosi tumorale (TNF) -α) con l'organo vascolare della lamina terminale (OVLT) porta alla produzione di febbre. I pirogeni esogeni possono stimolare la produzione di citochine o agire direttamente sull’OVLT. L'OVLT è una delle sette strutture prevalentemente cellulari nell'ipotalamo anteriore, un organo altamente vascolarizzato e privo di una barriera emato-encefalica (BBB), che gli consente di essere stimolato direttamente dalle</w:t>
      </w:r>
      <w:r w:rsidR="002F0DCF" w:rsidRPr="001D7829">
        <w:rPr>
          <w:rFonts w:asciiTheme="minorHAnsi" w:hAnsiTheme="minorHAnsi"/>
          <w:color w:val="000000" w:themeColor="text1"/>
          <w:sz w:val="20"/>
          <w:szCs w:val="20"/>
        </w:rPr>
        <w:t xml:space="preserve"> </w:t>
      </w:r>
      <w:r w:rsidRPr="001D7829">
        <w:rPr>
          <w:rFonts w:asciiTheme="minorHAnsi" w:hAnsiTheme="minorHAnsi"/>
          <w:color w:val="000000" w:themeColor="text1"/>
          <w:sz w:val="20"/>
          <w:szCs w:val="20"/>
        </w:rPr>
        <w:t>sostanze pirogeniche. La sua stimolazione porta ad un aumento della sintesi di prostanoidi tra cui la prostaglandina (PG) E2, che agisce nel nucleo pre-ottico dell’ipotalamo e rallenta la frequenza di scarica dei neuroni sensibili al caldo e provoca un aumento della temperatura corporea. Le vie neurali possono spiegare l'inizio rapido della febbre, con produzione di citochine pirogeniche responsabile del mantenimento, piuttosto che l'inizio, della febbre.</w:t>
      </w: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P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2B7F58" w:rsidRPr="001D7829" w:rsidRDefault="002B7F58"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2"/>
          <w:szCs w:val="22"/>
        </w:rPr>
      </w:pPr>
    </w:p>
    <w:p w:rsidR="00F8503D" w:rsidRPr="001D7829" w:rsidRDefault="00F8503D" w:rsidP="001D7829">
      <w:pPr>
        <w:shd w:val="clear" w:color="auto" w:fill="E2EFD9" w:themeFill="accent6" w:themeFillTint="33"/>
        <w:jc w:val="center"/>
        <w:rPr>
          <w:color w:val="C00000"/>
        </w:rPr>
      </w:pPr>
      <w:bookmarkStart w:id="49" w:name="_Toc43342383"/>
      <w:r w:rsidRPr="001D7829">
        <w:rPr>
          <w:rStyle w:val="Heading2Char"/>
          <w:rFonts w:asciiTheme="minorHAnsi" w:hAnsiTheme="minorHAnsi" w:cstheme="minorHAnsi"/>
          <w:b/>
          <w:color w:val="C00000"/>
          <w:sz w:val="24"/>
          <w:szCs w:val="24"/>
        </w:rPr>
        <w:t>Benefici della febbre</w:t>
      </w:r>
      <w:bookmarkEnd w:id="49"/>
      <w:r w:rsidRPr="001D7829">
        <w:rPr>
          <w:color w:val="C00000"/>
        </w:rPr>
        <w:t xml:space="preserve"> </w:t>
      </w:r>
      <w:r w:rsidRPr="001D7829">
        <w:rPr>
          <w:rStyle w:val="FootnoteReference"/>
          <w:rFonts w:asciiTheme="minorHAnsi" w:hAnsiTheme="minorHAnsi"/>
          <w:b/>
          <w:color w:val="C00000"/>
        </w:rPr>
        <w:footnoteReference w:id="61"/>
      </w:r>
    </w:p>
    <w:p w:rsidR="00F8503D" w:rsidRPr="001D7829" w:rsidRDefault="00F8503D" w:rsidP="00F8503D">
      <w:pPr>
        <w:jc w:val="center"/>
        <w:rPr>
          <w:color w:val="000000" w:themeColor="text1"/>
          <w:sz w:val="22"/>
          <w:szCs w:val="22"/>
        </w:rPr>
      </w:pPr>
    </w:p>
    <w:p w:rsidR="00F8503D" w:rsidRDefault="00F8503D"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 xml:space="preserve">Da studi svolti nelle unità di terapia intensiva (ICU), è stato riscontrato che </w:t>
      </w:r>
      <w:r w:rsidRPr="001D7829">
        <w:rPr>
          <w:rFonts w:asciiTheme="minorHAnsi" w:hAnsiTheme="minorHAnsi"/>
          <w:b/>
          <w:bCs/>
          <w:color w:val="000000" w:themeColor="text1"/>
          <w:sz w:val="20"/>
          <w:szCs w:val="20"/>
        </w:rPr>
        <w:t>una temperatura elevata nei pazienti con infezione nelle prime 24 ore successive al ricovero era associata a un migliore risultato</w:t>
      </w:r>
      <w:r w:rsidRPr="001D7829">
        <w:rPr>
          <w:rFonts w:asciiTheme="minorHAnsi" w:hAnsiTheme="minorHAnsi"/>
          <w:color w:val="000000" w:themeColor="text1"/>
          <w:sz w:val="20"/>
          <w:szCs w:val="20"/>
        </w:rPr>
        <w:t xml:space="preserve"> rispetto alla normotermia o all'ipertermia superiore a 40°C e una temperatura tra 37,5°C e 39,4°C tendeva a dare un risultato migliore rispetto alla normotermia. </w:t>
      </w:r>
    </w:p>
    <w:p w:rsidR="001D7829" w:rsidRPr="001D7829" w:rsidRDefault="001D7829"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F8503D" w:rsidRPr="001D7829" w:rsidRDefault="00F8503D"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 xml:space="preserve">Nei pazienti anziani con polmonite acquisita in comunità, il tasso di mortalità osservato era significativamente più alto nei pazienti senza la febbre (29%) rispetto ai pazienti che sviluppavano una risposta febbrile (4%). Una temperatura maggiore di 38,2°C ha anche avuto un ruolo protettivo contro le infezioni fungine invasive. </w:t>
      </w:r>
    </w:p>
    <w:p w:rsidR="00F8503D" w:rsidRPr="001D7829" w:rsidRDefault="00F8503D"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F8503D" w:rsidRPr="001D7829" w:rsidRDefault="00F8503D"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 xml:space="preserve">La temperatura elevata può fornire protezione mediante diversi meccanismi. </w:t>
      </w:r>
    </w:p>
    <w:p w:rsidR="00F8503D" w:rsidRPr="001D7829" w:rsidRDefault="00F8503D"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lastRenderedPageBreak/>
        <w:t xml:space="preserve">In primo luogo, gli agenti patogeni infettivi umani spesso dimostrano una </w:t>
      </w:r>
      <w:r w:rsidRPr="001D7829">
        <w:rPr>
          <w:rFonts w:asciiTheme="minorHAnsi" w:hAnsiTheme="minorHAnsi"/>
          <w:b/>
          <w:bCs/>
          <w:color w:val="000000" w:themeColor="text1"/>
          <w:sz w:val="20"/>
          <w:szCs w:val="20"/>
        </w:rPr>
        <w:t>replicazione ottimale a temperature inferiori a 37°C</w:t>
      </w:r>
      <w:r w:rsidRPr="001D7829">
        <w:rPr>
          <w:rFonts w:asciiTheme="minorHAnsi" w:hAnsiTheme="minorHAnsi"/>
          <w:color w:val="000000" w:themeColor="text1"/>
          <w:sz w:val="20"/>
          <w:szCs w:val="20"/>
        </w:rPr>
        <w:t xml:space="preserve">; quindi in un organismo con la temperatura elevata viene inibita la replicazione. </w:t>
      </w:r>
    </w:p>
    <w:p w:rsidR="00F8503D" w:rsidRPr="001D7829" w:rsidRDefault="00F8503D"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Un aumento della temperatura è anche associato all’</w:t>
      </w:r>
      <w:r w:rsidRPr="001D7829">
        <w:rPr>
          <w:rFonts w:asciiTheme="minorHAnsi" w:hAnsiTheme="minorHAnsi"/>
          <w:b/>
          <w:bCs/>
          <w:color w:val="000000" w:themeColor="text1"/>
          <w:sz w:val="20"/>
          <w:szCs w:val="20"/>
        </w:rPr>
        <w:t xml:space="preserve">induzione dell'immunità innata </w:t>
      </w:r>
      <w:r w:rsidRPr="001D7829">
        <w:rPr>
          <w:rFonts w:asciiTheme="minorHAnsi" w:hAnsiTheme="minorHAnsi"/>
          <w:color w:val="000000" w:themeColor="text1"/>
          <w:sz w:val="20"/>
          <w:szCs w:val="20"/>
        </w:rPr>
        <w:t xml:space="preserve">associata a sua volta alla distruzione microbica. </w:t>
      </w:r>
    </w:p>
    <w:p w:rsidR="00F8503D" w:rsidRDefault="00F8503D"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 xml:space="preserve">È interessante notare che a temperature superiori a circa 40°C c’è nuovamente un aumento della mortalità, suggerendo che in questa fase gli effetti deleteri dell'ipertermia sull'organo e la funzione cellulare supera qualsiasi beneficio conferito da iperpiressia nella sepsi acuta. </w:t>
      </w:r>
    </w:p>
    <w:p w:rsidR="001D7829" w:rsidRPr="001D7829" w:rsidRDefault="001D7829"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F8503D" w:rsidRPr="001D7829" w:rsidRDefault="00F8503D"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 xml:space="preserve">In contrasto con la febbre in risposta alla sepsi, la febbre non pirogena non è in alcun modo benefica. </w:t>
      </w:r>
    </w:p>
    <w:p w:rsidR="00F8503D" w:rsidRPr="001D7829" w:rsidRDefault="00F8503D" w:rsidP="00F8503D">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Una temperatura di 37,5°C o superiore in qualsiasi momento durante l'ammissione in terapia intensiva tende a dare un risultato peggiore che diventa significativa a temperature più elevate di 38,5°C.</w:t>
      </w:r>
    </w:p>
    <w:p w:rsidR="00F8503D" w:rsidRPr="001D7829" w:rsidRDefault="00F8503D"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2B7F58" w:rsidRPr="001D7829" w:rsidRDefault="002B7F58" w:rsidP="001D2A46">
      <w:pPr>
        <w:tabs>
          <w:tab w:val="left" w:pos="6237"/>
          <w:tab w:val="left" w:pos="6946"/>
        </w:tabs>
        <w:rPr>
          <w:rFonts w:asciiTheme="minorHAnsi" w:hAnsiTheme="minorHAnsi"/>
          <w:color w:val="000000" w:themeColor="text1"/>
        </w:rPr>
      </w:pPr>
      <w:r w:rsidRPr="001D7829">
        <w:rPr>
          <w:rFonts w:asciiTheme="minorHAnsi" w:hAnsiTheme="minorHAnsi"/>
          <w:color w:val="000000" w:themeColor="text1"/>
        </w:rPr>
        <w:fldChar w:fldCharType="begin"/>
      </w:r>
      <w:r w:rsidRPr="001D7829">
        <w:rPr>
          <w:rFonts w:asciiTheme="minorHAnsi" w:hAnsiTheme="minorHAnsi"/>
          <w:color w:val="000000" w:themeColor="text1"/>
        </w:rPr>
        <w:instrText xml:space="preserve"> INCLUDEPICTURE "/var/folders/ry/zkbp25750px6mrgwpjggxk0m0000gn/T/com.microsoft.Word/WebArchiveCopyPasteTempFiles/page7image3605556128" \* MERGEFORMATINET </w:instrText>
      </w:r>
      <w:r w:rsidRPr="001D7829">
        <w:rPr>
          <w:rFonts w:asciiTheme="minorHAnsi" w:hAnsiTheme="minorHAnsi"/>
          <w:color w:val="000000" w:themeColor="text1"/>
        </w:rPr>
        <w:fldChar w:fldCharType="separate"/>
      </w:r>
      <w:r w:rsidRPr="001D7829">
        <w:rPr>
          <w:rFonts w:asciiTheme="minorHAnsi" w:hAnsiTheme="minorHAnsi"/>
          <w:noProof/>
          <w:color w:val="000000" w:themeColor="text1"/>
        </w:rPr>
        <w:drawing>
          <wp:inline distT="0" distB="0" distL="0" distR="0" wp14:anchorId="109B45C9" wp14:editId="2FD0DD5A">
            <wp:extent cx="3684007" cy="3122295"/>
            <wp:effectExtent l="0" t="0" r="0" b="1905"/>
            <wp:docPr id="50" name="Immagine 50" descr="page7image360555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7image36055561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9869" cy="3161164"/>
                    </a:xfrm>
                    <a:prstGeom prst="rect">
                      <a:avLst/>
                    </a:prstGeom>
                    <a:noFill/>
                    <a:ln>
                      <a:noFill/>
                    </a:ln>
                  </pic:spPr>
                </pic:pic>
              </a:graphicData>
            </a:graphic>
          </wp:inline>
        </w:drawing>
      </w:r>
      <w:r w:rsidRPr="001D7829">
        <w:rPr>
          <w:rFonts w:asciiTheme="minorHAnsi" w:hAnsiTheme="minorHAnsi"/>
          <w:color w:val="000000" w:themeColor="text1"/>
        </w:rPr>
        <w:fldChar w:fldCharType="end"/>
      </w:r>
      <w:r w:rsidRPr="001D7829">
        <w:rPr>
          <w:rFonts w:asciiTheme="minorHAnsi" w:hAnsiTheme="minorHAnsi"/>
          <w:noProof/>
          <w:color w:val="000000" w:themeColor="text1"/>
        </w:rPr>
        <w:drawing>
          <wp:inline distT="0" distB="0" distL="0" distR="0" wp14:anchorId="7AC89B69" wp14:editId="7CFF038D">
            <wp:extent cx="2392830" cy="3630706"/>
            <wp:effectExtent l="0" t="0" r="0" b="190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hermata 2020-05-14 alle 21.27.22.png"/>
                    <pic:cNvPicPr/>
                  </pic:nvPicPr>
                  <pic:blipFill>
                    <a:blip r:embed="rId80">
                      <a:extLst>
                        <a:ext uri="{28A0092B-C50C-407E-A947-70E740481C1C}">
                          <a14:useLocalDpi xmlns:a14="http://schemas.microsoft.com/office/drawing/2010/main" val="0"/>
                        </a:ext>
                      </a:extLst>
                    </a:blip>
                    <a:stretch>
                      <a:fillRect/>
                    </a:stretch>
                  </pic:blipFill>
                  <pic:spPr>
                    <a:xfrm>
                      <a:off x="0" y="0"/>
                      <a:ext cx="2433258" cy="3692049"/>
                    </a:xfrm>
                    <a:prstGeom prst="rect">
                      <a:avLst/>
                    </a:prstGeom>
                  </pic:spPr>
                </pic:pic>
              </a:graphicData>
            </a:graphic>
          </wp:inline>
        </w:drawing>
      </w:r>
    </w:p>
    <w:p w:rsidR="002B7F58" w:rsidRPr="001D7829" w:rsidRDefault="002B7F58" w:rsidP="001D7829">
      <w:pPr>
        <w:shd w:val="clear" w:color="auto" w:fill="F2F2F2" w:themeFill="background1" w:themeFillShade="F2"/>
        <w:rPr>
          <w:rFonts w:asciiTheme="minorHAnsi" w:hAnsiTheme="minorHAnsi"/>
          <w:color w:val="000000" w:themeColor="text1"/>
          <w:sz w:val="18"/>
          <w:szCs w:val="18"/>
        </w:rPr>
      </w:pPr>
      <w:r w:rsidRPr="001D7829">
        <w:rPr>
          <w:rFonts w:asciiTheme="minorHAnsi" w:hAnsiTheme="minorHAnsi" w:cstheme="minorHAnsi"/>
          <w:color w:val="000000" w:themeColor="text1"/>
          <w:sz w:val="18"/>
          <w:szCs w:val="18"/>
        </w:rPr>
        <w:t>Tratte</w:t>
      </w:r>
      <w:r w:rsidR="002F0DCF" w:rsidRPr="001D7829">
        <w:rPr>
          <w:rFonts w:asciiTheme="minorHAnsi" w:hAnsiTheme="minorHAnsi" w:cstheme="minorHAnsi"/>
          <w:color w:val="000000" w:themeColor="text1"/>
          <w:sz w:val="18"/>
          <w:szCs w:val="18"/>
        </w:rPr>
        <w:t xml:space="preserve"> </w:t>
      </w:r>
      <w:r w:rsidRPr="001D7829">
        <w:rPr>
          <w:rFonts w:asciiTheme="minorHAnsi" w:hAnsiTheme="minorHAnsi" w:cstheme="minorHAnsi"/>
          <w:color w:val="000000" w:themeColor="text1"/>
          <w:sz w:val="18"/>
          <w:szCs w:val="18"/>
        </w:rPr>
        <w:t xml:space="preserve">da </w:t>
      </w:r>
      <w:hyperlink r:id="rId81" w:history="1">
        <w:r w:rsidRPr="001D7829">
          <w:rPr>
            <w:rStyle w:val="Hyperlink"/>
            <w:rFonts w:asciiTheme="minorHAnsi" w:eastAsiaTheme="majorEastAsia" w:hAnsiTheme="minorHAnsi" w:cstheme="minorHAnsi"/>
            <w:color w:val="000000" w:themeColor="text1"/>
            <w:sz w:val="18"/>
            <w:szCs w:val="18"/>
            <w:u w:val="none"/>
          </w:rPr>
          <w:t>https://semmelweis.hu/belgyogyaszat3/files/2018/04/Patient-with-fever.pdf</w:t>
        </w:r>
      </w:hyperlink>
      <w:r w:rsidRPr="001D7829">
        <w:rPr>
          <w:rFonts w:asciiTheme="minorHAnsi" w:hAnsiTheme="minorHAnsi" w:cstheme="minorHAnsi"/>
          <w:color w:val="000000" w:themeColor="text1"/>
          <w:sz w:val="18"/>
          <w:szCs w:val="18"/>
        </w:rPr>
        <w:t xml:space="preserve">    </w:t>
      </w:r>
      <w:hyperlink r:id="rId82" w:history="1">
        <w:r w:rsidRPr="001D7829">
          <w:rPr>
            <w:rStyle w:val="Hyperlink"/>
            <w:rFonts w:asciiTheme="minorHAnsi" w:eastAsiaTheme="majorEastAsia" w:hAnsiTheme="minorHAnsi"/>
            <w:color w:val="000000" w:themeColor="text1"/>
            <w:sz w:val="18"/>
            <w:szCs w:val="18"/>
            <w:u w:val="none"/>
          </w:rPr>
          <w:t>https://jamanetwork.com/journals/jamainternalmedicine/fullarticle/209609</w:t>
        </w:r>
      </w:hyperlink>
    </w:p>
    <w:p w:rsidR="002B7F58" w:rsidRDefault="002B7F58" w:rsidP="001D2A46">
      <w:pPr>
        <w:rPr>
          <w:rFonts w:asciiTheme="minorHAnsi" w:hAnsiTheme="minorHAnsi" w:cstheme="minorHAnsi"/>
          <w:color w:val="000000" w:themeColor="text1"/>
          <w:sz w:val="16"/>
          <w:szCs w:val="16"/>
        </w:rPr>
      </w:pPr>
    </w:p>
    <w:p w:rsidR="001D7829" w:rsidRPr="001D7829" w:rsidRDefault="001D7829" w:rsidP="001D2A46">
      <w:pPr>
        <w:rPr>
          <w:rFonts w:asciiTheme="minorHAnsi" w:hAnsiTheme="minorHAnsi" w:cstheme="minorHAnsi"/>
          <w:color w:val="000000" w:themeColor="text1"/>
          <w:sz w:val="16"/>
          <w:szCs w:val="16"/>
        </w:rPr>
      </w:pPr>
    </w:p>
    <w:p w:rsidR="002B7F58" w:rsidRDefault="002B7F58" w:rsidP="001D7829">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r w:rsidRPr="001D7829">
        <w:rPr>
          <w:rFonts w:asciiTheme="minorHAnsi" w:hAnsiTheme="minorHAnsi"/>
          <w:color w:val="000000" w:themeColor="text1"/>
          <w:sz w:val="20"/>
          <w:szCs w:val="20"/>
        </w:rPr>
        <w:t xml:space="preserve">Ne segue quindi che la valutazione dell’andamento della febbre nel corso dell’infezione da SARS-Cov-2 e del COVID-19 nelle sue complicazioni gravi, permette di comprendere lo stadio e il livello di gravità e d’intervenire con un approccio terapeutico più mirato. </w:t>
      </w: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1D7829" w:rsidRPr="001D7829" w:rsidRDefault="001D7829" w:rsidP="001D2A46">
      <w:pPr>
        <w:pStyle w:val="NormalWeb"/>
        <w:tabs>
          <w:tab w:val="left" w:pos="284"/>
        </w:tabs>
        <w:spacing w:before="0" w:beforeAutospacing="0" w:after="0" w:afterAutospacing="0"/>
        <w:jc w:val="both"/>
        <w:textAlignment w:val="baseline"/>
        <w:rPr>
          <w:rFonts w:asciiTheme="minorHAnsi" w:hAnsiTheme="minorHAnsi"/>
          <w:color w:val="000000" w:themeColor="text1"/>
          <w:sz w:val="20"/>
          <w:szCs w:val="20"/>
        </w:rPr>
      </w:pPr>
    </w:p>
    <w:p w:rsidR="00594092" w:rsidRPr="001D7829" w:rsidRDefault="00594092" w:rsidP="00477714">
      <w:pPr>
        <w:pStyle w:val="NormalWeb"/>
        <w:tabs>
          <w:tab w:val="left" w:pos="284"/>
        </w:tabs>
        <w:spacing w:before="0" w:beforeAutospacing="0" w:after="0" w:afterAutospacing="0"/>
        <w:jc w:val="both"/>
        <w:textAlignment w:val="baseline"/>
        <w:rPr>
          <w:rFonts w:asciiTheme="minorHAnsi" w:hAnsiTheme="minorHAnsi"/>
          <w:b/>
          <w:bCs/>
          <w:color w:val="000000" w:themeColor="text1"/>
          <w:sz w:val="20"/>
          <w:szCs w:val="20"/>
        </w:rPr>
      </w:pPr>
    </w:p>
    <w:p w:rsidR="00910431" w:rsidRPr="001D7829" w:rsidRDefault="00910431" w:rsidP="001D7829">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tabs>
          <w:tab w:val="left" w:pos="284"/>
        </w:tabs>
        <w:spacing w:before="0" w:beforeAutospacing="0" w:after="0" w:afterAutospacing="0"/>
        <w:ind w:left="426" w:right="276"/>
        <w:jc w:val="both"/>
        <w:textAlignment w:val="baseline"/>
        <w:rPr>
          <w:rFonts w:asciiTheme="minorHAnsi" w:hAnsiTheme="minorHAnsi"/>
          <w:i/>
          <w:iCs/>
          <w:color w:val="000000" w:themeColor="text1"/>
          <w:sz w:val="18"/>
          <w:szCs w:val="18"/>
        </w:rPr>
      </w:pPr>
    </w:p>
    <w:p w:rsidR="00594092" w:rsidRPr="001D7829" w:rsidRDefault="00594092" w:rsidP="001D7829">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tabs>
          <w:tab w:val="left" w:pos="284"/>
        </w:tabs>
        <w:spacing w:before="0" w:beforeAutospacing="0" w:after="0" w:afterAutospacing="0"/>
        <w:ind w:left="426" w:right="276"/>
        <w:jc w:val="both"/>
        <w:textAlignment w:val="baseline"/>
        <w:rPr>
          <w:rFonts w:asciiTheme="minorHAnsi" w:hAnsiTheme="minorHAnsi"/>
          <w:b/>
          <w:bCs/>
          <w:i/>
          <w:iCs/>
          <w:color w:val="000000" w:themeColor="text1"/>
          <w:sz w:val="18"/>
          <w:szCs w:val="18"/>
        </w:rPr>
      </w:pPr>
      <w:r w:rsidRPr="001D7829">
        <w:rPr>
          <w:rFonts w:asciiTheme="minorHAnsi" w:hAnsiTheme="minorHAnsi"/>
          <w:i/>
          <w:iCs/>
          <w:color w:val="000000" w:themeColor="text1"/>
          <w:sz w:val="18"/>
          <w:szCs w:val="18"/>
        </w:rPr>
        <w:t xml:space="preserve">Come si può vedere dalla tabella sottostante, i </w:t>
      </w:r>
      <w:r w:rsidRPr="001D7829">
        <w:rPr>
          <w:rFonts w:asciiTheme="minorHAnsi" w:hAnsiTheme="minorHAnsi"/>
          <w:i/>
          <w:iCs/>
          <w:color w:val="000000" w:themeColor="text1"/>
          <w:sz w:val="18"/>
          <w:szCs w:val="18"/>
          <w:u w:val="single"/>
        </w:rPr>
        <w:t>pazienti sintomatici moderati</w:t>
      </w:r>
      <w:r w:rsidRPr="001D7829">
        <w:rPr>
          <w:rFonts w:asciiTheme="minorHAnsi" w:hAnsiTheme="minorHAnsi"/>
          <w:i/>
          <w:iCs/>
          <w:color w:val="000000" w:themeColor="text1"/>
          <w:sz w:val="18"/>
          <w:szCs w:val="18"/>
        </w:rPr>
        <w:t xml:space="preserve"> o all’inizio del ricovero hanno una temperatura di circa </w:t>
      </w:r>
      <w:r w:rsidRPr="001D7829">
        <w:rPr>
          <w:rFonts w:asciiTheme="minorHAnsi" w:hAnsiTheme="minorHAnsi"/>
          <w:b/>
          <w:bCs/>
          <w:i/>
          <w:iCs/>
          <w:color w:val="000000" w:themeColor="text1"/>
          <w:sz w:val="18"/>
          <w:szCs w:val="18"/>
        </w:rPr>
        <w:t>37.5 °C</w:t>
      </w:r>
      <w:r w:rsidRPr="001D7829">
        <w:rPr>
          <w:rFonts w:asciiTheme="minorHAnsi" w:hAnsiTheme="minorHAnsi"/>
          <w:i/>
          <w:iCs/>
          <w:color w:val="000000" w:themeColor="text1"/>
          <w:sz w:val="18"/>
          <w:szCs w:val="18"/>
        </w:rPr>
        <w:t>, mentre con l’</w:t>
      </w:r>
      <w:r w:rsidRPr="001D7829">
        <w:rPr>
          <w:rFonts w:asciiTheme="minorHAnsi" w:hAnsiTheme="minorHAnsi"/>
          <w:i/>
          <w:iCs/>
          <w:color w:val="000000" w:themeColor="text1"/>
          <w:sz w:val="18"/>
          <w:szCs w:val="18"/>
          <w:u w:val="single"/>
        </w:rPr>
        <w:t>aggravamento</w:t>
      </w:r>
      <w:r w:rsidRPr="001D7829">
        <w:rPr>
          <w:rFonts w:asciiTheme="minorHAnsi" w:hAnsiTheme="minorHAnsi"/>
          <w:i/>
          <w:iCs/>
          <w:color w:val="000000" w:themeColor="text1"/>
          <w:sz w:val="18"/>
          <w:szCs w:val="18"/>
        </w:rPr>
        <w:t xml:space="preserve"> la temperatura media durante la degenza ospedaliera </w:t>
      </w:r>
      <w:r w:rsidRPr="001D7829">
        <w:rPr>
          <w:rFonts w:asciiTheme="minorHAnsi" w:hAnsiTheme="minorHAnsi"/>
          <w:b/>
          <w:bCs/>
          <w:i/>
          <w:iCs/>
          <w:color w:val="000000" w:themeColor="text1"/>
          <w:sz w:val="18"/>
          <w:szCs w:val="18"/>
        </w:rPr>
        <w:t xml:space="preserve">supera i 38°C </w:t>
      </w:r>
    </w:p>
    <w:p w:rsidR="0061161D" w:rsidRPr="001D7829" w:rsidRDefault="0061161D" w:rsidP="001D7829">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tabs>
          <w:tab w:val="left" w:pos="284"/>
        </w:tabs>
        <w:spacing w:before="0" w:beforeAutospacing="0" w:after="0" w:afterAutospacing="0"/>
        <w:ind w:left="426" w:right="276"/>
        <w:jc w:val="both"/>
        <w:textAlignment w:val="baseline"/>
        <w:rPr>
          <w:rFonts w:asciiTheme="minorHAnsi" w:hAnsiTheme="minorHAnsi"/>
          <w:b/>
          <w:bCs/>
          <w:i/>
          <w:iCs/>
          <w:color w:val="000000" w:themeColor="text1"/>
          <w:sz w:val="18"/>
          <w:szCs w:val="18"/>
        </w:rPr>
      </w:pPr>
    </w:p>
    <w:p w:rsidR="00910431" w:rsidRPr="001D7829" w:rsidRDefault="00910431" w:rsidP="001D7829">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tabs>
          <w:tab w:val="left" w:pos="284"/>
        </w:tabs>
        <w:spacing w:before="0" w:beforeAutospacing="0" w:after="0" w:afterAutospacing="0"/>
        <w:ind w:left="426" w:right="276"/>
        <w:jc w:val="both"/>
        <w:textAlignment w:val="baseline"/>
        <w:rPr>
          <w:rFonts w:asciiTheme="minorHAnsi" w:hAnsiTheme="minorHAnsi"/>
          <w:b/>
          <w:bCs/>
          <w:i/>
          <w:iCs/>
          <w:color w:val="000000" w:themeColor="text1"/>
          <w:sz w:val="18"/>
          <w:szCs w:val="18"/>
        </w:rPr>
      </w:pPr>
      <w:r w:rsidRPr="001D7829">
        <w:rPr>
          <w:rFonts w:asciiTheme="minorHAnsi" w:hAnsiTheme="minorHAnsi"/>
          <w:i/>
          <w:iCs/>
          <w:color w:val="000000" w:themeColor="text1"/>
          <w:sz w:val="18"/>
          <w:szCs w:val="18"/>
        </w:rPr>
        <w:t xml:space="preserve">• I migliori dati ad oggi disponibili suggeriscono che </w:t>
      </w:r>
      <w:r w:rsidRPr="001D7829">
        <w:rPr>
          <w:rFonts w:asciiTheme="minorHAnsi" w:hAnsiTheme="minorHAnsi"/>
          <w:b/>
          <w:bCs/>
          <w:i/>
          <w:iCs/>
          <w:color w:val="000000" w:themeColor="text1"/>
          <w:sz w:val="18"/>
          <w:szCs w:val="18"/>
        </w:rPr>
        <w:t>solo il 30-50% circa dei pazienti è febbrile al momento del ricovero</w:t>
      </w:r>
      <w:r w:rsidR="0061161D" w:rsidRPr="001D7829">
        <w:rPr>
          <w:rFonts w:asciiTheme="minorHAnsi" w:hAnsiTheme="minorHAnsi"/>
          <w:b/>
          <w:bCs/>
          <w:i/>
          <w:iCs/>
          <w:color w:val="000000" w:themeColor="text1"/>
          <w:sz w:val="18"/>
          <w:szCs w:val="18"/>
        </w:rPr>
        <w:t xml:space="preserve"> </w:t>
      </w:r>
      <w:r w:rsidRPr="001D7829">
        <w:rPr>
          <w:rStyle w:val="FootnoteReference"/>
          <w:rFonts w:asciiTheme="minorHAnsi" w:hAnsiTheme="minorHAnsi"/>
          <w:i/>
          <w:iCs/>
          <w:color w:val="000000" w:themeColor="text1"/>
          <w:sz w:val="18"/>
          <w:szCs w:val="18"/>
        </w:rPr>
        <w:footnoteReference w:id="62"/>
      </w:r>
    </w:p>
    <w:p w:rsidR="00910431" w:rsidRPr="001D7829" w:rsidRDefault="00910431" w:rsidP="001D7829">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tabs>
          <w:tab w:val="left" w:pos="284"/>
        </w:tabs>
        <w:spacing w:before="0" w:beforeAutospacing="0" w:after="0" w:afterAutospacing="0"/>
        <w:ind w:left="426" w:right="276"/>
        <w:jc w:val="both"/>
        <w:textAlignment w:val="baseline"/>
        <w:rPr>
          <w:rFonts w:asciiTheme="minorHAnsi" w:hAnsiTheme="minorHAnsi"/>
          <w:b/>
          <w:bCs/>
          <w:i/>
          <w:iCs/>
          <w:color w:val="000000" w:themeColor="text1"/>
          <w:sz w:val="18"/>
          <w:szCs w:val="18"/>
        </w:rPr>
      </w:pPr>
      <w:r w:rsidRPr="001D7829">
        <w:rPr>
          <w:rFonts w:asciiTheme="minorHAnsi" w:hAnsiTheme="minorHAnsi"/>
          <w:i/>
          <w:iCs/>
          <w:color w:val="000000" w:themeColor="text1"/>
          <w:sz w:val="18"/>
          <w:szCs w:val="18"/>
        </w:rPr>
        <w:t xml:space="preserve">• </w:t>
      </w:r>
      <w:r w:rsidRPr="001D7829">
        <w:rPr>
          <w:rFonts w:asciiTheme="minorHAnsi" w:hAnsiTheme="minorHAnsi"/>
          <w:b/>
          <w:bCs/>
          <w:i/>
          <w:iCs/>
          <w:color w:val="000000" w:themeColor="text1"/>
          <w:sz w:val="18"/>
          <w:szCs w:val="18"/>
        </w:rPr>
        <w:t>L'assenza di febbre non esclude l’infezione acuta da COVID-19.</w:t>
      </w:r>
    </w:p>
    <w:p w:rsidR="0061161D" w:rsidRPr="001D7829" w:rsidRDefault="0061161D" w:rsidP="001D7829">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tabs>
          <w:tab w:val="left" w:pos="284"/>
        </w:tabs>
        <w:spacing w:before="0" w:beforeAutospacing="0" w:after="0" w:afterAutospacing="0"/>
        <w:ind w:left="426" w:right="276"/>
        <w:jc w:val="both"/>
        <w:textAlignment w:val="baseline"/>
        <w:rPr>
          <w:rFonts w:asciiTheme="minorHAnsi" w:hAnsiTheme="minorHAnsi"/>
          <w:b/>
          <w:bCs/>
          <w:i/>
          <w:iCs/>
          <w:color w:val="000000" w:themeColor="text1"/>
          <w:sz w:val="18"/>
          <w:szCs w:val="18"/>
        </w:rPr>
      </w:pPr>
    </w:p>
    <w:p w:rsidR="00910431" w:rsidRPr="001D7829" w:rsidRDefault="00910431" w:rsidP="00910431">
      <w:pPr>
        <w:pStyle w:val="NormalWeb"/>
        <w:tabs>
          <w:tab w:val="left" w:pos="284"/>
        </w:tabs>
        <w:spacing w:before="0" w:beforeAutospacing="0" w:after="0" w:afterAutospacing="0"/>
        <w:ind w:left="426" w:right="276"/>
        <w:jc w:val="both"/>
        <w:textAlignment w:val="baseline"/>
        <w:rPr>
          <w:rFonts w:asciiTheme="minorHAnsi" w:hAnsiTheme="minorHAnsi"/>
          <w:i/>
          <w:iCs/>
          <w:color w:val="000000" w:themeColor="text1"/>
          <w:sz w:val="18"/>
          <w:szCs w:val="18"/>
        </w:rPr>
      </w:pPr>
    </w:p>
    <w:p w:rsidR="00910431" w:rsidRPr="001D7829" w:rsidRDefault="00910431" w:rsidP="00910431">
      <w:pPr>
        <w:pStyle w:val="NormalWeb"/>
        <w:tabs>
          <w:tab w:val="left" w:pos="284"/>
        </w:tabs>
        <w:spacing w:before="0" w:beforeAutospacing="0" w:after="0" w:afterAutospacing="0"/>
        <w:ind w:left="426" w:right="276"/>
        <w:jc w:val="both"/>
        <w:textAlignment w:val="baseline"/>
        <w:rPr>
          <w:rFonts w:asciiTheme="minorHAnsi" w:hAnsiTheme="minorHAnsi"/>
          <w:i/>
          <w:iCs/>
          <w:color w:val="000000" w:themeColor="text1"/>
          <w:sz w:val="18"/>
          <w:szCs w:val="18"/>
        </w:rPr>
      </w:pPr>
    </w:p>
    <w:p w:rsidR="002B7F58" w:rsidRDefault="00AC17FA" w:rsidP="0061161D">
      <w:pPr>
        <w:pStyle w:val="NormalWeb"/>
        <w:tabs>
          <w:tab w:val="left" w:pos="284"/>
        </w:tabs>
        <w:spacing w:before="0" w:beforeAutospacing="0" w:after="0" w:afterAutospacing="0"/>
        <w:textAlignment w:val="baseline"/>
        <w:rPr>
          <w:rFonts w:asciiTheme="minorHAnsi" w:hAnsiTheme="minorHAnsi"/>
          <w:color w:val="000000" w:themeColor="text1"/>
        </w:rPr>
      </w:pPr>
      <w:r w:rsidRPr="001D7829">
        <w:rPr>
          <w:rFonts w:asciiTheme="minorHAnsi" w:hAnsiTheme="minorHAnsi"/>
          <w:noProof/>
          <w:color w:val="000000" w:themeColor="text1"/>
        </w:rPr>
        <w:drawing>
          <wp:inline distT="0" distB="0" distL="0" distR="0" wp14:anchorId="2601687F" wp14:editId="1F1291ED">
            <wp:extent cx="6116320" cy="516890"/>
            <wp:effectExtent l="0" t="0" r="5080" b="381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ta 2020-05-23 alle 13.22.49.png"/>
                    <pic:cNvPicPr/>
                  </pic:nvPicPr>
                  <pic:blipFill>
                    <a:blip r:embed="rId83">
                      <a:extLst>
                        <a:ext uri="{28A0092B-C50C-407E-A947-70E740481C1C}">
                          <a14:useLocalDpi xmlns:a14="http://schemas.microsoft.com/office/drawing/2010/main" val="0"/>
                        </a:ext>
                      </a:extLst>
                    </a:blip>
                    <a:stretch>
                      <a:fillRect/>
                    </a:stretch>
                  </pic:blipFill>
                  <pic:spPr>
                    <a:xfrm>
                      <a:off x="0" y="0"/>
                      <a:ext cx="6116320" cy="516890"/>
                    </a:xfrm>
                    <a:prstGeom prst="rect">
                      <a:avLst/>
                    </a:prstGeom>
                  </pic:spPr>
                </pic:pic>
              </a:graphicData>
            </a:graphic>
          </wp:inline>
        </w:drawing>
      </w:r>
      <w:r w:rsidRPr="001D7829">
        <w:rPr>
          <w:rFonts w:asciiTheme="minorHAnsi" w:hAnsiTheme="minorHAnsi"/>
          <w:noProof/>
          <w:color w:val="000000" w:themeColor="text1"/>
        </w:rPr>
        <w:drawing>
          <wp:inline distT="0" distB="0" distL="0" distR="0">
            <wp:extent cx="6116320" cy="2042160"/>
            <wp:effectExtent l="0" t="0" r="5080" b="254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rmata 2020-05-23 alle 13.18.52.png"/>
                    <pic:cNvPicPr/>
                  </pic:nvPicPr>
                  <pic:blipFill>
                    <a:blip r:embed="rId84">
                      <a:extLst>
                        <a:ext uri="{28A0092B-C50C-407E-A947-70E740481C1C}">
                          <a14:useLocalDpi xmlns:a14="http://schemas.microsoft.com/office/drawing/2010/main" val="0"/>
                        </a:ext>
                      </a:extLst>
                    </a:blip>
                    <a:stretch>
                      <a:fillRect/>
                    </a:stretch>
                  </pic:blipFill>
                  <pic:spPr>
                    <a:xfrm>
                      <a:off x="0" y="0"/>
                      <a:ext cx="6116320" cy="2042160"/>
                    </a:xfrm>
                    <a:prstGeom prst="rect">
                      <a:avLst/>
                    </a:prstGeom>
                  </pic:spPr>
                </pic:pic>
              </a:graphicData>
            </a:graphic>
          </wp:inline>
        </w:drawing>
      </w:r>
    </w:p>
    <w:p w:rsidR="00110FC0" w:rsidRPr="001D7829" w:rsidRDefault="00110FC0" w:rsidP="0061161D">
      <w:pPr>
        <w:pStyle w:val="NormalWeb"/>
        <w:tabs>
          <w:tab w:val="left" w:pos="284"/>
        </w:tabs>
        <w:spacing w:before="0" w:beforeAutospacing="0" w:after="0" w:afterAutospacing="0"/>
        <w:textAlignment w:val="baseline"/>
        <w:rPr>
          <w:rFonts w:asciiTheme="minorHAnsi" w:hAnsiTheme="minorHAnsi"/>
          <w:color w:val="000000" w:themeColor="text1"/>
        </w:rPr>
      </w:pPr>
    </w:p>
    <w:p w:rsidR="002B7F58" w:rsidRPr="001D7829" w:rsidRDefault="00AC17FA" w:rsidP="001D7829">
      <w:pPr>
        <w:shd w:val="clear" w:color="auto" w:fill="F2F2F2" w:themeFill="background1" w:themeFillShade="F2"/>
        <w:jc w:val="both"/>
        <w:rPr>
          <w:rFonts w:asciiTheme="minorHAnsi" w:hAnsiTheme="minorHAnsi" w:cstheme="minorHAnsi"/>
          <w:color w:val="000000" w:themeColor="text1"/>
          <w:sz w:val="18"/>
          <w:szCs w:val="18"/>
        </w:rPr>
      </w:pPr>
      <w:r w:rsidRPr="001D7829">
        <w:rPr>
          <w:rFonts w:asciiTheme="minorHAnsi" w:hAnsiTheme="minorHAnsi" w:cstheme="minorHAnsi"/>
          <w:color w:val="000000" w:themeColor="text1"/>
          <w:sz w:val="18"/>
          <w:szCs w:val="18"/>
        </w:rPr>
        <w:t xml:space="preserve"> Tratta da https://www.nejm.org/doi/full/10.1056/NEJMoa2002032</w:t>
      </w:r>
    </w:p>
    <w:p w:rsidR="002B7F58" w:rsidRPr="001D7829" w:rsidRDefault="002B7F58" w:rsidP="002B7F58">
      <w:pPr>
        <w:jc w:val="both"/>
        <w:rPr>
          <w:rFonts w:asciiTheme="minorHAnsi" w:hAnsiTheme="minorHAnsi" w:cstheme="minorHAnsi"/>
          <w:b/>
          <w:color w:val="000000" w:themeColor="text1"/>
        </w:rPr>
      </w:pPr>
    </w:p>
    <w:p w:rsidR="00AC17FA" w:rsidRDefault="00AC17FA" w:rsidP="002F0DCF">
      <w:pPr>
        <w:pStyle w:val="Heading2"/>
        <w:jc w:val="center"/>
        <w:rPr>
          <w:rFonts w:asciiTheme="minorHAnsi" w:hAnsiTheme="minorHAnsi" w:cstheme="minorHAnsi"/>
          <w:b/>
          <w:color w:val="000000" w:themeColor="text1"/>
          <w:sz w:val="24"/>
          <w:szCs w:val="24"/>
        </w:rPr>
      </w:pPr>
    </w:p>
    <w:p w:rsidR="001D7829" w:rsidRDefault="001D7829" w:rsidP="001D7829"/>
    <w:p w:rsidR="001D7829" w:rsidRDefault="001D7829" w:rsidP="001D7829"/>
    <w:p w:rsidR="001D7829" w:rsidRDefault="001D7829" w:rsidP="001D7829"/>
    <w:p w:rsidR="001D7829" w:rsidRDefault="001D7829" w:rsidP="001D7829"/>
    <w:p w:rsidR="001D7829" w:rsidRDefault="001D7829" w:rsidP="001D7829"/>
    <w:p w:rsidR="002B7F58" w:rsidRPr="00717D4D" w:rsidRDefault="008E1123" w:rsidP="002F0DCF">
      <w:pPr>
        <w:pStyle w:val="Heading2"/>
        <w:jc w:val="center"/>
        <w:rPr>
          <w:rFonts w:asciiTheme="minorHAnsi" w:hAnsiTheme="minorHAnsi" w:cstheme="minorHAnsi"/>
          <w:b/>
          <w:sz w:val="24"/>
          <w:szCs w:val="24"/>
        </w:rPr>
      </w:pPr>
      <w:bookmarkStart w:id="50" w:name="_Toc43342384"/>
      <w:r w:rsidRPr="00717D4D">
        <w:rPr>
          <w:rFonts w:asciiTheme="minorHAnsi" w:hAnsiTheme="minorHAnsi" w:cstheme="minorHAnsi"/>
          <w:b/>
          <w:color w:val="000000" w:themeColor="text1"/>
          <w:sz w:val="24"/>
          <w:szCs w:val="24"/>
        </w:rPr>
        <w:lastRenderedPageBreak/>
        <w:t>SINTOMATOLOGIA DELLA TEMPESTA DI CITOCHINE</w:t>
      </w:r>
      <w:bookmarkEnd w:id="50"/>
    </w:p>
    <w:p w:rsidR="002B7F58" w:rsidRPr="00717D4D" w:rsidRDefault="002B7F58" w:rsidP="002B7F58">
      <w:pPr>
        <w:shd w:val="clear" w:color="auto" w:fill="FFFFFF"/>
        <w:rPr>
          <w:rFonts w:asciiTheme="minorHAnsi" w:hAnsiTheme="minorHAnsi" w:cs="Arial"/>
          <w:color w:val="1C1D1E"/>
          <w:sz w:val="16"/>
          <w:szCs w:val="16"/>
        </w:rPr>
      </w:pPr>
    </w:p>
    <w:p w:rsidR="002B7F58" w:rsidRPr="00F8503D" w:rsidRDefault="002B7F58" w:rsidP="002B7F58">
      <w:pPr>
        <w:shd w:val="clear" w:color="auto" w:fill="FFFFFF"/>
        <w:jc w:val="both"/>
        <w:rPr>
          <w:rFonts w:asciiTheme="minorHAnsi" w:hAnsiTheme="minorHAnsi" w:cstheme="minorHAnsi"/>
          <w:color w:val="000000" w:themeColor="text1"/>
          <w:sz w:val="20"/>
          <w:szCs w:val="20"/>
        </w:rPr>
      </w:pPr>
      <w:r w:rsidRPr="00F8503D">
        <w:rPr>
          <w:rFonts w:asciiTheme="minorHAnsi" w:hAnsiTheme="minorHAnsi" w:cs="Arial"/>
          <w:color w:val="1C1D1E"/>
          <w:sz w:val="20"/>
          <w:szCs w:val="20"/>
        </w:rPr>
        <w:t>Prima di entrare nel dettaglio della sintomatologia del COVID-19 è utile riepilogare le differenze e le similarità tra il COVID-19 e i coronavirus umani stagionali e gli altri due coronavirus animali che hanno fatto il salto di specie (SARS-Cov-1 e MERS).</w:t>
      </w:r>
      <w:r w:rsidR="00133144" w:rsidRPr="00F8503D">
        <w:rPr>
          <w:rStyle w:val="FootnoteReference"/>
          <w:rFonts w:asciiTheme="minorHAnsi" w:hAnsiTheme="minorHAnsi" w:cstheme="minorHAnsi"/>
          <w:color w:val="000000" w:themeColor="text1"/>
          <w:sz w:val="20"/>
          <w:szCs w:val="20"/>
        </w:rPr>
        <w:t xml:space="preserve"> </w:t>
      </w:r>
      <w:r w:rsidR="00133144" w:rsidRPr="00F8503D">
        <w:rPr>
          <w:rStyle w:val="FootnoteReference"/>
          <w:rFonts w:asciiTheme="minorHAnsi" w:hAnsiTheme="minorHAnsi" w:cstheme="minorHAnsi"/>
          <w:color w:val="000000" w:themeColor="text1"/>
          <w:sz w:val="20"/>
          <w:szCs w:val="20"/>
        </w:rPr>
        <w:footnoteReference w:id="63"/>
      </w:r>
      <w:r w:rsidR="00133144" w:rsidRPr="00F8503D">
        <w:rPr>
          <w:rFonts w:asciiTheme="minorHAnsi" w:hAnsiTheme="minorHAnsi" w:cstheme="minorHAnsi"/>
          <w:color w:val="000000" w:themeColor="text1"/>
          <w:sz w:val="20"/>
          <w:szCs w:val="20"/>
        </w:rPr>
        <w:t xml:space="preserve"> </w:t>
      </w:r>
    </w:p>
    <w:p w:rsidR="00E81725" w:rsidRPr="00F8503D" w:rsidRDefault="00E81725" w:rsidP="002B7F58">
      <w:pPr>
        <w:shd w:val="clear" w:color="auto" w:fill="FFFFFF"/>
        <w:jc w:val="both"/>
        <w:rPr>
          <w:rFonts w:asciiTheme="minorHAnsi" w:hAnsiTheme="minorHAnsi" w:cs="Arial"/>
          <w:color w:val="1C1D1E"/>
          <w:sz w:val="20"/>
          <w:szCs w:val="20"/>
        </w:rPr>
      </w:pPr>
    </w:p>
    <w:p w:rsidR="002B7F58" w:rsidRDefault="002B7F58" w:rsidP="002B7F58">
      <w:pPr>
        <w:shd w:val="clear" w:color="auto" w:fill="FFFFFF"/>
        <w:jc w:val="both"/>
        <w:rPr>
          <w:rFonts w:asciiTheme="minorHAnsi" w:hAnsiTheme="minorHAnsi" w:cs="Arial"/>
          <w:color w:val="1C1D1E"/>
          <w:sz w:val="20"/>
          <w:szCs w:val="20"/>
        </w:rPr>
      </w:pPr>
      <w:r w:rsidRPr="00F8503D">
        <w:rPr>
          <w:rFonts w:asciiTheme="minorHAnsi" w:hAnsiTheme="minorHAnsi" w:cs="Arial"/>
          <w:color w:val="1C1D1E"/>
          <w:sz w:val="20"/>
          <w:szCs w:val="20"/>
        </w:rPr>
        <w:t xml:space="preserve">I coronavirus sono patogeni animali ad alta prevalenza con un ampio </w:t>
      </w:r>
      <w:r w:rsidR="00133144" w:rsidRPr="00F8503D">
        <w:rPr>
          <w:rFonts w:asciiTheme="minorHAnsi" w:hAnsiTheme="minorHAnsi" w:cs="Arial"/>
          <w:color w:val="1C1D1E"/>
          <w:sz w:val="20"/>
          <w:szCs w:val="20"/>
        </w:rPr>
        <w:t xml:space="preserve">spettro </w:t>
      </w:r>
      <w:r w:rsidRPr="00F8503D">
        <w:rPr>
          <w:rFonts w:asciiTheme="minorHAnsi" w:hAnsiTheme="minorHAnsi" w:cs="Arial"/>
          <w:color w:val="1C1D1E"/>
          <w:sz w:val="20"/>
          <w:szCs w:val="20"/>
        </w:rPr>
        <w:t>di ospiti. Complessivamente, sono note migliaia di specie di coronavirus</w:t>
      </w:r>
      <w:r w:rsidR="00E81725" w:rsidRPr="00F8503D">
        <w:rPr>
          <w:rFonts w:asciiTheme="minorHAnsi" w:hAnsiTheme="minorHAnsi" w:cs="Arial"/>
          <w:color w:val="1C1D1E"/>
          <w:sz w:val="20"/>
          <w:szCs w:val="20"/>
        </w:rPr>
        <w:t xml:space="preserve"> </w:t>
      </w:r>
      <w:r w:rsidR="00E81725" w:rsidRPr="00F8503D">
        <w:rPr>
          <w:rFonts w:asciiTheme="minorHAnsi" w:hAnsiTheme="minorHAnsi" w:cs="Arial"/>
          <w:color w:val="C00000"/>
          <w:sz w:val="20"/>
          <w:szCs w:val="20"/>
          <w:vertAlign w:val="superscript"/>
        </w:rPr>
        <w:t>[1]</w:t>
      </w:r>
      <w:r w:rsidRPr="00F8503D">
        <w:rPr>
          <w:rFonts w:asciiTheme="minorHAnsi" w:hAnsiTheme="minorHAnsi" w:cs="Arial"/>
          <w:color w:val="1C1D1E"/>
          <w:sz w:val="20"/>
          <w:szCs w:val="20"/>
        </w:rPr>
        <w:t>. Attualmente, sette CoV sono riconosciuti come patogeni umani. La famiglia de</w:t>
      </w:r>
      <w:r w:rsidR="00133144" w:rsidRPr="00F8503D">
        <w:rPr>
          <w:rFonts w:asciiTheme="minorHAnsi" w:hAnsiTheme="minorHAnsi" w:cs="Arial"/>
          <w:color w:val="1C1D1E"/>
          <w:sz w:val="20"/>
          <w:szCs w:val="20"/>
        </w:rPr>
        <w:t xml:space="preserve">i </w:t>
      </w:r>
      <w:r w:rsidRPr="00F8503D">
        <w:rPr>
          <w:rFonts w:asciiTheme="minorHAnsi" w:hAnsiTheme="minorHAnsi" w:cs="Arial"/>
          <w:color w:val="1C1D1E"/>
          <w:sz w:val="20"/>
          <w:szCs w:val="20"/>
        </w:rPr>
        <w:t>Coronaviridae è divisa in due sottofamiglie</w:t>
      </w:r>
      <w:r w:rsidRPr="00F8503D">
        <w:rPr>
          <w:rFonts w:asciiTheme="minorHAnsi" w:hAnsiTheme="minorHAnsi" w:cs="Arial"/>
          <w:b/>
          <w:bCs/>
          <w:color w:val="1C1D1E"/>
          <w:sz w:val="20"/>
          <w:szCs w:val="20"/>
        </w:rPr>
        <w:t>: Coronavirinae</w:t>
      </w:r>
      <w:r w:rsidRPr="00F8503D">
        <w:rPr>
          <w:rFonts w:asciiTheme="minorHAnsi" w:hAnsiTheme="minorHAnsi" w:cs="Arial"/>
          <w:color w:val="1C1D1E"/>
          <w:sz w:val="20"/>
          <w:szCs w:val="20"/>
        </w:rPr>
        <w:t xml:space="preserve"> e </w:t>
      </w:r>
      <w:r w:rsidRPr="00F8503D">
        <w:rPr>
          <w:rFonts w:asciiTheme="minorHAnsi" w:hAnsiTheme="minorHAnsi" w:cs="Arial"/>
          <w:b/>
          <w:bCs/>
          <w:color w:val="1C1D1E"/>
          <w:sz w:val="20"/>
          <w:szCs w:val="20"/>
        </w:rPr>
        <w:t>Torovirinae</w:t>
      </w:r>
      <w:r w:rsidRPr="00F8503D">
        <w:rPr>
          <w:rFonts w:asciiTheme="minorHAnsi" w:hAnsiTheme="minorHAnsi" w:cs="Arial"/>
          <w:color w:val="1C1D1E"/>
          <w:sz w:val="20"/>
          <w:szCs w:val="20"/>
        </w:rPr>
        <w:t xml:space="preserve">. </w:t>
      </w:r>
      <w:r w:rsidR="00133144" w:rsidRPr="00F8503D">
        <w:rPr>
          <w:rFonts w:asciiTheme="minorHAnsi" w:hAnsiTheme="minorHAnsi" w:cs="Arial"/>
          <w:color w:val="1C1D1E"/>
          <w:sz w:val="20"/>
          <w:szCs w:val="20"/>
        </w:rPr>
        <w:t>I</w:t>
      </w:r>
      <w:r w:rsidRPr="00F8503D">
        <w:rPr>
          <w:rFonts w:asciiTheme="minorHAnsi" w:hAnsiTheme="minorHAnsi" w:cs="Arial"/>
          <w:color w:val="1C1D1E"/>
          <w:sz w:val="20"/>
          <w:szCs w:val="20"/>
        </w:rPr>
        <w:t xml:space="preserve"> </w:t>
      </w:r>
      <w:r w:rsidR="00133144" w:rsidRPr="00F8503D">
        <w:rPr>
          <w:rFonts w:asciiTheme="minorHAnsi" w:hAnsiTheme="minorHAnsi" w:cs="Arial"/>
          <w:color w:val="1C1D1E"/>
          <w:sz w:val="20"/>
          <w:szCs w:val="20"/>
        </w:rPr>
        <w:t>C</w:t>
      </w:r>
      <w:r w:rsidRPr="00F8503D">
        <w:rPr>
          <w:rFonts w:asciiTheme="minorHAnsi" w:hAnsiTheme="minorHAnsi" w:cs="Arial"/>
          <w:color w:val="1C1D1E"/>
          <w:sz w:val="20"/>
          <w:szCs w:val="20"/>
        </w:rPr>
        <w:t xml:space="preserve">oronavirinae comprendono i generi </w:t>
      </w:r>
      <w:r w:rsidRPr="00F8503D">
        <w:rPr>
          <w:rFonts w:asciiTheme="minorHAnsi" w:hAnsiTheme="minorHAnsi" w:cs="Arial"/>
          <w:b/>
          <w:bCs/>
          <w:color w:val="1C1D1E"/>
          <w:sz w:val="20"/>
          <w:szCs w:val="20"/>
        </w:rPr>
        <w:t>Alpha-</w:t>
      </w:r>
      <w:r w:rsidR="00512093" w:rsidRPr="00F8503D">
        <w:rPr>
          <w:rFonts w:asciiTheme="minorHAnsi" w:hAnsiTheme="minorHAnsi" w:cs="Arial"/>
          <w:b/>
          <w:bCs/>
          <w:color w:val="1C1D1E"/>
          <w:sz w:val="20"/>
          <w:szCs w:val="20"/>
        </w:rPr>
        <w:t xml:space="preserve"> </w:t>
      </w:r>
      <w:r w:rsidR="00133144" w:rsidRPr="00F8503D">
        <w:rPr>
          <w:rFonts w:asciiTheme="minorHAnsi" w:hAnsiTheme="minorHAnsi" w:cs="Arial"/>
          <w:b/>
          <w:bCs/>
          <w:color w:val="1C1D1E"/>
          <w:sz w:val="20"/>
          <w:szCs w:val="20"/>
        </w:rPr>
        <w:t xml:space="preserve">e </w:t>
      </w:r>
      <w:r w:rsidRPr="00F8503D">
        <w:rPr>
          <w:rFonts w:asciiTheme="minorHAnsi" w:hAnsiTheme="minorHAnsi" w:cs="Arial"/>
          <w:b/>
          <w:bCs/>
          <w:color w:val="1C1D1E"/>
          <w:sz w:val="20"/>
          <w:szCs w:val="20"/>
        </w:rPr>
        <w:t>Betacoronavirus</w:t>
      </w:r>
      <w:r w:rsidRPr="00F8503D">
        <w:rPr>
          <w:rFonts w:asciiTheme="minorHAnsi" w:hAnsiTheme="minorHAnsi" w:cs="Arial"/>
          <w:color w:val="1C1D1E"/>
          <w:sz w:val="20"/>
          <w:szCs w:val="20"/>
        </w:rPr>
        <w:t xml:space="preserve">, che infettano solo i mammiferi e </w:t>
      </w:r>
      <w:r w:rsidRPr="00F8503D">
        <w:rPr>
          <w:rFonts w:asciiTheme="minorHAnsi" w:hAnsiTheme="minorHAnsi" w:cs="Arial"/>
          <w:b/>
          <w:bCs/>
          <w:color w:val="1C1D1E"/>
          <w:sz w:val="20"/>
          <w:szCs w:val="20"/>
        </w:rPr>
        <w:t>Gamma- e Deltacoronavirus</w:t>
      </w:r>
      <w:r w:rsidRPr="00F8503D">
        <w:rPr>
          <w:rFonts w:asciiTheme="minorHAnsi" w:hAnsiTheme="minorHAnsi" w:cs="Arial"/>
          <w:color w:val="1C1D1E"/>
          <w:sz w:val="20"/>
          <w:szCs w:val="20"/>
        </w:rPr>
        <w:t xml:space="preserve"> che infettano sia i mammiferi che gli uccelli. I </w:t>
      </w:r>
      <w:r w:rsidRPr="00F8503D">
        <w:rPr>
          <w:rFonts w:asciiTheme="minorHAnsi" w:hAnsiTheme="minorHAnsi" w:cs="Arial"/>
          <w:b/>
          <w:bCs/>
          <w:color w:val="1C1D1E"/>
          <w:sz w:val="20"/>
          <w:szCs w:val="20"/>
        </w:rPr>
        <w:t>CoV umani E229 e NL63 sono alfa</w:t>
      </w:r>
      <w:r w:rsidR="00512093" w:rsidRPr="00F8503D">
        <w:rPr>
          <w:rFonts w:asciiTheme="minorHAnsi" w:hAnsiTheme="minorHAnsi" w:cs="Arial"/>
          <w:b/>
          <w:bCs/>
          <w:color w:val="1C1D1E"/>
          <w:sz w:val="20"/>
          <w:szCs w:val="20"/>
        </w:rPr>
        <w:t>-coronavirus</w:t>
      </w:r>
      <w:r w:rsidRPr="00F8503D">
        <w:rPr>
          <w:rFonts w:asciiTheme="minorHAnsi" w:hAnsiTheme="minorHAnsi" w:cs="Arial"/>
          <w:color w:val="1C1D1E"/>
          <w:sz w:val="20"/>
          <w:szCs w:val="20"/>
        </w:rPr>
        <w:t xml:space="preserve">, mentre </w:t>
      </w:r>
      <w:r w:rsidRPr="00F8503D">
        <w:rPr>
          <w:rFonts w:asciiTheme="minorHAnsi" w:hAnsiTheme="minorHAnsi" w:cs="Arial"/>
          <w:b/>
          <w:bCs/>
          <w:color w:val="1C1D1E"/>
          <w:sz w:val="20"/>
          <w:szCs w:val="20"/>
        </w:rPr>
        <w:t>OC43 e HKU1 e tutti i nuovi CoV (incluso SARS-CoV2) sono beta</w:t>
      </w:r>
      <w:r w:rsidR="00512093" w:rsidRPr="00F8503D">
        <w:rPr>
          <w:rFonts w:asciiTheme="minorHAnsi" w:hAnsiTheme="minorHAnsi" w:cs="Arial"/>
          <w:b/>
          <w:bCs/>
          <w:color w:val="1C1D1E"/>
          <w:sz w:val="20"/>
          <w:szCs w:val="20"/>
        </w:rPr>
        <w:t>-</w:t>
      </w:r>
      <w:r w:rsidRPr="00F8503D">
        <w:rPr>
          <w:rFonts w:asciiTheme="minorHAnsi" w:hAnsiTheme="minorHAnsi" w:cs="Arial"/>
          <w:b/>
          <w:bCs/>
          <w:color w:val="1C1D1E"/>
          <w:sz w:val="20"/>
          <w:szCs w:val="20"/>
        </w:rPr>
        <w:t>coronavirus</w:t>
      </w:r>
      <w:r w:rsidR="00133144" w:rsidRPr="00F8503D">
        <w:rPr>
          <w:rFonts w:asciiTheme="minorHAnsi" w:hAnsiTheme="minorHAnsi" w:cs="Arial"/>
          <w:color w:val="1C1D1E"/>
          <w:sz w:val="20"/>
          <w:szCs w:val="20"/>
        </w:rPr>
        <w:t>.</w:t>
      </w:r>
      <w:r w:rsidR="00133144" w:rsidRPr="00F8503D">
        <w:rPr>
          <w:rStyle w:val="FootnoteReference"/>
          <w:rFonts w:asciiTheme="minorHAnsi" w:hAnsiTheme="minorHAnsi" w:cs="Arial"/>
          <w:color w:val="1C1D1E"/>
          <w:sz w:val="20"/>
          <w:szCs w:val="20"/>
        </w:rPr>
        <w:t xml:space="preserve"> </w:t>
      </w:r>
      <w:r w:rsidR="00133144" w:rsidRPr="00F8503D">
        <w:rPr>
          <w:rStyle w:val="FootnoteReference"/>
          <w:rFonts w:asciiTheme="minorHAnsi" w:hAnsiTheme="minorHAnsi" w:cs="Arial"/>
          <w:color w:val="1C1D1E"/>
          <w:sz w:val="20"/>
          <w:szCs w:val="20"/>
        </w:rPr>
        <w:footnoteReference w:id="64"/>
      </w:r>
    </w:p>
    <w:p w:rsidR="001D7829" w:rsidRPr="00F8503D" w:rsidRDefault="001D7829" w:rsidP="002B7F58">
      <w:pPr>
        <w:shd w:val="clear" w:color="auto" w:fill="FFFFFF"/>
        <w:jc w:val="both"/>
        <w:rPr>
          <w:rFonts w:asciiTheme="minorHAnsi" w:hAnsiTheme="minorHAnsi" w:cs="Arial"/>
          <w:color w:val="1C1D1E"/>
          <w:sz w:val="20"/>
          <w:szCs w:val="20"/>
        </w:rPr>
      </w:pPr>
    </w:p>
    <w:p w:rsidR="001D7829" w:rsidRDefault="002B7F58" w:rsidP="002B7F58">
      <w:pPr>
        <w:shd w:val="clear" w:color="auto" w:fill="FFFFFF"/>
        <w:jc w:val="both"/>
        <w:rPr>
          <w:rFonts w:asciiTheme="minorHAnsi" w:hAnsiTheme="minorHAnsi" w:cs="Arial"/>
          <w:color w:val="1C1D1E"/>
          <w:sz w:val="20"/>
          <w:szCs w:val="20"/>
        </w:rPr>
      </w:pPr>
      <w:r w:rsidRPr="00F8503D">
        <w:rPr>
          <w:rFonts w:asciiTheme="minorHAnsi" w:hAnsiTheme="minorHAnsi" w:cs="Arial"/>
          <w:color w:val="1C1D1E"/>
          <w:sz w:val="20"/>
          <w:szCs w:val="20"/>
        </w:rPr>
        <w:t xml:space="preserve">I primi hCoV </w:t>
      </w:r>
      <w:r w:rsidR="00133144" w:rsidRPr="00F8503D">
        <w:rPr>
          <w:rFonts w:asciiTheme="minorHAnsi" w:hAnsiTheme="minorHAnsi" w:cs="Arial"/>
          <w:color w:val="1C1D1E"/>
          <w:sz w:val="20"/>
          <w:szCs w:val="20"/>
        </w:rPr>
        <w:t xml:space="preserve">E229-CoV e OC43-CoV </w:t>
      </w:r>
      <w:r w:rsidRPr="00F8503D">
        <w:rPr>
          <w:rFonts w:asciiTheme="minorHAnsi" w:hAnsiTheme="minorHAnsi" w:cs="Arial"/>
          <w:color w:val="1C1D1E"/>
          <w:sz w:val="20"/>
          <w:szCs w:val="20"/>
        </w:rPr>
        <w:t>furono descritti nel 1966</w:t>
      </w:r>
      <w:r w:rsidR="00E81725" w:rsidRPr="00F8503D">
        <w:rPr>
          <w:rFonts w:asciiTheme="minorHAnsi" w:hAnsiTheme="minorHAnsi" w:cs="Arial"/>
          <w:color w:val="1C1D1E"/>
          <w:sz w:val="20"/>
          <w:szCs w:val="20"/>
        </w:rPr>
        <w:t xml:space="preserve"> </w:t>
      </w:r>
      <w:r w:rsidR="00E81725" w:rsidRPr="00F8503D">
        <w:rPr>
          <w:rFonts w:asciiTheme="minorHAnsi" w:hAnsiTheme="minorHAnsi" w:cs="Arial"/>
          <w:color w:val="C00000"/>
          <w:sz w:val="20"/>
          <w:szCs w:val="20"/>
          <w:vertAlign w:val="superscript"/>
        </w:rPr>
        <w:t>[5,6]</w:t>
      </w:r>
      <w:r w:rsidR="00133144" w:rsidRPr="00F8503D">
        <w:rPr>
          <w:rFonts w:asciiTheme="minorHAnsi" w:hAnsiTheme="minorHAnsi" w:cs="Arial"/>
          <w:color w:val="1C1D1E"/>
          <w:sz w:val="20"/>
          <w:szCs w:val="20"/>
        </w:rPr>
        <w:t>, e f</w:t>
      </w:r>
      <w:r w:rsidRPr="00F8503D">
        <w:rPr>
          <w:rFonts w:asciiTheme="minorHAnsi" w:hAnsiTheme="minorHAnsi" w:cs="Arial"/>
          <w:color w:val="1C1D1E"/>
          <w:sz w:val="20"/>
          <w:szCs w:val="20"/>
        </w:rPr>
        <w:t>anno parte di un gruppo di quattro hCoV stagionali (shCoV) che comprende anche HKU1-CoV e NL63-CoV, scoperti solo nel 2005</w:t>
      </w:r>
      <w:r w:rsidR="00E81725" w:rsidRPr="00F8503D">
        <w:rPr>
          <w:rFonts w:asciiTheme="minorHAnsi" w:hAnsiTheme="minorHAnsi" w:cs="Arial"/>
          <w:color w:val="1C1D1E"/>
          <w:sz w:val="20"/>
          <w:szCs w:val="20"/>
        </w:rPr>
        <w:t xml:space="preserve"> </w:t>
      </w:r>
      <w:r w:rsidR="00E81725" w:rsidRPr="00F8503D">
        <w:rPr>
          <w:rFonts w:asciiTheme="minorHAnsi" w:hAnsiTheme="minorHAnsi" w:cs="Arial"/>
          <w:color w:val="C00000"/>
          <w:sz w:val="20"/>
          <w:szCs w:val="20"/>
          <w:vertAlign w:val="superscript"/>
        </w:rPr>
        <w:t>[7,8]</w:t>
      </w:r>
      <w:r w:rsidRPr="00F8503D">
        <w:rPr>
          <w:rFonts w:asciiTheme="minorHAnsi" w:hAnsiTheme="minorHAnsi" w:cs="Arial"/>
          <w:color w:val="1C1D1E"/>
          <w:sz w:val="20"/>
          <w:szCs w:val="20"/>
        </w:rPr>
        <w:t xml:space="preserve">. </w:t>
      </w:r>
      <w:r w:rsidRPr="00F8503D">
        <w:rPr>
          <w:rFonts w:asciiTheme="minorHAnsi" w:hAnsiTheme="minorHAnsi" w:cs="Arial"/>
          <w:b/>
          <w:bCs/>
          <w:color w:val="1C1D1E"/>
          <w:sz w:val="20"/>
          <w:szCs w:val="20"/>
        </w:rPr>
        <w:t>Tutti gli shCoV sono endemici a livello globale e spesso causano raffreddori comuni, rappresentando il 2-18% di tutte le infezioni del tratto respiratorio</w:t>
      </w:r>
      <w:r w:rsidR="00E81725" w:rsidRPr="00F8503D">
        <w:rPr>
          <w:rFonts w:asciiTheme="minorHAnsi" w:hAnsiTheme="minorHAnsi" w:cs="Arial"/>
          <w:color w:val="1C1D1E"/>
          <w:sz w:val="20"/>
          <w:szCs w:val="20"/>
        </w:rPr>
        <w:t xml:space="preserve"> </w:t>
      </w:r>
      <w:r w:rsidR="00E81725" w:rsidRPr="00F8503D">
        <w:rPr>
          <w:rFonts w:asciiTheme="minorHAnsi" w:hAnsiTheme="minorHAnsi" w:cs="Arial"/>
          <w:color w:val="C00000"/>
          <w:sz w:val="20"/>
          <w:szCs w:val="20"/>
          <w:vertAlign w:val="superscript"/>
        </w:rPr>
        <w:t>[9-13]</w:t>
      </w:r>
      <w:r w:rsidRPr="00F8503D">
        <w:rPr>
          <w:rFonts w:asciiTheme="minorHAnsi" w:hAnsiTheme="minorHAnsi" w:cs="Arial"/>
          <w:color w:val="1C1D1E"/>
          <w:sz w:val="20"/>
          <w:szCs w:val="20"/>
        </w:rPr>
        <w:t xml:space="preserve">. </w:t>
      </w:r>
      <w:r w:rsidRPr="00F8503D">
        <w:rPr>
          <w:rFonts w:asciiTheme="minorHAnsi" w:hAnsiTheme="minorHAnsi" w:cs="Arial"/>
          <w:b/>
          <w:bCs/>
          <w:color w:val="1C1D1E"/>
          <w:sz w:val="20"/>
          <w:szCs w:val="20"/>
        </w:rPr>
        <w:t>Al quarto anno</w:t>
      </w:r>
      <w:r w:rsidR="00512093" w:rsidRPr="00F8503D">
        <w:rPr>
          <w:rFonts w:asciiTheme="minorHAnsi" w:hAnsiTheme="minorHAnsi" w:cs="Arial"/>
          <w:b/>
          <w:bCs/>
          <w:color w:val="1C1D1E"/>
          <w:sz w:val="20"/>
          <w:szCs w:val="20"/>
        </w:rPr>
        <w:t xml:space="preserve"> di età</w:t>
      </w:r>
      <w:r w:rsidRPr="00F8503D">
        <w:rPr>
          <w:rFonts w:asciiTheme="minorHAnsi" w:hAnsiTheme="minorHAnsi" w:cs="Arial"/>
          <w:b/>
          <w:bCs/>
          <w:color w:val="1C1D1E"/>
          <w:sz w:val="20"/>
          <w:szCs w:val="20"/>
        </w:rPr>
        <w:t>, il 75% dei bambini mostra anticorpi diretti contro almeno uno degli shCoV</w:t>
      </w:r>
      <w:r w:rsidR="00F70257" w:rsidRPr="00F8503D">
        <w:rPr>
          <w:rFonts w:asciiTheme="minorHAnsi" w:hAnsiTheme="minorHAnsi" w:cs="Arial"/>
          <w:color w:val="1C1D1E"/>
          <w:sz w:val="20"/>
          <w:szCs w:val="20"/>
        </w:rPr>
        <w:t xml:space="preserve"> </w:t>
      </w:r>
      <w:r w:rsidR="00F70257" w:rsidRPr="00F8503D">
        <w:rPr>
          <w:rStyle w:val="FootnoteReference"/>
          <w:rFonts w:asciiTheme="minorHAnsi" w:hAnsiTheme="minorHAnsi" w:cs="Arial"/>
          <w:color w:val="1C1D1E"/>
          <w:sz w:val="20"/>
          <w:szCs w:val="20"/>
        </w:rPr>
        <w:footnoteReference w:id="65"/>
      </w:r>
      <w:r w:rsidRPr="00F8503D">
        <w:rPr>
          <w:rFonts w:asciiTheme="minorHAnsi" w:hAnsiTheme="minorHAnsi" w:cs="Arial"/>
          <w:color w:val="1C1D1E"/>
          <w:sz w:val="20"/>
          <w:szCs w:val="20"/>
        </w:rPr>
        <w:t xml:space="preserve">. </w:t>
      </w:r>
    </w:p>
    <w:p w:rsidR="001D7829" w:rsidRDefault="001D7829" w:rsidP="002B7F58">
      <w:pPr>
        <w:shd w:val="clear" w:color="auto" w:fill="FFFFFF"/>
        <w:jc w:val="both"/>
        <w:rPr>
          <w:rFonts w:asciiTheme="minorHAnsi" w:hAnsiTheme="minorHAnsi" w:cs="Arial"/>
          <w:color w:val="1C1D1E"/>
          <w:sz w:val="20"/>
          <w:szCs w:val="20"/>
        </w:rPr>
      </w:pPr>
    </w:p>
    <w:p w:rsidR="002B7F58" w:rsidRDefault="002B7F58" w:rsidP="002B7F58">
      <w:pPr>
        <w:shd w:val="clear" w:color="auto" w:fill="FFFFFF"/>
        <w:jc w:val="both"/>
        <w:rPr>
          <w:rFonts w:asciiTheme="minorHAnsi" w:hAnsiTheme="minorHAnsi" w:cs="Arial"/>
          <w:color w:val="C00000"/>
          <w:sz w:val="20"/>
          <w:szCs w:val="20"/>
          <w:vertAlign w:val="superscript"/>
        </w:rPr>
      </w:pPr>
      <w:r w:rsidRPr="00F8503D">
        <w:rPr>
          <w:rFonts w:asciiTheme="minorHAnsi" w:hAnsiTheme="minorHAnsi" w:cs="Arial"/>
          <w:color w:val="1C1D1E"/>
          <w:sz w:val="20"/>
          <w:szCs w:val="20"/>
        </w:rPr>
        <w:t xml:space="preserve">Gli anticorpi anti-shCoV forniscono immunità crociata e </w:t>
      </w:r>
      <w:r w:rsidR="00F70257" w:rsidRPr="00F8503D">
        <w:rPr>
          <w:rFonts w:asciiTheme="minorHAnsi" w:hAnsiTheme="minorHAnsi" w:cs="Arial"/>
          <w:color w:val="1C1D1E"/>
          <w:sz w:val="20"/>
          <w:szCs w:val="20"/>
        </w:rPr>
        <w:t xml:space="preserve">una certa protezione mediata dagli </w:t>
      </w:r>
      <w:r w:rsidRPr="00F8503D">
        <w:rPr>
          <w:rFonts w:asciiTheme="minorHAnsi" w:hAnsiTheme="minorHAnsi" w:cs="Arial"/>
          <w:color w:val="1C1D1E"/>
          <w:sz w:val="20"/>
          <w:szCs w:val="20"/>
        </w:rPr>
        <w:t xml:space="preserve">anticorpi </w:t>
      </w:r>
      <w:r w:rsidR="00F70257" w:rsidRPr="00F8503D">
        <w:rPr>
          <w:rFonts w:asciiTheme="minorHAnsi" w:hAnsiTheme="minorHAnsi" w:cs="Arial"/>
          <w:color w:val="1C1D1E"/>
          <w:sz w:val="20"/>
          <w:szCs w:val="20"/>
        </w:rPr>
        <w:t xml:space="preserve">contro l’infezione </w:t>
      </w:r>
      <w:r w:rsidRPr="00F8503D">
        <w:rPr>
          <w:rFonts w:asciiTheme="minorHAnsi" w:hAnsiTheme="minorHAnsi" w:cs="Arial"/>
          <w:color w:val="1C1D1E"/>
          <w:sz w:val="20"/>
          <w:szCs w:val="20"/>
        </w:rPr>
        <w:t xml:space="preserve">da altre specie all'interno del gruppo </w:t>
      </w:r>
      <w:r w:rsidR="00F70257" w:rsidRPr="00F8503D">
        <w:rPr>
          <w:rFonts w:asciiTheme="minorHAnsi" w:hAnsiTheme="minorHAnsi" w:cs="Arial"/>
          <w:color w:val="1C1D1E"/>
          <w:sz w:val="20"/>
          <w:szCs w:val="20"/>
        </w:rPr>
        <w:t xml:space="preserve"> </w:t>
      </w:r>
      <w:r w:rsidR="00F70257" w:rsidRPr="00F8503D">
        <w:rPr>
          <w:rStyle w:val="FootnoteReference"/>
          <w:rFonts w:asciiTheme="minorHAnsi" w:hAnsiTheme="minorHAnsi" w:cs="Arial"/>
          <w:color w:val="1C1D1E"/>
          <w:sz w:val="20"/>
          <w:szCs w:val="20"/>
        </w:rPr>
        <w:footnoteReference w:id="66"/>
      </w:r>
      <w:r w:rsidRPr="00F8503D">
        <w:rPr>
          <w:rFonts w:asciiTheme="minorHAnsi" w:hAnsiTheme="minorHAnsi" w:cs="Arial"/>
          <w:color w:val="1C1D1E"/>
          <w:sz w:val="20"/>
          <w:szCs w:val="20"/>
        </w:rPr>
        <w:t>. Mentre il loro potenziale patogeno complessivo è relativamente basso, nei neonati immunocompromessi, negli anziani e in quelli con preesistenti disturbi polmonari, gli shCoV possono causare gravi sintomi respiratori o simili alla sepsi</w:t>
      </w:r>
      <w:r w:rsidR="00E81725" w:rsidRPr="00F8503D">
        <w:rPr>
          <w:rFonts w:asciiTheme="minorHAnsi" w:hAnsiTheme="minorHAnsi" w:cs="Arial"/>
          <w:color w:val="1C1D1E"/>
          <w:sz w:val="20"/>
          <w:szCs w:val="20"/>
        </w:rPr>
        <w:t xml:space="preserve"> </w:t>
      </w:r>
      <w:r w:rsidR="00E81725" w:rsidRPr="00F8503D">
        <w:rPr>
          <w:rFonts w:asciiTheme="minorHAnsi" w:hAnsiTheme="minorHAnsi" w:cs="Arial"/>
          <w:color w:val="C00000"/>
          <w:sz w:val="20"/>
          <w:szCs w:val="20"/>
          <w:vertAlign w:val="superscript"/>
        </w:rPr>
        <w:t>[17-21]</w:t>
      </w:r>
      <w:r w:rsidRPr="00F8503D">
        <w:rPr>
          <w:rFonts w:asciiTheme="minorHAnsi" w:hAnsiTheme="minorHAnsi" w:cs="Arial"/>
          <w:color w:val="1C1D1E"/>
          <w:sz w:val="20"/>
          <w:szCs w:val="20"/>
        </w:rPr>
        <w:t>. OC43 mostra un po'</w:t>
      </w:r>
      <w:r w:rsidR="00E81725" w:rsidRPr="00F8503D">
        <w:rPr>
          <w:rFonts w:asciiTheme="minorHAnsi" w:hAnsiTheme="minorHAnsi" w:cs="Arial"/>
          <w:color w:val="1C1D1E"/>
          <w:sz w:val="20"/>
          <w:szCs w:val="20"/>
        </w:rPr>
        <w:t xml:space="preserve"> </w:t>
      </w:r>
      <w:r w:rsidRPr="00F8503D">
        <w:rPr>
          <w:rFonts w:asciiTheme="minorHAnsi" w:hAnsiTheme="minorHAnsi" w:cs="Arial"/>
          <w:color w:val="1C1D1E"/>
          <w:sz w:val="20"/>
          <w:szCs w:val="20"/>
        </w:rPr>
        <w:t>di neurotropismo e può causare demielinizzazione e infezioni del SNC in gruppi di pazienti vulnerabili</w:t>
      </w:r>
      <w:r w:rsidR="00E81725" w:rsidRPr="00F8503D">
        <w:rPr>
          <w:rFonts w:asciiTheme="minorHAnsi" w:hAnsiTheme="minorHAnsi" w:cs="Arial"/>
          <w:color w:val="1C1D1E"/>
          <w:sz w:val="20"/>
          <w:szCs w:val="20"/>
        </w:rPr>
        <w:t xml:space="preserve"> </w:t>
      </w:r>
      <w:r w:rsidR="00E81725" w:rsidRPr="00F8503D">
        <w:rPr>
          <w:rFonts w:asciiTheme="minorHAnsi" w:hAnsiTheme="minorHAnsi" w:cs="Arial"/>
          <w:color w:val="C00000"/>
          <w:sz w:val="20"/>
          <w:szCs w:val="20"/>
          <w:vertAlign w:val="superscript"/>
        </w:rPr>
        <w:t>[22,23]</w:t>
      </w:r>
      <w:r w:rsidR="00E81725" w:rsidRPr="00F8503D">
        <w:rPr>
          <w:rFonts w:asciiTheme="minorHAnsi" w:hAnsiTheme="minorHAnsi" w:cs="Arial"/>
          <w:color w:val="1C1D1E"/>
          <w:sz w:val="20"/>
          <w:szCs w:val="20"/>
        </w:rPr>
        <w:t>.</w:t>
      </w:r>
      <w:r w:rsidRPr="00F8503D">
        <w:rPr>
          <w:rFonts w:asciiTheme="minorHAnsi" w:hAnsiTheme="minorHAnsi" w:cs="Arial"/>
          <w:color w:val="1C1D1E"/>
          <w:sz w:val="20"/>
          <w:szCs w:val="20"/>
        </w:rPr>
        <w:t xml:space="preserve"> Mentre le stime del loro contributo alle malattie respiratorie annuali variano, gli </w:t>
      </w:r>
      <w:r w:rsidRPr="00F8503D">
        <w:rPr>
          <w:rFonts w:asciiTheme="minorHAnsi" w:hAnsiTheme="minorHAnsi" w:cs="Arial"/>
          <w:b/>
          <w:bCs/>
          <w:color w:val="1C1D1E"/>
          <w:sz w:val="20"/>
          <w:szCs w:val="20"/>
        </w:rPr>
        <w:t>shCoV rimangono asintomatici in circa il 50% dei casi</w:t>
      </w:r>
      <w:r w:rsidR="00E81725" w:rsidRPr="00F8503D">
        <w:rPr>
          <w:rFonts w:asciiTheme="minorHAnsi" w:hAnsiTheme="minorHAnsi" w:cs="Arial"/>
          <w:b/>
          <w:bCs/>
          <w:color w:val="1C1D1E"/>
          <w:sz w:val="20"/>
          <w:szCs w:val="20"/>
        </w:rPr>
        <w:t xml:space="preserve"> </w:t>
      </w:r>
      <w:r w:rsidR="00E81725" w:rsidRPr="00F8503D">
        <w:rPr>
          <w:rFonts w:asciiTheme="minorHAnsi" w:hAnsiTheme="minorHAnsi" w:cs="Arial"/>
          <w:color w:val="C00000"/>
          <w:sz w:val="20"/>
          <w:szCs w:val="20"/>
          <w:vertAlign w:val="superscript"/>
        </w:rPr>
        <w:t>[24-26]</w:t>
      </w:r>
    </w:p>
    <w:p w:rsidR="00594092" w:rsidRPr="00F8503D" w:rsidRDefault="00594092" w:rsidP="002B7F58">
      <w:pPr>
        <w:shd w:val="clear" w:color="auto" w:fill="FFFFFF"/>
        <w:jc w:val="both"/>
        <w:rPr>
          <w:rFonts w:asciiTheme="minorHAnsi" w:hAnsiTheme="minorHAnsi" w:cs="Arial"/>
          <w:color w:val="1C1D1E"/>
          <w:sz w:val="20"/>
          <w:szCs w:val="20"/>
        </w:rPr>
      </w:pPr>
    </w:p>
    <w:p w:rsidR="002B7F58" w:rsidRPr="00F8503D" w:rsidRDefault="002B7F58" w:rsidP="002B7F58">
      <w:pPr>
        <w:jc w:val="both"/>
        <w:rPr>
          <w:rFonts w:asciiTheme="minorHAnsi" w:hAnsiTheme="minorHAnsi" w:cstheme="minorHAnsi"/>
          <w:sz w:val="20"/>
          <w:szCs w:val="20"/>
        </w:rPr>
      </w:pPr>
      <w:r w:rsidRPr="00F8503D">
        <w:rPr>
          <w:rFonts w:asciiTheme="minorHAnsi" w:hAnsiTheme="minorHAnsi" w:cstheme="minorHAnsi"/>
          <w:sz w:val="20"/>
          <w:szCs w:val="20"/>
        </w:rPr>
        <w:t>Ciò è in netto contrasto con la presentazione clinica riscontrata nelle infezioni con i "nuovi coronavirus" SARS-CoV, MERS-CoV e SARS-CoV2, che sono associati a rapporti di morbilità e fatalità che superano di gran lunga quelli d</w:t>
      </w:r>
      <w:r w:rsidR="00512093" w:rsidRPr="00F8503D">
        <w:rPr>
          <w:rFonts w:asciiTheme="minorHAnsi" w:hAnsiTheme="minorHAnsi" w:cstheme="minorHAnsi"/>
          <w:sz w:val="20"/>
          <w:szCs w:val="20"/>
        </w:rPr>
        <w:t>e</w:t>
      </w:r>
      <w:r w:rsidRPr="00F8503D">
        <w:rPr>
          <w:rFonts w:asciiTheme="minorHAnsi" w:hAnsiTheme="minorHAnsi" w:cstheme="minorHAnsi"/>
          <w:sz w:val="20"/>
          <w:szCs w:val="20"/>
        </w:rPr>
        <w:t>i shCoV.</w:t>
      </w:r>
    </w:p>
    <w:p w:rsidR="001D7829" w:rsidRDefault="00512093" w:rsidP="002B7F58">
      <w:pPr>
        <w:jc w:val="both"/>
        <w:rPr>
          <w:rFonts w:asciiTheme="minorHAnsi" w:hAnsiTheme="minorHAnsi" w:cstheme="minorHAnsi"/>
          <w:sz w:val="20"/>
          <w:szCs w:val="20"/>
        </w:rPr>
      </w:pPr>
      <w:r w:rsidRPr="00F8503D">
        <w:rPr>
          <w:rFonts w:asciiTheme="minorHAnsi" w:hAnsiTheme="minorHAnsi" w:cstheme="minorHAnsi"/>
          <w:sz w:val="20"/>
          <w:szCs w:val="20"/>
        </w:rPr>
        <w:t>Ne</w:t>
      </w:r>
      <w:r w:rsidR="002B7F58" w:rsidRPr="00F8503D">
        <w:rPr>
          <w:rFonts w:asciiTheme="minorHAnsi" w:hAnsiTheme="minorHAnsi" w:cstheme="minorHAnsi"/>
          <w:sz w:val="20"/>
          <w:szCs w:val="20"/>
        </w:rPr>
        <w:t>i precedenti focolai d</w:t>
      </w:r>
      <w:r w:rsidR="00E81725" w:rsidRPr="00F8503D">
        <w:rPr>
          <w:rFonts w:asciiTheme="minorHAnsi" w:hAnsiTheme="minorHAnsi" w:cstheme="minorHAnsi"/>
          <w:sz w:val="20"/>
          <w:szCs w:val="20"/>
        </w:rPr>
        <w:t>e</w:t>
      </w:r>
      <w:r w:rsidR="002B7F58" w:rsidRPr="00F8503D">
        <w:rPr>
          <w:rFonts w:asciiTheme="minorHAnsi" w:hAnsiTheme="minorHAnsi" w:cstheme="minorHAnsi"/>
          <w:sz w:val="20"/>
          <w:szCs w:val="20"/>
        </w:rPr>
        <w:t xml:space="preserve">i </w:t>
      </w:r>
      <w:r w:rsidR="00E81725" w:rsidRPr="00F8503D">
        <w:rPr>
          <w:rFonts w:asciiTheme="minorHAnsi" w:hAnsiTheme="minorHAnsi" w:cstheme="minorHAnsi"/>
          <w:sz w:val="20"/>
          <w:szCs w:val="20"/>
        </w:rPr>
        <w:t xml:space="preserve">nuovi </w:t>
      </w:r>
      <w:r w:rsidR="002B7F58" w:rsidRPr="00F8503D">
        <w:rPr>
          <w:rFonts w:asciiTheme="minorHAnsi" w:hAnsiTheme="minorHAnsi" w:cstheme="minorHAnsi"/>
          <w:sz w:val="20"/>
          <w:szCs w:val="20"/>
        </w:rPr>
        <w:t xml:space="preserve">coronavirus (SARS nel 2003 e MERS nel 2012), la gravità della manifestazione clinica ha lasciato perplessi i medici. </w:t>
      </w:r>
    </w:p>
    <w:p w:rsidR="001D7829" w:rsidRDefault="001D7829" w:rsidP="002B7F58">
      <w:pPr>
        <w:jc w:val="both"/>
        <w:rPr>
          <w:rFonts w:asciiTheme="minorHAnsi" w:hAnsiTheme="minorHAnsi" w:cstheme="minorHAnsi"/>
          <w:sz w:val="20"/>
          <w:szCs w:val="20"/>
        </w:rPr>
      </w:pPr>
    </w:p>
    <w:p w:rsidR="00594092" w:rsidRDefault="002B7F58" w:rsidP="002B7F58">
      <w:pPr>
        <w:jc w:val="both"/>
        <w:rPr>
          <w:rFonts w:asciiTheme="minorHAnsi" w:hAnsiTheme="minorHAnsi" w:cstheme="minorHAnsi"/>
          <w:sz w:val="20"/>
          <w:szCs w:val="20"/>
        </w:rPr>
      </w:pPr>
      <w:r w:rsidRPr="00F8503D">
        <w:rPr>
          <w:rFonts w:asciiTheme="minorHAnsi" w:hAnsiTheme="minorHAnsi" w:cstheme="minorHAnsi"/>
          <w:sz w:val="20"/>
          <w:szCs w:val="20"/>
        </w:rPr>
        <w:t xml:space="preserve">Le caratteristiche comuni includevano un'infiltrazione massiccia di cellule infiammatorie dei polmoni con conseguente danno polmonare acuto (ALI) e ARDS, marcatori infiammatori altamente elevati nel siero, evidenza di attivazione di monociti/macrofagi, coagulazione attivata e profili proinfiammatori di citochine e chemochine </w:t>
      </w:r>
      <w:r w:rsidRPr="00F8503D">
        <w:rPr>
          <w:rFonts w:asciiTheme="minorHAnsi" w:hAnsiTheme="minorHAnsi" w:cstheme="minorHAnsi"/>
          <w:color w:val="C00000"/>
          <w:sz w:val="20"/>
          <w:szCs w:val="20"/>
          <w:vertAlign w:val="superscript"/>
        </w:rPr>
        <w:t>[33</w:t>
      </w:r>
      <w:r w:rsidR="002D5A3B" w:rsidRPr="00F8503D">
        <w:rPr>
          <w:rFonts w:asciiTheme="minorHAnsi" w:hAnsiTheme="minorHAnsi" w:cstheme="minorHAnsi"/>
          <w:color w:val="C00000"/>
          <w:sz w:val="20"/>
          <w:szCs w:val="20"/>
          <w:vertAlign w:val="superscript"/>
        </w:rPr>
        <w:t>-</w:t>
      </w:r>
      <w:r w:rsidRPr="00F8503D">
        <w:rPr>
          <w:rFonts w:asciiTheme="minorHAnsi" w:hAnsiTheme="minorHAnsi" w:cstheme="minorHAnsi"/>
          <w:color w:val="C00000"/>
          <w:sz w:val="20"/>
          <w:szCs w:val="20"/>
          <w:vertAlign w:val="superscript"/>
        </w:rPr>
        <w:t>38]</w:t>
      </w:r>
      <w:r w:rsidRPr="00F8503D">
        <w:rPr>
          <w:rFonts w:asciiTheme="minorHAnsi" w:hAnsiTheme="minorHAnsi" w:cstheme="minorHAnsi"/>
          <w:sz w:val="20"/>
          <w:szCs w:val="20"/>
        </w:rPr>
        <w:t xml:space="preserve">. Ciò portò presto </w:t>
      </w:r>
      <w:r w:rsidR="00512093" w:rsidRPr="00F8503D">
        <w:rPr>
          <w:rFonts w:asciiTheme="minorHAnsi" w:hAnsiTheme="minorHAnsi" w:cstheme="minorHAnsi"/>
          <w:sz w:val="20"/>
          <w:szCs w:val="20"/>
        </w:rPr>
        <w:t xml:space="preserve">allo studio </w:t>
      </w:r>
      <w:r w:rsidRPr="00F8503D">
        <w:rPr>
          <w:rFonts w:asciiTheme="minorHAnsi" w:hAnsiTheme="minorHAnsi" w:cstheme="minorHAnsi"/>
          <w:sz w:val="20"/>
          <w:szCs w:val="20"/>
        </w:rPr>
        <w:t xml:space="preserve">della risposta dell'ospite </w:t>
      </w:r>
      <w:r w:rsidR="00512093" w:rsidRPr="00F8503D">
        <w:rPr>
          <w:rFonts w:asciiTheme="minorHAnsi" w:hAnsiTheme="minorHAnsi" w:cstheme="minorHAnsi"/>
          <w:sz w:val="20"/>
          <w:szCs w:val="20"/>
        </w:rPr>
        <w:t>quale</w:t>
      </w:r>
      <w:r w:rsidRPr="00F8503D">
        <w:rPr>
          <w:rFonts w:asciiTheme="minorHAnsi" w:hAnsiTheme="minorHAnsi" w:cstheme="minorHAnsi"/>
          <w:sz w:val="20"/>
          <w:szCs w:val="20"/>
        </w:rPr>
        <w:t xml:space="preserve"> fattore </w:t>
      </w:r>
      <w:r w:rsidR="00512093" w:rsidRPr="00F8503D">
        <w:rPr>
          <w:rFonts w:asciiTheme="minorHAnsi" w:hAnsiTheme="minorHAnsi" w:cstheme="minorHAnsi"/>
          <w:sz w:val="20"/>
          <w:szCs w:val="20"/>
        </w:rPr>
        <w:t>determinante nell’insorgenza di</w:t>
      </w:r>
      <w:r w:rsidRPr="00F8503D">
        <w:rPr>
          <w:rFonts w:asciiTheme="minorHAnsi" w:hAnsiTheme="minorHAnsi" w:cstheme="minorHAnsi"/>
          <w:sz w:val="20"/>
          <w:szCs w:val="20"/>
        </w:rPr>
        <w:t xml:space="preserve"> questo processo di malattia fulminante</w:t>
      </w:r>
      <w:r w:rsidR="002D5A3B" w:rsidRPr="00F8503D">
        <w:rPr>
          <w:rFonts w:asciiTheme="minorHAnsi" w:hAnsiTheme="minorHAnsi" w:cstheme="minorHAnsi"/>
          <w:sz w:val="20"/>
          <w:szCs w:val="20"/>
          <w:vertAlign w:val="superscript"/>
        </w:rPr>
        <w:t xml:space="preserve"> </w:t>
      </w:r>
      <w:r w:rsidR="002D5A3B" w:rsidRPr="00F8503D">
        <w:rPr>
          <w:rStyle w:val="FootnoteReference"/>
          <w:rFonts w:asciiTheme="minorHAnsi" w:hAnsiTheme="minorHAnsi" w:cstheme="minorHAnsi"/>
          <w:sz w:val="20"/>
          <w:szCs w:val="20"/>
        </w:rPr>
        <w:footnoteReference w:id="67"/>
      </w:r>
      <w:r w:rsidRPr="00F8503D">
        <w:rPr>
          <w:rFonts w:asciiTheme="minorHAnsi" w:hAnsiTheme="minorHAnsi" w:cstheme="minorHAnsi"/>
          <w:sz w:val="20"/>
          <w:szCs w:val="20"/>
        </w:rPr>
        <w:t>. I modelli animali di SARS suggeriscono che l'infiammazione polmonare si intensific</w:t>
      </w:r>
      <w:r w:rsidR="002D5A3B" w:rsidRPr="00F8503D">
        <w:rPr>
          <w:rFonts w:asciiTheme="minorHAnsi" w:hAnsiTheme="minorHAnsi" w:cstheme="minorHAnsi"/>
          <w:sz w:val="20"/>
          <w:szCs w:val="20"/>
        </w:rPr>
        <w:t>hi</w:t>
      </w:r>
      <w:r w:rsidRPr="00F8503D">
        <w:rPr>
          <w:rFonts w:asciiTheme="minorHAnsi" w:hAnsiTheme="minorHAnsi" w:cstheme="minorHAnsi"/>
          <w:sz w:val="20"/>
          <w:szCs w:val="20"/>
        </w:rPr>
        <w:t xml:space="preserve"> dopo la clearance </w:t>
      </w:r>
      <w:r w:rsidRPr="00F8503D">
        <w:rPr>
          <w:rFonts w:asciiTheme="minorHAnsi" w:hAnsiTheme="minorHAnsi" w:cstheme="minorHAnsi"/>
          <w:sz w:val="20"/>
          <w:szCs w:val="20"/>
        </w:rPr>
        <w:lastRenderedPageBreak/>
        <w:t xml:space="preserve">virale, raggiungendo un picco fino a 14 giorni dopo l'infezione </w:t>
      </w:r>
      <w:r w:rsidRPr="00F8503D">
        <w:rPr>
          <w:rFonts w:asciiTheme="minorHAnsi" w:hAnsiTheme="minorHAnsi" w:cstheme="minorHAnsi"/>
          <w:color w:val="C00000"/>
          <w:sz w:val="20"/>
          <w:szCs w:val="20"/>
          <w:vertAlign w:val="superscript"/>
        </w:rPr>
        <w:t>[39]</w:t>
      </w:r>
      <w:r w:rsidRPr="00F8503D">
        <w:rPr>
          <w:rFonts w:asciiTheme="minorHAnsi" w:hAnsiTheme="minorHAnsi" w:cstheme="minorHAnsi"/>
          <w:color w:val="C00000"/>
          <w:sz w:val="20"/>
          <w:szCs w:val="20"/>
        </w:rPr>
        <w:t xml:space="preserve"> </w:t>
      </w:r>
      <w:r w:rsidRPr="00F8503D">
        <w:rPr>
          <w:rFonts w:asciiTheme="minorHAnsi" w:hAnsiTheme="minorHAnsi" w:cstheme="minorHAnsi"/>
          <w:sz w:val="20"/>
          <w:szCs w:val="20"/>
        </w:rPr>
        <w:t xml:space="preserve">e osservazioni simili sono state fatte nei pazienti con SARS umana. </w:t>
      </w:r>
    </w:p>
    <w:p w:rsidR="002B7F58" w:rsidRPr="00F8503D" w:rsidRDefault="002B7F58" w:rsidP="002B7F58">
      <w:pPr>
        <w:jc w:val="both"/>
        <w:rPr>
          <w:rFonts w:asciiTheme="minorHAnsi" w:hAnsiTheme="minorHAnsi" w:cstheme="minorHAnsi"/>
          <w:sz w:val="20"/>
          <w:szCs w:val="20"/>
        </w:rPr>
      </w:pPr>
      <w:r w:rsidRPr="00F8503D">
        <w:rPr>
          <w:rFonts w:asciiTheme="minorHAnsi" w:hAnsiTheme="minorHAnsi" w:cstheme="minorHAnsi"/>
          <w:sz w:val="20"/>
          <w:szCs w:val="20"/>
        </w:rPr>
        <w:t xml:space="preserve">Ciò suggerisce che </w:t>
      </w:r>
      <w:r w:rsidRPr="00F8503D">
        <w:rPr>
          <w:rFonts w:asciiTheme="minorHAnsi" w:hAnsiTheme="minorHAnsi" w:cstheme="minorHAnsi"/>
          <w:b/>
          <w:bCs/>
          <w:sz w:val="20"/>
          <w:szCs w:val="20"/>
        </w:rPr>
        <w:t>il deterioramento clinico nel decorso più avanzato della malattia non era probabilmente dovuto alla replicazione virale incontrollata, ma piuttosto alle risposte immunitarie incontrollate e al danno associato</w:t>
      </w:r>
      <w:r w:rsidRPr="00F8503D">
        <w:rPr>
          <w:rFonts w:asciiTheme="minorHAnsi" w:hAnsiTheme="minorHAnsi" w:cstheme="minorHAnsi"/>
          <w:sz w:val="20"/>
          <w:szCs w:val="20"/>
        </w:rPr>
        <w:t xml:space="preserve"> </w:t>
      </w:r>
      <w:r w:rsidRPr="00F8503D">
        <w:rPr>
          <w:rFonts w:asciiTheme="minorHAnsi" w:hAnsiTheme="minorHAnsi" w:cstheme="minorHAnsi"/>
          <w:color w:val="C00000"/>
          <w:sz w:val="20"/>
          <w:szCs w:val="20"/>
          <w:vertAlign w:val="superscript"/>
        </w:rPr>
        <w:t>[40,41]</w:t>
      </w:r>
      <w:r w:rsidRPr="00F8503D">
        <w:rPr>
          <w:rFonts w:asciiTheme="minorHAnsi" w:hAnsiTheme="minorHAnsi" w:cstheme="minorHAnsi"/>
          <w:sz w:val="20"/>
          <w:szCs w:val="20"/>
        </w:rPr>
        <w:t>.</w:t>
      </w:r>
    </w:p>
    <w:p w:rsidR="002B7F58" w:rsidRPr="00F8503D" w:rsidRDefault="002B7F58" w:rsidP="002B7F58">
      <w:pPr>
        <w:jc w:val="both"/>
        <w:rPr>
          <w:rFonts w:asciiTheme="minorHAnsi" w:hAnsiTheme="minorHAnsi" w:cstheme="minorHAnsi"/>
          <w:sz w:val="20"/>
          <w:szCs w:val="20"/>
        </w:rPr>
      </w:pPr>
    </w:p>
    <w:p w:rsidR="00594092" w:rsidRDefault="002B7F58" w:rsidP="002B7F58">
      <w:pPr>
        <w:jc w:val="both"/>
        <w:rPr>
          <w:rFonts w:asciiTheme="minorHAnsi" w:hAnsiTheme="minorHAnsi" w:cstheme="minorHAnsi"/>
          <w:color w:val="1C1E21"/>
          <w:sz w:val="20"/>
          <w:szCs w:val="20"/>
        </w:rPr>
      </w:pPr>
      <w:r w:rsidRPr="00F8503D">
        <w:rPr>
          <w:rFonts w:asciiTheme="minorHAnsi" w:hAnsiTheme="minorHAnsi" w:cstheme="minorHAnsi"/>
          <w:color w:val="1C1E21"/>
          <w:sz w:val="20"/>
          <w:szCs w:val="20"/>
        </w:rPr>
        <w:t xml:space="preserve">La patologia polmonare in COVID-19 è caratterizzata da danno alveolare diffuso e iperplasia reattiva focale </w:t>
      </w:r>
      <w:r w:rsidR="00165563" w:rsidRPr="00F8503D">
        <w:rPr>
          <w:rFonts w:asciiTheme="minorHAnsi" w:hAnsiTheme="minorHAnsi" w:cstheme="minorHAnsi"/>
          <w:color w:val="1C1E21"/>
          <w:sz w:val="20"/>
          <w:szCs w:val="20"/>
        </w:rPr>
        <w:t>degli</w:t>
      </w:r>
      <w:r w:rsidRPr="00F8503D">
        <w:rPr>
          <w:rFonts w:asciiTheme="minorHAnsi" w:hAnsiTheme="minorHAnsi" w:cstheme="minorHAnsi"/>
          <w:color w:val="1C1E21"/>
          <w:sz w:val="20"/>
          <w:szCs w:val="20"/>
        </w:rPr>
        <w:t xml:space="preserve"> pneumociti con infiltrazione cellulare </w:t>
      </w:r>
      <w:r w:rsidR="00512093" w:rsidRPr="00F8503D">
        <w:rPr>
          <w:rFonts w:asciiTheme="minorHAnsi" w:hAnsiTheme="minorHAnsi" w:cstheme="minorHAnsi"/>
          <w:color w:val="1C1E21"/>
          <w:sz w:val="20"/>
          <w:szCs w:val="20"/>
        </w:rPr>
        <w:t xml:space="preserve">(monociti, macrofagi e linfociti) </w:t>
      </w:r>
      <w:r w:rsidRPr="00F8503D">
        <w:rPr>
          <w:rFonts w:asciiTheme="minorHAnsi" w:hAnsiTheme="minorHAnsi" w:cstheme="minorHAnsi"/>
          <w:color w:val="1C1E21"/>
          <w:sz w:val="20"/>
          <w:szCs w:val="20"/>
        </w:rPr>
        <w:t>infiammatoria irregolare ed evidenza di trombosi intravascolare</w:t>
      </w:r>
      <w:r w:rsidR="00512093" w:rsidRPr="00F8503D">
        <w:rPr>
          <w:rFonts w:asciiTheme="minorHAnsi" w:hAnsiTheme="minorHAnsi" w:cstheme="minorHAnsi"/>
          <w:color w:val="1C1E21"/>
          <w:sz w:val="20"/>
          <w:szCs w:val="20"/>
        </w:rPr>
        <w:t xml:space="preserve"> </w:t>
      </w:r>
      <w:r w:rsidRPr="00F8503D">
        <w:rPr>
          <w:rFonts w:asciiTheme="minorHAnsi" w:hAnsiTheme="minorHAnsi" w:cstheme="minorHAnsi"/>
          <w:color w:val="C00000"/>
          <w:sz w:val="20"/>
          <w:szCs w:val="20"/>
          <w:vertAlign w:val="superscript"/>
        </w:rPr>
        <w:t>[47,48]</w:t>
      </w:r>
      <w:r w:rsidR="00512093" w:rsidRPr="00F8503D">
        <w:rPr>
          <w:rFonts w:asciiTheme="minorHAnsi" w:hAnsiTheme="minorHAnsi" w:cstheme="minorHAnsi"/>
          <w:color w:val="C00000"/>
          <w:sz w:val="20"/>
          <w:szCs w:val="20"/>
        </w:rPr>
        <w:t xml:space="preserve"> </w:t>
      </w:r>
      <w:r w:rsidR="00512093" w:rsidRPr="00F8503D">
        <w:rPr>
          <w:rFonts w:asciiTheme="minorHAnsi" w:hAnsiTheme="minorHAnsi" w:cstheme="minorHAnsi"/>
          <w:color w:val="1C1E21"/>
          <w:sz w:val="20"/>
          <w:szCs w:val="20"/>
        </w:rPr>
        <w:t xml:space="preserve">che </w:t>
      </w:r>
      <w:r w:rsidRPr="00F8503D">
        <w:rPr>
          <w:rFonts w:asciiTheme="minorHAnsi" w:hAnsiTheme="minorHAnsi" w:cstheme="minorHAnsi"/>
          <w:color w:val="1C1E21"/>
          <w:sz w:val="20"/>
          <w:szCs w:val="20"/>
        </w:rPr>
        <w:t xml:space="preserve">impedisce lo scambio di gas alveolare. Inoltre, un quinto dei pazienti ospedalizzati sviluppa una significativa morbilità cardiovascolare, caratterizzata da aumento della troponina, tachiaritmie ed eventi tromboembolici, che è fortemente associato al rischio di mortalità </w:t>
      </w:r>
      <w:r w:rsidRPr="00F8503D">
        <w:rPr>
          <w:rFonts w:asciiTheme="minorHAnsi" w:hAnsiTheme="minorHAnsi" w:cstheme="minorHAnsi"/>
          <w:color w:val="C00000"/>
          <w:sz w:val="20"/>
          <w:szCs w:val="20"/>
          <w:vertAlign w:val="superscript"/>
        </w:rPr>
        <w:t>[49</w:t>
      </w:r>
      <w:r w:rsidR="002D5A3B" w:rsidRPr="00F8503D">
        <w:rPr>
          <w:rFonts w:asciiTheme="minorHAnsi" w:hAnsiTheme="minorHAnsi" w:cstheme="minorHAnsi"/>
          <w:color w:val="C00000"/>
          <w:sz w:val="20"/>
          <w:szCs w:val="20"/>
          <w:vertAlign w:val="superscript"/>
        </w:rPr>
        <w:t>-</w:t>
      </w:r>
      <w:r w:rsidRPr="00F8503D">
        <w:rPr>
          <w:rFonts w:asciiTheme="minorHAnsi" w:hAnsiTheme="minorHAnsi" w:cstheme="minorHAnsi"/>
          <w:color w:val="C00000"/>
          <w:sz w:val="20"/>
          <w:szCs w:val="20"/>
          <w:vertAlign w:val="superscript"/>
        </w:rPr>
        <w:t>51]</w:t>
      </w:r>
      <w:r w:rsidRPr="00F8503D">
        <w:rPr>
          <w:rFonts w:asciiTheme="minorHAnsi" w:hAnsiTheme="minorHAnsi" w:cstheme="minorHAnsi"/>
          <w:color w:val="1C1E21"/>
          <w:sz w:val="20"/>
          <w:szCs w:val="20"/>
        </w:rPr>
        <w:t xml:space="preserve">. </w:t>
      </w:r>
    </w:p>
    <w:p w:rsidR="00110FC0" w:rsidRDefault="00110FC0" w:rsidP="002B7F58">
      <w:pPr>
        <w:jc w:val="both"/>
        <w:rPr>
          <w:rFonts w:asciiTheme="minorHAnsi" w:hAnsiTheme="minorHAnsi" w:cstheme="minorHAnsi"/>
          <w:color w:val="1C1E21"/>
          <w:sz w:val="20"/>
          <w:szCs w:val="20"/>
        </w:rPr>
      </w:pPr>
    </w:p>
    <w:p w:rsidR="00110FC0" w:rsidRDefault="00110FC0" w:rsidP="00110FC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jc w:val="both"/>
        <w:rPr>
          <w:rFonts w:asciiTheme="minorHAnsi" w:hAnsiTheme="minorHAnsi" w:cstheme="minorHAnsi"/>
          <w:i/>
          <w:iCs/>
          <w:color w:val="1C1E21"/>
          <w:sz w:val="20"/>
          <w:szCs w:val="20"/>
        </w:rPr>
      </w:pPr>
    </w:p>
    <w:p w:rsidR="002B7F58" w:rsidRDefault="002B7F58" w:rsidP="00110FC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jc w:val="both"/>
        <w:rPr>
          <w:rFonts w:asciiTheme="minorHAnsi" w:hAnsiTheme="minorHAnsi" w:cstheme="minorHAnsi"/>
          <w:i/>
          <w:iCs/>
          <w:color w:val="C00000"/>
          <w:sz w:val="20"/>
          <w:szCs w:val="20"/>
          <w:vertAlign w:val="superscript"/>
        </w:rPr>
      </w:pPr>
      <w:r w:rsidRPr="00110FC0">
        <w:rPr>
          <w:rFonts w:asciiTheme="minorHAnsi" w:hAnsiTheme="minorHAnsi" w:cstheme="minorHAnsi"/>
          <w:i/>
          <w:iCs/>
          <w:color w:val="1C1E21"/>
          <w:sz w:val="20"/>
          <w:szCs w:val="20"/>
        </w:rPr>
        <w:t>Le caratteristiche comuni dei pazienti COVID-19 che richiedono il ricovero in ospedale e il supporto del</w:t>
      </w:r>
      <w:r w:rsidR="002D5A3B" w:rsidRPr="00110FC0">
        <w:rPr>
          <w:rFonts w:asciiTheme="minorHAnsi" w:hAnsiTheme="minorHAnsi" w:cstheme="minorHAnsi"/>
          <w:i/>
          <w:iCs/>
          <w:color w:val="1C1E21"/>
          <w:sz w:val="20"/>
          <w:szCs w:val="20"/>
        </w:rPr>
        <w:t xml:space="preserve">la </w:t>
      </w:r>
      <w:r w:rsidRPr="00110FC0">
        <w:rPr>
          <w:rFonts w:asciiTheme="minorHAnsi" w:hAnsiTheme="minorHAnsi" w:cstheme="minorHAnsi"/>
          <w:i/>
          <w:iCs/>
          <w:color w:val="1C1E21"/>
          <w:sz w:val="20"/>
          <w:szCs w:val="20"/>
        </w:rPr>
        <w:t xml:space="preserve">terapia intensiva sono pertanto una polmonite grave con insufficienza respiratoria ipossica di insorgenza subacuta che si evolve in ARDS, con un quadro clinico caratterizzato da febbre, linfopenia, proteina C-reattiva </w:t>
      </w:r>
      <w:r w:rsidR="002D5A3B" w:rsidRPr="00110FC0">
        <w:rPr>
          <w:rFonts w:asciiTheme="minorHAnsi" w:hAnsiTheme="minorHAnsi" w:cstheme="minorHAnsi"/>
          <w:i/>
          <w:iCs/>
          <w:color w:val="1C1E21"/>
          <w:sz w:val="20"/>
          <w:szCs w:val="20"/>
        </w:rPr>
        <w:t xml:space="preserve">molto </w:t>
      </w:r>
      <w:r w:rsidRPr="00110FC0">
        <w:rPr>
          <w:rFonts w:asciiTheme="minorHAnsi" w:hAnsiTheme="minorHAnsi" w:cstheme="minorHAnsi"/>
          <w:i/>
          <w:iCs/>
          <w:color w:val="1C1E21"/>
          <w:sz w:val="20"/>
          <w:szCs w:val="20"/>
        </w:rPr>
        <w:t xml:space="preserve">elevata, citochine proinfiammatorie, siero ferritina e D-dimeri. </w:t>
      </w:r>
      <w:r w:rsidRPr="00110FC0">
        <w:rPr>
          <w:rFonts w:asciiTheme="minorHAnsi" w:hAnsiTheme="minorHAnsi" w:cstheme="minorHAnsi"/>
          <w:i/>
          <w:iCs/>
          <w:color w:val="C00000"/>
          <w:sz w:val="20"/>
          <w:szCs w:val="20"/>
          <w:vertAlign w:val="superscript"/>
        </w:rPr>
        <w:t>[52,53</w:t>
      </w:r>
      <w:r w:rsidR="002D5A3B" w:rsidRPr="00110FC0">
        <w:rPr>
          <w:rFonts w:asciiTheme="minorHAnsi" w:hAnsiTheme="minorHAnsi" w:cstheme="minorHAnsi"/>
          <w:i/>
          <w:iCs/>
          <w:color w:val="C00000"/>
          <w:sz w:val="20"/>
          <w:szCs w:val="20"/>
          <w:vertAlign w:val="superscript"/>
        </w:rPr>
        <w:t>]</w:t>
      </w:r>
    </w:p>
    <w:p w:rsidR="00110FC0" w:rsidRPr="00110FC0" w:rsidRDefault="00110FC0" w:rsidP="00110FC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jc w:val="both"/>
        <w:rPr>
          <w:rFonts w:asciiTheme="minorHAnsi" w:hAnsiTheme="minorHAnsi" w:cstheme="minorHAnsi"/>
          <w:i/>
          <w:iCs/>
          <w:color w:val="1C1E21"/>
          <w:sz w:val="20"/>
          <w:szCs w:val="20"/>
        </w:rPr>
      </w:pPr>
    </w:p>
    <w:p w:rsidR="002B7F58" w:rsidRPr="00F8503D" w:rsidRDefault="002B7F58" w:rsidP="002B7F58">
      <w:pPr>
        <w:rPr>
          <w:rStyle w:val="Hyperlink"/>
          <w:rFonts w:asciiTheme="minorHAnsi" w:eastAsiaTheme="majorEastAsia" w:hAnsiTheme="minorHAnsi" w:cstheme="minorHAnsi"/>
          <w:color w:val="FF0000"/>
          <w:sz w:val="20"/>
          <w:szCs w:val="20"/>
          <w:u w:val="none"/>
        </w:rPr>
      </w:pPr>
    </w:p>
    <w:p w:rsidR="001D7829" w:rsidRDefault="002B7F58" w:rsidP="002B7F58">
      <w:pPr>
        <w:jc w:val="both"/>
        <w:rPr>
          <w:rStyle w:val="Hyperlink"/>
          <w:rFonts w:asciiTheme="minorHAnsi" w:eastAsiaTheme="majorEastAsia" w:hAnsiTheme="minorHAnsi" w:cstheme="minorHAnsi"/>
          <w:color w:val="000000" w:themeColor="text1"/>
          <w:sz w:val="20"/>
          <w:szCs w:val="20"/>
          <w:u w:val="none"/>
        </w:rPr>
      </w:pPr>
      <w:r w:rsidRPr="00F8503D">
        <w:rPr>
          <w:rStyle w:val="Hyperlink"/>
          <w:rFonts w:asciiTheme="minorHAnsi" w:eastAsiaTheme="majorEastAsia" w:hAnsiTheme="minorHAnsi" w:cstheme="minorHAnsi"/>
          <w:color w:val="000000" w:themeColor="text1"/>
          <w:sz w:val="20"/>
          <w:szCs w:val="20"/>
          <w:u w:val="none"/>
        </w:rPr>
        <w:t xml:space="preserve">Come già discusso, la risposta dell'ospite e l'eliminazione delle infezioni virali dipendono fortemente dall'espressione dell'interferone di tipo I (T1IFN) </w:t>
      </w:r>
      <w:r w:rsidRPr="00FA400D">
        <w:rPr>
          <w:rStyle w:val="Hyperlink"/>
          <w:rFonts w:asciiTheme="minorHAnsi" w:eastAsiaTheme="majorEastAsia" w:hAnsiTheme="minorHAnsi" w:cstheme="minorHAnsi"/>
          <w:color w:val="C00000"/>
          <w:sz w:val="20"/>
          <w:szCs w:val="20"/>
          <w:u w:val="none"/>
          <w:vertAlign w:val="superscript"/>
        </w:rPr>
        <w:t>[84]</w:t>
      </w:r>
      <w:r w:rsidRPr="00F8503D">
        <w:rPr>
          <w:rStyle w:val="Hyperlink"/>
          <w:rFonts w:asciiTheme="minorHAnsi" w:eastAsiaTheme="majorEastAsia" w:hAnsiTheme="minorHAnsi" w:cstheme="minorHAnsi"/>
          <w:color w:val="000000" w:themeColor="text1"/>
          <w:sz w:val="20"/>
          <w:szCs w:val="20"/>
          <w:u w:val="none"/>
        </w:rPr>
        <w:t xml:space="preserve">. L'espressione del T1IFN e i segnali a valle modulano le risposte cellulari e riprogrammano le cellule in uno "stato anti-virale", promuovendo successivamente il controllo delle infezioni e la clearance del patogeno </w:t>
      </w:r>
      <w:r w:rsidRPr="00FA400D">
        <w:rPr>
          <w:rStyle w:val="Hyperlink"/>
          <w:rFonts w:asciiTheme="minorHAnsi" w:eastAsiaTheme="majorEastAsia" w:hAnsiTheme="minorHAnsi" w:cstheme="minorHAnsi"/>
          <w:color w:val="C00000"/>
          <w:sz w:val="20"/>
          <w:szCs w:val="20"/>
          <w:u w:val="none"/>
          <w:vertAlign w:val="superscript"/>
        </w:rPr>
        <w:t>[85]</w:t>
      </w:r>
      <w:r w:rsidR="002D5A3B" w:rsidRPr="00F8503D">
        <w:rPr>
          <w:rStyle w:val="Hyperlink"/>
          <w:rFonts w:asciiTheme="minorHAnsi" w:eastAsiaTheme="majorEastAsia" w:hAnsiTheme="minorHAnsi" w:cstheme="minorHAnsi"/>
          <w:color w:val="000000" w:themeColor="text1"/>
          <w:sz w:val="20"/>
          <w:szCs w:val="20"/>
          <w:u w:val="none"/>
        </w:rPr>
        <w:t>.</w:t>
      </w:r>
      <w:r w:rsidRPr="00F8503D">
        <w:rPr>
          <w:rStyle w:val="Hyperlink"/>
          <w:rFonts w:asciiTheme="minorHAnsi" w:eastAsiaTheme="majorEastAsia" w:hAnsiTheme="minorHAnsi" w:cstheme="minorHAnsi"/>
          <w:color w:val="000000" w:themeColor="text1"/>
          <w:sz w:val="20"/>
          <w:szCs w:val="20"/>
          <w:u w:val="none"/>
        </w:rPr>
        <w:t xml:space="preserve"> </w:t>
      </w:r>
    </w:p>
    <w:p w:rsidR="002B7F58" w:rsidRDefault="002B7F58" w:rsidP="002B7F58">
      <w:pPr>
        <w:jc w:val="both"/>
        <w:rPr>
          <w:rStyle w:val="Hyperlink"/>
          <w:rFonts w:asciiTheme="minorHAnsi" w:eastAsiaTheme="majorEastAsia" w:hAnsiTheme="minorHAnsi" w:cstheme="minorHAnsi"/>
          <w:color w:val="000000" w:themeColor="text1"/>
          <w:sz w:val="20"/>
          <w:szCs w:val="20"/>
          <w:u w:val="none"/>
        </w:rPr>
      </w:pPr>
      <w:r w:rsidRPr="00F8503D">
        <w:rPr>
          <w:rStyle w:val="Hyperlink"/>
          <w:rFonts w:asciiTheme="minorHAnsi" w:eastAsiaTheme="majorEastAsia" w:hAnsiTheme="minorHAnsi" w:cstheme="minorHAnsi"/>
          <w:color w:val="000000" w:themeColor="text1"/>
          <w:sz w:val="20"/>
          <w:szCs w:val="20"/>
          <w:u w:val="none"/>
        </w:rPr>
        <w:t>Tuttavia, in una p</w:t>
      </w:r>
      <w:r w:rsidR="001506FA">
        <w:rPr>
          <w:rStyle w:val="Hyperlink"/>
          <w:rFonts w:asciiTheme="minorHAnsi" w:eastAsiaTheme="majorEastAsia" w:hAnsiTheme="minorHAnsi" w:cstheme="minorHAnsi"/>
          <w:color w:val="000000" w:themeColor="text1"/>
          <w:sz w:val="20"/>
          <w:szCs w:val="20"/>
          <w:u w:val="none"/>
        </w:rPr>
        <w:t>arte</w:t>
      </w:r>
      <w:r w:rsidRPr="00F8503D">
        <w:rPr>
          <w:rStyle w:val="Hyperlink"/>
          <w:rFonts w:asciiTheme="minorHAnsi" w:eastAsiaTheme="majorEastAsia" w:hAnsiTheme="minorHAnsi" w:cstheme="minorHAnsi"/>
          <w:color w:val="000000" w:themeColor="text1"/>
          <w:sz w:val="20"/>
          <w:szCs w:val="20"/>
          <w:u w:val="none"/>
        </w:rPr>
        <w:t xml:space="preserve"> di individui infetti, </w:t>
      </w:r>
      <w:r w:rsidR="007D092A" w:rsidRPr="00F8503D">
        <w:rPr>
          <w:rStyle w:val="Hyperlink"/>
          <w:rFonts w:asciiTheme="minorHAnsi" w:eastAsiaTheme="majorEastAsia" w:hAnsiTheme="minorHAnsi" w:cstheme="minorHAnsi"/>
          <w:color w:val="000000" w:themeColor="text1"/>
          <w:sz w:val="20"/>
          <w:szCs w:val="20"/>
          <w:u w:val="none"/>
        </w:rPr>
        <w:t xml:space="preserve">i virus </w:t>
      </w:r>
      <w:r w:rsidRPr="00F8503D">
        <w:rPr>
          <w:rStyle w:val="Hyperlink"/>
          <w:rFonts w:asciiTheme="minorHAnsi" w:eastAsiaTheme="majorEastAsia" w:hAnsiTheme="minorHAnsi" w:cstheme="minorHAnsi"/>
          <w:color w:val="000000" w:themeColor="text1"/>
          <w:sz w:val="20"/>
          <w:szCs w:val="20"/>
          <w:u w:val="none"/>
        </w:rPr>
        <w:t xml:space="preserve">SARS-CoV, MERS-CoV e probabilmente </w:t>
      </w:r>
      <w:r w:rsidR="007D092A" w:rsidRPr="00F8503D">
        <w:rPr>
          <w:rStyle w:val="Hyperlink"/>
          <w:rFonts w:asciiTheme="minorHAnsi" w:eastAsiaTheme="majorEastAsia" w:hAnsiTheme="minorHAnsi" w:cstheme="minorHAnsi"/>
          <w:color w:val="000000" w:themeColor="text1"/>
          <w:sz w:val="20"/>
          <w:szCs w:val="20"/>
          <w:u w:val="none"/>
        </w:rPr>
        <w:t>il</w:t>
      </w:r>
      <w:r w:rsidRPr="00F8503D">
        <w:rPr>
          <w:rStyle w:val="Hyperlink"/>
          <w:rFonts w:asciiTheme="minorHAnsi" w:eastAsiaTheme="majorEastAsia" w:hAnsiTheme="minorHAnsi" w:cstheme="minorHAnsi"/>
          <w:color w:val="000000" w:themeColor="text1"/>
          <w:sz w:val="20"/>
          <w:szCs w:val="20"/>
          <w:u w:val="none"/>
        </w:rPr>
        <w:t xml:space="preserve"> SARS-CoV2 eludono il riconoscimento </w:t>
      </w:r>
      <w:r w:rsidR="007D092A" w:rsidRPr="00F8503D">
        <w:rPr>
          <w:rStyle w:val="Hyperlink"/>
          <w:rFonts w:asciiTheme="minorHAnsi" w:eastAsiaTheme="majorEastAsia" w:hAnsiTheme="minorHAnsi" w:cstheme="minorHAnsi"/>
          <w:color w:val="000000" w:themeColor="text1"/>
          <w:sz w:val="20"/>
          <w:szCs w:val="20"/>
          <w:u w:val="none"/>
        </w:rPr>
        <w:t xml:space="preserve">da parte </w:t>
      </w:r>
      <w:r w:rsidRPr="00F8503D">
        <w:rPr>
          <w:rStyle w:val="Hyperlink"/>
          <w:rFonts w:asciiTheme="minorHAnsi" w:eastAsiaTheme="majorEastAsia" w:hAnsiTheme="minorHAnsi" w:cstheme="minorHAnsi"/>
          <w:color w:val="000000" w:themeColor="text1"/>
          <w:sz w:val="20"/>
          <w:szCs w:val="20"/>
          <w:u w:val="none"/>
        </w:rPr>
        <w:t xml:space="preserve">del sistema immunitario attraverso la soppressione di questi meccanismi, </w:t>
      </w:r>
      <w:r w:rsidR="007D092A" w:rsidRPr="00F8503D">
        <w:rPr>
          <w:rStyle w:val="Hyperlink"/>
          <w:rFonts w:asciiTheme="minorHAnsi" w:eastAsiaTheme="majorEastAsia" w:hAnsiTheme="minorHAnsi" w:cstheme="minorHAnsi"/>
          <w:color w:val="000000" w:themeColor="text1"/>
          <w:sz w:val="20"/>
          <w:szCs w:val="20"/>
          <w:u w:val="none"/>
        </w:rPr>
        <w:t>causando</w:t>
      </w:r>
      <w:r w:rsidRPr="00F8503D">
        <w:rPr>
          <w:rStyle w:val="Hyperlink"/>
          <w:rFonts w:asciiTheme="minorHAnsi" w:eastAsiaTheme="majorEastAsia" w:hAnsiTheme="minorHAnsi" w:cstheme="minorHAnsi"/>
          <w:color w:val="000000" w:themeColor="text1"/>
          <w:sz w:val="20"/>
          <w:szCs w:val="20"/>
          <w:u w:val="none"/>
        </w:rPr>
        <w:t xml:space="preserve"> patologie più gravi e prognosi peggior</w:t>
      </w:r>
      <w:r w:rsidR="002D5A3B" w:rsidRPr="00F8503D">
        <w:rPr>
          <w:rStyle w:val="Hyperlink"/>
          <w:rFonts w:asciiTheme="minorHAnsi" w:eastAsiaTheme="majorEastAsia" w:hAnsiTheme="minorHAnsi" w:cstheme="minorHAnsi"/>
          <w:color w:val="000000" w:themeColor="text1"/>
          <w:sz w:val="20"/>
          <w:szCs w:val="20"/>
          <w:u w:val="none"/>
        </w:rPr>
        <w:t>e</w:t>
      </w:r>
      <w:r w:rsidRPr="00F8503D">
        <w:rPr>
          <w:rStyle w:val="Hyperlink"/>
          <w:rFonts w:asciiTheme="minorHAnsi" w:eastAsiaTheme="majorEastAsia" w:hAnsiTheme="minorHAnsi" w:cstheme="minorHAnsi"/>
          <w:color w:val="000000" w:themeColor="text1"/>
          <w:sz w:val="20"/>
          <w:szCs w:val="20"/>
          <w:u w:val="none"/>
        </w:rPr>
        <w:t xml:space="preserve">. Nel loro insieme, </w:t>
      </w:r>
      <w:r w:rsidRPr="00FA400D">
        <w:rPr>
          <w:rStyle w:val="Hyperlink"/>
          <w:rFonts w:asciiTheme="minorHAnsi" w:eastAsiaTheme="majorEastAsia" w:hAnsiTheme="minorHAnsi" w:cstheme="minorHAnsi"/>
          <w:b/>
          <w:bCs/>
          <w:color w:val="000000" w:themeColor="text1"/>
          <w:sz w:val="20"/>
          <w:szCs w:val="20"/>
          <w:u w:val="none"/>
        </w:rPr>
        <w:t xml:space="preserve">la soppressione dei meccanismi immunitari innati nelle cellule epiteliali </w:t>
      </w:r>
      <w:r w:rsidR="007D092A" w:rsidRPr="00FA400D">
        <w:rPr>
          <w:rStyle w:val="Hyperlink"/>
          <w:rFonts w:asciiTheme="minorHAnsi" w:eastAsiaTheme="majorEastAsia" w:hAnsiTheme="minorHAnsi" w:cstheme="minorHAnsi"/>
          <w:b/>
          <w:bCs/>
          <w:color w:val="000000" w:themeColor="text1"/>
          <w:sz w:val="20"/>
          <w:szCs w:val="20"/>
          <w:u w:val="none"/>
        </w:rPr>
        <w:t xml:space="preserve">e </w:t>
      </w:r>
      <w:r w:rsidRPr="00FA400D">
        <w:rPr>
          <w:rStyle w:val="Hyperlink"/>
          <w:rFonts w:asciiTheme="minorHAnsi" w:eastAsiaTheme="majorEastAsia" w:hAnsiTheme="minorHAnsi" w:cstheme="minorHAnsi"/>
          <w:b/>
          <w:bCs/>
          <w:color w:val="000000" w:themeColor="text1"/>
          <w:sz w:val="20"/>
          <w:szCs w:val="20"/>
          <w:u w:val="none"/>
        </w:rPr>
        <w:t>nei monociti/macrofagi infett</w:t>
      </w:r>
      <w:r w:rsidR="007D092A" w:rsidRPr="00FA400D">
        <w:rPr>
          <w:rStyle w:val="Hyperlink"/>
          <w:rFonts w:asciiTheme="minorHAnsi" w:eastAsiaTheme="majorEastAsia" w:hAnsiTheme="minorHAnsi" w:cstheme="minorHAnsi"/>
          <w:b/>
          <w:bCs/>
          <w:color w:val="000000" w:themeColor="text1"/>
          <w:sz w:val="20"/>
          <w:szCs w:val="20"/>
          <w:u w:val="none"/>
        </w:rPr>
        <w:t>ati</w:t>
      </w:r>
      <w:r w:rsidRPr="00FA400D">
        <w:rPr>
          <w:rStyle w:val="Hyperlink"/>
          <w:rFonts w:asciiTheme="minorHAnsi" w:eastAsiaTheme="majorEastAsia" w:hAnsiTheme="minorHAnsi" w:cstheme="minorHAnsi"/>
          <w:b/>
          <w:bCs/>
          <w:color w:val="000000" w:themeColor="text1"/>
          <w:sz w:val="20"/>
          <w:szCs w:val="20"/>
          <w:u w:val="none"/>
        </w:rPr>
        <w:t xml:space="preserve"> consentono ai nuovi coronavirus di proliferare senza innescare il meccanismo di risposta antivirale innata in queste cellule</w:t>
      </w:r>
      <w:r w:rsidRPr="00F8503D">
        <w:rPr>
          <w:rStyle w:val="Hyperlink"/>
          <w:rFonts w:asciiTheme="minorHAnsi" w:eastAsiaTheme="majorEastAsia" w:hAnsiTheme="minorHAnsi" w:cstheme="minorHAnsi"/>
          <w:color w:val="000000" w:themeColor="text1"/>
          <w:sz w:val="20"/>
          <w:szCs w:val="20"/>
          <w:u w:val="none"/>
        </w:rPr>
        <w:t>.</w:t>
      </w:r>
    </w:p>
    <w:p w:rsidR="00594092" w:rsidRPr="00F8503D" w:rsidRDefault="00594092" w:rsidP="002B7F58">
      <w:pPr>
        <w:jc w:val="both"/>
        <w:rPr>
          <w:rStyle w:val="Hyperlink"/>
          <w:rFonts w:asciiTheme="minorHAnsi" w:eastAsiaTheme="majorEastAsia" w:hAnsiTheme="minorHAnsi" w:cstheme="minorHAnsi"/>
          <w:color w:val="000000" w:themeColor="text1"/>
          <w:sz w:val="20"/>
          <w:szCs w:val="20"/>
          <w:u w:val="none"/>
        </w:rPr>
      </w:pPr>
    </w:p>
    <w:p w:rsidR="007D092A" w:rsidRDefault="002B7F58" w:rsidP="002B7F58">
      <w:pPr>
        <w:jc w:val="both"/>
        <w:rPr>
          <w:rStyle w:val="Hyperlink"/>
          <w:rFonts w:asciiTheme="minorHAnsi" w:eastAsiaTheme="majorEastAsia" w:hAnsiTheme="minorHAnsi" w:cstheme="minorHAnsi"/>
          <w:color w:val="000000" w:themeColor="text1"/>
          <w:sz w:val="20"/>
          <w:szCs w:val="20"/>
          <w:u w:val="none"/>
        </w:rPr>
      </w:pPr>
      <w:r w:rsidRPr="00F8503D">
        <w:rPr>
          <w:rStyle w:val="Hyperlink"/>
          <w:rFonts w:asciiTheme="minorHAnsi" w:eastAsiaTheme="majorEastAsia" w:hAnsiTheme="minorHAnsi" w:cstheme="minorHAnsi"/>
          <w:color w:val="000000" w:themeColor="text1"/>
          <w:sz w:val="20"/>
          <w:szCs w:val="20"/>
          <w:u w:val="none"/>
        </w:rPr>
        <w:t xml:space="preserve">Tuttavia, </w:t>
      </w:r>
      <w:r w:rsidRPr="00FA400D">
        <w:rPr>
          <w:rStyle w:val="Hyperlink"/>
          <w:rFonts w:asciiTheme="minorHAnsi" w:eastAsiaTheme="majorEastAsia" w:hAnsiTheme="minorHAnsi" w:cstheme="minorHAnsi"/>
          <w:b/>
          <w:bCs/>
          <w:color w:val="000000" w:themeColor="text1"/>
          <w:sz w:val="20"/>
          <w:szCs w:val="20"/>
          <w:u w:val="none"/>
        </w:rPr>
        <w:t>in una fase successiva</w:t>
      </w:r>
      <w:r w:rsidRPr="00F8503D">
        <w:rPr>
          <w:rStyle w:val="Hyperlink"/>
          <w:rFonts w:asciiTheme="minorHAnsi" w:eastAsiaTheme="majorEastAsia" w:hAnsiTheme="minorHAnsi" w:cstheme="minorHAnsi"/>
          <w:color w:val="000000" w:themeColor="text1"/>
          <w:sz w:val="20"/>
          <w:szCs w:val="20"/>
          <w:u w:val="none"/>
        </w:rPr>
        <w:t xml:space="preserve">, </w:t>
      </w:r>
      <w:r w:rsidRPr="00FA400D">
        <w:rPr>
          <w:rStyle w:val="Hyperlink"/>
          <w:rFonts w:asciiTheme="minorHAnsi" w:eastAsiaTheme="majorEastAsia" w:hAnsiTheme="minorHAnsi" w:cstheme="minorHAnsi"/>
          <w:b/>
          <w:bCs/>
          <w:color w:val="000000" w:themeColor="text1"/>
          <w:sz w:val="20"/>
          <w:szCs w:val="20"/>
          <w:u w:val="none"/>
        </w:rPr>
        <w:t>le cellule infett</w:t>
      </w:r>
      <w:r w:rsidR="007D092A" w:rsidRPr="00FA400D">
        <w:rPr>
          <w:rStyle w:val="Hyperlink"/>
          <w:rFonts w:asciiTheme="minorHAnsi" w:eastAsiaTheme="majorEastAsia" w:hAnsiTheme="minorHAnsi" w:cstheme="minorHAnsi"/>
          <w:b/>
          <w:bCs/>
          <w:color w:val="000000" w:themeColor="text1"/>
          <w:sz w:val="20"/>
          <w:szCs w:val="20"/>
          <w:u w:val="none"/>
        </w:rPr>
        <w:t>at</w:t>
      </w:r>
      <w:r w:rsidRPr="00FA400D">
        <w:rPr>
          <w:rStyle w:val="Hyperlink"/>
          <w:rFonts w:asciiTheme="minorHAnsi" w:eastAsiaTheme="majorEastAsia" w:hAnsiTheme="minorHAnsi" w:cstheme="minorHAnsi"/>
          <w:b/>
          <w:bCs/>
          <w:color w:val="000000" w:themeColor="text1"/>
          <w:sz w:val="20"/>
          <w:szCs w:val="20"/>
          <w:u w:val="none"/>
        </w:rPr>
        <w:t>e subiscono la morte cellulare e rilasciano particelle di virus insieme a componenti intracellulari</w:t>
      </w:r>
      <w:r w:rsidRPr="00F8503D">
        <w:rPr>
          <w:rStyle w:val="Hyperlink"/>
          <w:rFonts w:asciiTheme="minorHAnsi" w:eastAsiaTheme="majorEastAsia" w:hAnsiTheme="minorHAnsi" w:cstheme="minorHAnsi"/>
          <w:color w:val="000000" w:themeColor="text1"/>
          <w:sz w:val="20"/>
          <w:szCs w:val="20"/>
          <w:u w:val="none"/>
        </w:rPr>
        <w:t xml:space="preserve"> che innescano meccanismi infiammatori innati attraverso il loro riconoscimento da parte dei PRR </w:t>
      </w:r>
      <w:r w:rsidR="007D092A" w:rsidRPr="00F8503D">
        <w:rPr>
          <w:rStyle w:val="Hyperlink"/>
          <w:rFonts w:asciiTheme="minorHAnsi" w:eastAsiaTheme="majorEastAsia" w:hAnsiTheme="minorHAnsi" w:cstheme="minorHAnsi"/>
          <w:color w:val="000000" w:themeColor="text1"/>
          <w:sz w:val="20"/>
          <w:szCs w:val="20"/>
          <w:u w:val="none"/>
        </w:rPr>
        <w:t xml:space="preserve">presenti </w:t>
      </w:r>
      <w:r w:rsidRPr="00F8503D">
        <w:rPr>
          <w:rStyle w:val="Hyperlink"/>
          <w:rFonts w:asciiTheme="minorHAnsi" w:eastAsiaTheme="majorEastAsia" w:hAnsiTheme="minorHAnsi" w:cstheme="minorHAnsi"/>
          <w:color w:val="000000" w:themeColor="text1"/>
          <w:sz w:val="20"/>
          <w:szCs w:val="20"/>
          <w:u w:val="none"/>
        </w:rPr>
        <w:t xml:space="preserve">nelle/sulle cellule immunitarie innate. </w:t>
      </w:r>
      <w:r w:rsidRPr="00FA400D">
        <w:rPr>
          <w:rStyle w:val="Hyperlink"/>
          <w:rFonts w:asciiTheme="minorHAnsi" w:eastAsiaTheme="majorEastAsia" w:hAnsiTheme="minorHAnsi" w:cstheme="minorHAnsi"/>
          <w:b/>
          <w:bCs/>
          <w:color w:val="000000" w:themeColor="text1"/>
          <w:sz w:val="20"/>
          <w:szCs w:val="20"/>
          <w:u w:val="none"/>
        </w:rPr>
        <w:t>Come risultato di questa attivazione immunitaria innata e della risultante espressione di citochine pro-infiammatorie (tra cui IL-1β, IL-6, TNF-α, ecc.), le cellule immunitarie adattative vengono coinvolte nella difesa dell'ospite contro le infezioni virali</w:t>
      </w:r>
      <w:r w:rsidRPr="00F8503D">
        <w:rPr>
          <w:rStyle w:val="Hyperlink"/>
          <w:rFonts w:asciiTheme="minorHAnsi" w:eastAsiaTheme="majorEastAsia" w:hAnsiTheme="minorHAnsi" w:cstheme="minorHAnsi"/>
          <w:color w:val="000000" w:themeColor="text1"/>
          <w:sz w:val="20"/>
          <w:szCs w:val="20"/>
          <w:u w:val="none"/>
        </w:rPr>
        <w:t xml:space="preserve">. </w:t>
      </w:r>
    </w:p>
    <w:p w:rsidR="00594092" w:rsidRPr="00F8503D" w:rsidRDefault="00594092" w:rsidP="002B7F58">
      <w:pPr>
        <w:jc w:val="both"/>
        <w:rPr>
          <w:rStyle w:val="Hyperlink"/>
          <w:rFonts w:asciiTheme="minorHAnsi" w:eastAsiaTheme="majorEastAsia" w:hAnsiTheme="minorHAnsi" w:cstheme="minorHAnsi"/>
          <w:color w:val="000000" w:themeColor="text1"/>
          <w:sz w:val="20"/>
          <w:szCs w:val="20"/>
          <w:u w:val="none"/>
        </w:rPr>
      </w:pPr>
    </w:p>
    <w:p w:rsidR="00FA400D" w:rsidRDefault="002B7F58" w:rsidP="002B7F58">
      <w:pPr>
        <w:jc w:val="both"/>
        <w:rPr>
          <w:rStyle w:val="Hyperlink"/>
          <w:rFonts w:asciiTheme="minorHAnsi" w:eastAsiaTheme="majorEastAsia" w:hAnsiTheme="minorHAnsi" w:cstheme="minorHAnsi"/>
          <w:color w:val="000000" w:themeColor="text1"/>
          <w:sz w:val="20"/>
          <w:szCs w:val="20"/>
          <w:u w:val="none"/>
        </w:rPr>
      </w:pPr>
      <w:r w:rsidRPr="00F8503D">
        <w:rPr>
          <w:rStyle w:val="Hyperlink"/>
          <w:rFonts w:asciiTheme="minorHAnsi" w:eastAsiaTheme="majorEastAsia" w:hAnsiTheme="minorHAnsi" w:cstheme="minorHAnsi"/>
          <w:color w:val="000000" w:themeColor="text1"/>
          <w:sz w:val="20"/>
          <w:szCs w:val="20"/>
          <w:u w:val="none"/>
        </w:rPr>
        <w:t xml:space="preserve">I </w:t>
      </w:r>
      <w:r w:rsidRPr="00FA400D">
        <w:rPr>
          <w:rStyle w:val="Hyperlink"/>
          <w:rFonts w:asciiTheme="minorHAnsi" w:eastAsiaTheme="majorEastAsia" w:hAnsiTheme="minorHAnsi" w:cstheme="minorHAnsi"/>
          <w:b/>
          <w:bCs/>
          <w:color w:val="000000" w:themeColor="text1"/>
          <w:sz w:val="20"/>
          <w:szCs w:val="20"/>
          <w:u w:val="none"/>
        </w:rPr>
        <w:t>linfociti T</w:t>
      </w:r>
      <w:r w:rsidRPr="00F8503D">
        <w:rPr>
          <w:rStyle w:val="Hyperlink"/>
          <w:rFonts w:asciiTheme="minorHAnsi" w:eastAsiaTheme="majorEastAsia" w:hAnsiTheme="minorHAnsi" w:cstheme="minorHAnsi"/>
          <w:color w:val="000000" w:themeColor="text1"/>
          <w:sz w:val="20"/>
          <w:szCs w:val="20"/>
          <w:u w:val="none"/>
        </w:rPr>
        <w:t xml:space="preserve"> </w:t>
      </w:r>
      <w:r w:rsidRPr="00FA400D">
        <w:rPr>
          <w:rStyle w:val="Hyperlink"/>
          <w:rFonts w:asciiTheme="minorHAnsi" w:eastAsiaTheme="majorEastAsia" w:hAnsiTheme="minorHAnsi" w:cstheme="minorHAnsi"/>
          <w:b/>
          <w:bCs/>
          <w:color w:val="000000" w:themeColor="text1"/>
          <w:sz w:val="20"/>
          <w:szCs w:val="20"/>
          <w:u w:val="none"/>
        </w:rPr>
        <w:t>svolgono un ruolo centrale</w:t>
      </w:r>
      <w:r w:rsidRPr="00F8503D">
        <w:rPr>
          <w:rStyle w:val="Hyperlink"/>
          <w:rFonts w:asciiTheme="minorHAnsi" w:eastAsiaTheme="majorEastAsia" w:hAnsiTheme="minorHAnsi" w:cstheme="minorHAnsi"/>
          <w:color w:val="000000" w:themeColor="text1"/>
          <w:sz w:val="20"/>
          <w:szCs w:val="20"/>
          <w:u w:val="none"/>
        </w:rPr>
        <w:t xml:space="preserve"> in questa risposta antivirale, attraverso </w:t>
      </w:r>
      <w:r w:rsidR="0027519F" w:rsidRPr="00F8503D">
        <w:rPr>
          <w:rStyle w:val="Hyperlink"/>
          <w:rFonts w:asciiTheme="minorHAnsi" w:eastAsiaTheme="majorEastAsia" w:hAnsiTheme="minorHAnsi" w:cstheme="minorHAnsi"/>
          <w:color w:val="000000" w:themeColor="text1"/>
          <w:sz w:val="20"/>
          <w:szCs w:val="20"/>
          <w:u w:val="none"/>
        </w:rPr>
        <w:t>la produzione del</w:t>
      </w:r>
      <w:r w:rsidRPr="00F8503D">
        <w:rPr>
          <w:rStyle w:val="Hyperlink"/>
          <w:rFonts w:asciiTheme="minorHAnsi" w:eastAsiaTheme="majorEastAsia" w:hAnsiTheme="minorHAnsi" w:cstheme="minorHAnsi"/>
          <w:color w:val="000000" w:themeColor="text1"/>
          <w:sz w:val="20"/>
          <w:szCs w:val="20"/>
          <w:u w:val="none"/>
        </w:rPr>
        <w:t>le citochine derivate dalle cellule T CD4</w:t>
      </w:r>
      <w:r w:rsidRPr="00F8503D">
        <w:rPr>
          <w:rStyle w:val="Hyperlink"/>
          <w:rFonts w:asciiTheme="minorHAnsi" w:eastAsiaTheme="majorEastAsia" w:hAnsiTheme="minorHAnsi" w:cstheme="minorHAnsi"/>
          <w:color w:val="000000" w:themeColor="text1"/>
          <w:sz w:val="20"/>
          <w:szCs w:val="20"/>
          <w:u w:val="none"/>
          <w:vertAlign w:val="superscript"/>
        </w:rPr>
        <w:t>+</w:t>
      </w:r>
      <w:r w:rsidRPr="00F8503D">
        <w:rPr>
          <w:rStyle w:val="Hyperlink"/>
          <w:rFonts w:asciiTheme="minorHAnsi" w:eastAsiaTheme="majorEastAsia" w:hAnsiTheme="minorHAnsi" w:cstheme="minorHAnsi"/>
          <w:color w:val="000000" w:themeColor="text1"/>
          <w:sz w:val="20"/>
          <w:szCs w:val="20"/>
          <w:u w:val="none"/>
        </w:rPr>
        <w:t>, la citotossicità mediata dalle cellule T CD8</w:t>
      </w:r>
      <w:r w:rsidRPr="00F8503D">
        <w:rPr>
          <w:rStyle w:val="Hyperlink"/>
          <w:rFonts w:asciiTheme="minorHAnsi" w:eastAsiaTheme="majorEastAsia" w:hAnsiTheme="minorHAnsi" w:cstheme="minorHAnsi"/>
          <w:color w:val="000000" w:themeColor="text1"/>
          <w:sz w:val="20"/>
          <w:szCs w:val="20"/>
          <w:u w:val="none"/>
          <w:vertAlign w:val="superscript"/>
        </w:rPr>
        <w:t>+</w:t>
      </w:r>
      <w:r w:rsidRPr="00F8503D">
        <w:rPr>
          <w:rStyle w:val="Hyperlink"/>
          <w:rFonts w:asciiTheme="minorHAnsi" w:eastAsiaTheme="majorEastAsia" w:hAnsiTheme="minorHAnsi" w:cstheme="minorHAnsi"/>
          <w:color w:val="000000" w:themeColor="text1"/>
          <w:sz w:val="20"/>
          <w:szCs w:val="20"/>
          <w:u w:val="none"/>
        </w:rPr>
        <w:t xml:space="preserve"> e l’attivazione delle cellule B con conseguente produzione di anticorpi. </w:t>
      </w:r>
      <w:r w:rsidR="002D5A3B" w:rsidRPr="00F8503D">
        <w:rPr>
          <w:rStyle w:val="FootnoteReference"/>
          <w:rFonts w:asciiTheme="minorHAnsi" w:eastAsiaTheme="majorEastAsia" w:hAnsiTheme="minorHAnsi" w:cstheme="minorHAnsi"/>
          <w:color w:val="000000" w:themeColor="text1"/>
          <w:sz w:val="20"/>
          <w:szCs w:val="20"/>
        </w:rPr>
        <w:footnoteReference w:id="68"/>
      </w:r>
      <w:r w:rsidR="002D5A3B" w:rsidRPr="00F8503D">
        <w:rPr>
          <w:rStyle w:val="Hyperlink"/>
          <w:rFonts w:asciiTheme="minorHAnsi" w:eastAsiaTheme="majorEastAsia" w:hAnsiTheme="minorHAnsi" w:cstheme="minorHAnsi"/>
          <w:color w:val="000000" w:themeColor="text1"/>
          <w:sz w:val="20"/>
          <w:szCs w:val="20"/>
          <w:u w:val="none"/>
          <w:vertAlign w:val="superscript"/>
        </w:rPr>
        <w:t xml:space="preserve"> </w:t>
      </w:r>
      <w:r w:rsidR="007D092A" w:rsidRPr="00F8503D">
        <w:rPr>
          <w:rStyle w:val="Hyperlink"/>
          <w:rFonts w:asciiTheme="minorHAnsi" w:eastAsiaTheme="majorEastAsia" w:hAnsiTheme="minorHAnsi" w:cstheme="minorHAnsi"/>
          <w:color w:val="000000" w:themeColor="text1"/>
          <w:sz w:val="20"/>
          <w:szCs w:val="20"/>
          <w:u w:val="none"/>
        </w:rPr>
        <w:t xml:space="preserve"> </w:t>
      </w:r>
    </w:p>
    <w:p w:rsidR="007D092A" w:rsidRPr="00F8503D" w:rsidRDefault="007D092A" w:rsidP="002B7F58">
      <w:pPr>
        <w:jc w:val="both"/>
        <w:rPr>
          <w:rStyle w:val="Hyperlink"/>
          <w:rFonts w:asciiTheme="minorHAnsi" w:eastAsiaTheme="majorEastAsia" w:hAnsiTheme="minorHAnsi" w:cstheme="minorHAnsi"/>
          <w:color w:val="000000" w:themeColor="text1"/>
          <w:sz w:val="20"/>
          <w:szCs w:val="20"/>
          <w:u w:val="none"/>
        </w:rPr>
      </w:pPr>
      <w:r w:rsidRPr="00F8503D">
        <w:rPr>
          <w:rStyle w:val="Hyperlink"/>
          <w:rFonts w:asciiTheme="minorHAnsi" w:eastAsiaTheme="majorEastAsia" w:hAnsiTheme="minorHAnsi" w:cstheme="minorHAnsi"/>
          <w:color w:val="000000" w:themeColor="text1"/>
          <w:sz w:val="20"/>
          <w:szCs w:val="20"/>
          <w:u w:val="none"/>
        </w:rPr>
        <w:t>Anche in questo caso, i coronavirus sono in grado di superare l’azione antivirale dei linfociti T inducendo la loro morte per apoptosi o l’esaurimento</w:t>
      </w:r>
      <w:r w:rsidR="002B7F58" w:rsidRPr="00F8503D">
        <w:rPr>
          <w:rStyle w:val="Hyperlink"/>
          <w:rFonts w:asciiTheme="minorHAnsi" w:eastAsiaTheme="majorEastAsia" w:hAnsiTheme="minorHAnsi" w:cstheme="minorHAnsi"/>
          <w:color w:val="000000" w:themeColor="text1"/>
          <w:sz w:val="20"/>
          <w:szCs w:val="20"/>
          <w:u w:val="none"/>
        </w:rPr>
        <w:t xml:space="preserve">. </w:t>
      </w:r>
    </w:p>
    <w:p w:rsidR="00FE6E3A" w:rsidRDefault="0027519F" w:rsidP="00A318B6">
      <w:pPr>
        <w:jc w:val="both"/>
        <w:rPr>
          <w:rFonts w:asciiTheme="minorHAnsi" w:hAnsiTheme="minorHAnsi" w:cstheme="minorHAnsi"/>
          <w:sz w:val="20"/>
          <w:szCs w:val="20"/>
        </w:rPr>
      </w:pPr>
      <w:r w:rsidRPr="00F8503D">
        <w:rPr>
          <w:rFonts w:asciiTheme="minorHAnsi" w:hAnsiTheme="minorHAnsi" w:cstheme="minorHAnsi"/>
          <w:sz w:val="20"/>
          <w:szCs w:val="20"/>
        </w:rPr>
        <w:t xml:space="preserve">Quando le </w:t>
      </w:r>
      <w:r w:rsidR="00A318B6" w:rsidRPr="00F8503D">
        <w:rPr>
          <w:rFonts w:asciiTheme="minorHAnsi" w:hAnsiTheme="minorHAnsi" w:cstheme="minorHAnsi"/>
          <w:sz w:val="20"/>
          <w:szCs w:val="20"/>
        </w:rPr>
        <w:t xml:space="preserve">cellule immunitarie adattative </w:t>
      </w:r>
      <w:r w:rsidRPr="00F8503D">
        <w:rPr>
          <w:rFonts w:asciiTheme="minorHAnsi" w:hAnsiTheme="minorHAnsi" w:cstheme="minorHAnsi"/>
          <w:sz w:val="20"/>
          <w:szCs w:val="20"/>
        </w:rPr>
        <w:t>si attivano,</w:t>
      </w:r>
      <w:r w:rsidR="00A318B6" w:rsidRPr="00F8503D">
        <w:rPr>
          <w:rFonts w:asciiTheme="minorHAnsi" w:hAnsiTheme="minorHAnsi" w:cstheme="minorHAnsi"/>
          <w:sz w:val="20"/>
          <w:szCs w:val="20"/>
        </w:rPr>
        <w:t xml:space="preserve"> innesca</w:t>
      </w:r>
      <w:r w:rsidRPr="00F8503D">
        <w:rPr>
          <w:rFonts w:asciiTheme="minorHAnsi" w:hAnsiTheme="minorHAnsi" w:cstheme="minorHAnsi"/>
          <w:sz w:val="20"/>
          <w:szCs w:val="20"/>
        </w:rPr>
        <w:t>no</w:t>
      </w:r>
      <w:r w:rsidR="00A318B6" w:rsidRPr="00F8503D">
        <w:rPr>
          <w:rFonts w:asciiTheme="minorHAnsi" w:hAnsiTheme="minorHAnsi" w:cstheme="minorHAnsi"/>
          <w:sz w:val="20"/>
          <w:szCs w:val="20"/>
        </w:rPr>
        <w:t xml:space="preserve"> una </w:t>
      </w:r>
      <w:r w:rsidR="00A318B6" w:rsidRPr="00FA400D">
        <w:rPr>
          <w:rFonts w:asciiTheme="minorHAnsi" w:hAnsiTheme="minorHAnsi" w:cstheme="minorHAnsi"/>
          <w:b/>
          <w:bCs/>
          <w:sz w:val="20"/>
          <w:szCs w:val="20"/>
        </w:rPr>
        <w:t>"seconda ondata" di infiammazione</w:t>
      </w:r>
      <w:r w:rsidRPr="00F8503D">
        <w:rPr>
          <w:rFonts w:asciiTheme="minorHAnsi" w:hAnsiTheme="minorHAnsi" w:cstheme="minorHAnsi"/>
          <w:sz w:val="20"/>
          <w:szCs w:val="20"/>
        </w:rPr>
        <w:t xml:space="preserve">, </w:t>
      </w:r>
      <w:r w:rsidRPr="00FA400D">
        <w:rPr>
          <w:rFonts w:asciiTheme="minorHAnsi" w:hAnsiTheme="minorHAnsi" w:cstheme="minorHAnsi"/>
          <w:b/>
          <w:bCs/>
          <w:sz w:val="20"/>
          <w:szCs w:val="20"/>
        </w:rPr>
        <w:t>che si può riscontrare nei</w:t>
      </w:r>
      <w:r w:rsidR="00A318B6" w:rsidRPr="00FA400D">
        <w:rPr>
          <w:rFonts w:asciiTheme="minorHAnsi" w:hAnsiTheme="minorHAnsi" w:cstheme="minorHAnsi"/>
          <w:b/>
          <w:bCs/>
          <w:sz w:val="20"/>
          <w:szCs w:val="20"/>
        </w:rPr>
        <w:t xml:space="preserve"> pazienti </w:t>
      </w:r>
      <w:r w:rsidRPr="00FA400D">
        <w:rPr>
          <w:rFonts w:asciiTheme="minorHAnsi" w:hAnsiTheme="minorHAnsi" w:cstheme="minorHAnsi"/>
          <w:b/>
          <w:bCs/>
          <w:sz w:val="20"/>
          <w:szCs w:val="20"/>
        </w:rPr>
        <w:t xml:space="preserve">COVID-19 </w:t>
      </w:r>
      <w:r w:rsidR="00A318B6" w:rsidRPr="00FA400D">
        <w:rPr>
          <w:rFonts w:asciiTheme="minorHAnsi" w:hAnsiTheme="minorHAnsi" w:cstheme="minorHAnsi"/>
          <w:b/>
          <w:bCs/>
          <w:sz w:val="20"/>
          <w:szCs w:val="20"/>
        </w:rPr>
        <w:t xml:space="preserve">che </w:t>
      </w:r>
      <w:r w:rsidRPr="00FA400D">
        <w:rPr>
          <w:rFonts w:asciiTheme="minorHAnsi" w:hAnsiTheme="minorHAnsi" w:cstheme="minorHAnsi"/>
          <w:b/>
          <w:bCs/>
          <w:sz w:val="20"/>
          <w:szCs w:val="20"/>
        </w:rPr>
        <w:t xml:space="preserve">peggiorano </w:t>
      </w:r>
      <w:r w:rsidR="00A318B6" w:rsidRPr="00FA400D">
        <w:rPr>
          <w:rFonts w:asciiTheme="minorHAnsi" w:hAnsiTheme="minorHAnsi" w:cstheme="minorHAnsi"/>
          <w:b/>
          <w:bCs/>
          <w:sz w:val="20"/>
          <w:szCs w:val="20"/>
        </w:rPr>
        <w:t>dopo 7-10 giorni di infezione</w:t>
      </w:r>
      <w:r w:rsidR="00A318B6" w:rsidRPr="00F8503D">
        <w:rPr>
          <w:rFonts w:asciiTheme="minorHAnsi" w:hAnsiTheme="minorHAnsi" w:cstheme="minorHAnsi"/>
          <w:sz w:val="20"/>
          <w:szCs w:val="20"/>
        </w:rPr>
        <w:t>. Meccanismi simili sono stati segnalati nell'influenza e in altre infezioni virali</w:t>
      </w:r>
      <w:r w:rsidR="0089530A" w:rsidRPr="00F8503D">
        <w:rPr>
          <w:rFonts w:asciiTheme="minorHAnsi" w:hAnsiTheme="minorHAnsi" w:cstheme="minorHAnsi"/>
          <w:sz w:val="20"/>
          <w:szCs w:val="20"/>
          <w:vertAlign w:val="superscript"/>
        </w:rPr>
        <w:t xml:space="preserve"> </w:t>
      </w:r>
      <w:r w:rsidR="00A318B6" w:rsidRPr="00F8503D">
        <w:rPr>
          <w:rStyle w:val="FootnoteReference"/>
          <w:rFonts w:asciiTheme="minorHAnsi" w:hAnsiTheme="minorHAnsi" w:cstheme="minorHAnsi"/>
          <w:sz w:val="20"/>
          <w:szCs w:val="20"/>
        </w:rPr>
        <w:footnoteReference w:id="69"/>
      </w:r>
      <w:r w:rsidR="00A318B6" w:rsidRPr="00F8503D">
        <w:rPr>
          <w:rFonts w:asciiTheme="minorHAnsi" w:hAnsiTheme="minorHAnsi" w:cstheme="minorHAnsi"/>
          <w:sz w:val="20"/>
          <w:szCs w:val="20"/>
        </w:rPr>
        <w:t xml:space="preserve">. </w:t>
      </w:r>
    </w:p>
    <w:p w:rsidR="00910431" w:rsidRPr="00F8503D" w:rsidRDefault="00910431" w:rsidP="00A318B6">
      <w:pPr>
        <w:jc w:val="both"/>
        <w:rPr>
          <w:rFonts w:asciiTheme="minorHAnsi" w:hAnsiTheme="minorHAnsi" w:cstheme="minorHAnsi"/>
          <w:sz w:val="20"/>
          <w:szCs w:val="20"/>
        </w:rPr>
      </w:pPr>
    </w:p>
    <w:p w:rsidR="00A318B6" w:rsidRPr="00F8503D" w:rsidRDefault="00A318B6" w:rsidP="00A318B6">
      <w:pPr>
        <w:jc w:val="both"/>
        <w:rPr>
          <w:rFonts w:asciiTheme="minorHAnsi" w:hAnsiTheme="minorHAnsi" w:cstheme="minorHAnsi"/>
          <w:sz w:val="20"/>
          <w:szCs w:val="20"/>
        </w:rPr>
      </w:pPr>
      <w:r w:rsidRPr="00F8503D">
        <w:rPr>
          <w:rFonts w:asciiTheme="minorHAnsi" w:hAnsiTheme="minorHAnsi" w:cstheme="minorHAnsi"/>
          <w:sz w:val="20"/>
          <w:szCs w:val="20"/>
        </w:rPr>
        <w:t xml:space="preserve">Complessivamente, i pazienti con COVID-19 gravemente malati che manifestano </w:t>
      </w:r>
      <w:r w:rsidR="0089530A" w:rsidRPr="00F8503D">
        <w:rPr>
          <w:rFonts w:asciiTheme="minorHAnsi" w:hAnsiTheme="minorHAnsi" w:cstheme="minorHAnsi"/>
          <w:sz w:val="20"/>
          <w:szCs w:val="20"/>
        </w:rPr>
        <w:t xml:space="preserve">la </w:t>
      </w:r>
      <w:r w:rsidRPr="00F8503D">
        <w:rPr>
          <w:rFonts w:asciiTheme="minorHAnsi" w:hAnsiTheme="minorHAnsi" w:cstheme="minorHAnsi"/>
          <w:sz w:val="20"/>
          <w:szCs w:val="20"/>
        </w:rPr>
        <w:t xml:space="preserve">tempesta di citochine presentano linfopenia e talvolta atrofia dei tessuti linfatici, </w:t>
      </w:r>
      <w:r w:rsidR="0089530A" w:rsidRPr="00F8503D">
        <w:rPr>
          <w:rFonts w:asciiTheme="minorHAnsi" w:hAnsiTheme="minorHAnsi" w:cstheme="minorHAnsi"/>
          <w:sz w:val="20"/>
          <w:szCs w:val="20"/>
        </w:rPr>
        <w:t>cioè</w:t>
      </w:r>
      <w:r w:rsidRPr="00F8503D">
        <w:rPr>
          <w:rFonts w:asciiTheme="minorHAnsi" w:hAnsiTheme="minorHAnsi" w:cstheme="minorHAnsi"/>
          <w:sz w:val="20"/>
          <w:szCs w:val="20"/>
        </w:rPr>
        <w:t xml:space="preserve"> linfonodi e milza. Ciò è in linea con le segnalazioni di forme primarie e secondarie di </w:t>
      </w:r>
      <w:r w:rsidRPr="00FA400D">
        <w:rPr>
          <w:rFonts w:asciiTheme="minorHAnsi" w:hAnsiTheme="minorHAnsi" w:cstheme="minorHAnsi"/>
          <w:b/>
          <w:bCs/>
          <w:sz w:val="20"/>
          <w:szCs w:val="20"/>
        </w:rPr>
        <w:t>linfoistiocitosi emofagocitica</w:t>
      </w:r>
      <w:r w:rsidRPr="00F8503D">
        <w:rPr>
          <w:rFonts w:asciiTheme="minorHAnsi" w:hAnsiTheme="minorHAnsi" w:cstheme="minorHAnsi"/>
          <w:sz w:val="20"/>
          <w:szCs w:val="20"/>
        </w:rPr>
        <w:t xml:space="preserve"> (HLH) e </w:t>
      </w:r>
      <w:r w:rsidRPr="00FA400D">
        <w:rPr>
          <w:rFonts w:asciiTheme="minorHAnsi" w:hAnsiTheme="minorHAnsi" w:cstheme="minorHAnsi"/>
          <w:b/>
          <w:bCs/>
          <w:sz w:val="20"/>
          <w:szCs w:val="20"/>
        </w:rPr>
        <w:t>tempesta di citochine</w:t>
      </w:r>
      <w:r w:rsidRPr="00F8503D">
        <w:rPr>
          <w:rFonts w:asciiTheme="minorHAnsi" w:hAnsiTheme="minorHAnsi" w:cstheme="minorHAnsi"/>
          <w:sz w:val="20"/>
          <w:szCs w:val="20"/>
        </w:rPr>
        <w:t xml:space="preserve"> associate, che provocano morte cellulare </w:t>
      </w:r>
      <w:r w:rsidR="0027519F" w:rsidRPr="00F8503D">
        <w:rPr>
          <w:rFonts w:asciiTheme="minorHAnsi" w:hAnsiTheme="minorHAnsi" w:cstheme="minorHAnsi"/>
          <w:sz w:val="20"/>
          <w:szCs w:val="20"/>
        </w:rPr>
        <w:t xml:space="preserve">su base </w:t>
      </w:r>
      <w:r w:rsidRPr="00F8503D">
        <w:rPr>
          <w:rFonts w:asciiTheme="minorHAnsi" w:hAnsiTheme="minorHAnsi" w:cstheme="minorHAnsi"/>
          <w:sz w:val="20"/>
          <w:szCs w:val="20"/>
        </w:rPr>
        <w:t>infiammatoria e ipo-cellularità degli organi linfatici</w:t>
      </w:r>
      <w:r w:rsidR="0089530A" w:rsidRPr="00F8503D">
        <w:rPr>
          <w:rFonts w:asciiTheme="minorHAnsi" w:hAnsiTheme="minorHAnsi" w:cstheme="minorHAnsi"/>
          <w:sz w:val="20"/>
          <w:szCs w:val="20"/>
        </w:rPr>
        <w:t>.</w:t>
      </w:r>
    </w:p>
    <w:p w:rsidR="00A318B6" w:rsidRPr="00717D4D" w:rsidRDefault="00A318B6" w:rsidP="00A318B6">
      <w:pPr>
        <w:jc w:val="both"/>
        <w:rPr>
          <w:rFonts w:asciiTheme="minorHAnsi" w:hAnsiTheme="minorHAnsi" w:cstheme="minorHAnsi"/>
          <w:sz w:val="16"/>
          <w:szCs w:val="16"/>
        </w:rPr>
      </w:pPr>
    </w:p>
    <w:p w:rsidR="00A318B6" w:rsidRDefault="00A318B6" w:rsidP="00A318B6">
      <w:pPr>
        <w:jc w:val="center"/>
        <w:rPr>
          <w:rFonts w:asciiTheme="minorHAnsi" w:hAnsiTheme="minorHAnsi"/>
        </w:rPr>
      </w:pPr>
      <w:r w:rsidRPr="00717D4D">
        <w:rPr>
          <w:rFonts w:asciiTheme="minorHAnsi" w:hAnsiTheme="minorHAnsi"/>
        </w:rPr>
        <w:lastRenderedPageBreak/>
        <w:fldChar w:fldCharType="begin"/>
      </w:r>
      <w:r w:rsidRPr="00717D4D">
        <w:rPr>
          <w:rFonts w:asciiTheme="minorHAnsi" w:hAnsiTheme="minorHAnsi"/>
        </w:rPr>
        <w:instrText xml:space="preserve"> INCLUDEPICTURE "/var/folders/ry/zkbp25750px6mrgwpjggxk0m0000gn/T/com.microsoft.Word/WebArchiveCopyPasteTempFiles/nihms880362f1.jpg" \* MERGEFORMATINET </w:instrText>
      </w:r>
      <w:r w:rsidRPr="00717D4D">
        <w:rPr>
          <w:rFonts w:asciiTheme="minorHAnsi" w:hAnsiTheme="minorHAnsi"/>
        </w:rPr>
        <w:fldChar w:fldCharType="separate"/>
      </w:r>
      <w:r w:rsidRPr="00717D4D">
        <w:rPr>
          <w:rFonts w:asciiTheme="minorHAnsi" w:hAnsiTheme="minorHAnsi"/>
          <w:noProof/>
        </w:rPr>
        <w:drawing>
          <wp:inline distT="0" distB="0" distL="0" distR="0" wp14:anchorId="0A84E60A" wp14:editId="2779D1F8">
            <wp:extent cx="4028079" cy="4547062"/>
            <wp:effectExtent l="0" t="0" r="0" b="0"/>
            <wp:docPr id="28" name="Immagine 28" descr="An external file that holds a picture, illustration, etc.&#10;Object name is nihms88036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external file that holds a picture, illustration, etc.&#10;Object name is nihms880362f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8671" cy="4762210"/>
                    </a:xfrm>
                    <a:prstGeom prst="rect">
                      <a:avLst/>
                    </a:prstGeom>
                    <a:noFill/>
                    <a:ln>
                      <a:noFill/>
                    </a:ln>
                  </pic:spPr>
                </pic:pic>
              </a:graphicData>
            </a:graphic>
          </wp:inline>
        </w:drawing>
      </w:r>
      <w:r w:rsidRPr="00717D4D">
        <w:rPr>
          <w:rFonts w:asciiTheme="minorHAnsi" w:hAnsiTheme="minorHAnsi"/>
        </w:rPr>
        <w:fldChar w:fldCharType="end"/>
      </w:r>
    </w:p>
    <w:p w:rsidR="001D7829" w:rsidRPr="00717D4D" w:rsidRDefault="001D7829" w:rsidP="00A318B6">
      <w:pPr>
        <w:jc w:val="center"/>
        <w:rPr>
          <w:rFonts w:asciiTheme="minorHAnsi" w:hAnsiTheme="minorHAnsi"/>
        </w:rPr>
      </w:pPr>
    </w:p>
    <w:p w:rsidR="00A318B6" w:rsidRPr="001D7829" w:rsidRDefault="00A318B6" w:rsidP="001D7829">
      <w:pPr>
        <w:shd w:val="clear" w:color="auto" w:fill="F2F2F2" w:themeFill="background1" w:themeFillShade="F2"/>
        <w:jc w:val="both"/>
        <w:rPr>
          <w:rFonts w:asciiTheme="minorHAnsi" w:hAnsiTheme="minorHAnsi" w:cstheme="minorHAnsi"/>
          <w:color w:val="000000" w:themeColor="text1"/>
          <w:sz w:val="18"/>
          <w:szCs w:val="18"/>
        </w:rPr>
      </w:pPr>
      <w:r w:rsidRPr="001D7829">
        <w:rPr>
          <w:rFonts w:asciiTheme="minorHAnsi" w:hAnsiTheme="minorHAnsi" w:cstheme="minorHAnsi"/>
          <w:color w:val="000000" w:themeColor="text1"/>
          <w:sz w:val="18"/>
          <w:szCs w:val="18"/>
        </w:rPr>
        <w:t xml:space="preserve">Tratta da </w:t>
      </w:r>
      <w:hyperlink r:id="rId86" w:history="1">
        <w:r w:rsidRPr="001D7829">
          <w:rPr>
            <w:rStyle w:val="Hyperlink"/>
            <w:rFonts w:asciiTheme="minorHAnsi" w:hAnsiTheme="minorHAnsi" w:cstheme="minorHAnsi"/>
            <w:color w:val="000000" w:themeColor="text1"/>
            <w:sz w:val="18"/>
            <w:szCs w:val="18"/>
            <w:u w:val="none"/>
          </w:rPr>
          <w:t>https://www.ncbi.nlm.nih.gov/pmc/articles/PMC5580809/pdf/nihms880362.pdf</w:t>
        </w:r>
      </w:hyperlink>
    </w:p>
    <w:p w:rsidR="00A318B6" w:rsidRPr="001D7829" w:rsidRDefault="00A318B6" w:rsidP="001D7829">
      <w:pPr>
        <w:shd w:val="clear" w:color="auto" w:fill="F2F2F2" w:themeFill="background1" w:themeFillShade="F2"/>
        <w:jc w:val="both"/>
        <w:rPr>
          <w:rFonts w:asciiTheme="minorHAnsi" w:hAnsiTheme="minorHAnsi" w:cstheme="minorHAnsi"/>
          <w:sz w:val="18"/>
          <w:szCs w:val="18"/>
        </w:rPr>
      </w:pPr>
      <w:r w:rsidRPr="001D7829">
        <w:rPr>
          <w:rFonts w:asciiTheme="minorHAnsi" w:hAnsiTheme="minorHAnsi" w:cstheme="minorHAnsi"/>
          <w:b/>
          <w:bCs/>
          <w:sz w:val="18"/>
          <w:szCs w:val="18"/>
        </w:rPr>
        <w:t>Segregazione spaziale e temporale della produzione di citochine dopo l'infezione influenzale</w:t>
      </w:r>
    </w:p>
    <w:p w:rsidR="00A318B6" w:rsidRPr="001D7829" w:rsidRDefault="00A318B6" w:rsidP="001D7829">
      <w:pPr>
        <w:shd w:val="clear" w:color="auto" w:fill="F2F2F2" w:themeFill="background1" w:themeFillShade="F2"/>
        <w:jc w:val="both"/>
        <w:rPr>
          <w:rFonts w:asciiTheme="minorHAnsi" w:hAnsiTheme="minorHAnsi" w:cstheme="minorHAnsi"/>
          <w:sz w:val="18"/>
          <w:szCs w:val="18"/>
        </w:rPr>
      </w:pPr>
      <w:r w:rsidRPr="001D7829">
        <w:rPr>
          <w:rFonts w:asciiTheme="minorHAnsi" w:hAnsiTheme="minorHAnsi" w:cstheme="minorHAnsi"/>
          <w:sz w:val="18"/>
          <w:szCs w:val="18"/>
        </w:rPr>
        <w:t>Dopo l'internalizzazione in cellule epiteliali, il virus dell'influenza può essere rilevato da sensori immunitari innati e innescare risposte immunitarie a valle, compresa l'enorme produzione di citochine, a volte chiamata "tempesta di citochine". Le citochine indotte direttamente in una cellula infettata da virus rispetto a quelle a valle di altre segnalazioni di citochine possono essere segregate rispettivamente come citochine primarie e citochine secondarie. Nell'onda</w:t>
      </w:r>
      <w:r w:rsidR="00FA400D" w:rsidRPr="001D7829">
        <w:rPr>
          <w:rFonts w:asciiTheme="minorHAnsi" w:hAnsiTheme="minorHAnsi" w:cstheme="minorHAnsi"/>
          <w:sz w:val="18"/>
          <w:szCs w:val="18"/>
        </w:rPr>
        <w:t>ta</w:t>
      </w:r>
      <w:r w:rsidRPr="001D7829">
        <w:rPr>
          <w:rFonts w:asciiTheme="minorHAnsi" w:hAnsiTheme="minorHAnsi" w:cstheme="minorHAnsi"/>
          <w:sz w:val="18"/>
          <w:szCs w:val="18"/>
        </w:rPr>
        <w:t xml:space="preserve"> primaria di citochine, le cellule epiteliali, endoteliali e altre cellule immunitarie polmonari infettate dal virus producono IFN di tipo I e III, IL-1β, IL-18, TNF-α, IL-6, IL-33 e altre citochine, allo scopo di limitare la replicazione e la diffusione virale e avviare risposte immunitarie a valle (pannello inferiore). A seguito del loro reclutamento e attivazione da parte delle citochine primarie, le cellule T CD8, le cellule NK, le cellule ILC2, Treg e Th2 possono secernere le citochine secondarie IFN-γ, IL-10, anfiregulina e IL-5 per eliminare il virus e le cellule infettate, smorzare l'infiammazione e ripristinare la funzionalità polmonare (pannello superiore).</w:t>
      </w:r>
    </w:p>
    <w:p w:rsidR="001D7829" w:rsidRDefault="001D7829" w:rsidP="00FA15F5">
      <w:pPr>
        <w:pStyle w:val="Heading3"/>
        <w:jc w:val="center"/>
        <w:rPr>
          <w:rFonts w:asciiTheme="minorHAnsi" w:hAnsiTheme="minorHAnsi" w:cstheme="minorHAnsi"/>
          <w:color w:val="C00000"/>
          <w:sz w:val="22"/>
          <w:szCs w:val="22"/>
        </w:rPr>
      </w:pPr>
      <w:bookmarkStart w:id="51" w:name="_Toc42364934"/>
      <w:bookmarkStart w:id="52" w:name="_Toc42365847"/>
      <w:bookmarkStart w:id="53" w:name="_Toc43342385"/>
    </w:p>
    <w:p w:rsidR="001D7829" w:rsidRDefault="001D7829" w:rsidP="00FA15F5">
      <w:pPr>
        <w:pStyle w:val="Heading3"/>
        <w:jc w:val="center"/>
        <w:rPr>
          <w:rFonts w:asciiTheme="minorHAnsi" w:hAnsiTheme="minorHAnsi" w:cstheme="minorHAnsi"/>
          <w:color w:val="C00000"/>
          <w:sz w:val="22"/>
          <w:szCs w:val="22"/>
        </w:rPr>
      </w:pPr>
    </w:p>
    <w:p w:rsidR="001D7829" w:rsidRDefault="001D7829" w:rsidP="00FA15F5">
      <w:pPr>
        <w:pStyle w:val="Heading3"/>
        <w:jc w:val="center"/>
        <w:rPr>
          <w:rFonts w:asciiTheme="minorHAnsi" w:hAnsiTheme="minorHAnsi" w:cstheme="minorHAnsi"/>
          <w:color w:val="C00000"/>
          <w:sz w:val="22"/>
          <w:szCs w:val="22"/>
        </w:rPr>
      </w:pPr>
    </w:p>
    <w:p w:rsidR="001D7829" w:rsidRDefault="001D7829" w:rsidP="00FA15F5">
      <w:pPr>
        <w:pStyle w:val="Heading3"/>
        <w:jc w:val="center"/>
        <w:rPr>
          <w:rFonts w:asciiTheme="minorHAnsi" w:hAnsiTheme="minorHAnsi" w:cstheme="minorHAnsi"/>
          <w:color w:val="C00000"/>
          <w:sz w:val="22"/>
          <w:szCs w:val="22"/>
        </w:rPr>
      </w:pPr>
    </w:p>
    <w:p w:rsidR="001D7829" w:rsidRDefault="001D7829" w:rsidP="00FA15F5">
      <w:pPr>
        <w:pStyle w:val="Heading3"/>
        <w:jc w:val="center"/>
        <w:rPr>
          <w:rFonts w:asciiTheme="minorHAnsi" w:hAnsiTheme="minorHAnsi" w:cstheme="minorHAnsi"/>
          <w:color w:val="C00000"/>
          <w:sz w:val="22"/>
          <w:szCs w:val="22"/>
        </w:rPr>
      </w:pPr>
    </w:p>
    <w:p w:rsidR="001D7829" w:rsidRDefault="001D7829" w:rsidP="00FA15F5">
      <w:pPr>
        <w:pStyle w:val="Heading3"/>
        <w:jc w:val="center"/>
        <w:rPr>
          <w:rFonts w:asciiTheme="minorHAnsi" w:hAnsiTheme="minorHAnsi" w:cstheme="minorHAnsi"/>
          <w:color w:val="C00000"/>
          <w:sz w:val="22"/>
          <w:szCs w:val="22"/>
        </w:rPr>
      </w:pPr>
    </w:p>
    <w:p w:rsidR="001D7829" w:rsidRDefault="001D7829" w:rsidP="00FA15F5">
      <w:pPr>
        <w:pStyle w:val="Heading3"/>
        <w:jc w:val="center"/>
        <w:rPr>
          <w:rFonts w:asciiTheme="minorHAnsi" w:hAnsiTheme="minorHAnsi" w:cstheme="minorHAnsi"/>
          <w:color w:val="C00000"/>
          <w:sz w:val="22"/>
          <w:szCs w:val="22"/>
        </w:rPr>
      </w:pPr>
    </w:p>
    <w:p w:rsidR="00C1240B" w:rsidRPr="001D7829" w:rsidRDefault="0027519F" w:rsidP="001D7829">
      <w:pPr>
        <w:pStyle w:val="Heading3"/>
        <w:shd w:val="clear" w:color="auto" w:fill="E2EFD9" w:themeFill="accent6" w:themeFillTint="33"/>
        <w:jc w:val="center"/>
        <w:rPr>
          <w:rFonts w:asciiTheme="minorHAnsi" w:hAnsiTheme="minorHAnsi" w:cstheme="minorHAnsi"/>
          <w:color w:val="C00000"/>
          <w:sz w:val="24"/>
          <w:szCs w:val="24"/>
        </w:rPr>
      </w:pPr>
      <w:r w:rsidRPr="001D7829">
        <w:rPr>
          <w:rFonts w:asciiTheme="minorHAnsi" w:hAnsiTheme="minorHAnsi" w:cstheme="minorHAnsi"/>
          <w:color w:val="C00000"/>
          <w:sz w:val="24"/>
          <w:szCs w:val="24"/>
        </w:rPr>
        <w:lastRenderedPageBreak/>
        <w:t xml:space="preserve">Sottotipi </w:t>
      </w:r>
      <w:r w:rsidR="0027549A" w:rsidRPr="001D7829">
        <w:rPr>
          <w:rFonts w:asciiTheme="minorHAnsi" w:hAnsiTheme="minorHAnsi" w:cstheme="minorHAnsi"/>
          <w:color w:val="C00000"/>
          <w:sz w:val="24"/>
          <w:szCs w:val="24"/>
        </w:rPr>
        <w:t>d</w:t>
      </w:r>
      <w:r w:rsidRPr="001D7829">
        <w:rPr>
          <w:rFonts w:asciiTheme="minorHAnsi" w:hAnsiTheme="minorHAnsi" w:cstheme="minorHAnsi"/>
          <w:color w:val="C00000"/>
          <w:sz w:val="24"/>
          <w:szCs w:val="24"/>
        </w:rPr>
        <w:t>ella sindrome da tempesta di citochine</w:t>
      </w:r>
      <w:bookmarkEnd w:id="51"/>
      <w:bookmarkEnd w:id="52"/>
      <w:bookmarkEnd w:id="53"/>
    </w:p>
    <w:p w:rsidR="00CD6278" w:rsidRDefault="00CD6278" w:rsidP="00CD6278">
      <w:pPr>
        <w:jc w:val="both"/>
        <w:rPr>
          <w:rFonts w:asciiTheme="minorHAnsi" w:hAnsiTheme="minorHAnsi" w:cstheme="minorHAnsi"/>
          <w:sz w:val="20"/>
          <w:szCs w:val="20"/>
        </w:rPr>
      </w:pPr>
      <w:r w:rsidRPr="00FA400D">
        <w:rPr>
          <w:rFonts w:asciiTheme="minorHAnsi" w:hAnsiTheme="minorHAnsi" w:cstheme="minorHAnsi"/>
          <w:sz w:val="20"/>
          <w:szCs w:val="20"/>
        </w:rPr>
        <w:t xml:space="preserve">Come già visto, ad oggi sono stati osservati tre fenotipi nei pazienti COVID-19, che indicano tre fasi della progressione e dell'estensione dell'infezione: </w:t>
      </w:r>
    </w:p>
    <w:p w:rsidR="001D7829" w:rsidRPr="00FA400D" w:rsidRDefault="001D7829" w:rsidP="00CD6278">
      <w:pPr>
        <w:jc w:val="both"/>
        <w:rPr>
          <w:rFonts w:asciiTheme="minorHAnsi" w:hAnsiTheme="minorHAnsi" w:cstheme="minorHAnsi"/>
          <w:sz w:val="20"/>
          <w:szCs w:val="20"/>
        </w:rPr>
      </w:pPr>
    </w:p>
    <w:p w:rsidR="00CD6278" w:rsidRPr="00FA400D" w:rsidRDefault="00CD6278" w:rsidP="001D7829">
      <w:pPr>
        <w:pStyle w:val="ListParagraph"/>
        <w:numPr>
          <w:ilvl w:val="0"/>
          <w:numId w:val="1"/>
        </w:numPr>
        <w:shd w:val="clear" w:color="auto" w:fill="FBF9E1"/>
        <w:ind w:left="284" w:hanging="284"/>
        <w:jc w:val="both"/>
        <w:rPr>
          <w:rFonts w:asciiTheme="minorHAnsi" w:hAnsiTheme="minorHAnsi" w:cstheme="minorHAnsi"/>
          <w:sz w:val="20"/>
          <w:szCs w:val="20"/>
        </w:rPr>
      </w:pPr>
      <w:r w:rsidRPr="00FA400D">
        <w:rPr>
          <w:rFonts w:asciiTheme="minorHAnsi" w:hAnsiTheme="minorHAnsi" w:cstheme="minorHAnsi"/>
          <w:b/>
          <w:bCs/>
          <w:sz w:val="20"/>
          <w:szCs w:val="20"/>
        </w:rPr>
        <w:t>"lieve"</w:t>
      </w:r>
      <w:r w:rsidRPr="00FA400D">
        <w:rPr>
          <w:rFonts w:asciiTheme="minorHAnsi" w:hAnsiTheme="minorHAnsi" w:cstheme="minorHAnsi"/>
          <w:sz w:val="20"/>
          <w:szCs w:val="20"/>
        </w:rPr>
        <w:t xml:space="preserve"> (infezione benigna: 80%) nei pazienti con sintomi minori e non specifici che non progrediscono verso un più grave patologia; </w:t>
      </w:r>
    </w:p>
    <w:p w:rsidR="00CD6278" w:rsidRPr="00FA400D" w:rsidRDefault="00CD6278" w:rsidP="001D7829">
      <w:pPr>
        <w:pStyle w:val="ListParagraph"/>
        <w:numPr>
          <w:ilvl w:val="0"/>
          <w:numId w:val="1"/>
        </w:numPr>
        <w:shd w:val="clear" w:color="auto" w:fill="FBF9E1"/>
        <w:ind w:left="284" w:hanging="284"/>
        <w:jc w:val="both"/>
        <w:rPr>
          <w:rFonts w:asciiTheme="minorHAnsi" w:hAnsiTheme="minorHAnsi" w:cstheme="minorHAnsi"/>
          <w:sz w:val="20"/>
          <w:szCs w:val="20"/>
        </w:rPr>
      </w:pPr>
      <w:r w:rsidRPr="00380790">
        <w:rPr>
          <w:rFonts w:asciiTheme="minorHAnsi" w:hAnsiTheme="minorHAnsi" w:cstheme="minorHAnsi"/>
          <w:b/>
          <w:bCs/>
          <w:sz w:val="20"/>
          <w:szCs w:val="20"/>
        </w:rPr>
        <w:t xml:space="preserve">“moderato” </w:t>
      </w:r>
      <w:r w:rsidRPr="00FA400D">
        <w:rPr>
          <w:rFonts w:asciiTheme="minorHAnsi" w:hAnsiTheme="minorHAnsi" w:cstheme="minorHAnsi"/>
          <w:sz w:val="20"/>
          <w:szCs w:val="20"/>
        </w:rPr>
        <w:t>(polmonite conclamata con o senza ipossia e infiammazione localizzata: 15%) in pazienti che necessitano di ricovero</w:t>
      </w:r>
    </w:p>
    <w:p w:rsidR="007C2192" w:rsidRPr="00FA400D" w:rsidRDefault="00CD6278" w:rsidP="001D7829">
      <w:pPr>
        <w:pStyle w:val="ListParagraph"/>
        <w:numPr>
          <w:ilvl w:val="0"/>
          <w:numId w:val="1"/>
        </w:numPr>
        <w:shd w:val="clear" w:color="auto" w:fill="FBF9E1"/>
        <w:ind w:left="284" w:hanging="284"/>
        <w:jc w:val="both"/>
        <w:rPr>
          <w:rFonts w:asciiTheme="minorHAnsi" w:hAnsiTheme="minorHAnsi" w:cstheme="minorHAnsi"/>
          <w:sz w:val="20"/>
          <w:szCs w:val="20"/>
        </w:rPr>
      </w:pPr>
      <w:r w:rsidRPr="00380790">
        <w:rPr>
          <w:rFonts w:asciiTheme="minorHAnsi" w:hAnsiTheme="minorHAnsi" w:cstheme="minorHAnsi"/>
          <w:b/>
          <w:bCs/>
          <w:sz w:val="20"/>
          <w:szCs w:val="20"/>
        </w:rPr>
        <w:t xml:space="preserve"> “grave”</w:t>
      </w:r>
      <w:r w:rsidRPr="00FA400D">
        <w:rPr>
          <w:rFonts w:asciiTheme="minorHAnsi" w:hAnsiTheme="minorHAnsi" w:cstheme="minorHAnsi"/>
          <w:sz w:val="20"/>
          <w:szCs w:val="20"/>
        </w:rPr>
        <w:t xml:space="preserve"> (iperinfiammazione sistemica e ARDS (sindrome da distress respiratorio acuto: 5%) nei pazienti che richiedono una gestione delle cure critiche e a rischio di esito fatale (1-2%)</w:t>
      </w:r>
    </w:p>
    <w:p w:rsidR="00CD6278" w:rsidRPr="00FA400D" w:rsidRDefault="00CD6278" w:rsidP="00CD6278">
      <w:pPr>
        <w:pStyle w:val="ListParagraph"/>
        <w:ind w:left="284"/>
        <w:jc w:val="both"/>
        <w:rPr>
          <w:rFonts w:asciiTheme="minorHAnsi" w:hAnsiTheme="minorHAnsi" w:cstheme="minorHAnsi"/>
          <w:sz w:val="20"/>
          <w:szCs w:val="20"/>
        </w:rPr>
      </w:pPr>
    </w:p>
    <w:p w:rsidR="007C2192" w:rsidRPr="00FA400D" w:rsidRDefault="00CD6278" w:rsidP="00CD6278">
      <w:pPr>
        <w:jc w:val="both"/>
        <w:rPr>
          <w:rFonts w:asciiTheme="minorHAnsi" w:hAnsiTheme="minorHAnsi" w:cstheme="minorHAnsi"/>
          <w:sz w:val="20"/>
          <w:szCs w:val="20"/>
        </w:rPr>
      </w:pPr>
      <w:r w:rsidRPr="00FA400D">
        <w:rPr>
          <w:rFonts w:asciiTheme="minorHAnsi" w:hAnsiTheme="minorHAnsi" w:cstheme="minorHAnsi"/>
          <w:sz w:val="20"/>
          <w:szCs w:val="20"/>
        </w:rPr>
        <w:t xml:space="preserve">Con il progredire della pandemia, la fisiopatologia di COVID-19 sta diventando più chiara e il potenziale di interventi terapeutici differenziati è aumentato. </w:t>
      </w:r>
      <w:r w:rsidR="00380790" w:rsidRPr="00FA400D">
        <w:rPr>
          <w:rFonts w:asciiTheme="minorHAnsi" w:hAnsiTheme="minorHAnsi" w:cstheme="minorHAnsi"/>
          <w:sz w:val="20"/>
          <w:szCs w:val="20"/>
        </w:rPr>
        <w:t>È</w:t>
      </w:r>
      <w:r w:rsidRPr="00FA400D">
        <w:rPr>
          <w:rFonts w:asciiTheme="minorHAnsi" w:hAnsiTheme="minorHAnsi" w:cstheme="minorHAnsi"/>
          <w:sz w:val="20"/>
          <w:szCs w:val="20"/>
        </w:rPr>
        <w:t xml:space="preserve"> stato infatti riportato che il COVID-19 associa stati sia di immunodeficienza che di iperinfiammazione, quest'ultima manifestata con una tempesta di citochine.</w:t>
      </w:r>
    </w:p>
    <w:p w:rsidR="00CD6278" w:rsidRPr="00FA400D" w:rsidRDefault="00CD6278" w:rsidP="00CD6278">
      <w:pPr>
        <w:jc w:val="both"/>
        <w:rPr>
          <w:rFonts w:asciiTheme="minorHAnsi" w:hAnsiTheme="minorHAnsi" w:cstheme="minorHAnsi"/>
          <w:color w:val="000000" w:themeColor="text1"/>
          <w:sz w:val="20"/>
          <w:szCs w:val="20"/>
        </w:rPr>
      </w:pPr>
    </w:p>
    <w:p w:rsidR="00804C5B" w:rsidRPr="00FA400D" w:rsidRDefault="00CD6278" w:rsidP="00380790">
      <w:pPr>
        <w:jc w:val="both"/>
        <w:rPr>
          <w:rStyle w:val="title-text"/>
          <w:rFonts w:asciiTheme="minorHAnsi" w:hAnsiTheme="minorHAnsi" w:cstheme="minorHAnsi"/>
          <w:color w:val="000000" w:themeColor="text1"/>
          <w:sz w:val="20"/>
          <w:szCs w:val="20"/>
        </w:rPr>
      </w:pPr>
      <w:r w:rsidRPr="00FA400D">
        <w:rPr>
          <w:rFonts w:asciiTheme="minorHAnsi" w:hAnsiTheme="minorHAnsi" w:cstheme="minorHAnsi"/>
          <w:color w:val="000000" w:themeColor="text1"/>
          <w:sz w:val="20"/>
          <w:szCs w:val="20"/>
          <w:lang w:val="en-US"/>
        </w:rPr>
        <w:t>Nel recente articolo “</w:t>
      </w:r>
      <w:r w:rsidRPr="00380790">
        <w:rPr>
          <w:rStyle w:val="title-text"/>
          <w:rFonts w:asciiTheme="minorHAnsi" w:hAnsiTheme="minorHAnsi" w:cstheme="minorHAnsi"/>
          <w:i/>
          <w:iCs/>
          <w:color w:val="000000" w:themeColor="text1"/>
          <w:sz w:val="20"/>
          <w:szCs w:val="20"/>
          <w:lang w:val="en-US"/>
        </w:rPr>
        <w:t xml:space="preserve">Should we stimulate or suppress immune responses in COVID-19? </w:t>
      </w:r>
      <w:r w:rsidRPr="00380790">
        <w:rPr>
          <w:rStyle w:val="title-text"/>
          <w:rFonts w:asciiTheme="minorHAnsi" w:hAnsiTheme="minorHAnsi" w:cstheme="minorHAnsi"/>
          <w:i/>
          <w:iCs/>
          <w:color w:val="000000" w:themeColor="text1"/>
          <w:sz w:val="20"/>
          <w:szCs w:val="20"/>
        </w:rPr>
        <w:t>Cytokine and anti-cytokine interventions</w:t>
      </w:r>
      <w:r w:rsidRPr="00FA400D">
        <w:rPr>
          <w:rStyle w:val="title-text"/>
          <w:rFonts w:asciiTheme="minorHAnsi" w:hAnsiTheme="minorHAnsi" w:cstheme="minorHAnsi"/>
          <w:color w:val="000000" w:themeColor="text1"/>
          <w:sz w:val="20"/>
          <w:szCs w:val="20"/>
        </w:rPr>
        <w:t xml:space="preserve">” </w:t>
      </w:r>
      <w:r w:rsidRPr="00FA400D">
        <w:rPr>
          <w:rStyle w:val="FootnoteReference"/>
          <w:rFonts w:asciiTheme="minorHAnsi" w:hAnsiTheme="minorHAnsi" w:cstheme="minorHAnsi"/>
          <w:color w:val="000000" w:themeColor="text1"/>
          <w:sz w:val="20"/>
          <w:szCs w:val="20"/>
        </w:rPr>
        <w:footnoteReference w:id="70"/>
      </w:r>
      <w:r w:rsidRPr="00FA400D">
        <w:rPr>
          <w:rStyle w:val="title-text"/>
          <w:rFonts w:asciiTheme="minorHAnsi" w:hAnsiTheme="minorHAnsi" w:cstheme="minorHAnsi"/>
          <w:color w:val="000000" w:themeColor="text1"/>
          <w:sz w:val="20"/>
          <w:szCs w:val="20"/>
        </w:rPr>
        <w:t xml:space="preserve"> gli autori </w:t>
      </w:r>
      <w:r w:rsidR="00804C5B" w:rsidRPr="00FA400D">
        <w:rPr>
          <w:rStyle w:val="title-text"/>
          <w:rFonts w:asciiTheme="minorHAnsi" w:hAnsiTheme="minorHAnsi" w:cstheme="minorHAnsi"/>
          <w:color w:val="000000" w:themeColor="text1"/>
          <w:sz w:val="20"/>
          <w:szCs w:val="20"/>
        </w:rPr>
        <w:t>entrano</w:t>
      </w:r>
      <w:r w:rsidRPr="00FA400D">
        <w:rPr>
          <w:rStyle w:val="title-text"/>
          <w:rFonts w:asciiTheme="minorHAnsi" w:hAnsiTheme="minorHAnsi" w:cstheme="minorHAnsi"/>
          <w:color w:val="000000" w:themeColor="text1"/>
          <w:sz w:val="20"/>
          <w:szCs w:val="20"/>
        </w:rPr>
        <w:t xml:space="preserve"> nel dettaglio</w:t>
      </w:r>
      <w:r w:rsidR="00804C5B" w:rsidRPr="00FA400D">
        <w:rPr>
          <w:rStyle w:val="title-text"/>
          <w:rFonts w:asciiTheme="minorHAnsi" w:hAnsiTheme="minorHAnsi" w:cstheme="minorHAnsi"/>
          <w:color w:val="000000" w:themeColor="text1"/>
          <w:sz w:val="20"/>
          <w:szCs w:val="20"/>
        </w:rPr>
        <w:t xml:space="preserve"> del meccanismo dell’immunopatologia del COVID-19</w:t>
      </w:r>
      <w:r w:rsidR="001C1BAF" w:rsidRPr="00FA400D">
        <w:rPr>
          <w:rStyle w:val="title-text"/>
          <w:rFonts w:asciiTheme="minorHAnsi" w:hAnsiTheme="minorHAnsi" w:cstheme="minorHAnsi"/>
          <w:color w:val="000000" w:themeColor="text1"/>
          <w:sz w:val="20"/>
          <w:szCs w:val="20"/>
        </w:rPr>
        <w:t xml:space="preserve"> a livello polmonare</w:t>
      </w:r>
      <w:r w:rsidR="00804C5B" w:rsidRPr="00FA400D">
        <w:rPr>
          <w:rStyle w:val="title-text"/>
          <w:rFonts w:asciiTheme="minorHAnsi" w:hAnsiTheme="minorHAnsi" w:cstheme="minorHAnsi"/>
          <w:color w:val="000000" w:themeColor="text1"/>
          <w:sz w:val="20"/>
          <w:szCs w:val="20"/>
        </w:rPr>
        <w:t xml:space="preserve"> suddividendolo in quattro fasi, di cui si riporta un estratto:</w:t>
      </w:r>
    </w:p>
    <w:p w:rsidR="0049177A" w:rsidRPr="00FA400D" w:rsidRDefault="0049177A" w:rsidP="00CD6278">
      <w:pPr>
        <w:rPr>
          <w:rStyle w:val="title-text"/>
          <w:rFonts w:asciiTheme="minorHAnsi" w:hAnsiTheme="minorHAnsi" w:cstheme="minorHAnsi"/>
          <w:color w:val="000000" w:themeColor="text1"/>
          <w:sz w:val="20"/>
          <w:szCs w:val="20"/>
        </w:rPr>
      </w:pPr>
    </w:p>
    <w:p w:rsidR="00804C5B" w:rsidRPr="00FA400D" w:rsidRDefault="00804C5B" w:rsidP="009A3865">
      <w:pPr>
        <w:pStyle w:val="ListParagraph"/>
        <w:numPr>
          <w:ilvl w:val="0"/>
          <w:numId w:val="11"/>
        </w:numPr>
        <w:ind w:left="284" w:hanging="284"/>
        <w:jc w:val="both"/>
        <w:rPr>
          <w:rStyle w:val="title-text"/>
          <w:rFonts w:asciiTheme="minorHAnsi" w:hAnsiTheme="minorHAnsi" w:cstheme="minorHAnsi"/>
          <w:color w:val="000000" w:themeColor="text1"/>
          <w:sz w:val="20"/>
          <w:szCs w:val="20"/>
        </w:rPr>
      </w:pPr>
      <w:r w:rsidRPr="001D7829">
        <w:rPr>
          <w:rStyle w:val="title-text"/>
          <w:rFonts w:asciiTheme="minorHAnsi" w:hAnsiTheme="minorHAnsi" w:cstheme="minorHAnsi"/>
          <w:b/>
          <w:bCs/>
          <w:color w:val="000000" w:themeColor="text1"/>
          <w:sz w:val="20"/>
          <w:szCs w:val="20"/>
          <w:shd w:val="clear" w:color="auto" w:fill="FBF9E1"/>
        </w:rPr>
        <w:t>Entrata del virus</w:t>
      </w:r>
      <w:r w:rsidRPr="00FA400D">
        <w:rPr>
          <w:rStyle w:val="title-text"/>
          <w:rFonts w:asciiTheme="minorHAnsi" w:hAnsiTheme="minorHAnsi" w:cstheme="minorHAnsi"/>
          <w:color w:val="000000" w:themeColor="text1"/>
          <w:sz w:val="20"/>
          <w:szCs w:val="20"/>
        </w:rPr>
        <w:t>: l'inizio precoce della replicazione virale rapida può causare apoptosi epiteliale ed endoteliale massiccia, perdite vascolari e rilascio di mediatori pro-infiammatori</w:t>
      </w:r>
    </w:p>
    <w:p w:rsidR="00804C5B" w:rsidRPr="00FA400D" w:rsidRDefault="00804C5B" w:rsidP="00380790">
      <w:pPr>
        <w:pStyle w:val="ListParagraph"/>
        <w:ind w:left="284" w:hanging="284"/>
        <w:jc w:val="both"/>
        <w:rPr>
          <w:rStyle w:val="title-text"/>
          <w:rFonts w:asciiTheme="minorHAnsi" w:hAnsiTheme="minorHAnsi" w:cstheme="minorHAnsi"/>
          <w:color w:val="000000" w:themeColor="text1"/>
          <w:sz w:val="20"/>
          <w:szCs w:val="20"/>
        </w:rPr>
      </w:pPr>
    </w:p>
    <w:p w:rsidR="00804C5B" w:rsidRPr="00FA400D" w:rsidRDefault="00804C5B" w:rsidP="009A3865">
      <w:pPr>
        <w:pStyle w:val="ListParagraph"/>
        <w:numPr>
          <w:ilvl w:val="0"/>
          <w:numId w:val="11"/>
        </w:numPr>
        <w:ind w:left="284" w:hanging="284"/>
        <w:jc w:val="both"/>
        <w:rPr>
          <w:rStyle w:val="title-text"/>
          <w:rFonts w:asciiTheme="minorHAnsi" w:hAnsiTheme="minorHAnsi" w:cstheme="minorHAnsi"/>
          <w:color w:val="000000" w:themeColor="text1"/>
          <w:sz w:val="20"/>
          <w:szCs w:val="20"/>
        </w:rPr>
      </w:pPr>
      <w:r w:rsidRPr="00FA400D">
        <w:rPr>
          <w:rStyle w:val="title-text"/>
          <w:rFonts w:asciiTheme="minorHAnsi" w:hAnsiTheme="minorHAnsi" w:cstheme="minorHAnsi"/>
          <w:color w:val="000000" w:themeColor="text1"/>
          <w:sz w:val="20"/>
          <w:szCs w:val="20"/>
        </w:rPr>
        <w:t xml:space="preserve">La </w:t>
      </w:r>
      <w:r w:rsidRPr="001D7829">
        <w:rPr>
          <w:rStyle w:val="title-text"/>
          <w:rFonts w:asciiTheme="minorHAnsi" w:hAnsiTheme="minorHAnsi" w:cstheme="minorHAnsi"/>
          <w:b/>
          <w:bCs/>
          <w:color w:val="000000" w:themeColor="text1"/>
          <w:sz w:val="20"/>
          <w:szCs w:val="20"/>
          <w:shd w:val="clear" w:color="auto" w:fill="FBF9E1"/>
        </w:rPr>
        <w:t>risposta immunitaria innata, prima ondata di citochine</w:t>
      </w:r>
      <w:r w:rsidRPr="00FA400D">
        <w:rPr>
          <w:rStyle w:val="title-text"/>
          <w:rFonts w:asciiTheme="minorHAnsi" w:hAnsiTheme="minorHAnsi" w:cstheme="minorHAnsi"/>
          <w:color w:val="000000" w:themeColor="text1"/>
          <w:sz w:val="20"/>
          <w:szCs w:val="20"/>
        </w:rPr>
        <w:t xml:space="preserve">: studi epidemiologici hanno dimostrato un aumento dei marcatori della fase acuta in pazienti con COVID-19, inclusi ESR, proteina C-reattiva (CRP), amiloide A sierica e ferritina, suggerendo una rapida attivazione della risposta immunitaria innata. Di conseguenza, i pazienti COVID-19 presentano alti livelli di TNF-α circolante, IL-1β, IL-1Ra, sIL-2Rα, IL-6, IL-10, IL-17, IL-18, IFN-γ, MCP-3 , M-CSF, MIP-1a, G-CSF, IP-10 e MCP-1. </w:t>
      </w:r>
    </w:p>
    <w:p w:rsidR="00804C5B" w:rsidRPr="00FA400D" w:rsidRDefault="00804C5B" w:rsidP="00804C5B">
      <w:pPr>
        <w:jc w:val="both"/>
        <w:rPr>
          <w:rStyle w:val="title-text"/>
          <w:rFonts w:asciiTheme="minorHAnsi" w:hAnsiTheme="minorHAnsi" w:cstheme="minorHAnsi"/>
          <w:color w:val="000000" w:themeColor="text1"/>
          <w:sz w:val="20"/>
          <w:szCs w:val="20"/>
        </w:rPr>
      </w:pPr>
    </w:p>
    <w:p w:rsidR="00E21CB2" w:rsidRPr="001B65C8" w:rsidRDefault="00E21CB2"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567" w:right="560"/>
        <w:jc w:val="both"/>
        <w:rPr>
          <w:rStyle w:val="title-text"/>
          <w:rFonts w:asciiTheme="minorHAnsi" w:hAnsiTheme="minorHAnsi" w:cstheme="minorHAnsi"/>
          <w:i/>
          <w:iCs/>
          <w:color w:val="000000" w:themeColor="text1"/>
          <w:sz w:val="20"/>
          <w:szCs w:val="20"/>
        </w:rPr>
      </w:pPr>
    </w:p>
    <w:p w:rsidR="0049177A" w:rsidRPr="001B65C8" w:rsidRDefault="0049177A"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567" w:right="560"/>
        <w:jc w:val="both"/>
        <w:rPr>
          <w:rStyle w:val="title-text"/>
          <w:rFonts w:asciiTheme="minorHAnsi" w:hAnsiTheme="minorHAnsi" w:cstheme="minorHAnsi"/>
          <w:i/>
          <w:iCs/>
          <w:color w:val="000000" w:themeColor="text1"/>
          <w:sz w:val="20"/>
          <w:szCs w:val="20"/>
        </w:rPr>
      </w:pPr>
      <w:r w:rsidRPr="001B65C8">
        <w:rPr>
          <w:rStyle w:val="title-text"/>
          <w:rFonts w:asciiTheme="minorHAnsi" w:hAnsiTheme="minorHAnsi" w:cstheme="minorHAnsi"/>
          <w:i/>
          <w:iCs/>
          <w:color w:val="000000" w:themeColor="text1"/>
          <w:sz w:val="20"/>
          <w:szCs w:val="20"/>
        </w:rPr>
        <w:t>Questi risultati suggeriscono l'</w:t>
      </w:r>
      <w:r w:rsidRPr="001B65C8">
        <w:rPr>
          <w:rStyle w:val="title-text"/>
          <w:rFonts w:asciiTheme="minorHAnsi" w:hAnsiTheme="minorHAnsi" w:cstheme="minorHAnsi"/>
          <w:b/>
          <w:bCs/>
          <w:i/>
          <w:iCs/>
          <w:color w:val="000000" w:themeColor="text1"/>
          <w:sz w:val="20"/>
          <w:szCs w:val="20"/>
        </w:rPr>
        <w:t>ipercitochinemia</w:t>
      </w:r>
      <w:r w:rsidRPr="001B65C8">
        <w:rPr>
          <w:rStyle w:val="title-text"/>
          <w:rFonts w:asciiTheme="minorHAnsi" w:hAnsiTheme="minorHAnsi" w:cstheme="minorHAnsi"/>
          <w:i/>
          <w:iCs/>
          <w:color w:val="000000" w:themeColor="text1"/>
          <w:sz w:val="20"/>
          <w:szCs w:val="20"/>
        </w:rPr>
        <w:t xml:space="preserve"> </w:t>
      </w:r>
      <w:r w:rsidR="00380790" w:rsidRPr="001B65C8">
        <w:rPr>
          <w:rStyle w:val="title-text"/>
          <w:rFonts w:asciiTheme="minorHAnsi" w:hAnsiTheme="minorHAnsi" w:cstheme="minorHAnsi"/>
          <w:i/>
          <w:iCs/>
          <w:color w:val="000000" w:themeColor="text1"/>
          <w:sz w:val="20"/>
          <w:szCs w:val="20"/>
        </w:rPr>
        <w:t>quale</w:t>
      </w:r>
      <w:r w:rsidRPr="001B65C8">
        <w:rPr>
          <w:rStyle w:val="title-text"/>
          <w:rFonts w:asciiTheme="minorHAnsi" w:hAnsiTheme="minorHAnsi" w:cstheme="minorHAnsi"/>
          <w:i/>
          <w:iCs/>
          <w:color w:val="000000" w:themeColor="text1"/>
          <w:sz w:val="20"/>
          <w:szCs w:val="20"/>
        </w:rPr>
        <w:t xml:space="preserve"> segno distintivo di COVID-19. Tuttavia, solo le concentrazioni sieriche di alcune di queste citochine consentono di discriminare tra casi lievi, moderati e gravi (principalmente IL-1 β, IL-1Ra, IL-6, IL-7, IL-10, IP-10 e TNF-α). </w:t>
      </w:r>
    </w:p>
    <w:p w:rsidR="0049177A" w:rsidRPr="001B65C8" w:rsidRDefault="0049177A"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567" w:right="560"/>
        <w:jc w:val="both"/>
        <w:rPr>
          <w:rStyle w:val="title-text"/>
          <w:rFonts w:asciiTheme="minorHAnsi" w:hAnsiTheme="minorHAnsi" w:cstheme="minorHAnsi"/>
          <w:i/>
          <w:iCs/>
          <w:color w:val="000000" w:themeColor="text1"/>
          <w:sz w:val="20"/>
          <w:szCs w:val="20"/>
        </w:rPr>
      </w:pPr>
      <w:r w:rsidRPr="001B65C8">
        <w:rPr>
          <w:rStyle w:val="title-text"/>
          <w:rFonts w:asciiTheme="minorHAnsi" w:hAnsiTheme="minorHAnsi" w:cstheme="minorHAnsi"/>
          <w:i/>
          <w:iCs/>
          <w:color w:val="000000" w:themeColor="text1"/>
          <w:sz w:val="20"/>
          <w:szCs w:val="20"/>
        </w:rPr>
        <w:t xml:space="preserve">Inoltre, i livelli di queste citochine nei casi lievi / moderati sono generalmente inferiori ai livelli osservati nella normale sindrome da attivazione macrofagica / linfoistiocitosi emofagocitica reattiva (MAS / reHLH) o nella sindrome da rilascio di citochine gravi (CRS). </w:t>
      </w:r>
    </w:p>
    <w:p w:rsidR="00CD6278" w:rsidRPr="001B65C8" w:rsidRDefault="0049177A"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567" w:right="560"/>
        <w:jc w:val="both"/>
        <w:rPr>
          <w:rStyle w:val="title-text"/>
          <w:rFonts w:asciiTheme="minorHAnsi" w:hAnsiTheme="minorHAnsi" w:cstheme="minorHAnsi"/>
          <w:i/>
          <w:iCs/>
          <w:color w:val="000000" w:themeColor="text1"/>
          <w:sz w:val="20"/>
          <w:szCs w:val="20"/>
        </w:rPr>
      </w:pPr>
      <w:r w:rsidRPr="001B65C8">
        <w:rPr>
          <w:rStyle w:val="title-text"/>
          <w:rFonts w:asciiTheme="minorHAnsi" w:hAnsiTheme="minorHAnsi" w:cstheme="minorHAnsi"/>
          <w:i/>
          <w:iCs/>
          <w:color w:val="000000" w:themeColor="text1"/>
          <w:sz w:val="20"/>
          <w:szCs w:val="20"/>
        </w:rPr>
        <w:t>Pertanto, l'</w:t>
      </w:r>
      <w:r w:rsidRPr="001B65C8">
        <w:rPr>
          <w:rStyle w:val="title-text"/>
          <w:rFonts w:asciiTheme="minorHAnsi" w:hAnsiTheme="minorHAnsi" w:cstheme="minorHAnsi"/>
          <w:b/>
          <w:bCs/>
          <w:i/>
          <w:iCs/>
          <w:color w:val="000000" w:themeColor="text1"/>
          <w:sz w:val="20"/>
          <w:szCs w:val="20"/>
        </w:rPr>
        <w:t>ipercitochinemia dovrebbe essere considerata un marcatore generale di SARS-CoV-2</w:t>
      </w:r>
      <w:r w:rsidRPr="001B65C8">
        <w:rPr>
          <w:rStyle w:val="title-text"/>
          <w:rFonts w:asciiTheme="minorHAnsi" w:hAnsiTheme="minorHAnsi" w:cstheme="minorHAnsi"/>
          <w:i/>
          <w:iCs/>
          <w:color w:val="000000" w:themeColor="text1"/>
          <w:sz w:val="20"/>
          <w:szCs w:val="20"/>
        </w:rPr>
        <w:t>, mentre il termine "</w:t>
      </w:r>
      <w:r w:rsidRPr="001B65C8">
        <w:rPr>
          <w:rStyle w:val="title-text"/>
          <w:rFonts w:asciiTheme="minorHAnsi" w:hAnsiTheme="minorHAnsi" w:cstheme="minorHAnsi"/>
          <w:b/>
          <w:bCs/>
          <w:i/>
          <w:iCs/>
          <w:color w:val="000000" w:themeColor="text1"/>
          <w:sz w:val="20"/>
          <w:szCs w:val="20"/>
        </w:rPr>
        <w:t>tempesta di citochine</w:t>
      </w:r>
      <w:r w:rsidRPr="001B65C8">
        <w:rPr>
          <w:rStyle w:val="title-text"/>
          <w:rFonts w:asciiTheme="minorHAnsi" w:hAnsiTheme="minorHAnsi" w:cstheme="minorHAnsi"/>
          <w:i/>
          <w:iCs/>
          <w:color w:val="000000" w:themeColor="text1"/>
          <w:sz w:val="20"/>
          <w:szCs w:val="20"/>
        </w:rPr>
        <w:t xml:space="preserve">" dovrebbe essere mantenuto per quelle </w:t>
      </w:r>
      <w:r w:rsidRPr="001B65C8">
        <w:rPr>
          <w:rStyle w:val="title-text"/>
          <w:rFonts w:asciiTheme="minorHAnsi" w:hAnsiTheme="minorHAnsi" w:cstheme="minorHAnsi"/>
          <w:b/>
          <w:bCs/>
          <w:i/>
          <w:iCs/>
          <w:color w:val="000000" w:themeColor="text1"/>
          <w:sz w:val="20"/>
          <w:szCs w:val="20"/>
        </w:rPr>
        <w:t>situazioni di infiammazione eccessivamente esuberante che portano a condizioni critiche</w:t>
      </w:r>
      <w:r w:rsidRPr="001B65C8">
        <w:rPr>
          <w:rStyle w:val="title-text"/>
          <w:rFonts w:asciiTheme="minorHAnsi" w:hAnsiTheme="minorHAnsi" w:cstheme="minorHAnsi"/>
          <w:i/>
          <w:iCs/>
          <w:color w:val="000000" w:themeColor="text1"/>
          <w:sz w:val="20"/>
          <w:szCs w:val="20"/>
        </w:rPr>
        <w:t>, come l’ARDS, la coagulazione intravascolare disseminata o l’insufficienza multiorgano.</w:t>
      </w:r>
    </w:p>
    <w:p w:rsidR="00E21CB2" w:rsidRPr="001B65C8" w:rsidRDefault="00E21CB2"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567" w:right="560"/>
        <w:jc w:val="both"/>
        <w:rPr>
          <w:rStyle w:val="title-text"/>
          <w:rFonts w:asciiTheme="minorHAnsi" w:hAnsiTheme="minorHAnsi" w:cstheme="minorHAnsi"/>
          <w:i/>
          <w:iCs/>
          <w:color w:val="000000" w:themeColor="text1"/>
          <w:sz w:val="20"/>
          <w:szCs w:val="20"/>
        </w:rPr>
      </w:pPr>
    </w:p>
    <w:p w:rsidR="0049177A" w:rsidRPr="00FA400D" w:rsidRDefault="0049177A" w:rsidP="001B65C8">
      <w:pPr>
        <w:jc w:val="both"/>
        <w:rPr>
          <w:rStyle w:val="title-text"/>
          <w:rFonts w:asciiTheme="minorHAnsi" w:hAnsiTheme="minorHAnsi" w:cstheme="minorHAnsi"/>
          <w:color w:val="000000" w:themeColor="text1"/>
          <w:sz w:val="20"/>
          <w:szCs w:val="20"/>
        </w:rPr>
      </w:pPr>
    </w:p>
    <w:p w:rsidR="0049177A" w:rsidRPr="00FA400D" w:rsidRDefault="0049177A" w:rsidP="009A3865">
      <w:pPr>
        <w:pStyle w:val="ListParagraph"/>
        <w:numPr>
          <w:ilvl w:val="0"/>
          <w:numId w:val="11"/>
        </w:numPr>
        <w:ind w:left="284" w:hanging="284"/>
        <w:jc w:val="both"/>
        <w:rPr>
          <w:rFonts w:asciiTheme="minorHAnsi" w:hAnsiTheme="minorHAnsi" w:cstheme="minorHAnsi"/>
          <w:sz w:val="20"/>
          <w:szCs w:val="20"/>
        </w:rPr>
      </w:pPr>
      <w:r w:rsidRPr="00FA400D">
        <w:rPr>
          <w:rFonts w:asciiTheme="minorHAnsi" w:hAnsiTheme="minorHAnsi" w:cstheme="minorHAnsi"/>
          <w:sz w:val="20"/>
          <w:szCs w:val="20"/>
        </w:rPr>
        <w:t>L’</w:t>
      </w:r>
      <w:r w:rsidRPr="001B65C8">
        <w:rPr>
          <w:rFonts w:asciiTheme="minorHAnsi" w:hAnsiTheme="minorHAnsi" w:cstheme="minorHAnsi"/>
          <w:b/>
          <w:bCs/>
          <w:sz w:val="20"/>
          <w:szCs w:val="20"/>
          <w:shd w:val="clear" w:color="auto" w:fill="FBF9E1"/>
        </w:rPr>
        <w:t>immunosoppressione</w:t>
      </w:r>
      <w:r w:rsidRPr="00380790">
        <w:rPr>
          <w:rFonts w:asciiTheme="minorHAnsi" w:hAnsiTheme="minorHAnsi" w:cstheme="minorHAnsi"/>
          <w:b/>
          <w:bCs/>
          <w:sz w:val="20"/>
          <w:szCs w:val="20"/>
        </w:rPr>
        <w:t xml:space="preserve">: </w:t>
      </w:r>
      <w:r w:rsidRPr="00FA400D">
        <w:rPr>
          <w:rFonts w:asciiTheme="minorHAnsi" w:hAnsiTheme="minorHAnsi" w:cstheme="minorHAnsi"/>
          <w:sz w:val="20"/>
          <w:szCs w:val="20"/>
        </w:rPr>
        <w:t xml:space="preserve">le pDC (cellule dendritiche plasmacitoidi) sono cellule immunitarie circolanti, che agiscono come sentinelle e si attivano dopo il contatto fisico con cellule infettate da virus e il trasferimento di PAMP ai sensori TLR7 presenti nelle pDC, in un processo chiamato </w:t>
      </w:r>
      <w:r w:rsidRPr="00380790">
        <w:rPr>
          <w:rFonts w:asciiTheme="minorHAnsi" w:hAnsiTheme="minorHAnsi" w:cstheme="minorHAnsi"/>
          <w:b/>
          <w:bCs/>
          <w:sz w:val="20"/>
          <w:szCs w:val="20"/>
        </w:rPr>
        <w:t>sinapsi interferogena</w:t>
      </w:r>
      <w:r w:rsidRPr="00FA400D">
        <w:rPr>
          <w:rFonts w:asciiTheme="minorHAnsi" w:hAnsiTheme="minorHAnsi" w:cstheme="minorHAnsi"/>
          <w:sz w:val="20"/>
          <w:szCs w:val="20"/>
        </w:rPr>
        <w:t xml:space="preserve">. Questa sinapsi consente una solida produzione di IFN di tipo I nel sito infetto, limitando quindi la replicazione virale e la risposta deleteria sistemica. I dati derivati dalle epidemie di SARS-CoV e MERS-CoV hanno rivelato che </w:t>
      </w:r>
      <w:r w:rsidRPr="00380790">
        <w:rPr>
          <w:rFonts w:asciiTheme="minorHAnsi" w:hAnsiTheme="minorHAnsi" w:cstheme="minorHAnsi"/>
          <w:b/>
          <w:bCs/>
          <w:sz w:val="20"/>
          <w:szCs w:val="20"/>
        </w:rPr>
        <w:t xml:space="preserve">i coronavirus sopprimono la risposta IFN di tipo I </w:t>
      </w:r>
      <w:r w:rsidRPr="00FA400D">
        <w:rPr>
          <w:rFonts w:asciiTheme="minorHAnsi" w:hAnsiTheme="minorHAnsi" w:cstheme="minorHAnsi"/>
          <w:sz w:val="20"/>
          <w:szCs w:val="20"/>
        </w:rPr>
        <w:t xml:space="preserve">interferendo con </w:t>
      </w:r>
      <w:r w:rsidR="002B1AFC" w:rsidRPr="00FA400D">
        <w:rPr>
          <w:rFonts w:asciiTheme="minorHAnsi" w:hAnsiTheme="minorHAnsi" w:cstheme="minorHAnsi"/>
          <w:sz w:val="20"/>
          <w:szCs w:val="20"/>
        </w:rPr>
        <w:t xml:space="preserve">i </w:t>
      </w:r>
      <w:r w:rsidRPr="00FA400D">
        <w:rPr>
          <w:rFonts w:asciiTheme="minorHAnsi" w:hAnsiTheme="minorHAnsi" w:cstheme="minorHAnsi"/>
          <w:sz w:val="20"/>
          <w:szCs w:val="20"/>
        </w:rPr>
        <w:t xml:space="preserve">PRR o </w:t>
      </w:r>
      <w:r w:rsidR="002B1AFC" w:rsidRPr="00FA400D">
        <w:rPr>
          <w:rFonts w:asciiTheme="minorHAnsi" w:hAnsiTheme="minorHAnsi" w:cstheme="minorHAnsi"/>
          <w:sz w:val="20"/>
          <w:szCs w:val="20"/>
        </w:rPr>
        <w:t xml:space="preserve">le </w:t>
      </w:r>
      <w:r w:rsidRPr="00FA400D">
        <w:rPr>
          <w:rFonts w:asciiTheme="minorHAnsi" w:hAnsiTheme="minorHAnsi" w:cstheme="minorHAnsi"/>
          <w:sz w:val="20"/>
          <w:szCs w:val="20"/>
        </w:rPr>
        <w:t>vie di segnalazione del recettore IFN di tipo I</w:t>
      </w:r>
      <w:r w:rsidR="002B1AFC" w:rsidRPr="00FA400D">
        <w:rPr>
          <w:rFonts w:asciiTheme="minorHAnsi" w:hAnsiTheme="minorHAnsi" w:cstheme="minorHAnsi"/>
          <w:sz w:val="20"/>
          <w:szCs w:val="20"/>
        </w:rPr>
        <w:t>, dato confermato anche per il SARS-Cov-2</w:t>
      </w:r>
      <w:r w:rsidR="00380790">
        <w:rPr>
          <w:rFonts w:asciiTheme="minorHAnsi" w:hAnsiTheme="minorHAnsi" w:cstheme="minorHAnsi"/>
          <w:sz w:val="20"/>
          <w:szCs w:val="20"/>
        </w:rPr>
        <w:t xml:space="preserve"> </w:t>
      </w:r>
      <w:r w:rsidR="002B1AFC" w:rsidRPr="00FA400D">
        <w:rPr>
          <w:rStyle w:val="FootnoteReference"/>
          <w:rFonts w:asciiTheme="minorHAnsi" w:hAnsiTheme="minorHAnsi" w:cstheme="minorHAnsi"/>
          <w:sz w:val="20"/>
          <w:szCs w:val="20"/>
        </w:rPr>
        <w:footnoteReference w:id="71"/>
      </w:r>
    </w:p>
    <w:p w:rsidR="002B1AFC" w:rsidRPr="00FA400D" w:rsidRDefault="002B1AFC" w:rsidP="002B1AFC">
      <w:pPr>
        <w:jc w:val="both"/>
        <w:rPr>
          <w:rFonts w:asciiTheme="minorHAnsi" w:hAnsiTheme="minorHAnsi" w:cstheme="minorHAnsi"/>
          <w:sz w:val="20"/>
          <w:szCs w:val="20"/>
        </w:rPr>
      </w:pPr>
    </w:p>
    <w:p w:rsidR="00380790" w:rsidRPr="001B65C8" w:rsidRDefault="00380790"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284" w:right="276"/>
        <w:jc w:val="both"/>
        <w:rPr>
          <w:rFonts w:asciiTheme="minorHAnsi" w:hAnsiTheme="minorHAnsi" w:cstheme="minorHAnsi"/>
          <w:i/>
          <w:iCs/>
          <w:color w:val="C00000"/>
          <w:sz w:val="20"/>
          <w:szCs w:val="20"/>
        </w:rPr>
      </w:pPr>
    </w:p>
    <w:p w:rsidR="002B1AFC" w:rsidRPr="001B65C8" w:rsidRDefault="002B1AFC"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284" w:right="276"/>
        <w:jc w:val="both"/>
        <w:rPr>
          <w:rFonts w:asciiTheme="minorHAnsi" w:hAnsiTheme="minorHAnsi" w:cstheme="minorHAnsi"/>
          <w:i/>
          <w:iCs/>
          <w:color w:val="000000" w:themeColor="text1"/>
          <w:sz w:val="20"/>
          <w:szCs w:val="20"/>
        </w:rPr>
      </w:pPr>
      <w:r w:rsidRPr="001B65C8">
        <w:rPr>
          <w:rFonts w:asciiTheme="minorHAnsi" w:hAnsiTheme="minorHAnsi" w:cstheme="minorHAnsi"/>
          <w:i/>
          <w:iCs/>
          <w:color w:val="000000" w:themeColor="text1"/>
          <w:sz w:val="20"/>
          <w:szCs w:val="20"/>
        </w:rPr>
        <w:t xml:space="preserve">Nei modelli murini di infezioni da SARS-CoV e MERS-CoV, </w:t>
      </w:r>
      <w:r w:rsidRPr="001B65C8">
        <w:rPr>
          <w:rFonts w:asciiTheme="minorHAnsi" w:hAnsiTheme="minorHAnsi" w:cstheme="minorHAnsi"/>
          <w:b/>
          <w:bCs/>
          <w:i/>
          <w:iCs/>
          <w:color w:val="000000" w:themeColor="text1"/>
          <w:sz w:val="20"/>
          <w:szCs w:val="20"/>
        </w:rPr>
        <w:t>una risposta IFN di tipo I ritardata può spiegare una malattia più grave</w:t>
      </w:r>
      <w:r w:rsidRPr="001B65C8">
        <w:rPr>
          <w:rFonts w:asciiTheme="minorHAnsi" w:hAnsiTheme="minorHAnsi" w:cstheme="minorHAnsi"/>
          <w:i/>
          <w:iCs/>
          <w:color w:val="000000" w:themeColor="text1"/>
          <w:sz w:val="20"/>
          <w:szCs w:val="20"/>
        </w:rPr>
        <w:t>, con un controllo del virus compromesso e un’iperinfiammazione indotta dallo stesso IFN di tipo I. Ciò porta ad un afflusso di neutrofili e monociti-macrofagi (le principali fonti di citochine pro-infiammatorie) e l’ulteriore apoptosi di cellule T, cellule epiteliali ed endoteliali. Questi meccanismi infiammatori acuti danneggiano la barriera microvascolare e alveolare polmonare e causano perdite vascolari ed edema alveolare, convergenti in ARDS. Pertanto, non solo l’intensità della risposta, ma anche i suoi tempi sembrano svolgere un ruolo critico nell'infezione da coronavirus.</w:t>
      </w:r>
    </w:p>
    <w:p w:rsidR="00380790" w:rsidRPr="001B65C8" w:rsidRDefault="00380790"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284" w:right="276"/>
        <w:jc w:val="both"/>
        <w:rPr>
          <w:rFonts w:asciiTheme="minorHAnsi" w:hAnsiTheme="minorHAnsi" w:cstheme="minorHAnsi"/>
          <w:i/>
          <w:iCs/>
          <w:color w:val="000000" w:themeColor="text1"/>
          <w:sz w:val="20"/>
          <w:szCs w:val="20"/>
        </w:rPr>
      </w:pPr>
    </w:p>
    <w:p w:rsidR="002B1AFC" w:rsidRDefault="002B1AFC" w:rsidP="002B1AFC">
      <w:pPr>
        <w:jc w:val="both"/>
        <w:rPr>
          <w:rFonts w:asciiTheme="minorHAnsi" w:hAnsiTheme="minorHAnsi" w:cstheme="minorHAnsi"/>
          <w:i/>
          <w:iCs/>
          <w:sz w:val="22"/>
          <w:szCs w:val="22"/>
        </w:rPr>
      </w:pPr>
    </w:p>
    <w:p w:rsidR="002B1AFC" w:rsidRDefault="002B1AFC" w:rsidP="002B1AFC">
      <w:pPr>
        <w:jc w:val="both"/>
        <w:rPr>
          <w:rFonts w:asciiTheme="minorHAnsi" w:hAnsiTheme="minorHAnsi" w:cstheme="minorHAnsi"/>
          <w:i/>
          <w:iCs/>
          <w:sz w:val="22"/>
          <w:szCs w:val="22"/>
        </w:rPr>
      </w:pPr>
      <w:r>
        <w:rPr>
          <w:rFonts w:asciiTheme="minorHAnsi" w:hAnsiTheme="minorHAnsi" w:cstheme="minorHAnsi"/>
          <w:i/>
          <w:iCs/>
          <w:noProof/>
          <w:sz w:val="22"/>
          <w:szCs w:val="22"/>
        </w:rPr>
        <w:drawing>
          <wp:inline distT="0" distB="0" distL="0" distR="0">
            <wp:extent cx="6116320" cy="4591685"/>
            <wp:effectExtent l="0" t="0" r="5080" b="5715"/>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hermata 2020-06-05 alle 00.04.02.png"/>
                    <pic:cNvPicPr/>
                  </pic:nvPicPr>
                  <pic:blipFill>
                    <a:blip r:embed="rId87">
                      <a:extLst>
                        <a:ext uri="{28A0092B-C50C-407E-A947-70E740481C1C}">
                          <a14:useLocalDpi xmlns:a14="http://schemas.microsoft.com/office/drawing/2010/main" val="0"/>
                        </a:ext>
                      </a:extLst>
                    </a:blip>
                    <a:stretch>
                      <a:fillRect/>
                    </a:stretch>
                  </pic:blipFill>
                  <pic:spPr>
                    <a:xfrm>
                      <a:off x="0" y="0"/>
                      <a:ext cx="6116320" cy="4591685"/>
                    </a:xfrm>
                    <a:prstGeom prst="rect">
                      <a:avLst/>
                    </a:prstGeom>
                  </pic:spPr>
                </pic:pic>
              </a:graphicData>
            </a:graphic>
          </wp:inline>
        </w:drawing>
      </w:r>
    </w:p>
    <w:p w:rsidR="001B65C8" w:rsidRPr="002B1AFC" w:rsidRDefault="001B65C8" w:rsidP="002B1AFC">
      <w:pPr>
        <w:jc w:val="both"/>
        <w:rPr>
          <w:rFonts w:asciiTheme="minorHAnsi" w:hAnsiTheme="minorHAnsi" w:cstheme="minorHAnsi"/>
          <w:i/>
          <w:iCs/>
          <w:sz w:val="22"/>
          <w:szCs w:val="22"/>
        </w:rPr>
      </w:pPr>
    </w:p>
    <w:p w:rsidR="00A932F9" w:rsidRPr="001B65C8" w:rsidRDefault="00A932F9" w:rsidP="001B65C8">
      <w:pPr>
        <w:shd w:val="clear" w:color="auto" w:fill="F2F2F2" w:themeFill="background1" w:themeFillShade="F2"/>
        <w:rPr>
          <w:rFonts w:asciiTheme="minorHAnsi" w:hAnsiTheme="minorHAnsi" w:cstheme="minorHAnsi"/>
          <w:color w:val="000000" w:themeColor="text1"/>
          <w:sz w:val="18"/>
          <w:szCs w:val="18"/>
        </w:rPr>
      </w:pPr>
      <w:r w:rsidRPr="001B65C8">
        <w:rPr>
          <w:rFonts w:asciiTheme="minorHAnsi" w:hAnsiTheme="minorHAnsi" w:cstheme="minorHAnsi"/>
          <w:color w:val="000000" w:themeColor="text1"/>
          <w:sz w:val="18"/>
          <w:szCs w:val="18"/>
        </w:rPr>
        <w:t xml:space="preserve">Tratta da </w:t>
      </w:r>
      <w:hyperlink r:id="rId88" w:history="1">
        <w:r w:rsidRPr="001B65C8">
          <w:rPr>
            <w:rFonts w:asciiTheme="minorHAnsi" w:hAnsiTheme="minorHAnsi" w:cstheme="minorHAnsi"/>
            <w:color w:val="000000" w:themeColor="text1"/>
            <w:sz w:val="18"/>
            <w:szCs w:val="18"/>
          </w:rPr>
          <w:t>https://www.ncbi.nlm.nih.gov/pmc/articles/PMC7196557/</w:t>
        </w:r>
      </w:hyperlink>
    </w:p>
    <w:p w:rsidR="00A932F9" w:rsidRPr="001B65C8" w:rsidRDefault="00A932F9" w:rsidP="001B65C8">
      <w:pPr>
        <w:shd w:val="clear" w:color="auto" w:fill="F2F2F2" w:themeFill="background1" w:themeFillShade="F2"/>
        <w:jc w:val="both"/>
        <w:rPr>
          <w:rFonts w:asciiTheme="minorHAnsi" w:hAnsiTheme="minorHAnsi" w:cstheme="minorHAnsi"/>
          <w:sz w:val="18"/>
          <w:szCs w:val="18"/>
        </w:rPr>
      </w:pPr>
      <w:r w:rsidRPr="001B65C8">
        <w:rPr>
          <w:rFonts w:asciiTheme="minorHAnsi" w:hAnsiTheme="minorHAnsi" w:cstheme="minorHAnsi"/>
          <w:b/>
          <w:bCs/>
          <w:sz w:val="18"/>
          <w:szCs w:val="18"/>
        </w:rPr>
        <w:t>La cinetica e l'intensità della risposta antivirale sono decisive nell'esito del COVID-19</w:t>
      </w:r>
      <w:r w:rsidRPr="001B65C8">
        <w:rPr>
          <w:rFonts w:asciiTheme="minorHAnsi" w:hAnsiTheme="minorHAnsi" w:cstheme="minorHAnsi"/>
          <w:sz w:val="18"/>
          <w:szCs w:val="18"/>
        </w:rPr>
        <w:t>. Nel COVID-19 da lieve a moderato, la risposta antivirale precoce, principalmente dell'interferone di tipo I (IFN), consente la rapida riduzione della carica virale e previene l'esaurimento delle cellule T e l'ipercitochinemia. Nei casi gravi di COVID-19, la risposta antivirale ritardata (linea verde fissa) o bassa (linea verde tratteggiata) determina livelli elevati di citochine polmonari / chemochine, risposte alterate delle cellule T specifiche per il virus e deterioramento clinico acuto. Vengono proposti tempi ottimali per interventi terapeutici.</w:t>
      </w:r>
    </w:p>
    <w:p w:rsidR="00A932F9" w:rsidRPr="00A932F9" w:rsidRDefault="00A932F9" w:rsidP="002B1AFC">
      <w:pPr>
        <w:jc w:val="both"/>
        <w:rPr>
          <w:rFonts w:asciiTheme="minorHAnsi" w:hAnsiTheme="minorHAnsi" w:cstheme="minorHAnsi"/>
          <w:sz w:val="20"/>
          <w:szCs w:val="20"/>
        </w:rPr>
      </w:pPr>
    </w:p>
    <w:p w:rsidR="00E33BD5" w:rsidRPr="00380790" w:rsidRDefault="00A932F9" w:rsidP="009A3865">
      <w:pPr>
        <w:pStyle w:val="ListParagraph"/>
        <w:numPr>
          <w:ilvl w:val="0"/>
          <w:numId w:val="11"/>
        </w:numPr>
        <w:ind w:left="284" w:hanging="284"/>
        <w:jc w:val="both"/>
        <w:rPr>
          <w:rFonts w:asciiTheme="minorHAnsi" w:hAnsiTheme="minorHAnsi" w:cstheme="minorHAnsi"/>
          <w:sz w:val="20"/>
          <w:szCs w:val="20"/>
        </w:rPr>
      </w:pPr>
      <w:r w:rsidRPr="001B65C8">
        <w:rPr>
          <w:rFonts w:asciiTheme="minorHAnsi" w:hAnsiTheme="minorHAnsi" w:cstheme="minorHAnsi"/>
          <w:b/>
          <w:bCs/>
          <w:sz w:val="20"/>
          <w:szCs w:val="20"/>
          <w:shd w:val="clear" w:color="auto" w:fill="FBF9E1"/>
        </w:rPr>
        <w:t>La tempesta di citochine</w:t>
      </w:r>
      <w:r w:rsidRPr="001B65C8">
        <w:rPr>
          <w:rFonts w:asciiTheme="minorHAnsi" w:hAnsiTheme="minorHAnsi" w:cstheme="minorHAnsi"/>
          <w:sz w:val="20"/>
          <w:szCs w:val="20"/>
          <w:shd w:val="clear" w:color="auto" w:fill="FBF9E1"/>
        </w:rPr>
        <w:t xml:space="preserve">, una </w:t>
      </w:r>
      <w:r w:rsidRPr="001B65C8">
        <w:rPr>
          <w:rFonts w:asciiTheme="minorHAnsi" w:hAnsiTheme="minorHAnsi" w:cstheme="minorHAnsi"/>
          <w:b/>
          <w:bCs/>
          <w:sz w:val="20"/>
          <w:szCs w:val="20"/>
          <w:shd w:val="clear" w:color="auto" w:fill="FBF9E1"/>
        </w:rPr>
        <w:t>seconda ondata letale</w:t>
      </w:r>
      <w:r w:rsidRPr="00380790">
        <w:rPr>
          <w:rFonts w:asciiTheme="minorHAnsi" w:hAnsiTheme="minorHAnsi" w:cstheme="minorHAnsi"/>
          <w:sz w:val="20"/>
          <w:szCs w:val="20"/>
        </w:rPr>
        <w:t xml:space="preserve">: </w:t>
      </w:r>
      <w:r w:rsidR="00E33BD5" w:rsidRPr="00380790">
        <w:rPr>
          <w:rFonts w:asciiTheme="minorHAnsi" w:hAnsiTheme="minorHAnsi" w:cstheme="minorHAnsi"/>
          <w:sz w:val="20"/>
          <w:szCs w:val="20"/>
        </w:rPr>
        <w:t>Il deterioramento clinico improvviso e rapido è stato ampiamente menzionato nelle fasi avanzate di COVID-19 (circa 7-10 giorni). Questo si manifesta spesso come un inaspettato aggravamento dei sintomi (febbre, dispnea) ed è correlato con un aumento dei livelli</w:t>
      </w:r>
      <w:r w:rsidR="00E33BD5" w:rsidRPr="001C1BAF">
        <w:rPr>
          <w:rFonts w:asciiTheme="minorHAnsi" w:hAnsiTheme="minorHAnsi" w:cstheme="minorHAnsi"/>
          <w:sz w:val="22"/>
          <w:szCs w:val="22"/>
        </w:rPr>
        <w:t xml:space="preserve"> </w:t>
      </w:r>
      <w:r w:rsidR="00E33BD5" w:rsidRPr="00380790">
        <w:rPr>
          <w:rFonts w:asciiTheme="minorHAnsi" w:hAnsiTheme="minorHAnsi" w:cstheme="minorHAnsi"/>
          <w:sz w:val="20"/>
          <w:szCs w:val="20"/>
        </w:rPr>
        <w:t>di marcatori della fase acuta (ESR, CRP, ferritina), coagulopatia (titoli elevati di D-dimeri, coagulazione intravascolare disseminata) e lisi cellulare ( CK, LDH). Nei pazienti più gravi, i parametri clinici e di laboratorio erano correlati con un aumento dei livelli di citochine proinfiammatorie (IL-1β, IL-1Ra, IL-6, TNF-α e sIL2-Rα), evocativo di una tempesta di citochine.</w:t>
      </w:r>
    </w:p>
    <w:p w:rsidR="00E33BD5" w:rsidRPr="004F07C1" w:rsidRDefault="00E33BD5" w:rsidP="004F07C1">
      <w:pPr>
        <w:ind w:left="284"/>
        <w:jc w:val="both"/>
        <w:rPr>
          <w:rFonts w:asciiTheme="minorHAnsi" w:hAnsiTheme="minorHAnsi" w:cstheme="minorHAnsi"/>
          <w:sz w:val="20"/>
          <w:szCs w:val="20"/>
        </w:rPr>
      </w:pPr>
      <w:r w:rsidRPr="004F07C1">
        <w:rPr>
          <w:rFonts w:asciiTheme="minorHAnsi" w:hAnsiTheme="minorHAnsi" w:cstheme="minorHAnsi"/>
          <w:sz w:val="20"/>
          <w:szCs w:val="20"/>
        </w:rPr>
        <w:lastRenderedPageBreak/>
        <w:t xml:space="preserve">È interessante notare che l'ARDS si verifica nei pazienti con SARS-CoV nonostante una diminuzione della carica virale, suggerendo che la risposta immunitaria </w:t>
      </w:r>
      <w:r w:rsidR="00C17A55">
        <w:rPr>
          <w:rFonts w:asciiTheme="minorHAnsi" w:hAnsiTheme="minorHAnsi" w:cstheme="minorHAnsi"/>
          <w:sz w:val="20"/>
          <w:szCs w:val="20"/>
        </w:rPr>
        <w:t>eccessiva</w:t>
      </w:r>
      <w:r w:rsidR="00C17A55" w:rsidRPr="004F07C1">
        <w:rPr>
          <w:rFonts w:asciiTheme="minorHAnsi" w:hAnsiTheme="minorHAnsi" w:cstheme="minorHAnsi"/>
          <w:sz w:val="20"/>
          <w:szCs w:val="20"/>
        </w:rPr>
        <w:t xml:space="preserve"> </w:t>
      </w:r>
      <w:r w:rsidRPr="004F07C1">
        <w:rPr>
          <w:rFonts w:asciiTheme="minorHAnsi" w:hAnsiTheme="minorHAnsi" w:cstheme="minorHAnsi"/>
          <w:sz w:val="20"/>
          <w:szCs w:val="20"/>
        </w:rPr>
        <w:t xml:space="preserve">dell'ospite può essere responsabile di questo risultato piuttosto che della virulenza virale. </w:t>
      </w:r>
    </w:p>
    <w:p w:rsidR="00E33BD5" w:rsidRDefault="00E33BD5" w:rsidP="00E33BD5">
      <w:pPr>
        <w:pStyle w:val="ListParagraph"/>
        <w:jc w:val="both"/>
        <w:rPr>
          <w:rFonts w:asciiTheme="minorHAnsi" w:hAnsiTheme="minorHAnsi" w:cstheme="minorHAnsi"/>
          <w:sz w:val="20"/>
          <w:szCs w:val="20"/>
        </w:rPr>
      </w:pPr>
    </w:p>
    <w:p w:rsidR="004F07C1" w:rsidRDefault="004F07C1"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851" w:right="1127"/>
        <w:jc w:val="both"/>
        <w:rPr>
          <w:rFonts w:asciiTheme="minorHAnsi" w:hAnsiTheme="minorHAnsi" w:cstheme="minorHAnsi"/>
          <w:i/>
          <w:iCs/>
          <w:sz w:val="18"/>
          <w:szCs w:val="18"/>
        </w:rPr>
      </w:pPr>
    </w:p>
    <w:p w:rsidR="001B65C8" w:rsidRDefault="00E33BD5"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851" w:right="1127"/>
        <w:jc w:val="both"/>
        <w:rPr>
          <w:rFonts w:asciiTheme="minorHAnsi" w:hAnsiTheme="minorHAnsi" w:cstheme="minorHAnsi"/>
          <w:i/>
          <w:iCs/>
          <w:sz w:val="20"/>
          <w:szCs w:val="20"/>
        </w:rPr>
      </w:pPr>
      <w:r w:rsidRPr="001B65C8">
        <w:rPr>
          <w:rFonts w:asciiTheme="minorHAnsi" w:hAnsiTheme="minorHAnsi" w:cstheme="minorHAnsi"/>
          <w:i/>
          <w:iCs/>
          <w:sz w:val="20"/>
          <w:szCs w:val="20"/>
        </w:rPr>
        <w:t xml:space="preserve">Tale profilo di citochine ricorda fortemente sia la sindrome da rilascio di citochine (CRS, vista nella terapia CAR con cellule T) sia </w:t>
      </w:r>
      <w:r w:rsidRPr="001B65C8">
        <w:rPr>
          <w:rFonts w:asciiTheme="minorHAnsi" w:hAnsiTheme="minorHAnsi" w:cstheme="minorHAnsi"/>
          <w:b/>
          <w:bCs/>
          <w:i/>
          <w:iCs/>
          <w:sz w:val="20"/>
          <w:szCs w:val="20"/>
        </w:rPr>
        <w:t>la linfoistiocitosi emofagocitica</w:t>
      </w:r>
      <w:r w:rsidRPr="001B65C8">
        <w:rPr>
          <w:rFonts w:asciiTheme="minorHAnsi" w:hAnsiTheme="minorHAnsi" w:cstheme="minorHAnsi"/>
          <w:i/>
          <w:iCs/>
          <w:sz w:val="20"/>
          <w:szCs w:val="20"/>
        </w:rPr>
        <w:t xml:space="preserve"> (HLH). </w:t>
      </w:r>
    </w:p>
    <w:p w:rsidR="00E33BD5" w:rsidRPr="001B65C8" w:rsidRDefault="00E33BD5"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851" w:right="1127"/>
        <w:jc w:val="both"/>
        <w:rPr>
          <w:rFonts w:asciiTheme="minorHAnsi" w:hAnsiTheme="minorHAnsi" w:cstheme="minorHAnsi"/>
          <w:i/>
          <w:iCs/>
          <w:sz w:val="20"/>
          <w:szCs w:val="20"/>
        </w:rPr>
      </w:pPr>
      <w:r w:rsidRPr="001B65C8">
        <w:rPr>
          <w:rFonts w:asciiTheme="minorHAnsi" w:hAnsiTheme="minorHAnsi" w:cstheme="minorHAnsi"/>
          <w:i/>
          <w:iCs/>
          <w:sz w:val="20"/>
          <w:szCs w:val="20"/>
        </w:rPr>
        <w:t>Numerosi autori hanno messo in parallelo la tempesta di citochine COVID-19 con HLH primari</w:t>
      </w:r>
      <w:r w:rsidR="004F07C1" w:rsidRPr="001B65C8">
        <w:rPr>
          <w:rFonts w:asciiTheme="minorHAnsi" w:hAnsiTheme="minorHAnsi" w:cstheme="minorHAnsi"/>
          <w:i/>
          <w:iCs/>
          <w:sz w:val="20"/>
          <w:szCs w:val="20"/>
        </w:rPr>
        <w:t>a</w:t>
      </w:r>
      <w:r w:rsidRPr="001B65C8">
        <w:rPr>
          <w:rFonts w:asciiTheme="minorHAnsi" w:hAnsiTheme="minorHAnsi" w:cstheme="minorHAnsi"/>
          <w:i/>
          <w:iCs/>
          <w:sz w:val="20"/>
          <w:szCs w:val="20"/>
        </w:rPr>
        <w:t xml:space="preserve"> o reattiv</w:t>
      </w:r>
      <w:r w:rsidR="004F07C1" w:rsidRPr="001B65C8">
        <w:rPr>
          <w:rFonts w:asciiTheme="minorHAnsi" w:hAnsiTheme="minorHAnsi" w:cstheme="minorHAnsi"/>
          <w:i/>
          <w:iCs/>
          <w:sz w:val="20"/>
          <w:szCs w:val="20"/>
        </w:rPr>
        <w:t>a</w:t>
      </w:r>
      <w:r w:rsidRPr="001B65C8">
        <w:rPr>
          <w:rFonts w:asciiTheme="minorHAnsi" w:hAnsiTheme="minorHAnsi" w:cstheme="minorHAnsi"/>
          <w:i/>
          <w:iCs/>
          <w:sz w:val="20"/>
          <w:szCs w:val="20"/>
        </w:rPr>
        <w:t xml:space="preserve"> (reHLH) a causa della sua stretta somiglianza, tra cui febbre alta, citopenia, iperferritinemia, test epatici anormali, coagulopatia e coinvolgimento polmonare (compresi gli ARDS), che si verificano in circa 50% dei pazienti con reHLH. Negli adulti, l’reHLH è spesso innescat</w:t>
      </w:r>
      <w:r w:rsidR="004F07C1" w:rsidRPr="001B65C8">
        <w:rPr>
          <w:rFonts w:asciiTheme="minorHAnsi" w:hAnsiTheme="minorHAnsi" w:cstheme="minorHAnsi"/>
          <w:i/>
          <w:iCs/>
          <w:sz w:val="20"/>
          <w:szCs w:val="20"/>
        </w:rPr>
        <w:t>a</w:t>
      </w:r>
      <w:r w:rsidRPr="001B65C8">
        <w:rPr>
          <w:rFonts w:asciiTheme="minorHAnsi" w:hAnsiTheme="minorHAnsi" w:cstheme="minorHAnsi"/>
          <w:i/>
          <w:iCs/>
          <w:sz w:val="20"/>
          <w:szCs w:val="20"/>
        </w:rPr>
        <w:t xml:space="preserve"> da infezioni virali ed è osservat</w:t>
      </w:r>
      <w:r w:rsidR="004F07C1" w:rsidRPr="001B65C8">
        <w:rPr>
          <w:rFonts w:asciiTheme="minorHAnsi" w:hAnsiTheme="minorHAnsi" w:cstheme="minorHAnsi"/>
          <w:i/>
          <w:iCs/>
          <w:sz w:val="20"/>
          <w:szCs w:val="20"/>
        </w:rPr>
        <w:t>a</w:t>
      </w:r>
      <w:r w:rsidRPr="001B65C8">
        <w:rPr>
          <w:rFonts w:asciiTheme="minorHAnsi" w:hAnsiTheme="minorHAnsi" w:cstheme="minorHAnsi"/>
          <w:i/>
          <w:iCs/>
          <w:sz w:val="20"/>
          <w:szCs w:val="20"/>
        </w:rPr>
        <w:t xml:space="preserve"> nel 3-4% dei casi di sepsi. </w:t>
      </w:r>
    </w:p>
    <w:p w:rsidR="004F07C1" w:rsidRPr="004F07C1" w:rsidRDefault="004F07C1"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851" w:right="1127"/>
        <w:jc w:val="both"/>
        <w:rPr>
          <w:rFonts w:asciiTheme="minorHAnsi" w:hAnsiTheme="minorHAnsi" w:cstheme="minorHAnsi"/>
          <w:i/>
          <w:iCs/>
          <w:sz w:val="18"/>
          <w:szCs w:val="18"/>
        </w:rPr>
      </w:pPr>
    </w:p>
    <w:p w:rsidR="004F07C1" w:rsidRDefault="004F07C1" w:rsidP="00E33BD5">
      <w:pPr>
        <w:ind w:left="709"/>
        <w:jc w:val="both"/>
        <w:rPr>
          <w:rFonts w:asciiTheme="minorHAnsi" w:hAnsiTheme="minorHAnsi" w:cstheme="minorHAnsi"/>
          <w:sz w:val="22"/>
          <w:szCs w:val="22"/>
        </w:rPr>
      </w:pPr>
    </w:p>
    <w:p w:rsidR="004F07C1" w:rsidRDefault="00E33BD5" w:rsidP="004F07C1">
      <w:pPr>
        <w:ind w:left="284"/>
        <w:jc w:val="both"/>
        <w:rPr>
          <w:rFonts w:asciiTheme="minorHAnsi" w:hAnsiTheme="minorHAnsi" w:cstheme="minorHAnsi"/>
          <w:sz w:val="20"/>
          <w:szCs w:val="20"/>
        </w:rPr>
      </w:pPr>
      <w:r w:rsidRPr="004F07C1">
        <w:rPr>
          <w:rFonts w:asciiTheme="minorHAnsi" w:hAnsiTheme="minorHAnsi" w:cstheme="minorHAnsi"/>
          <w:sz w:val="20"/>
          <w:szCs w:val="20"/>
        </w:rPr>
        <w:t xml:space="preserve">Sebbene sia possibile una via alternativa dell’iperattivazione dell'immunità innata primaria, è più probabile che </w:t>
      </w:r>
      <w:r w:rsidRPr="004F07C1">
        <w:rPr>
          <w:rFonts w:asciiTheme="minorHAnsi" w:hAnsiTheme="minorHAnsi" w:cstheme="minorHAnsi"/>
          <w:b/>
          <w:bCs/>
          <w:sz w:val="20"/>
          <w:szCs w:val="20"/>
        </w:rPr>
        <w:t xml:space="preserve">questa tempesta di citochine si verifichi a causa della combinazione di una prima linea di difesa difettosa (o ritardata), seguita da una persistente ipercitochinemia (IL-6, IL-1β e TNF-α) e </w:t>
      </w:r>
      <w:r w:rsidR="001C1BAF" w:rsidRPr="004F07C1">
        <w:rPr>
          <w:rFonts w:asciiTheme="minorHAnsi" w:hAnsiTheme="minorHAnsi" w:cstheme="minorHAnsi"/>
          <w:b/>
          <w:bCs/>
          <w:sz w:val="20"/>
          <w:szCs w:val="20"/>
        </w:rPr>
        <w:t xml:space="preserve">una </w:t>
      </w:r>
      <w:r w:rsidRPr="004F07C1">
        <w:rPr>
          <w:rFonts w:asciiTheme="minorHAnsi" w:hAnsiTheme="minorHAnsi" w:cstheme="minorHAnsi"/>
          <w:b/>
          <w:bCs/>
          <w:sz w:val="20"/>
          <w:szCs w:val="20"/>
        </w:rPr>
        <w:t xml:space="preserve">risposta disfunzionale delle cellule T (generalmente </w:t>
      </w:r>
      <w:r w:rsidR="001C1BAF" w:rsidRPr="004F07C1">
        <w:rPr>
          <w:rFonts w:asciiTheme="minorHAnsi" w:hAnsiTheme="minorHAnsi" w:cstheme="minorHAnsi"/>
          <w:b/>
          <w:bCs/>
          <w:sz w:val="20"/>
          <w:szCs w:val="20"/>
        </w:rPr>
        <w:t xml:space="preserve">di </w:t>
      </w:r>
      <w:r w:rsidRPr="004F07C1">
        <w:rPr>
          <w:rFonts w:asciiTheme="minorHAnsi" w:hAnsiTheme="minorHAnsi" w:cstheme="minorHAnsi"/>
          <w:b/>
          <w:bCs/>
          <w:sz w:val="20"/>
          <w:szCs w:val="20"/>
        </w:rPr>
        <w:t>citotossicità).</w:t>
      </w:r>
      <w:r w:rsidRPr="004F07C1">
        <w:rPr>
          <w:rFonts w:asciiTheme="minorHAnsi" w:hAnsiTheme="minorHAnsi" w:cstheme="minorHAnsi"/>
          <w:sz w:val="20"/>
          <w:szCs w:val="20"/>
        </w:rPr>
        <w:t xml:space="preserve"> </w:t>
      </w:r>
    </w:p>
    <w:p w:rsidR="004F07C1" w:rsidRDefault="00E33BD5" w:rsidP="004F07C1">
      <w:pPr>
        <w:ind w:left="284"/>
        <w:jc w:val="both"/>
        <w:rPr>
          <w:rFonts w:asciiTheme="minorHAnsi" w:hAnsiTheme="minorHAnsi" w:cstheme="minorHAnsi"/>
          <w:sz w:val="20"/>
          <w:szCs w:val="20"/>
        </w:rPr>
      </w:pPr>
      <w:r w:rsidRPr="004F07C1">
        <w:rPr>
          <w:rFonts w:asciiTheme="minorHAnsi" w:hAnsiTheme="minorHAnsi" w:cstheme="minorHAnsi"/>
          <w:sz w:val="20"/>
          <w:szCs w:val="20"/>
        </w:rPr>
        <w:t xml:space="preserve">Ciò si traduce in una compromissione della clearance delle cellule apoptiche o dei macrofagi infetti / attivati, un aumento della replicazione e diffusione virale, seguito da un ciclo di </w:t>
      </w:r>
      <w:r w:rsidR="001C1BAF" w:rsidRPr="004F07C1">
        <w:rPr>
          <w:rFonts w:asciiTheme="minorHAnsi" w:hAnsiTheme="minorHAnsi" w:cstheme="minorHAnsi"/>
          <w:sz w:val="20"/>
          <w:szCs w:val="20"/>
        </w:rPr>
        <w:t>autoalimentazione dell’</w:t>
      </w:r>
      <w:r w:rsidRPr="004F07C1">
        <w:rPr>
          <w:rFonts w:asciiTheme="minorHAnsi" w:hAnsiTheme="minorHAnsi" w:cstheme="minorHAnsi"/>
          <w:sz w:val="20"/>
          <w:szCs w:val="20"/>
        </w:rPr>
        <w:t xml:space="preserve">IL-18 / IFN-γ che attiva i macrofagi, culminando nel rilascio multiplo di citochine, emofagocitosi, coagulopatia e ARDS. </w:t>
      </w:r>
    </w:p>
    <w:p w:rsidR="00A932F9" w:rsidRPr="004F07C1" w:rsidRDefault="00E33BD5" w:rsidP="004F07C1">
      <w:pPr>
        <w:ind w:left="284"/>
        <w:jc w:val="both"/>
        <w:rPr>
          <w:rFonts w:asciiTheme="minorHAnsi" w:hAnsiTheme="minorHAnsi" w:cstheme="minorHAnsi"/>
          <w:sz w:val="20"/>
          <w:szCs w:val="20"/>
        </w:rPr>
      </w:pPr>
      <w:r w:rsidRPr="004F07C1">
        <w:rPr>
          <w:rFonts w:asciiTheme="minorHAnsi" w:hAnsiTheme="minorHAnsi" w:cstheme="minorHAnsi"/>
          <w:sz w:val="20"/>
          <w:szCs w:val="20"/>
        </w:rPr>
        <w:t>Alcuni di questi mediatori possono alimentare ulteriormente questo circolo vizioso, incluso il danneggiamento della funzione delle cellule NK da parte di IL-6</w:t>
      </w:r>
      <w:r w:rsidR="001C1BAF" w:rsidRPr="004F07C1">
        <w:rPr>
          <w:rFonts w:asciiTheme="minorHAnsi" w:hAnsiTheme="minorHAnsi" w:cstheme="minorHAnsi"/>
          <w:sz w:val="20"/>
          <w:szCs w:val="20"/>
        </w:rPr>
        <w:t xml:space="preserve"> </w:t>
      </w:r>
      <w:r w:rsidRPr="004F07C1">
        <w:rPr>
          <w:rFonts w:asciiTheme="minorHAnsi" w:hAnsiTheme="minorHAnsi" w:cstheme="minorHAnsi"/>
          <w:sz w:val="20"/>
          <w:szCs w:val="20"/>
        </w:rPr>
        <w:t>o l'attivazione d</w:t>
      </w:r>
      <w:r w:rsidR="001C1BAF" w:rsidRPr="004F07C1">
        <w:rPr>
          <w:rFonts w:asciiTheme="minorHAnsi" w:hAnsiTheme="minorHAnsi" w:cstheme="minorHAnsi"/>
          <w:sz w:val="20"/>
          <w:szCs w:val="20"/>
        </w:rPr>
        <w:t>e</w:t>
      </w:r>
      <w:r w:rsidRPr="004F07C1">
        <w:rPr>
          <w:rFonts w:asciiTheme="minorHAnsi" w:hAnsiTheme="minorHAnsi" w:cstheme="minorHAnsi"/>
          <w:sz w:val="20"/>
          <w:szCs w:val="20"/>
        </w:rPr>
        <w:t>i macrofagi da parte della catena H della ferritina</w:t>
      </w:r>
      <w:r w:rsidR="001C1BAF" w:rsidRPr="004F07C1">
        <w:rPr>
          <w:rFonts w:asciiTheme="minorHAnsi" w:hAnsiTheme="minorHAnsi" w:cstheme="minorHAnsi"/>
          <w:sz w:val="20"/>
          <w:szCs w:val="20"/>
        </w:rPr>
        <w:t xml:space="preserve">. </w:t>
      </w:r>
      <w:r w:rsidRPr="004F07C1">
        <w:rPr>
          <w:rFonts w:asciiTheme="minorHAnsi" w:hAnsiTheme="minorHAnsi" w:cstheme="minorHAnsi"/>
          <w:sz w:val="20"/>
          <w:szCs w:val="20"/>
        </w:rPr>
        <w:t xml:space="preserve">Soprattutto, l'emofagocitosi è stata segnalata nei tessuti polmonari da pazienti </w:t>
      </w:r>
      <w:r w:rsidR="001C1BAF" w:rsidRPr="004F07C1">
        <w:rPr>
          <w:rFonts w:asciiTheme="minorHAnsi" w:hAnsiTheme="minorHAnsi" w:cstheme="minorHAnsi"/>
          <w:sz w:val="20"/>
          <w:szCs w:val="20"/>
        </w:rPr>
        <w:t xml:space="preserve">con esito infausto </w:t>
      </w:r>
      <w:r w:rsidRPr="004F07C1">
        <w:rPr>
          <w:rFonts w:asciiTheme="minorHAnsi" w:hAnsiTheme="minorHAnsi" w:cstheme="minorHAnsi"/>
          <w:sz w:val="20"/>
          <w:szCs w:val="20"/>
        </w:rPr>
        <w:t>all'infezione da SARS-CoV</w:t>
      </w:r>
      <w:r w:rsidR="001C1BAF" w:rsidRPr="004F07C1">
        <w:rPr>
          <w:rFonts w:asciiTheme="minorHAnsi" w:hAnsiTheme="minorHAnsi" w:cstheme="minorHAnsi"/>
          <w:sz w:val="20"/>
          <w:szCs w:val="20"/>
        </w:rPr>
        <w:t>.</w:t>
      </w:r>
    </w:p>
    <w:p w:rsidR="00C1240B" w:rsidRDefault="00C1240B" w:rsidP="00A318B6">
      <w:pPr>
        <w:jc w:val="both"/>
        <w:rPr>
          <w:rFonts w:asciiTheme="minorHAnsi" w:hAnsiTheme="minorHAnsi" w:cstheme="minorHAnsi"/>
          <w:sz w:val="22"/>
          <w:szCs w:val="22"/>
        </w:rPr>
      </w:pPr>
    </w:p>
    <w:p w:rsidR="001C1BAF" w:rsidRDefault="001C1BAF" w:rsidP="001C1BAF">
      <w:pPr>
        <w:jc w:val="both"/>
        <w:rPr>
          <w:rFonts w:asciiTheme="minorHAnsi" w:hAnsiTheme="minorHAnsi" w:cstheme="minorHAnsi"/>
          <w:sz w:val="20"/>
          <w:szCs w:val="20"/>
        </w:rPr>
      </w:pPr>
      <w:r w:rsidRPr="004F07C1">
        <w:rPr>
          <w:rFonts w:asciiTheme="minorHAnsi" w:hAnsiTheme="minorHAnsi" w:cstheme="minorHAnsi"/>
          <w:sz w:val="20"/>
          <w:szCs w:val="20"/>
        </w:rPr>
        <w:t>Analizzando più nel dettaglio l'immunopatologia dell'ARDS correlata al SARS-CoV2, Giamarellos-Bourboulis et al. sono giunti alla conclusione che esistono due modelli di disfunzione immunitaria nell’aggravamento del COVID-19</w:t>
      </w:r>
      <w:r w:rsidR="008377D1" w:rsidRPr="004F07C1">
        <w:rPr>
          <w:rFonts w:asciiTheme="minorHAnsi" w:hAnsiTheme="minorHAnsi" w:cstheme="minorHAnsi"/>
          <w:sz w:val="20"/>
          <w:szCs w:val="20"/>
        </w:rPr>
        <w:t xml:space="preserve"> </w:t>
      </w:r>
      <w:r w:rsidR="008377D1" w:rsidRPr="004F07C1">
        <w:rPr>
          <w:rStyle w:val="FootnoteReference"/>
          <w:rFonts w:asciiTheme="minorHAnsi" w:hAnsiTheme="minorHAnsi" w:cstheme="minorHAnsi"/>
          <w:sz w:val="20"/>
          <w:szCs w:val="20"/>
        </w:rPr>
        <w:footnoteReference w:id="72"/>
      </w:r>
      <w:r w:rsidRPr="004F07C1">
        <w:rPr>
          <w:rFonts w:asciiTheme="minorHAnsi" w:hAnsiTheme="minorHAnsi" w:cstheme="minorHAnsi"/>
          <w:sz w:val="20"/>
          <w:szCs w:val="20"/>
        </w:rPr>
        <w:t xml:space="preserve">: </w:t>
      </w:r>
    </w:p>
    <w:p w:rsidR="004F07C1" w:rsidRPr="004F07C1" w:rsidRDefault="004F07C1" w:rsidP="001C1BAF">
      <w:pPr>
        <w:jc w:val="both"/>
        <w:rPr>
          <w:rFonts w:asciiTheme="minorHAnsi" w:hAnsiTheme="minorHAnsi" w:cstheme="minorHAnsi"/>
          <w:sz w:val="20"/>
          <w:szCs w:val="20"/>
        </w:rPr>
      </w:pPr>
    </w:p>
    <w:p w:rsidR="001C1BAF" w:rsidRDefault="001C1BAF" w:rsidP="009A3865">
      <w:pPr>
        <w:pStyle w:val="ListParagraph"/>
        <w:numPr>
          <w:ilvl w:val="0"/>
          <w:numId w:val="12"/>
        </w:numPr>
        <w:jc w:val="both"/>
        <w:rPr>
          <w:rFonts w:asciiTheme="minorHAnsi" w:hAnsiTheme="minorHAnsi" w:cstheme="minorHAnsi"/>
          <w:sz w:val="20"/>
          <w:szCs w:val="20"/>
        </w:rPr>
      </w:pPr>
      <w:r w:rsidRPr="004F07C1">
        <w:rPr>
          <w:rFonts w:asciiTheme="minorHAnsi" w:hAnsiTheme="minorHAnsi" w:cstheme="minorHAnsi"/>
          <w:sz w:val="20"/>
          <w:szCs w:val="20"/>
        </w:rPr>
        <w:t xml:space="preserve">un modello altamente suggestivo di </w:t>
      </w:r>
      <w:r w:rsidRPr="001B65C8">
        <w:rPr>
          <w:rFonts w:asciiTheme="minorHAnsi" w:hAnsiTheme="minorHAnsi" w:cstheme="minorHAnsi"/>
          <w:b/>
          <w:bCs/>
          <w:sz w:val="20"/>
          <w:szCs w:val="20"/>
          <w:shd w:val="clear" w:color="auto" w:fill="FBF9E1"/>
        </w:rPr>
        <w:t>sindrome da attivazione dei macrofagi</w:t>
      </w:r>
      <w:r w:rsidRPr="004F07C1">
        <w:rPr>
          <w:rFonts w:asciiTheme="minorHAnsi" w:hAnsiTheme="minorHAnsi" w:cstheme="minorHAnsi"/>
          <w:sz w:val="20"/>
          <w:szCs w:val="20"/>
        </w:rPr>
        <w:t xml:space="preserve"> (iperferritinemia e punteggio H elevato: 25% dei pazienti), che è mediato dall’</w:t>
      </w:r>
      <w:r w:rsidRPr="004F07C1">
        <w:rPr>
          <w:rFonts w:asciiTheme="minorHAnsi" w:hAnsiTheme="minorHAnsi" w:cstheme="minorHAnsi"/>
          <w:b/>
          <w:bCs/>
          <w:sz w:val="20"/>
          <w:szCs w:val="20"/>
        </w:rPr>
        <w:t>IL-1β</w:t>
      </w:r>
    </w:p>
    <w:p w:rsidR="004F07C1" w:rsidRPr="004F07C1" w:rsidRDefault="004F07C1" w:rsidP="004F07C1">
      <w:pPr>
        <w:pStyle w:val="ListParagraph"/>
        <w:jc w:val="both"/>
        <w:rPr>
          <w:rFonts w:asciiTheme="minorHAnsi" w:hAnsiTheme="minorHAnsi" w:cstheme="minorHAnsi"/>
          <w:sz w:val="20"/>
          <w:szCs w:val="20"/>
        </w:rPr>
      </w:pPr>
    </w:p>
    <w:p w:rsidR="001C1BAF" w:rsidRPr="004F07C1" w:rsidRDefault="001C1BAF" w:rsidP="009A3865">
      <w:pPr>
        <w:pStyle w:val="ListParagraph"/>
        <w:numPr>
          <w:ilvl w:val="0"/>
          <w:numId w:val="12"/>
        </w:numPr>
        <w:jc w:val="both"/>
        <w:rPr>
          <w:rFonts w:asciiTheme="minorHAnsi" w:hAnsiTheme="minorHAnsi" w:cstheme="minorHAnsi"/>
          <w:sz w:val="20"/>
          <w:szCs w:val="20"/>
        </w:rPr>
      </w:pPr>
      <w:r w:rsidRPr="004F07C1">
        <w:rPr>
          <w:rFonts w:asciiTheme="minorHAnsi" w:hAnsiTheme="minorHAnsi" w:cstheme="minorHAnsi"/>
          <w:sz w:val="20"/>
          <w:szCs w:val="20"/>
        </w:rPr>
        <w:t xml:space="preserve">un modello con </w:t>
      </w:r>
      <w:r w:rsidRPr="001B65C8">
        <w:rPr>
          <w:rFonts w:asciiTheme="minorHAnsi" w:hAnsiTheme="minorHAnsi" w:cstheme="minorHAnsi"/>
          <w:b/>
          <w:bCs/>
          <w:sz w:val="20"/>
          <w:szCs w:val="20"/>
          <w:shd w:val="clear" w:color="auto" w:fill="FBF9E1"/>
        </w:rPr>
        <w:t>disregolazione immunitaria mediato dall’IL-6</w:t>
      </w:r>
      <w:r w:rsidRPr="004F07C1">
        <w:rPr>
          <w:rFonts w:asciiTheme="minorHAnsi" w:hAnsiTheme="minorHAnsi" w:cstheme="minorHAnsi"/>
          <w:sz w:val="20"/>
          <w:szCs w:val="20"/>
        </w:rPr>
        <w:t xml:space="preserve">, caratterizzato da una </w:t>
      </w:r>
      <w:r w:rsidRPr="004F07C1">
        <w:rPr>
          <w:rFonts w:asciiTheme="minorHAnsi" w:hAnsiTheme="minorHAnsi" w:cstheme="minorHAnsi"/>
          <w:b/>
          <w:bCs/>
          <w:sz w:val="20"/>
          <w:szCs w:val="20"/>
        </w:rPr>
        <w:t>combinazione di ipercitoc</w:t>
      </w:r>
      <w:r w:rsidR="008377D1" w:rsidRPr="004F07C1">
        <w:rPr>
          <w:rFonts w:asciiTheme="minorHAnsi" w:hAnsiTheme="minorHAnsi" w:cstheme="minorHAnsi"/>
          <w:b/>
          <w:bCs/>
          <w:sz w:val="20"/>
          <w:szCs w:val="20"/>
        </w:rPr>
        <w:t>h</w:t>
      </w:r>
      <w:r w:rsidRPr="004F07C1">
        <w:rPr>
          <w:rFonts w:asciiTheme="minorHAnsi" w:hAnsiTheme="minorHAnsi" w:cstheme="minorHAnsi"/>
          <w:b/>
          <w:bCs/>
          <w:sz w:val="20"/>
          <w:szCs w:val="20"/>
        </w:rPr>
        <w:t xml:space="preserve">inemia, immunoparalisi </w:t>
      </w:r>
      <w:r w:rsidRPr="004F07C1">
        <w:rPr>
          <w:rFonts w:asciiTheme="minorHAnsi" w:hAnsiTheme="minorHAnsi" w:cstheme="minorHAnsi"/>
          <w:sz w:val="20"/>
          <w:szCs w:val="20"/>
        </w:rPr>
        <w:t xml:space="preserve">(come indicato dalla riduzione delle molecole HLA-DR sui monociti CD14) e </w:t>
      </w:r>
      <w:r w:rsidRPr="004F07C1">
        <w:rPr>
          <w:rFonts w:asciiTheme="minorHAnsi" w:hAnsiTheme="minorHAnsi" w:cstheme="minorHAnsi"/>
          <w:b/>
          <w:bCs/>
          <w:sz w:val="20"/>
          <w:szCs w:val="20"/>
        </w:rPr>
        <w:t>linfopenia globale</w:t>
      </w:r>
      <w:r w:rsidRPr="004F07C1">
        <w:rPr>
          <w:rFonts w:asciiTheme="minorHAnsi" w:hAnsiTheme="minorHAnsi" w:cstheme="minorHAnsi"/>
          <w:sz w:val="20"/>
          <w:szCs w:val="20"/>
        </w:rPr>
        <w:t xml:space="preserve"> (comprese le cellule CD4</w:t>
      </w:r>
      <w:r w:rsidRPr="004F07C1">
        <w:rPr>
          <w:rFonts w:asciiTheme="minorHAnsi" w:hAnsiTheme="minorHAnsi" w:cstheme="minorHAnsi"/>
          <w:sz w:val="20"/>
          <w:szCs w:val="20"/>
          <w:vertAlign w:val="superscript"/>
        </w:rPr>
        <w:t xml:space="preserve">+ </w:t>
      </w:r>
      <w:r w:rsidRPr="004F07C1">
        <w:rPr>
          <w:rFonts w:asciiTheme="minorHAnsi" w:hAnsiTheme="minorHAnsi" w:cstheme="minorHAnsi"/>
          <w:sz w:val="20"/>
          <w:szCs w:val="20"/>
        </w:rPr>
        <w:t xml:space="preserve">e NK). È interessante notare che il blocco </w:t>
      </w:r>
      <w:r w:rsidR="008377D1" w:rsidRPr="004F07C1">
        <w:rPr>
          <w:rFonts w:asciiTheme="minorHAnsi" w:hAnsiTheme="minorHAnsi" w:cstheme="minorHAnsi"/>
          <w:sz w:val="20"/>
          <w:szCs w:val="20"/>
        </w:rPr>
        <w:t>dell’</w:t>
      </w:r>
      <w:r w:rsidRPr="004F07C1">
        <w:rPr>
          <w:rFonts w:asciiTheme="minorHAnsi" w:hAnsiTheme="minorHAnsi" w:cstheme="minorHAnsi"/>
          <w:sz w:val="20"/>
          <w:szCs w:val="20"/>
        </w:rPr>
        <w:t>IL-6 con tocilizumab ha parzialmente ripristinato l'espressione HLA-DR sui monociti CD14 e aumentato la conta dei linfociti circolanti.</w:t>
      </w:r>
    </w:p>
    <w:p w:rsidR="001C1BAF" w:rsidRPr="001C1BAF" w:rsidRDefault="001C1BAF" w:rsidP="00A318B6">
      <w:pPr>
        <w:jc w:val="both"/>
        <w:rPr>
          <w:rFonts w:asciiTheme="minorHAnsi" w:hAnsiTheme="minorHAnsi" w:cstheme="minorHAnsi"/>
          <w:sz w:val="22"/>
          <w:szCs w:val="22"/>
        </w:rPr>
      </w:pPr>
    </w:p>
    <w:p w:rsidR="00C1240B" w:rsidRDefault="00C1240B" w:rsidP="001C1BAF">
      <w:pPr>
        <w:jc w:val="center"/>
      </w:pPr>
      <w:r w:rsidRPr="00C1240B">
        <w:lastRenderedPageBreak/>
        <w:fldChar w:fldCharType="begin"/>
      </w:r>
      <w:r w:rsidRPr="007C2192">
        <w:rPr>
          <w:lang w:val="en-US"/>
        </w:rPr>
        <w:instrText xml:space="preserve"> INCLUDEPICTURE "https://ars.els-cdn.com/content/image/1-s2.0-S1568997220301294-gr2.jpg" \* MERGEFORMATINET </w:instrText>
      </w:r>
      <w:r w:rsidRPr="00C1240B">
        <w:fldChar w:fldCharType="separate"/>
      </w:r>
      <w:r w:rsidRPr="00C1240B">
        <w:rPr>
          <w:noProof/>
        </w:rPr>
        <w:drawing>
          <wp:inline distT="0" distB="0" distL="0" distR="0">
            <wp:extent cx="5769033" cy="4317191"/>
            <wp:effectExtent l="0" t="0" r="0" b="1270"/>
            <wp:docPr id="15" name="Immagine 15"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77759" cy="4398555"/>
                    </a:xfrm>
                    <a:prstGeom prst="rect">
                      <a:avLst/>
                    </a:prstGeom>
                    <a:noFill/>
                    <a:ln>
                      <a:noFill/>
                    </a:ln>
                  </pic:spPr>
                </pic:pic>
              </a:graphicData>
            </a:graphic>
          </wp:inline>
        </w:drawing>
      </w:r>
      <w:r w:rsidRPr="00C1240B">
        <w:fldChar w:fldCharType="end"/>
      </w:r>
    </w:p>
    <w:p w:rsidR="001B65C8" w:rsidRPr="007C2192" w:rsidRDefault="001B65C8" w:rsidP="001C1BAF">
      <w:pPr>
        <w:jc w:val="center"/>
        <w:rPr>
          <w:lang w:val="en-US"/>
        </w:rPr>
      </w:pPr>
    </w:p>
    <w:p w:rsidR="00A932F9" w:rsidRPr="001B65C8" w:rsidRDefault="00A932F9" w:rsidP="001B65C8">
      <w:pPr>
        <w:shd w:val="clear" w:color="auto" w:fill="F2F2F2" w:themeFill="background1" w:themeFillShade="F2"/>
        <w:rPr>
          <w:rFonts w:asciiTheme="minorHAnsi" w:hAnsiTheme="minorHAnsi" w:cstheme="minorHAnsi"/>
          <w:color w:val="000000" w:themeColor="text1"/>
          <w:sz w:val="18"/>
          <w:szCs w:val="18"/>
        </w:rPr>
      </w:pPr>
      <w:r w:rsidRPr="001B65C8">
        <w:rPr>
          <w:rFonts w:asciiTheme="minorHAnsi" w:hAnsiTheme="minorHAnsi" w:cstheme="minorHAnsi"/>
          <w:color w:val="000000" w:themeColor="text1"/>
          <w:sz w:val="18"/>
          <w:szCs w:val="18"/>
        </w:rPr>
        <w:t xml:space="preserve">Tratta da </w:t>
      </w:r>
      <w:hyperlink r:id="rId90" w:history="1">
        <w:r w:rsidRPr="001B65C8">
          <w:rPr>
            <w:rFonts w:asciiTheme="minorHAnsi" w:hAnsiTheme="minorHAnsi" w:cstheme="minorHAnsi"/>
            <w:color w:val="000000" w:themeColor="text1"/>
            <w:sz w:val="18"/>
            <w:szCs w:val="18"/>
          </w:rPr>
          <w:t>https://www.ncbi.nlm.nih.gov/pmc/articles/PMC7196557/</w:t>
        </w:r>
      </w:hyperlink>
    </w:p>
    <w:p w:rsidR="00A932F9" w:rsidRPr="001B65C8" w:rsidRDefault="00A932F9" w:rsidP="001B65C8">
      <w:pPr>
        <w:shd w:val="clear" w:color="auto" w:fill="F2F2F2" w:themeFill="background1" w:themeFillShade="F2"/>
        <w:jc w:val="both"/>
        <w:rPr>
          <w:rFonts w:asciiTheme="minorHAnsi" w:hAnsiTheme="minorHAnsi" w:cstheme="minorHAnsi"/>
          <w:b/>
          <w:bCs/>
          <w:sz w:val="18"/>
          <w:szCs w:val="18"/>
        </w:rPr>
      </w:pPr>
      <w:r w:rsidRPr="001B65C8">
        <w:rPr>
          <w:rFonts w:asciiTheme="minorHAnsi" w:hAnsiTheme="minorHAnsi" w:cstheme="minorHAnsi"/>
          <w:b/>
          <w:bCs/>
          <w:sz w:val="18"/>
          <w:szCs w:val="18"/>
        </w:rPr>
        <w:t>L'immunopatologia del COVID-19.</w:t>
      </w:r>
    </w:p>
    <w:p w:rsidR="00A932F9" w:rsidRPr="001B65C8" w:rsidRDefault="00A932F9" w:rsidP="001B65C8">
      <w:pPr>
        <w:shd w:val="clear" w:color="auto" w:fill="F2F2F2" w:themeFill="background1" w:themeFillShade="F2"/>
        <w:jc w:val="both"/>
        <w:rPr>
          <w:rFonts w:asciiTheme="minorHAnsi" w:hAnsiTheme="minorHAnsi" w:cstheme="minorHAnsi"/>
          <w:sz w:val="18"/>
          <w:szCs w:val="18"/>
        </w:rPr>
      </w:pPr>
      <w:r w:rsidRPr="001B65C8">
        <w:rPr>
          <w:rFonts w:asciiTheme="minorHAnsi" w:hAnsiTheme="minorHAnsi" w:cstheme="minorHAnsi"/>
          <w:sz w:val="18"/>
          <w:szCs w:val="18"/>
        </w:rPr>
        <w:t>L'ingresso del SARS-CoV-2 nelle cellule epiteliali / endoteliali, attraverso il legame con ACE2 (e CD147), induce vie apoptotiche e necroptotiche con conseguenti lesioni polmonari e rilascio di numerose chemochine che guidano il reclutamento di grandi quantità di cellule immunitarie all'interno dei polmoni. Cellule dendritiche (DC) e DC plasmacitoide (pDC, la principale fonte di interferone di tipo I (IFN)), insieme a macrofagi e neutrofili alveolari, promuovono la risposta immunitaria innata secernendo allarmine e citochine antivirali o proinfiammatorie, oltre a presentare l'antigene a cellule immunitarie adattative. Il SARS-CoV-2 potrebbe avere sviluppato strategie per sottoregolare la risposta IFN di tipo I e indurre l'apoptosi delle cellule T. Il riconoscimento di profili molecolari (RNA virale, particelle o segnali di pericolo) da parte di vari recettori Toll-like (TLR), recettori NOD-like (NLR) o recettori RIG-I-like (RLR) attiva la trascrizione e il rilascio di mediatori proinfiammatori, come interleuchina (IL) -1β, -6, -18 e fattore di necrosi tumorale (TNF) -α. Questi mediatori orientano ulteriormente le cellule T naïve a Th1 o ai linfociti citotossici (CTL o CD8 +), che a loro volta secernono quantità di citochine. Un ciclo autoalimentante proinfiammatorio di citochine sulle cellule immunitarie innate provoca la tempesta di citochine, coagulopatia e sindrome da distress respiratorio acuto (ARDS). La tempesta di citochine COVID-19 può intrecciarsi in due meccanismi: uno altamente suggestivo della sindrome da attivazione dei macrofagi (linfoistiocitosi emofagocitica, HLH) guidata dall’IL-1β, e un altro modello caratterizzato da disregolazione immunitaria guidata dall’IL-6, che innesca l'immunoparalisi (diminuzione dell'HLA-DR sui monociti CD14) e linfopenia globale.</w:t>
      </w:r>
    </w:p>
    <w:p w:rsidR="00A932F9" w:rsidRPr="008377D1" w:rsidRDefault="00A932F9" w:rsidP="008377D1">
      <w:pPr>
        <w:jc w:val="both"/>
        <w:rPr>
          <w:rFonts w:asciiTheme="minorHAnsi" w:hAnsiTheme="minorHAnsi" w:cstheme="minorHAnsi"/>
          <w:color w:val="000000" w:themeColor="text1"/>
          <w:sz w:val="22"/>
          <w:szCs w:val="22"/>
        </w:rPr>
      </w:pPr>
    </w:p>
    <w:p w:rsidR="008377D1" w:rsidRDefault="008377D1" w:rsidP="008377D1">
      <w:pPr>
        <w:jc w:val="both"/>
        <w:rPr>
          <w:rStyle w:val="title-text"/>
          <w:rFonts w:asciiTheme="minorHAnsi" w:hAnsiTheme="minorHAnsi" w:cstheme="minorHAnsi"/>
          <w:color w:val="000000" w:themeColor="text1"/>
          <w:sz w:val="20"/>
          <w:szCs w:val="20"/>
        </w:rPr>
      </w:pPr>
      <w:r w:rsidRPr="004F07C1">
        <w:rPr>
          <w:rFonts w:asciiTheme="minorHAnsi" w:hAnsiTheme="minorHAnsi" w:cstheme="minorHAnsi"/>
          <w:color w:val="000000" w:themeColor="text1"/>
          <w:sz w:val="20"/>
          <w:szCs w:val="20"/>
        </w:rPr>
        <w:t xml:space="preserve">Il secondo </w:t>
      </w:r>
      <w:r w:rsidR="004F07C1" w:rsidRPr="004F07C1">
        <w:rPr>
          <w:rFonts w:asciiTheme="minorHAnsi" w:hAnsiTheme="minorHAnsi" w:cstheme="minorHAnsi"/>
          <w:color w:val="000000" w:themeColor="text1"/>
          <w:sz w:val="20"/>
          <w:szCs w:val="20"/>
        </w:rPr>
        <w:t xml:space="preserve">articolo </w:t>
      </w:r>
      <w:r w:rsidRPr="004F07C1">
        <w:rPr>
          <w:rFonts w:asciiTheme="minorHAnsi" w:hAnsiTheme="minorHAnsi" w:cstheme="minorHAnsi"/>
          <w:color w:val="000000" w:themeColor="text1"/>
          <w:sz w:val="20"/>
          <w:szCs w:val="20"/>
        </w:rPr>
        <w:t>che si cita è “</w:t>
      </w:r>
      <w:r w:rsidRPr="004F07C1">
        <w:rPr>
          <w:rStyle w:val="title-text"/>
          <w:rFonts w:asciiTheme="minorHAnsi" w:hAnsiTheme="minorHAnsi" w:cstheme="minorHAnsi"/>
          <w:i/>
          <w:iCs/>
          <w:color w:val="000000" w:themeColor="text1"/>
          <w:sz w:val="20"/>
          <w:szCs w:val="20"/>
        </w:rPr>
        <w:t>COVID-19 gone bad: A new character in the spectrum of the hyperferritinemic syndrome?</w:t>
      </w:r>
      <w:r w:rsidRPr="004F07C1">
        <w:rPr>
          <w:rStyle w:val="title-text"/>
          <w:rFonts w:asciiTheme="minorHAnsi" w:hAnsiTheme="minorHAnsi" w:cstheme="minorHAnsi"/>
          <w:color w:val="000000" w:themeColor="text1"/>
          <w:sz w:val="20"/>
          <w:szCs w:val="20"/>
        </w:rPr>
        <w:t xml:space="preserve">” </w:t>
      </w:r>
      <w:r w:rsidRPr="004F07C1">
        <w:rPr>
          <w:rStyle w:val="FootnoteReference"/>
          <w:rFonts w:asciiTheme="minorHAnsi" w:hAnsiTheme="minorHAnsi" w:cstheme="minorHAnsi"/>
          <w:color w:val="000000" w:themeColor="text1"/>
          <w:sz w:val="20"/>
          <w:szCs w:val="20"/>
          <w:lang w:val="en-US"/>
        </w:rPr>
        <w:footnoteReference w:id="73"/>
      </w:r>
      <w:r w:rsidR="004F07C1">
        <w:rPr>
          <w:rStyle w:val="title-text"/>
          <w:rFonts w:asciiTheme="minorHAnsi" w:hAnsiTheme="minorHAnsi" w:cstheme="minorHAnsi"/>
          <w:color w:val="000000" w:themeColor="text1"/>
          <w:sz w:val="20"/>
          <w:szCs w:val="20"/>
        </w:rPr>
        <w:t>,</w:t>
      </w:r>
      <w:r w:rsidRPr="004F07C1">
        <w:rPr>
          <w:rStyle w:val="title-text"/>
          <w:rFonts w:asciiTheme="minorHAnsi" w:hAnsiTheme="minorHAnsi" w:cstheme="minorHAnsi"/>
          <w:color w:val="000000" w:themeColor="text1"/>
          <w:sz w:val="20"/>
          <w:szCs w:val="20"/>
        </w:rPr>
        <w:t xml:space="preserve"> in cui gli autori analizzano i possibili meccanismi epidemiologici e molecolari responsabili dell'iperinfiammazione nei pazienti con COVID-19 grave</w:t>
      </w:r>
      <w:r w:rsidR="004F07C1">
        <w:rPr>
          <w:rStyle w:val="title-text"/>
          <w:rFonts w:asciiTheme="minorHAnsi" w:hAnsiTheme="minorHAnsi" w:cstheme="minorHAnsi"/>
          <w:color w:val="000000" w:themeColor="text1"/>
          <w:sz w:val="20"/>
          <w:szCs w:val="20"/>
        </w:rPr>
        <w:t>,</w:t>
      </w:r>
      <w:r w:rsidRPr="004F07C1">
        <w:rPr>
          <w:rStyle w:val="title-text"/>
          <w:rFonts w:asciiTheme="minorHAnsi" w:hAnsiTheme="minorHAnsi" w:cstheme="minorHAnsi"/>
          <w:color w:val="000000" w:themeColor="text1"/>
          <w:sz w:val="20"/>
          <w:szCs w:val="20"/>
        </w:rPr>
        <w:t xml:space="preserve"> e sottolineano le somiglianze tra questa condizione e le "</w:t>
      </w:r>
      <w:r w:rsidRPr="001B65C8">
        <w:rPr>
          <w:rStyle w:val="title-text"/>
          <w:rFonts w:asciiTheme="minorHAnsi" w:hAnsiTheme="minorHAnsi" w:cstheme="minorHAnsi"/>
          <w:b/>
          <w:bCs/>
          <w:color w:val="000000" w:themeColor="text1"/>
          <w:sz w:val="20"/>
          <w:szCs w:val="20"/>
          <w:shd w:val="clear" w:color="auto" w:fill="FBF9E1"/>
        </w:rPr>
        <w:t>sindromi iperferritinemiche</w:t>
      </w:r>
      <w:r w:rsidRPr="004F07C1">
        <w:rPr>
          <w:rStyle w:val="title-text"/>
          <w:rFonts w:asciiTheme="minorHAnsi" w:hAnsiTheme="minorHAnsi" w:cstheme="minorHAnsi"/>
          <w:color w:val="000000" w:themeColor="text1"/>
          <w:sz w:val="20"/>
          <w:szCs w:val="20"/>
        </w:rPr>
        <w:t>"</w:t>
      </w:r>
      <w:r w:rsidR="004F07C1">
        <w:rPr>
          <w:rStyle w:val="title-text"/>
          <w:rFonts w:asciiTheme="minorHAnsi" w:hAnsiTheme="minorHAnsi" w:cstheme="minorHAnsi"/>
          <w:color w:val="000000" w:themeColor="text1"/>
          <w:sz w:val="20"/>
          <w:szCs w:val="20"/>
        </w:rPr>
        <w:t>,</w:t>
      </w:r>
      <w:r w:rsidRPr="004F07C1">
        <w:rPr>
          <w:rStyle w:val="title-text"/>
          <w:rFonts w:asciiTheme="minorHAnsi" w:hAnsiTheme="minorHAnsi" w:cstheme="minorHAnsi"/>
          <w:color w:val="000000" w:themeColor="text1"/>
          <w:sz w:val="20"/>
          <w:szCs w:val="20"/>
        </w:rPr>
        <w:t xml:space="preserve"> che consentirebbero di considerare la COVID-19 grave come un nuovo membro di questo spettro di condizioni infiammatorie. </w:t>
      </w:r>
    </w:p>
    <w:p w:rsidR="00910431" w:rsidRPr="004F07C1" w:rsidRDefault="00910431" w:rsidP="008377D1">
      <w:pPr>
        <w:jc w:val="both"/>
        <w:rPr>
          <w:rStyle w:val="title-text"/>
          <w:rFonts w:asciiTheme="minorHAnsi" w:hAnsiTheme="minorHAnsi" w:cstheme="minorHAnsi"/>
          <w:color w:val="000000" w:themeColor="text1"/>
          <w:sz w:val="20"/>
          <w:szCs w:val="20"/>
        </w:rPr>
      </w:pPr>
    </w:p>
    <w:p w:rsidR="002C3DF9" w:rsidRPr="004F07C1" w:rsidRDefault="008377D1" w:rsidP="008377D1">
      <w:pPr>
        <w:jc w:val="both"/>
        <w:rPr>
          <w:sz w:val="20"/>
          <w:szCs w:val="20"/>
        </w:rPr>
      </w:pPr>
      <w:r w:rsidRPr="004F07C1">
        <w:rPr>
          <w:rFonts w:asciiTheme="minorHAnsi" w:hAnsiTheme="minorHAnsi" w:cstheme="minorHAnsi"/>
          <w:color w:val="000000" w:themeColor="text1"/>
          <w:sz w:val="20"/>
          <w:szCs w:val="20"/>
        </w:rPr>
        <w:lastRenderedPageBreak/>
        <w:t xml:space="preserve">L'iperferritinemia è il segno distintivo delle "sindromi iperferritinemiche" e, nell'ultimo decennio, una crescente evidenza sostiene l'idea che </w:t>
      </w:r>
      <w:r w:rsidRPr="004F07C1">
        <w:rPr>
          <w:rFonts w:asciiTheme="minorHAnsi" w:hAnsiTheme="minorHAnsi" w:cstheme="minorHAnsi"/>
          <w:b/>
          <w:bCs/>
          <w:color w:val="000000" w:themeColor="text1"/>
          <w:sz w:val="20"/>
          <w:szCs w:val="20"/>
        </w:rPr>
        <w:t>la ferritina elevata in circolo possa non solo riflettere una risposta infiammatoria di fase acuta ma anche svolgere un ruolo critico nell'infiammazione</w:t>
      </w:r>
      <w:r w:rsidRPr="004F07C1">
        <w:rPr>
          <w:rFonts w:asciiTheme="minorHAnsi" w:hAnsiTheme="minorHAnsi" w:cstheme="minorHAnsi"/>
          <w:color w:val="000000" w:themeColor="text1"/>
          <w:sz w:val="20"/>
          <w:szCs w:val="20"/>
        </w:rPr>
        <w:t xml:space="preserve">. La ferritina è una delle principali proteine di accumulo del ferro intracellulare e il rapporto tra le sue due subunità, H e L, può differire in base al tipo di tessuto e allo stato fisiologico della cellula. La </w:t>
      </w:r>
      <w:r w:rsidRPr="004F07C1">
        <w:rPr>
          <w:rFonts w:asciiTheme="minorHAnsi" w:hAnsiTheme="minorHAnsi" w:cstheme="minorHAnsi"/>
          <w:b/>
          <w:bCs/>
          <w:color w:val="000000" w:themeColor="text1"/>
          <w:sz w:val="20"/>
          <w:szCs w:val="20"/>
        </w:rPr>
        <w:t>H-ferritina</w:t>
      </w:r>
      <w:r w:rsidRPr="004F07C1">
        <w:rPr>
          <w:rFonts w:asciiTheme="minorHAnsi" w:hAnsiTheme="minorHAnsi" w:cstheme="minorHAnsi"/>
          <w:color w:val="000000" w:themeColor="text1"/>
          <w:sz w:val="20"/>
          <w:szCs w:val="20"/>
        </w:rPr>
        <w:t xml:space="preserve"> sembra mostrare un'attività pro-infiammatoria che culmina con l'induzione dell'espressione di diversi mediatori infiammatori, tra cui IL-1β.</w:t>
      </w:r>
      <w:r w:rsidR="002C3DF9" w:rsidRPr="004F07C1">
        <w:rPr>
          <w:sz w:val="20"/>
          <w:szCs w:val="20"/>
        </w:rPr>
        <w:t xml:space="preserve"> </w:t>
      </w:r>
    </w:p>
    <w:p w:rsidR="002C3DF9" w:rsidRPr="004F07C1" w:rsidRDefault="002C3DF9" w:rsidP="008377D1">
      <w:pPr>
        <w:jc w:val="both"/>
        <w:rPr>
          <w:sz w:val="20"/>
          <w:szCs w:val="20"/>
        </w:rPr>
      </w:pPr>
    </w:p>
    <w:p w:rsidR="004F07C1" w:rsidRPr="001B65C8" w:rsidRDefault="004F07C1"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426" w:right="701"/>
        <w:jc w:val="both"/>
        <w:rPr>
          <w:rFonts w:asciiTheme="minorHAnsi" w:hAnsiTheme="minorHAnsi" w:cstheme="minorHAnsi"/>
          <w:i/>
          <w:iCs/>
          <w:color w:val="000000" w:themeColor="text1"/>
          <w:sz w:val="20"/>
          <w:szCs w:val="20"/>
        </w:rPr>
      </w:pPr>
    </w:p>
    <w:p w:rsidR="008377D1" w:rsidRPr="001B65C8" w:rsidRDefault="002C3DF9"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426" w:right="701"/>
        <w:jc w:val="both"/>
        <w:rPr>
          <w:rFonts w:asciiTheme="minorHAnsi" w:hAnsiTheme="minorHAnsi" w:cstheme="minorHAnsi"/>
          <w:i/>
          <w:iCs/>
          <w:color w:val="000000" w:themeColor="text1"/>
          <w:sz w:val="20"/>
          <w:szCs w:val="20"/>
        </w:rPr>
      </w:pPr>
      <w:r w:rsidRPr="001B65C8">
        <w:rPr>
          <w:rFonts w:asciiTheme="minorHAnsi" w:hAnsiTheme="minorHAnsi" w:cstheme="minorHAnsi"/>
          <w:i/>
          <w:iCs/>
          <w:color w:val="000000" w:themeColor="text1"/>
          <w:sz w:val="20"/>
          <w:szCs w:val="20"/>
        </w:rPr>
        <w:t>Una volta rilasciata, la ferritina perde parte del contenuto interno di ferro dando origine a livelli sierici estremamente elevati di "</w:t>
      </w:r>
      <w:r w:rsidRPr="001B65C8">
        <w:rPr>
          <w:rFonts w:asciiTheme="minorHAnsi" w:hAnsiTheme="minorHAnsi" w:cstheme="minorHAnsi"/>
          <w:b/>
          <w:bCs/>
          <w:i/>
          <w:iCs/>
          <w:color w:val="000000" w:themeColor="text1"/>
          <w:sz w:val="20"/>
          <w:szCs w:val="20"/>
        </w:rPr>
        <w:t>ferro libero</w:t>
      </w:r>
      <w:r w:rsidRPr="001B65C8">
        <w:rPr>
          <w:rFonts w:asciiTheme="minorHAnsi" w:hAnsiTheme="minorHAnsi" w:cstheme="minorHAnsi"/>
          <w:i/>
          <w:iCs/>
          <w:color w:val="000000" w:themeColor="text1"/>
          <w:sz w:val="20"/>
          <w:szCs w:val="20"/>
        </w:rPr>
        <w:t xml:space="preserve">". Sembra che l'eccesso di "ferro libero" circolante rilevabile in condizioni infiammatorie gravi, possa deteriorare la reazione infiammatoria con la particolare capacità di indurre un </w:t>
      </w:r>
      <w:r w:rsidRPr="001B65C8">
        <w:rPr>
          <w:rFonts w:asciiTheme="minorHAnsi" w:hAnsiTheme="minorHAnsi" w:cstheme="minorHAnsi"/>
          <w:b/>
          <w:bCs/>
          <w:i/>
          <w:iCs/>
          <w:color w:val="000000" w:themeColor="text1"/>
          <w:sz w:val="20"/>
          <w:szCs w:val="20"/>
        </w:rPr>
        <w:t>marcato stato pro-coagulante</w:t>
      </w:r>
      <w:r w:rsidRPr="001B65C8">
        <w:rPr>
          <w:rFonts w:asciiTheme="minorHAnsi" w:hAnsiTheme="minorHAnsi" w:cstheme="minorHAnsi"/>
          <w:i/>
          <w:iCs/>
          <w:color w:val="000000" w:themeColor="text1"/>
          <w:sz w:val="20"/>
          <w:szCs w:val="20"/>
        </w:rPr>
        <w:t>. Questa capacità è correlata ai cambiamenti nella morfologia dei globuli rossi e della fibrina indotti dal "ferro libero" in grado di favorire la produzione di radicali idrossilici. Lo stress ossidativo su globuli rossi e fibrina può indurre la produzione di grumi densi responsabili dello sviluppo dell'ictus.</w:t>
      </w:r>
      <w:r w:rsidR="008377D1" w:rsidRPr="001B65C8">
        <w:rPr>
          <w:rFonts w:asciiTheme="minorHAnsi" w:hAnsiTheme="minorHAnsi" w:cstheme="minorHAnsi"/>
          <w:i/>
          <w:iCs/>
          <w:color w:val="000000" w:themeColor="text1"/>
          <w:sz w:val="20"/>
          <w:szCs w:val="20"/>
        </w:rPr>
        <w:t xml:space="preserve"> </w:t>
      </w:r>
    </w:p>
    <w:p w:rsidR="004F07C1" w:rsidRPr="00E21CB2" w:rsidRDefault="004F07C1"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426" w:right="701"/>
        <w:jc w:val="both"/>
        <w:rPr>
          <w:rFonts w:asciiTheme="minorHAnsi" w:hAnsiTheme="minorHAnsi" w:cstheme="minorHAnsi"/>
          <w:i/>
          <w:iCs/>
          <w:color w:val="000000" w:themeColor="text1"/>
          <w:sz w:val="18"/>
          <w:szCs w:val="18"/>
        </w:rPr>
      </w:pPr>
    </w:p>
    <w:p w:rsidR="002C3DF9" w:rsidRPr="004F07C1" w:rsidRDefault="002C3DF9" w:rsidP="002C3DF9">
      <w:pPr>
        <w:tabs>
          <w:tab w:val="left" w:pos="1073"/>
        </w:tabs>
        <w:jc w:val="both"/>
        <w:rPr>
          <w:rFonts w:asciiTheme="minorHAnsi" w:hAnsiTheme="minorHAnsi" w:cstheme="minorHAnsi"/>
          <w:sz w:val="20"/>
          <w:szCs w:val="20"/>
        </w:rPr>
      </w:pPr>
    </w:p>
    <w:p w:rsidR="00E33BD5" w:rsidRDefault="002C3DF9" w:rsidP="002C3DF9">
      <w:pPr>
        <w:tabs>
          <w:tab w:val="left" w:pos="1073"/>
        </w:tabs>
        <w:jc w:val="both"/>
        <w:rPr>
          <w:rFonts w:asciiTheme="minorHAnsi" w:hAnsiTheme="minorHAnsi" w:cstheme="minorHAnsi"/>
          <w:sz w:val="20"/>
          <w:szCs w:val="20"/>
        </w:rPr>
      </w:pPr>
      <w:r w:rsidRPr="004F07C1">
        <w:rPr>
          <w:rFonts w:asciiTheme="minorHAnsi" w:hAnsiTheme="minorHAnsi" w:cstheme="minorHAnsi"/>
          <w:sz w:val="20"/>
          <w:szCs w:val="20"/>
        </w:rPr>
        <w:t>Questi dati sono stati ulteriormente rafforzati da altre due pubblicazioni del gruppo di ricerca del prof. Shoenfeld</w:t>
      </w:r>
      <w:r w:rsidR="00E272CB" w:rsidRPr="004F07C1">
        <w:rPr>
          <w:rFonts w:asciiTheme="minorHAnsi" w:hAnsiTheme="minorHAnsi" w:cstheme="minorHAnsi"/>
          <w:sz w:val="20"/>
          <w:szCs w:val="20"/>
        </w:rPr>
        <w:t xml:space="preserve">. </w:t>
      </w:r>
      <w:r w:rsidR="00E272CB" w:rsidRPr="004F07C1">
        <w:rPr>
          <w:rStyle w:val="FootnoteReference"/>
          <w:rFonts w:asciiTheme="minorHAnsi" w:hAnsiTheme="minorHAnsi" w:cstheme="minorHAnsi"/>
          <w:sz w:val="20"/>
          <w:szCs w:val="20"/>
        </w:rPr>
        <w:footnoteReference w:id="74"/>
      </w:r>
    </w:p>
    <w:p w:rsidR="0061161D" w:rsidRDefault="0061161D" w:rsidP="002C3DF9">
      <w:pPr>
        <w:tabs>
          <w:tab w:val="left" w:pos="1073"/>
        </w:tabs>
        <w:jc w:val="both"/>
        <w:rPr>
          <w:rFonts w:asciiTheme="minorHAnsi" w:hAnsiTheme="minorHAnsi" w:cstheme="minorHAnsi"/>
          <w:sz w:val="20"/>
          <w:szCs w:val="20"/>
        </w:rPr>
      </w:pPr>
    </w:p>
    <w:p w:rsidR="00910431" w:rsidRDefault="00910431" w:rsidP="002C3DF9">
      <w:pPr>
        <w:tabs>
          <w:tab w:val="left" w:pos="1073"/>
        </w:tabs>
        <w:jc w:val="both"/>
        <w:rPr>
          <w:rFonts w:asciiTheme="minorHAnsi" w:hAnsiTheme="minorHAnsi" w:cstheme="minorHAnsi"/>
          <w:sz w:val="20"/>
          <w:szCs w:val="20"/>
        </w:rPr>
      </w:pPr>
    </w:p>
    <w:p w:rsidR="00701215" w:rsidRDefault="0052743C" w:rsidP="002C3DF9">
      <w:pPr>
        <w:tabs>
          <w:tab w:val="left" w:pos="1073"/>
        </w:tabs>
        <w:jc w:val="both"/>
        <w:rPr>
          <w:rFonts w:asciiTheme="minorHAnsi" w:hAnsiTheme="minorHAnsi" w:cstheme="minorHAnsi"/>
          <w:sz w:val="20"/>
          <w:szCs w:val="20"/>
        </w:rPr>
      </w:pPr>
      <w:r w:rsidRPr="0052743C">
        <w:rPr>
          <w:rFonts w:asciiTheme="minorHAnsi" w:hAnsiTheme="minorHAnsi" w:cstheme="minorHAnsi"/>
          <w:noProof/>
          <w:sz w:val="20"/>
          <w:szCs w:val="20"/>
        </w:rPr>
        <w:pict>
          <v:rect id="_x0000_i1028" alt="" style="width:451.3pt;height:.05pt;mso-width-percent:0;mso-height-percent:0;mso-width-percent:0;mso-height-percent:0" o:hralign="center" o:hrstd="t" o:hr="t" fillcolor="#a0a0a0" stroked="f"/>
        </w:pict>
      </w:r>
    </w:p>
    <w:p w:rsidR="00701215" w:rsidRDefault="00701215" w:rsidP="002C3DF9">
      <w:pPr>
        <w:tabs>
          <w:tab w:val="left" w:pos="1073"/>
        </w:tabs>
        <w:jc w:val="both"/>
        <w:rPr>
          <w:rFonts w:asciiTheme="minorHAnsi" w:hAnsiTheme="minorHAnsi" w:cstheme="minorHAnsi"/>
          <w:sz w:val="20"/>
          <w:szCs w:val="20"/>
        </w:rPr>
      </w:pPr>
    </w:p>
    <w:p w:rsidR="00701215" w:rsidRDefault="00701215" w:rsidP="002C3DF9">
      <w:pPr>
        <w:tabs>
          <w:tab w:val="left" w:pos="1073"/>
        </w:tabs>
        <w:jc w:val="both"/>
        <w:rPr>
          <w:rFonts w:asciiTheme="minorHAnsi" w:hAnsiTheme="minorHAnsi" w:cstheme="minorHAnsi"/>
          <w:sz w:val="20"/>
          <w:szCs w:val="20"/>
        </w:rPr>
      </w:pPr>
    </w:p>
    <w:p w:rsidR="00701215" w:rsidRDefault="00701215" w:rsidP="002C3DF9">
      <w:pPr>
        <w:tabs>
          <w:tab w:val="left" w:pos="1073"/>
        </w:tabs>
        <w:jc w:val="both"/>
        <w:rPr>
          <w:rFonts w:asciiTheme="minorHAnsi" w:hAnsiTheme="minorHAnsi" w:cstheme="minorHAnsi"/>
          <w:sz w:val="20"/>
          <w:szCs w:val="20"/>
        </w:rPr>
      </w:pPr>
    </w:p>
    <w:p w:rsidR="00932BDD" w:rsidRPr="00BD4B44" w:rsidRDefault="00E272CB" w:rsidP="009E3377">
      <w:pPr>
        <w:pStyle w:val="Heading2"/>
        <w:jc w:val="center"/>
        <w:rPr>
          <w:rFonts w:asciiTheme="minorHAnsi" w:hAnsiTheme="minorHAnsi"/>
          <w:b/>
          <w:color w:val="000000" w:themeColor="text1"/>
          <w:sz w:val="24"/>
          <w:szCs w:val="24"/>
          <w:shd w:val="clear" w:color="auto" w:fill="FFFFFF"/>
        </w:rPr>
      </w:pPr>
      <w:bookmarkStart w:id="54" w:name="_Toc43342386"/>
      <w:r w:rsidRPr="00BD4B44">
        <w:rPr>
          <w:rFonts w:asciiTheme="minorHAnsi" w:hAnsiTheme="minorHAnsi"/>
          <w:b/>
          <w:color w:val="000000" w:themeColor="text1"/>
          <w:sz w:val="24"/>
          <w:szCs w:val="24"/>
          <w:shd w:val="clear" w:color="auto" w:fill="FFFFFF"/>
        </w:rPr>
        <w:t>STRA</w:t>
      </w:r>
      <w:r w:rsidR="008E1123" w:rsidRPr="00BD4B44">
        <w:rPr>
          <w:rFonts w:asciiTheme="minorHAnsi" w:hAnsiTheme="minorHAnsi"/>
          <w:b/>
          <w:color w:val="000000" w:themeColor="text1"/>
          <w:sz w:val="24"/>
          <w:szCs w:val="24"/>
          <w:shd w:val="clear" w:color="auto" w:fill="FFFFFF"/>
        </w:rPr>
        <w:t>TEGIE DI EVASIONE IMMUNITARIA DI SARS-COV2</w:t>
      </w:r>
      <w:bookmarkEnd w:id="54"/>
    </w:p>
    <w:p w:rsidR="00886E5C" w:rsidRDefault="005D115E" w:rsidP="00FA11B0">
      <w:pPr>
        <w:pStyle w:val="NormalWeb"/>
        <w:jc w:val="both"/>
        <w:rPr>
          <w:rFonts w:asciiTheme="minorHAnsi" w:hAnsiTheme="minorHAnsi" w:cstheme="minorHAnsi"/>
          <w:sz w:val="20"/>
          <w:szCs w:val="20"/>
        </w:rPr>
      </w:pPr>
      <w:r w:rsidRPr="004F07C1">
        <w:rPr>
          <w:rFonts w:asciiTheme="minorHAnsi" w:hAnsiTheme="minorHAnsi" w:cstheme="minorHAnsi"/>
          <w:sz w:val="20"/>
          <w:szCs w:val="20"/>
        </w:rPr>
        <w:t xml:space="preserve">Come già discusso sopra, la </w:t>
      </w:r>
      <w:r w:rsidRPr="006344CC">
        <w:rPr>
          <w:rFonts w:asciiTheme="minorHAnsi" w:hAnsiTheme="minorHAnsi" w:cstheme="minorHAnsi"/>
          <w:b/>
          <w:bCs/>
          <w:sz w:val="20"/>
          <w:szCs w:val="20"/>
        </w:rPr>
        <w:t>soppressione da parte di SARS-Cov-2 dei meccanismi immunitari innati</w:t>
      </w:r>
      <w:r w:rsidRPr="004F07C1">
        <w:rPr>
          <w:rFonts w:asciiTheme="minorHAnsi" w:hAnsiTheme="minorHAnsi" w:cstheme="minorHAnsi"/>
          <w:sz w:val="20"/>
          <w:szCs w:val="20"/>
        </w:rPr>
        <w:t xml:space="preserve"> (inibizione del rilascio di IFN</w:t>
      </w:r>
      <w:r w:rsidR="00560C21">
        <w:rPr>
          <w:rFonts w:asciiTheme="minorHAnsi" w:hAnsiTheme="minorHAnsi" w:cstheme="minorHAnsi"/>
          <w:sz w:val="20"/>
          <w:szCs w:val="20"/>
        </w:rPr>
        <w:t xml:space="preserve"> I e III</w:t>
      </w:r>
      <w:r w:rsidRPr="004F07C1">
        <w:rPr>
          <w:rFonts w:asciiTheme="minorHAnsi" w:hAnsiTheme="minorHAnsi" w:cstheme="minorHAnsi"/>
          <w:sz w:val="20"/>
          <w:szCs w:val="20"/>
        </w:rPr>
        <w:t xml:space="preserve"> e delle citochine proinfiammatorie IL-6, IL-1 e TNF-alfa) nelle cellule epiteliali infette e, in una certa misura, dei monociti / macrofagi infetti consentono ai nuovi coronavirus di proliferare senza innescare </w:t>
      </w:r>
      <w:r w:rsidR="00BD4B44">
        <w:rPr>
          <w:rFonts w:asciiTheme="minorHAnsi" w:hAnsiTheme="minorHAnsi" w:cstheme="minorHAnsi"/>
          <w:sz w:val="20"/>
          <w:szCs w:val="20"/>
        </w:rPr>
        <w:t xml:space="preserve">il </w:t>
      </w:r>
      <w:r w:rsidRPr="004F07C1">
        <w:rPr>
          <w:rFonts w:asciiTheme="minorHAnsi" w:hAnsiTheme="minorHAnsi" w:cstheme="minorHAnsi"/>
          <w:sz w:val="20"/>
          <w:szCs w:val="20"/>
        </w:rPr>
        <w:t xml:space="preserve">meccanismo </w:t>
      </w:r>
      <w:r w:rsidR="00BD4B44">
        <w:rPr>
          <w:rFonts w:asciiTheme="minorHAnsi" w:hAnsiTheme="minorHAnsi" w:cstheme="minorHAnsi"/>
          <w:sz w:val="20"/>
          <w:szCs w:val="20"/>
        </w:rPr>
        <w:t>i</w:t>
      </w:r>
      <w:r w:rsidR="00BD4B44" w:rsidRPr="004F07C1">
        <w:rPr>
          <w:rFonts w:asciiTheme="minorHAnsi" w:hAnsiTheme="minorHAnsi" w:cstheme="minorHAnsi"/>
          <w:sz w:val="20"/>
          <w:szCs w:val="20"/>
        </w:rPr>
        <w:t>nnato</w:t>
      </w:r>
      <w:r w:rsidR="00BD4B44">
        <w:rPr>
          <w:rFonts w:asciiTheme="minorHAnsi" w:hAnsiTheme="minorHAnsi" w:cstheme="minorHAnsi"/>
          <w:sz w:val="20"/>
          <w:szCs w:val="20"/>
        </w:rPr>
        <w:t xml:space="preserve"> </w:t>
      </w:r>
      <w:r w:rsidRPr="004F07C1">
        <w:rPr>
          <w:rFonts w:asciiTheme="minorHAnsi" w:hAnsiTheme="minorHAnsi" w:cstheme="minorHAnsi"/>
          <w:sz w:val="20"/>
          <w:szCs w:val="20"/>
        </w:rPr>
        <w:t xml:space="preserve">di risposta antivirale di queste cellule. </w:t>
      </w:r>
    </w:p>
    <w:p w:rsidR="005B5DDE" w:rsidRDefault="005D115E" w:rsidP="00FA11B0">
      <w:pPr>
        <w:pStyle w:val="NormalWeb"/>
        <w:jc w:val="both"/>
        <w:rPr>
          <w:rFonts w:asciiTheme="minorHAnsi" w:hAnsiTheme="minorHAnsi" w:cstheme="minorHAnsi"/>
          <w:sz w:val="20"/>
          <w:szCs w:val="20"/>
        </w:rPr>
      </w:pPr>
      <w:r w:rsidRPr="004F07C1">
        <w:rPr>
          <w:rFonts w:asciiTheme="minorHAnsi" w:hAnsiTheme="minorHAnsi" w:cstheme="minorHAnsi"/>
          <w:sz w:val="20"/>
          <w:szCs w:val="20"/>
        </w:rPr>
        <w:t xml:space="preserve">Successivamente però le cellule infette subiscono la morte cellulare e rilasciano particelle di virus insieme a componenti intracellulari che </w:t>
      </w:r>
      <w:r w:rsidRPr="006344CC">
        <w:rPr>
          <w:rFonts w:asciiTheme="minorHAnsi" w:hAnsiTheme="minorHAnsi" w:cstheme="minorHAnsi"/>
          <w:b/>
          <w:bCs/>
          <w:sz w:val="20"/>
          <w:szCs w:val="20"/>
        </w:rPr>
        <w:t>innescano meccanismi infiammatori innati</w:t>
      </w:r>
      <w:r w:rsidRPr="004F07C1">
        <w:rPr>
          <w:rFonts w:asciiTheme="minorHAnsi" w:hAnsiTheme="minorHAnsi" w:cstheme="minorHAnsi"/>
          <w:sz w:val="20"/>
          <w:szCs w:val="20"/>
        </w:rPr>
        <w:t xml:space="preserve"> attraverso il loro riconoscimento da parte dei PRR nelle / sulle cellule immunitarie innate</w:t>
      </w:r>
      <w:r w:rsidR="00FA11B0" w:rsidRPr="004F07C1">
        <w:rPr>
          <w:rFonts w:asciiTheme="minorHAnsi" w:hAnsiTheme="minorHAnsi" w:cstheme="minorHAnsi"/>
          <w:sz w:val="20"/>
          <w:szCs w:val="20"/>
        </w:rPr>
        <w:t xml:space="preserve"> non infette</w:t>
      </w:r>
      <w:r w:rsidR="005B5DDE">
        <w:rPr>
          <w:rFonts w:asciiTheme="minorHAnsi" w:hAnsiTheme="minorHAnsi" w:cstheme="minorHAnsi"/>
          <w:sz w:val="20"/>
          <w:szCs w:val="20"/>
        </w:rPr>
        <w:t>.</w:t>
      </w:r>
    </w:p>
    <w:p w:rsidR="00994C5B" w:rsidRDefault="005B5DDE" w:rsidP="00FA11B0">
      <w:pPr>
        <w:pStyle w:val="NormalWeb"/>
        <w:jc w:val="both"/>
        <w:rPr>
          <w:rFonts w:asciiTheme="minorHAnsi" w:hAnsiTheme="minorHAnsi" w:cstheme="minorHAnsi"/>
          <w:sz w:val="20"/>
          <w:szCs w:val="20"/>
        </w:rPr>
      </w:pPr>
      <w:r>
        <w:rPr>
          <w:rFonts w:asciiTheme="minorHAnsi" w:hAnsiTheme="minorHAnsi" w:cstheme="minorHAnsi"/>
          <w:sz w:val="20"/>
          <w:szCs w:val="20"/>
        </w:rPr>
        <w:t>C</w:t>
      </w:r>
      <w:r w:rsidR="005D115E" w:rsidRPr="004F07C1">
        <w:rPr>
          <w:rFonts w:asciiTheme="minorHAnsi" w:hAnsiTheme="minorHAnsi" w:cstheme="minorHAnsi"/>
          <w:sz w:val="20"/>
          <w:szCs w:val="20"/>
        </w:rPr>
        <w:t xml:space="preserve">ome risultato di questa attivazione immunitaria e della risultante </w:t>
      </w:r>
      <w:r w:rsidR="005D115E" w:rsidRPr="006344CC">
        <w:rPr>
          <w:rFonts w:asciiTheme="minorHAnsi" w:hAnsiTheme="minorHAnsi" w:cstheme="minorHAnsi"/>
          <w:b/>
          <w:bCs/>
          <w:sz w:val="20"/>
          <w:szCs w:val="20"/>
        </w:rPr>
        <w:t>espressione di citochine pro-infiammatorie</w:t>
      </w:r>
      <w:r w:rsidR="005D115E" w:rsidRPr="004F07C1">
        <w:rPr>
          <w:rFonts w:asciiTheme="minorHAnsi" w:hAnsiTheme="minorHAnsi" w:cstheme="minorHAnsi"/>
          <w:sz w:val="20"/>
          <w:szCs w:val="20"/>
        </w:rPr>
        <w:t xml:space="preserve"> (tra cui IL-1β, IL-6, TNF-α, ecc.), </w:t>
      </w:r>
      <w:r w:rsidR="006344CC" w:rsidRPr="006344CC">
        <w:rPr>
          <w:rFonts w:asciiTheme="minorHAnsi" w:hAnsiTheme="minorHAnsi" w:cstheme="minorHAnsi"/>
          <w:b/>
          <w:bCs/>
          <w:sz w:val="20"/>
          <w:szCs w:val="20"/>
        </w:rPr>
        <w:t>l</w:t>
      </w:r>
      <w:r w:rsidR="005D115E" w:rsidRPr="006344CC">
        <w:rPr>
          <w:rFonts w:asciiTheme="minorHAnsi" w:hAnsiTheme="minorHAnsi" w:cstheme="minorHAnsi"/>
          <w:b/>
          <w:bCs/>
          <w:sz w:val="20"/>
          <w:szCs w:val="20"/>
        </w:rPr>
        <w:t>e cellule immunitarie adatt</w:t>
      </w:r>
      <w:r w:rsidR="006344CC" w:rsidRPr="006344CC">
        <w:rPr>
          <w:rFonts w:asciiTheme="minorHAnsi" w:hAnsiTheme="minorHAnsi" w:cstheme="minorHAnsi"/>
          <w:b/>
          <w:bCs/>
          <w:sz w:val="20"/>
          <w:szCs w:val="20"/>
        </w:rPr>
        <w:t>at</w:t>
      </w:r>
      <w:r w:rsidR="005D115E" w:rsidRPr="006344CC">
        <w:rPr>
          <w:rFonts w:asciiTheme="minorHAnsi" w:hAnsiTheme="minorHAnsi" w:cstheme="minorHAnsi"/>
          <w:b/>
          <w:bCs/>
          <w:sz w:val="20"/>
          <w:szCs w:val="20"/>
        </w:rPr>
        <w:t>ive vengono coinvolte nella difesa dell'ospite</w:t>
      </w:r>
      <w:r w:rsidR="00FA11B0" w:rsidRPr="004F07C1">
        <w:rPr>
          <w:rFonts w:asciiTheme="minorHAnsi" w:hAnsiTheme="minorHAnsi" w:cstheme="minorHAnsi"/>
          <w:sz w:val="20"/>
          <w:szCs w:val="20"/>
        </w:rPr>
        <w:t xml:space="preserve">, e i </w:t>
      </w:r>
      <w:r w:rsidR="005D115E" w:rsidRPr="004F07C1">
        <w:rPr>
          <w:rFonts w:asciiTheme="minorHAnsi" w:hAnsiTheme="minorHAnsi" w:cstheme="minorHAnsi"/>
          <w:sz w:val="20"/>
          <w:szCs w:val="20"/>
        </w:rPr>
        <w:t xml:space="preserve">linfociti T svolgono un ruolo centrale in questa </w:t>
      </w:r>
      <w:r w:rsidR="00FA11B0" w:rsidRPr="004F07C1">
        <w:rPr>
          <w:rFonts w:asciiTheme="minorHAnsi" w:hAnsiTheme="minorHAnsi" w:cstheme="minorHAnsi"/>
          <w:sz w:val="20"/>
          <w:szCs w:val="20"/>
        </w:rPr>
        <w:t xml:space="preserve">seconda fase della </w:t>
      </w:r>
      <w:r w:rsidR="005D115E" w:rsidRPr="004F07C1">
        <w:rPr>
          <w:rFonts w:asciiTheme="minorHAnsi" w:hAnsiTheme="minorHAnsi" w:cstheme="minorHAnsi"/>
          <w:sz w:val="20"/>
          <w:szCs w:val="20"/>
        </w:rPr>
        <w:t>risposta antivirale</w:t>
      </w:r>
      <w:r>
        <w:rPr>
          <w:rFonts w:asciiTheme="minorHAnsi" w:hAnsiTheme="minorHAnsi" w:cstheme="minorHAnsi"/>
          <w:sz w:val="20"/>
          <w:szCs w:val="20"/>
        </w:rPr>
        <w:t>, che include il rilascio di</w:t>
      </w:r>
      <w:r w:rsidRPr="005B5DDE">
        <w:rPr>
          <w:rFonts w:asciiTheme="minorHAnsi" w:hAnsiTheme="minorHAnsi" w:cstheme="minorHAnsi"/>
          <w:sz w:val="20"/>
          <w:szCs w:val="20"/>
        </w:rPr>
        <w:t xml:space="preserve"> citochine derivate da</w:t>
      </w:r>
      <w:r w:rsidR="00994C5B">
        <w:rPr>
          <w:rFonts w:asciiTheme="minorHAnsi" w:hAnsiTheme="minorHAnsi" w:cstheme="minorHAnsi"/>
          <w:sz w:val="20"/>
          <w:szCs w:val="20"/>
        </w:rPr>
        <w:t>lle</w:t>
      </w:r>
      <w:r w:rsidRPr="005B5DDE">
        <w:rPr>
          <w:rFonts w:asciiTheme="minorHAnsi" w:hAnsiTheme="minorHAnsi" w:cstheme="minorHAnsi"/>
          <w:sz w:val="20"/>
          <w:szCs w:val="20"/>
        </w:rPr>
        <w:t xml:space="preserve"> cellule T CD4</w:t>
      </w:r>
      <w:r w:rsidRPr="005B5DDE">
        <w:rPr>
          <w:rFonts w:asciiTheme="minorHAnsi" w:hAnsiTheme="minorHAnsi" w:cstheme="minorHAnsi"/>
          <w:sz w:val="20"/>
          <w:szCs w:val="20"/>
          <w:vertAlign w:val="superscript"/>
        </w:rPr>
        <w:t>+</w:t>
      </w:r>
      <w:r w:rsidRPr="005B5DDE">
        <w:rPr>
          <w:rFonts w:asciiTheme="minorHAnsi" w:hAnsiTheme="minorHAnsi" w:cstheme="minorHAnsi"/>
          <w:sz w:val="20"/>
          <w:szCs w:val="20"/>
        </w:rPr>
        <w:t xml:space="preserve">, </w:t>
      </w:r>
      <w:r>
        <w:rPr>
          <w:rFonts w:asciiTheme="minorHAnsi" w:hAnsiTheme="minorHAnsi" w:cstheme="minorHAnsi"/>
          <w:sz w:val="20"/>
          <w:szCs w:val="20"/>
        </w:rPr>
        <w:t xml:space="preserve">la </w:t>
      </w:r>
      <w:r w:rsidRPr="005B5DDE">
        <w:rPr>
          <w:rFonts w:asciiTheme="minorHAnsi" w:hAnsiTheme="minorHAnsi" w:cstheme="minorHAnsi"/>
          <w:sz w:val="20"/>
          <w:szCs w:val="20"/>
        </w:rPr>
        <w:t>citotossicità mediata da</w:t>
      </w:r>
      <w:r w:rsidR="00994C5B">
        <w:rPr>
          <w:rFonts w:asciiTheme="minorHAnsi" w:hAnsiTheme="minorHAnsi" w:cstheme="minorHAnsi"/>
          <w:sz w:val="20"/>
          <w:szCs w:val="20"/>
        </w:rPr>
        <w:t>lle</w:t>
      </w:r>
      <w:r w:rsidRPr="005B5DDE">
        <w:rPr>
          <w:rFonts w:asciiTheme="minorHAnsi" w:hAnsiTheme="minorHAnsi" w:cstheme="minorHAnsi"/>
          <w:sz w:val="20"/>
          <w:szCs w:val="20"/>
        </w:rPr>
        <w:t xml:space="preserve"> cellule T CD8</w:t>
      </w:r>
      <w:r w:rsidRPr="005B5DDE">
        <w:rPr>
          <w:rFonts w:asciiTheme="minorHAnsi" w:hAnsiTheme="minorHAnsi" w:cstheme="minorHAnsi"/>
          <w:sz w:val="20"/>
          <w:szCs w:val="20"/>
          <w:vertAlign w:val="superscript"/>
        </w:rPr>
        <w:t>+</w:t>
      </w:r>
      <w:r w:rsidRPr="005B5DDE">
        <w:rPr>
          <w:rFonts w:asciiTheme="minorHAnsi" w:hAnsiTheme="minorHAnsi" w:cstheme="minorHAnsi"/>
          <w:sz w:val="20"/>
          <w:szCs w:val="20"/>
        </w:rPr>
        <w:t xml:space="preserve"> e</w:t>
      </w:r>
      <w:r>
        <w:rPr>
          <w:rFonts w:asciiTheme="minorHAnsi" w:hAnsiTheme="minorHAnsi" w:cstheme="minorHAnsi"/>
          <w:sz w:val="20"/>
          <w:szCs w:val="20"/>
        </w:rPr>
        <w:t xml:space="preserve"> l’</w:t>
      </w:r>
      <w:r w:rsidRPr="005B5DDE">
        <w:rPr>
          <w:rFonts w:asciiTheme="minorHAnsi" w:hAnsiTheme="minorHAnsi" w:cstheme="minorHAnsi"/>
          <w:sz w:val="20"/>
          <w:szCs w:val="20"/>
        </w:rPr>
        <w:t xml:space="preserve">attivazione delle cellule B con conseguente produzione di anticorpi. </w:t>
      </w:r>
    </w:p>
    <w:p w:rsidR="00E272CB" w:rsidRPr="004F07C1" w:rsidRDefault="005B5DDE" w:rsidP="00FA11B0">
      <w:pPr>
        <w:pStyle w:val="NormalWeb"/>
        <w:jc w:val="both"/>
        <w:rPr>
          <w:rFonts w:asciiTheme="minorHAnsi" w:hAnsiTheme="minorHAnsi" w:cstheme="minorHAnsi"/>
          <w:sz w:val="20"/>
          <w:szCs w:val="20"/>
        </w:rPr>
      </w:pPr>
      <w:r w:rsidRPr="005B5DDE">
        <w:rPr>
          <w:rFonts w:asciiTheme="minorHAnsi" w:hAnsiTheme="minorHAnsi" w:cstheme="minorHAnsi"/>
          <w:sz w:val="20"/>
          <w:szCs w:val="20"/>
        </w:rPr>
        <w:t xml:space="preserve">I nuovi coronavirus possono anche sfuggire (parzialmente) a questi meccanismi attraverso l'induzione dell'apoptosi delle cellule T. Tuttavia, </w:t>
      </w:r>
      <w:r>
        <w:rPr>
          <w:rFonts w:asciiTheme="minorHAnsi" w:hAnsiTheme="minorHAnsi" w:cstheme="minorHAnsi"/>
          <w:sz w:val="20"/>
          <w:szCs w:val="20"/>
        </w:rPr>
        <w:t xml:space="preserve">come già visto, </w:t>
      </w:r>
      <w:r w:rsidRPr="005B5DDE">
        <w:rPr>
          <w:rFonts w:asciiTheme="minorHAnsi" w:hAnsiTheme="minorHAnsi" w:cstheme="minorHAnsi"/>
          <w:sz w:val="20"/>
          <w:szCs w:val="20"/>
        </w:rPr>
        <w:t xml:space="preserve">i linfociti possono anche </w:t>
      </w:r>
      <w:r>
        <w:rPr>
          <w:rFonts w:asciiTheme="minorHAnsi" w:hAnsiTheme="minorHAnsi" w:cstheme="minorHAnsi"/>
          <w:sz w:val="20"/>
          <w:szCs w:val="20"/>
        </w:rPr>
        <w:t>venire depleti in conseguenza</w:t>
      </w:r>
      <w:r w:rsidRPr="005B5DDE">
        <w:rPr>
          <w:rFonts w:asciiTheme="minorHAnsi" w:hAnsiTheme="minorHAnsi" w:cstheme="minorHAnsi"/>
          <w:sz w:val="20"/>
          <w:szCs w:val="20"/>
        </w:rPr>
        <w:t xml:space="preserve"> dell'espressione di citochine proinfiammatorie da parte di cellule immunitarie innate non infette che scatenano iperinfiammazione, osservata durante lo sviluppo di una "tempesta di citochine"</w:t>
      </w:r>
      <w:r>
        <w:rPr>
          <w:rFonts w:asciiTheme="minorHAnsi" w:hAnsiTheme="minorHAnsi" w:cstheme="minorHAnsi"/>
          <w:sz w:val="20"/>
          <w:szCs w:val="20"/>
        </w:rPr>
        <w:t xml:space="preserve">. </w:t>
      </w:r>
      <w:r>
        <w:rPr>
          <w:rStyle w:val="FootnoteReference"/>
          <w:rFonts w:asciiTheme="minorHAnsi" w:hAnsiTheme="minorHAnsi" w:cstheme="minorHAnsi"/>
          <w:sz w:val="20"/>
          <w:szCs w:val="20"/>
        </w:rPr>
        <w:footnoteReference w:id="75"/>
      </w:r>
    </w:p>
    <w:p w:rsidR="00FA11B0" w:rsidRPr="004F07C1" w:rsidRDefault="00FA11B0" w:rsidP="00FA11B0">
      <w:pPr>
        <w:pStyle w:val="NormalWeb"/>
        <w:jc w:val="both"/>
        <w:rPr>
          <w:rFonts w:asciiTheme="minorHAnsi" w:hAnsiTheme="minorHAnsi" w:cstheme="minorHAnsi"/>
          <w:sz w:val="20"/>
          <w:szCs w:val="20"/>
        </w:rPr>
      </w:pPr>
      <w:r w:rsidRPr="004F07C1">
        <w:rPr>
          <w:rFonts w:asciiTheme="minorHAnsi" w:hAnsiTheme="minorHAnsi" w:cstheme="minorHAnsi"/>
          <w:sz w:val="20"/>
          <w:szCs w:val="20"/>
        </w:rPr>
        <w:lastRenderedPageBreak/>
        <w:t>Di seguito si entra ulteriormente nel dettaglio del meccanismo di evasione della risposta antivirale e del danno cellulare causato dal SARS-COV-2 come dettagliato nell’articolo “</w:t>
      </w:r>
      <w:r w:rsidRPr="006344CC">
        <w:rPr>
          <w:rFonts w:asciiTheme="minorHAnsi" w:hAnsiTheme="minorHAnsi" w:cstheme="minorHAnsi"/>
          <w:i/>
          <w:iCs/>
          <w:sz w:val="20"/>
          <w:szCs w:val="20"/>
        </w:rPr>
        <w:t>COVID-19: Immunology and treatment options</w:t>
      </w:r>
      <w:r w:rsidRPr="004F07C1">
        <w:rPr>
          <w:rFonts w:asciiTheme="minorHAnsi" w:hAnsiTheme="minorHAnsi" w:cstheme="minorHAnsi"/>
          <w:sz w:val="20"/>
          <w:szCs w:val="20"/>
        </w:rPr>
        <w:t xml:space="preserve">” </w:t>
      </w:r>
      <w:r w:rsidRPr="004F07C1">
        <w:rPr>
          <w:rStyle w:val="FootnoteReference"/>
          <w:rFonts w:asciiTheme="minorHAnsi" w:hAnsiTheme="minorHAnsi" w:cstheme="minorHAnsi"/>
          <w:sz w:val="20"/>
          <w:szCs w:val="20"/>
        </w:rPr>
        <w:footnoteReference w:id="76"/>
      </w:r>
      <w:r w:rsidRPr="004F07C1">
        <w:rPr>
          <w:rFonts w:asciiTheme="minorHAnsi" w:hAnsiTheme="minorHAnsi" w:cstheme="minorHAnsi"/>
          <w:sz w:val="20"/>
          <w:szCs w:val="20"/>
        </w:rPr>
        <w:t xml:space="preserve"> in quanto ciò risulta utile per comprendere i possibili approcci terapeutici da affrontare nelle varie fasi dell’infezione.</w:t>
      </w:r>
    </w:p>
    <w:p w:rsidR="00770C42" w:rsidRPr="00886E5C" w:rsidRDefault="006F2A5F" w:rsidP="00886E5C">
      <w:pPr>
        <w:pStyle w:val="ListParagraph"/>
        <w:numPr>
          <w:ilvl w:val="0"/>
          <w:numId w:val="16"/>
        </w:numPr>
        <w:tabs>
          <w:tab w:val="left" w:pos="426"/>
        </w:tabs>
        <w:ind w:left="426" w:right="-51" w:hanging="426"/>
        <w:jc w:val="both"/>
        <w:rPr>
          <w:rFonts w:asciiTheme="minorHAnsi" w:hAnsiTheme="minorHAnsi" w:cstheme="minorHAnsi"/>
          <w:b/>
          <w:color w:val="000000"/>
          <w:sz w:val="20"/>
          <w:szCs w:val="20"/>
          <w:shd w:val="clear" w:color="auto" w:fill="FFFFFF"/>
        </w:rPr>
      </w:pPr>
      <w:r w:rsidRPr="006344CC">
        <w:rPr>
          <w:rFonts w:asciiTheme="minorHAnsi" w:hAnsiTheme="minorHAnsi" w:cstheme="minorHAnsi"/>
          <w:color w:val="000000"/>
          <w:sz w:val="20"/>
          <w:szCs w:val="20"/>
          <w:shd w:val="clear" w:color="auto" w:fill="FFFFFF"/>
        </w:rPr>
        <w:t xml:space="preserve">il SARS-CoV2 infetta le </w:t>
      </w:r>
      <w:r w:rsidRPr="001B65C8">
        <w:rPr>
          <w:rFonts w:asciiTheme="minorHAnsi" w:hAnsiTheme="minorHAnsi" w:cstheme="minorHAnsi"/>
          <w:b/>
          <w:bCs/>
          <w:color w:val="000000"/>
          <w:sz w:val="20"/>
          <w:szCs w:val="20"/>
          <w:shd w:val="clear" w:color="auto" w:fill="FBF9E1"/>
        </w:rPr>
        <w:t xml:space="preserve">cellule epiteliali </w:t>
      </w:r>
      <w:r w:rsidRPr="006344CC">
        <w:rPr>
          <w:rFonts w:asciiTheme="minorHAnsi" w:hAnsiTheme="minorHAnsi" w:cstheme="minorHAnsi"/>
          <w:color w:val="000000"/>
          <w:sz w:val="20"/>
          <w:szCs w:val="20"/>
          <w:shd w:val="clear" w:color="auto" w:fill="FFFFFF"/>
        </w:rPr>
        <w:t xml:space="preserve">delle vie aeree attraverso l’interazione con l'enzima trans-membrana ACE2 </w:t>
      </w:r>
      <w:r w:rsidRPr="006344CC">
        <w:rPr>
          <w:rFonts w:asciiTheme="minorHAnsi" w:hAnsiTheme="minorHAnsi" w:cstheme="minorHAnsi"/>
          <w:b/>
          <w:color w:val="000000"/>
          <w:sz w:val="20"/>
          <w:szCs w:val="20"/>
          <w:shd w:val="clear" w:color="auto" w:fill="FFFFFF"/>
        </w:rPr>
        <w:t>(a)</w:t>
      </w:r>
      <w:r w:rsidRPr="006344CC">
        <w:rPr>
          <w:rFonts w:asciiTheme="minorHAnsi" w:hAnsiTheme="minorHAnsi" w:cstheme="minorHAnsi"/>
          <w:color w:val="000000"/>
          <w:sz w:val="20"/>
          <w:szCs w:val="20"/>
          <w:shd w:val="clear" w:color="auto" w:fill="FFFFFF"/>
        </w:rPr>
        <w:t xml:space="preserve">. </w:t>
      </w:r>
    </w:p>
    <w:p w:rsidR="00886E5C" w:rsidRPr="00770C42" w:rsidRDefault="00886E5C" w:rsidP="00886E5C">
      <w:pPr>
        <w:pStyle w:val="ListParagraph"/>
        <w:tabs>
          <w:tab w:val="left" w:pos="426"/>
        </w:tabs>
        <w:ind w:left="426" w:right="-51" w:hanging="426"/>
        <w:jc w:val="both"/>
        <w:rPr>
          <w:rFonts w:asciiTheme="minorHAnsi" w:hAnsiTheme="minorHAnsi" w:cstheme="minorHAnsi"/>
          <w:b/>
          <w:color w:val="000000"/>
          <w:sz w:val="20"/>
          <w:szCs w:val="20"/>
          <w:shd w:val="clear" w:color="auto" w:fill="FFFFFF"/>
        </w:rPr>
      </w:pPr>
    </w:p>
    <w:p w:rsidR="00770C42" w:rsidRDefault="00770C42" w:rsidP="00886E5C">
      <w:pPr>
        <w:pStyle w:val="ListParagraph"/>
        <w:tabs>
          <w:tab w:val="left" w:pos="426"/>
        </w:tabs>
        <w:ind w:left="426" w:right="-51" w:hanging="426"/>
        <w:jc w:val="bot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ab/>
      </w:r>
      <w:r w:rsidR="006F2A5F" w:rsidRPr="006344CC">
        <w:rPr>
          <w:rFonts w:asciiTheme="minorHAnsi" w:hAnsiTheme="minorHAnsi" w:cstheme="minorHAnsi"/>
          <w:color w:val="000000"/>
          <w:sz w:val="20"/>
          <w:szCs w:val="20"/>
          <w:shd w:val="clear" w:color="auto" w:fill="FFFFFF"/>
        </w:rPr>
        <w:t xml:space="preserve">Mentre i virus </w:t>
      </w:r>
      <w:r w:rsidR="00886E5C">
        <w:rPr>
          <w:rFonts w:asciiTheme="minorHAnsi" w:hAnsiTheme="minorHAnsi" w:cstheme="minorHAnsi"/>
          <w:color w:val="000000"/>
          <w:sz w:val="20"/>
          <w:szCs w:val="20"/>
          <w:shd w:val="clear" w:color="auto" w:fill="FFFFFF"/>
        </w:rPr>
        <w:t xml:space="preserve">a </w:t>
      </w:r>
      <w:r w:rsidR="006F2A5F" w:rsidRPr="006344CC">
        <w:rPr>
          <w:rFonts w:asciiTheme="minorHAnsi" w:hAnsiTheme="minorHAnsi" w:cstheme="minorHAnsi"/>
          <w:color w:val="000000"/>
          <w:sz w:val="20"/>
          <w:szCs w:val="20"/>
          <w:shd w:val="clear" w:color="auto" w:fill="FFFFFF"/>
        </w:rPr>
        <w:t xml:space="preserve">RNA di solito attivano TLR3 e / o 7 negli endosomi </w:t>
      </w:r>
      <w:r w:rsidR="006F2A5F" w:rsidRPr="006344CC">
        <w:rPr>
          <w:rFonts w:asciiTheme="minorHAnsi" w:hAnsiTheme="minorHAnsi" w:cstheme="minorHAnsi"/>
          <w:b/>
          <w:color w:val="000000"/>
          <w:sz w:val="20"/>
          <w:szCs w:val="20"/>
          <w:shd w:val="clear" w:color="auto" w:fill="FFFFFF"/>
        </w:rPr>
        <w:t>(b)</w:t>
      </w:r>
      <w:r w:rsidR="006F2A5F" w:rsidRPr="006344CC">
        <w:rPr>
          <w:rFonts w:asciiTheme="minorHAnsi" w:hAnsiTheme="minorHAnsi" w:cstheme="minorHAnsi"/>
          <w:color w:val="000000"/>
          <w:sz w:val="20"/>
          <w:szCs w:val="20"/>
          <w:shd w:val="clear" w:color="auto" w:fill="FFFFFF"/>
        </w:rPr>
        <w:t xml:space="preserve"> e i sensori di RNA citosolici RIG-I e MDA-5 </w:t>
      </w:r>
      <w:r w:rsidR="006F2A5F" w:rsidRPr="006344CC">
        <w:rPr>
          <w:rFonts w:asciiTheme="minorHAnsi" w:hAnsiTheme="minorHAnsi" w:cstheme="minorHAnsi"/>
          <w:b/>
          <w:color w:val="000000"/>
          <w:sz w:val="20"/>
          <w:szCs w:val="20"/>
          <w:shd w:val="clear" w:color="auto" w:fill="FFFFFF"/>
        </w:rPr>
        <w:t>(c)</w:t>
      </w:r>
      <w:r w:rsidR="006F2A5F" w:rsidRPr="006344CC">
        <w:rPr>
          <w:rFonts w:asciiTheme="minorHAnsi" w:hAnsiTheme="minorHAnsi" w:cstheme="minorHAnsi"/>
          <w:color w:val="000000"/>
          <w:sz w:val="20"/>
          <w:szCs w:val="20"/>
          <w:shd w:val="clear" w:color="auto" w:fill="FFFFFF"/>
        </w:rPr>
        <w:t xml:space="preserve">, </w:t>
      </w:r>
      <w:r w:rsidR="006F2A5F" w:rsidRPr="006344CC">
        <w:rPr>
          <w:rFonts w:asciiTheme="minorHAnsi" w:hAnsiTheme="minorHAnsi" w:cstheme="minorHAnsi"/>
          <w:b/>
          <w:bCs/>
          <w:color w:val="000000"/>
          <w:sz w:val="20"/>
          <w:szCs w:val="20"/>
          <w:shd w:val="clear" w:color="auto" w:fill="FFFFFF"/>
        </w:rPr>
        <w:t xml:space="preserve">SARS-COV2 sopprime efficacemente </w:t>
      </w:r>
      <w:r w:rsidR="006F2A5F" w:rsidRPr="00886E5C">
        <w:rPr>
          <w:rFonts w:asciiTheme="minorHAnsi" w:hAnsiTheme="minorHAnsi" w:cstheme="minorHAnsi"/>
          <w:color w:val="000000"/>
          <w:sz w:val="20"/>
          <w:szCs w:val="20"/>
          <w:shd w:val="clear" w:color="auto" w:fill="FFFFFF"/>
        </w:rPr>
        <w:t>l'attivazione dei fattori associati al recettore del TNF (TRAF) 3 e 6, limita</w:t>
      </w:r>
      <w:r w:rsidR="00CE6A52" w:rsidRPr="00886E5C">
        <w:rPr>
          <w:rFonts w:asciiTheme="minorHAnsi" w:hAnsiTheme="minorHAnsi" w:cstheme="minorHAnsi"/>
          <w:color w:val="000000"/>
          <w:sz w:val="20"/>
          <w:szCs w:val="20"/>
          <w:shd w:val="clear" w:color="auto" w:fill="FFFFFF"/>
        </w:rPr>
        <w:t>ndo</w:t>
      </w:r>
      <w:r w:rsidR="006F2A5F" w:rsidRPr="00886E5C">
        <w:rPr>
          <w:rFonts w:asciiTheme="minorHAnsi" w:hAnsiTheme="minorHAnsi" w:cstheme="minorHAnsi"/>
          <w:color w:val="000000"/>
          <w:sz w:val="20"/>
          <w:szCs w:val="20"/>
          <w:shd w:val="clear" w:color="auto" w:fill="FFFFFF"/>
        </w:rPr>
        <w:t xml:space="preserve"> l'attivazione dei fattori di trascrizione NFκB e IRF3 e 7</w:t>
      </w:r>
      <w:r w:rsidR="00CE6A52" w:rsidRPr="00886E5C">
        <w:rPr>
          <w:rFonts w:asciiTheme="minorHAnsi" w:hAnsiTheme="minorHAnsi" w:cstheme="minorHAnsi"/>
          <w:color w:val="000000"/>
          <w:sz w:val="20"/>
          <w:szCs w:val="20"/>
          <w:shd w:val="clear" w:color="auto" w:fill="FFFFFF"/>
        </w:rPr>
        <w:t xml:space="preserve"> e</w:t>
      </w:r>
      <w:r w:rsidR="006F2A5F" w:rsidRPr="00886E5C">
        <w:rPr>
          <w:rFonts w:asciiTheme="minorHAnsi" w:hAnsiTheme="minorHAnsi" w:cstheme="minorHAnsi"/>
          <w:color w:val="000000"/>
          <w:sz w:val="20"/>
          <w:szCs w:val="20"/>
          <w:shd w:val="clear" w:color="auto" w:fill="FFFFFF"/>
        </w:rPr>
        <w:t xml:space="preserve"> sopprimendo</w:t>
      </w:r>
      <w:r w:rsidR="006F2A5F" w:rsidRPr="006344CC">
        <w:rPr>
          <w:rFonts w:asciiTheme="minorHAnsi" w:hAnsiTheme="minorHAnsi" w:cstheme="minorHAnsi"/>
          <w:b/>
          <w:bCs/>
          <w:color w:val="000000"/>
          <w:sz w:val="20"/>
          <w:szCs w:val="20"/>
          <w:shd w:val="clear" w:color="auto" w:fill="FFFFFF"/>
        </w:rPr>
        <w:t xml:space="preserve"> le prime risposte pro-infiammatorie </w:t>
      </w:r>
      <w:r w:rsidR="00886E5C">
        <w:rPr>
          <w:rFonts w:asciiTheme="minorHAnsi" w:hAnsiTheme="minorHAnsi" w:cstheme="minorHAnsi"/>
          <w:b/>
          <w:bCs/>
          <w:color w:val="000000"/>
          <w:sz w:val="20"/>
          <w:szCs w:val="20"/>
          <w:shd w:val="clear" w:color="auto" w:fill="FFFFFF"/>
        </w:rPr>
        <w:t>mediate da</w:t>
      </w:r>
      <w:r w:rsidR="006F2A5F" w:rsidRPr="006344CC">
        <w:rPr>
          <w:rFonts w:asciiTheme="minorHAnsi" w:hAnsiTheme="minorHAnsi" w:cstheme="minorHAnsi"/>
          <w:b/>
          <w:bCs/>
          <w:color w:val="000000"/>
          <w:sz w:val="20"/>
          <w:szCs w:val="20"/>
          <w:shd w:val="clear" w:color="auto" w:fill="FFFFFF"/>
        </w:rPr>
        <w:t xml:space="preserve">gli interferoni di tipo I (IFN) e </w:t>
      </w:r>
      <w:r w:rsidR="00886E5C">
        <w:rPr>
          <w:rFonts w:asciiTheme="minorHAnsi" w:hAnsiTheme="minorHAnsi" w:cstheme="minorHAnsi"/>
          <w:b/>
          <w:bCs/>
          <w:color w:val="000000"/>
          <w:sz w:val="20"/>
          <w:szCs w:val="20"/>
          <w:shd w:val="clear" w:color="auto" w:fill="FFFFFF"/>
        </w:rPr>
        <w:t>dal</w:t>
      </w:r>
      <w:r w:rsidR="006F2A5F" w:rsidRPr="006344CC">
        <w:rPr>
          <w:rFonts w:asciiTheme="minorHAnsi" w:hAnsiTheme="minorHAnsi" w:cstheme="minorHAnsi"/>
          <w:b/>
          <w:bCs/>
          <w:color w:val="000000"/>
          <w:sz w:val="20"/>
          <w:szCs w:val="20"/>
          <w:shd w:val="clear" w:color="auto" w:fill="FFFFFF"/>
        </w:rPr>
        <w:t xml:space="preserve">le citochine effettrici pro-infiammatorie IL-1, IL-6 e TNF-α </w:t>
      </w:r>
      <w:r w:rsidR="006F2A5F" w:rsidRPr="00886E5C">
        <w:rPr>
          <w:rFonts w:asciiTheme="minorHAnsi" w:hAnsiTheme="minorHAnsi" w:cstheme="minorHAnsi"/>
          <w:color w:val="000000"/>
          <w:sz w:val="20"/>
          <w:szCs w:val="20"/>
          <w:shd w:val="clear" w:color="auto" w:fill="FFFFFF"/>
        </w:rPr>
        <w:t>(simboli rossi).</w:t>
      </w:r>
      <w:r w:rsidR="006F2A5F" w:rsidRPr="006344CC">
        <w:rPr>
          <w:rFonts w:asciiTheme="minorHAnsi" w:hAnsiTheme="minorHAnsi" w:cstheme="minorHAnsi"/>
          <w:color w:val="000000"/>
          <w:sz w:val="20"/>
          <w:szCs w:val="20"/>
          <w:shd w:val="clear" w:color="auto" w:fill="FFFFFF"/>
        </w:rPr>
        <w:t xml:space="preserve"> </w:t>
      </w:r>
    </w:p>
    <w:p w:rsidR="00886E5C" w:rsidRDefault="00770C42" w:rsidP="00886E5C">
      <w:pPr>
        <w:pStyle w:val="ListParagraph"/>
        <w:tabs>
          <w:tab w:val="left" w:pos="426"/>
        </w:tabs>
        <w:ind w:left="426" w:right="-51" w:hanging="426"/>
        <w:jc w:val="bot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ab/>
      </w:r>
      <w:r w:rsidR="006F2A5F" w:rsidRPr="006344CC">
        <w:rPr>
          <w:rFonts w:asciiTheme="minorHAnsi" w:hAnsiTheme="minorHAnsi" w:cstheme="minorHAnsi"/>
          <w:color w:val="000000"/>
          <w:sz w:val="20"/>
          <w:szCs w:val="20"/>
          <w:shd w:val="clear" w:color="auto" w:fill="FFFFFF"/>
        </w:rPr>
        <w:t xml:space="preserve">Inoltre, i coronavirus inibiscono l'attivazione dei fattori di trascrizione STAT </w:t>
      </w:r>
      <w:r w:rsidR="006F2A5F" w:rsidRPr="006344CC">
        <w:rPr>
          <w:rFonts w:asciiTheme="minorHAnsi" w:hAnsiTheme="minorHAnsi" w:cstheme="minorHAnsi"/>
          <w:b/>
          <w:color w:val="000000"/>
          <w:sz w:val="20"/>
          <w:szCs w:val="20"/>
          <w:shd w:val="clear" w:color="auto" w:fill="FFFFFF"/>
        </w:rPr>
        <w:t>(d)</w:t>
      </w:r>
      <w:r w:rsidR="006F2A5F" w:rsidRPr="006344CC">
        <w:rPr>
          <w:rFonts w:asciiTheme="minorHAnsi" w:hAnsiTheme="minorHAnsi" w:cstheme="minorHAnsi"/>
          <w:color w:val="000000"/>
          <w:sz w:val="20"/>
          <w:szCs w:val="20"/>
          <w:shd w:val="clear" w:color="auto" w:fill="FFFFFF"/>
        </w:rPr>
        <w:t xml:space="preserve"> che limita ulteriormente i meccanismi di risposta antivirale. </w:t>
      </w:r>
    </w:p>
    <w:p w:rsidR="00886E5C" w:rsidRDefault="00886E5C" w:rsidP="00886E5C">
      <w:pPr>
        <w:pStyle w:val="ListParagraph"/>
        <w:tabs>
          <w:tab w:val="left" w:pos="426"/>
        </w:tabs>
        <w:ind w:left="426" w:right="-51" w:hanging="426"/>
        <w:jc w:val="both"/>
        <w:rPr>
          <w:rFonts w:asciiTheme="minorHAnsi" w:hAnsiTheme="minorHAnsi" w:cstheme="minorHAnsi"/>
          <w:color w:val="000000"/>
          <w:sz w:val="20"/>
          <w:szCs w:val="20"/>
          <w:shd w:val="clear" w:color="auto" w:fill="FFFFFF"/>
        </w:rPr>
      </w:pPr>
    </w:p>
    <w:p w:rsidR="006F2A5F" w:rsidRPr="006344CC" w:rsidRDefault="00886E5C" w:rsidP="00886E5C">
      <w:pPr>
        <w:pStyle w:val="ListParagraph"/>
        <w:tabs>
          <w:tab w:val="left" w:pos="426"/>
        </w:tabs>
        <w:ind w:left="426" w:right="-51" w:hanging="426"/>
        <w:jc w:val="both"/>
        <w:rPr>
          <w:rFonts w:asciiTheme="minorHAnsi" w:hAnsiTheme="minorHAnsi" w:cstheme="minorHAnsi"/>
          <w:b/>
          <w:color w:val="000000"/>
          <w:sz w:val="20"/>
          <w:szCs w:val="20"/>
          <w:shd w:val="clear" w:color="auto" w:fill="FFFFFF"/>
        </w:rPr>
      </w:pPr>
      <w:r>
        <w:rPr>
          <w:rFonts w:asciiTheme="minorHAnsi" w:hAnsiTheme="minorHAnsi" w:cstheme="minorHAnsi"/>
          <w:color w:val="000000"/>
          <w:sz w:val="20"/>
          <w:szCs w:val="20"/>
          <w:shd w:val="clear" w:color="auto" w:fill="FFFFFF"/>
        </w:rPr>
        <w:tab/>
      </w:r>
      <w:r w:rsidR="006F2A5F" w:rsidRPr="006344CC">
        <w:rPr>
          <w:rFonts w:asciiTheme="minorHAnsi" w:hAnsiTheme="minorHAnsi" w:cstheme="minorHAnsi"/>
          <w:color w:val="000000"/>
          <w:sz w:val="20"/>
          <w:szCs w:val="20"/>
          <w:shd w:val="clear" w:color="auto" w:fill="FFFFFF"/>
        </w:rPr>
        <w:t>Complessivamente, ciò</w:t>
      </w:r>
      <w:r>
        <w:rPr>
          <w:rFonts w:asciiTheme="minorHAnsi" w:hAnsiTheme="minorHAnsi" w:cstheme="minorHAnsi"/>
          <w:color w:val="000000"/>
          <w:sz w:val="20"/>
          <w:szCs w:val="20"/>
          <w:shd w:val="clear" w:color="auto" w:fill="FFFFFF"/>
        </w:rPr>
        <w:t xml:space="preserve"> ostacola</w:t>
      </w:r>
      <w:r w:rsidR="006F2A5F" w:rsidRPr="006344CC">
        <w:rPr>
          <w:rFonts w:asciiTheme="minorHAnsi" w:hAnsiTheme="minorHAnsi" w:cstheme="minorHAnsi"/>
          <w:color w:val="000000"/>
          <w:sz w:val="20"/>
          <w:szCs w:val="20"/>
          <w:shd w:val="clear" w:color="auto" w:fill="FFFFFF"/>
        </w:rPr>
        <w:t xml:space="preserve"> il contenimento del virus attraverso </w:t>
      </w:r>
      <w:r w:rsidR="00CE6A52">
        <w:rPr>
          <w:rFonts w:asciiTheme="minorHAnsi" w:hAnsiTheme="minorHAnsi" w:cstheme="minorHAnsi"/>
          <w:color w:val="000000"/>
          <w:sz w:val="20"/>
          <w:szCs w:val="20"/>
          <w:shd w:val="clear" w:color="auto" w:fill="FFFFFF"/>
        </w:rPr>
        <w:t>il blocco del</w:t>
      </w:r>
      <w:r w:rsidR="006F2A5F" w:rsidRPr="006344CC">
        <w:rPr>
          <w:rFonts w:asciiTheme="minorHAnsi" w:hAnsiTheme="minorHAnsi" w:cstheme="minorHAnsi"/>
          <w:color w:val="000000"/>
          <w:sz w:val="20"/>
          <w:szCs w:val="20"/>
          <w:shd w:val="clear" w:color="auto" w:fill="FFFFFF"/>
        </w:rPr>
        <w:t>l'attivazione di programmi antivirali e il reclutamento di cellule immunitarie</w:t>
      </w:r>
      <w:r w:rsidR="006F2A5F" w:rsidRPr="006344CC">
        <w:rPr>
          <w:rFonts w:asciiTheme="minorHAnsi" w:hAnsiTheme="minorHAnsi" w:cstheme="minorHAnsi"/>
          <w:b/>
          <w:color w:val="000000"/>
          <w:sz w:val="20"/>
          <w:szCs w:val="20"/>
          <w:shd w:val="clear" w:color="auto" w:fill="FFFFFF"/>
        </w:rPr>
        <w:t xml:space="preserve">. </w:t>
      </w:r>
    </w:p>
    <w:p w:rsidR="006344CC" w:rsidRPr="006344CC" w:rsidRDefault="006344CC" w:rsidP="00886E5C">
      <w:pPr>
        <w:pStyle w:val="ListParagraph"/>
        <w:tabs>
          <w:tab w:val="left" w:pos="284"/>
        </w:tabs>
        <w:ind w:left="426" w:right="-51" w:hanging="426"/>
        <w:jc w:val="both"/>
        <w:rPr>
          <w:rFonts w:asciiTheme="minorHAnsi" w:hAnsiTheme="minorHAnsi" w:cstheme="minorHAnsi"/>
          <w:b/>
          <w:color w:val="000000"/>
          <w:sz w:val="20"/>
          <w:szCs w:val="20"/>
          <w:shd w:val="clear" w:color="auto" w:fill="FFFFFF"/>
        </w:rPr>
      </w:pPr>
    </w:p>
    <w:p w:rsidR="00770C42" w:rsidRDefault="006F2A5F" w:rsidP="00886E5C">
      <w:pPr>
        <w:pStyle w:val="ListParagraph"/>
        <w:numPr>
          <w:ilvl w:val="0"/>
          <w:numId w:val="16"/>
        </w:numPr>
        <w:ind w:left="426" w:right="-51" w:hanging="426"/>
        <w:jc w:val="both"/>
        <w:rPr>
          <w:rFonts w:asciiTheme="minorHAnsi" w:hAnsiTheme="minorHAnsi" w:cstheme="minorHAnsi"/>
          <w:color w:val="000000"/>
          <w:sz w:val="20"/>
          <w:szCs w:val="20"/>
          <w:shd w:val="clear" w:color="auto" w:fill="FFFFFF"/>
        </w:rPr>
      </w:pPr>
      <w:r w:rsidRPr="001B65C8">
        <w:rPr>
          <w:rFonts w:asciiTheme="minorHAnsi" w:hAnsiTheme="minorHAnsi" w:cstheme="minorHAnsi"/>
          <w:b/>
          <w:bCs/>
          <w:color w:val="000000"/>
          <w:sz w:val="20"/>
          <w:szCs w:val="20"/>
          <w:shd w:val="clear" w:color="auto" w:fill="FBF9E1"/>
        </w:rPr>
        <w:t>I monociti / macrofagi tissutali</w:t>
      </w:r>
      <w:r w:rsidRPr="00770C42">
        <w:rPr>
          <w:rFonts w:asciiTheme="minorHAnsi" w:hAnsiTheme="minorHAnsi" w:cstheme="minorHAnsi"/>
          <w:color w:val="000000"/>
          <w:sz w:val="20"/>
          <w:szCs w:val="20"/>
          <w:shd w:val="clear" w:color="auto" w:fill="FFFFFF"/>
        </w:rPr>
        <w:t xml:space="preserve"> esprimono l'ACE2 in misura significativamente più bassa, rendendo meno probabile l'infezione attraverso questa via </w:t>
      </w:r>
      <w:r w:rsidRPr="00770C42">
        <w:rPr>
          <w:rFonts w:asciiTheme="minorHAnsi" w:hAnsiTheme="minorHAnsi" w:cstheme="minorHAnsi"/>
          <w:b/>
          <w:color w:val="000000"/>
          <w:sz w:val="20"/>
          <w:szCs w:val="20"/>
          <w:shd w:val="clear" w:color="auto" w:fill="FFFFFF"/>
        </w:rPr>
        <w:t>(a)</w:t>
      </w:r>
      <w:r w:rsidRPr="00770C42">
        <w:rPr>
          <w:rFonts w:asciiTheme="minorHAnsi" w:hAnsiTheme="minorHAnsi" w:cstheme="minorHAnsi"/>
          <w:color w:val="000000"/>
          <w:sz w:val="20"/>
          <w:szCs w:val="20"/>
          <w:shd w:val="clear" w:color="auto" w:fill="FFFFFF"/>
        </w:rPr>
        <w:t>.</w:t>
      </w:r>
    </w:p>
    <w:p w:rsidR="00886E5C" w:rsidRDefault="00886E5C" w:rsidP="00886E5C">
      <w:pPr>
        <w:pStyle w:val="ListParagraph"/>
        <w:ind w:left="426" w:right="-51" w:hanging="426"/>
        <w:jc w:val="both"/>
        <w:rPr>
          <w:rFonts w:asciiTheme="minorHAnsi" w:hAnsiTheme="minorHAnsi" w:cstheme="minorHAnsi"/>
          <w:color w:val="000000"/>
          <w:sz w:val="20"/>
          <w:szCs w:val="20"/>
          <w:shd w:val="clear" w:color="auto" w:fill="FFFFFF"/>
        </w:rPr>
      </w:pPr>
    </w:p>
    <w:p w:rsidR="00770C42" w:rsidRDefault="006F2A5F" w:rsidP="00886E5C">
      <w:pPr>
        <w:pStyle w:val="ListParagraph"/>
        <w:ind w:left="426" w:right="-51"/>
        <w:jc w:val="both"/>
        <w:rPr>
          <w:rFonts w:asciiTheme="minorHAnsi" w:hAnsiTheme="minorHAnsi" w:cstheme="minorHAnsi"/>
          <w:color w:val="000000"/>
          <w:sz w:val="20"/>
          <w:szCs w:val="20"/>
          <w:shd w:val="clear" w:color="auto" w:fill="FFFFFF"/>
        </w:rPr>
      </w:pPr>
      <w:r w:rsidRPr="00770C42">
        <w:rPr>
          <w:rFonts w:asciiTheme="minorHAnsi" w:hAnsiTheme="minorHAnsi" w:cstheme="minorHAnsi"/>
          <w:color w:val="000000"/>
          <w:sz w:val="20"/>
          <w:szCs w:val="20"/>
          <w:shd w:val="clear" w:color="auto" w:fill="FFFFFF"/>
        </w:rPr>
        <w:t xml:space="preserve">Tuttavia, </w:t>
      </w:r>
      <w:r w:rsidRPr="00770C42">
        <w:rPr>
          <w:rFonts w:asciiTheme="minorHAnsi" w:hAnsiTheme="minorHAnsi" w:cstheme="minorHAnsi"/>
          <w:b/>
          <w:bCs/>
          <w:color w:val="000000"/>
          <w:sz w:val="20"/>
          <w:szCs w:val="20"/>
          <w:shd w:val="clear" w:color="auto" w:fill="FFFFFF"/>
        </w:rPr>
        <w:t xml:space="preserve">complessi immunitari costituiti da anticorpi inefficaci contro ad es. i coronavirus stagionali e da particelle virali possono essere </w:t>
      </w:r>
      <w:r w:rsidR="00886E5C">
        <w:rPr>
          <w:rFonts w:asciiTheme="minorHAnsi" w:hAnsiTheme="minorHAnsi" w:cstheme="minorHAnsi"/>
          <w:b/>
          <w:bCs/>
          <w:color w:val="000000"/>
          <w:sz w:val="20"/>
          <w:szCs w:val="20"/>
          <w:shd w:val="clear" w:color="auto" w:fill="FFFFFF"/>
        </w:rPr>
        <w:t xml:space="preserve">inglobati </w:t>
      </w:r>
      <w:r w:rsidRPr="00770C42">
        <w:rPr>
          <w:rFonts w:asciiTheme="minorHAnsi" w:hAnsiTheme="minorHAnsi" w:cstheme="minorHAnsi"/>
          <w:b/>
          <w:bCs/>
          <w:color w:val="000000"/>
          <w:sz w:val="20"/>
          <w:szCs w:val="20"/>
          <w:shd w:val="clear" w:color="auto" w:fill="FFFFFF"/>
        </w:rPr>
        <w:t>dai macrofagi attraverso i recettori Fcγ</w:t>
      </w:r>
      <w:r w:rsidRPr="00770C42">
        <w:rPr>
          <w:rFonts w:asciiTheme="minorHAnsi" w:hAnsiTheme="minorHAnsi" w:cstheme="minorHAnsi"/>
          <w:color w:val="000000"/>
          <w:sz w:val="20"/>
          <w:szCs w:val="20"/>
          <w:shd w:val="clear" w:color="auto" w:fill="FFFFFF"/>
        </w:rPr>
        <w:t xml:space="preserve"> causando la loro infezione </w:t>
      </w:r>
      <w:r w:rsidRPr="00770C42">
        <w:rPr>
          <w:rFonts w:asciiTheme="minorHAnsi" w:hAnsiTheme="minorHAnsi" w:cstheme="minorHAnsi"/>
          <w:b/>
          <w:color w:val="000000"/>
          <w:sz w:val="20"/>
          <w:szCs w:val="20"/>
          <w:shd w:val="clear" w:color="auto" w:fill="FFFFFF"/>
        </w:rPr>
        <w:t>(b)</w:t>
      </w:r>
      <w:r w:rsidRPr="00770C42">
        <w:rPr>
          <w:rFonts w:asciiTheme="minorHAnsi" w:hAnsiTheme="minorHAnsi" w:cstheme="minorHAnsi"/>
          <w:color w:val="000000"/>
          <w:sz w:val="20"/>
          <w:szCs w:val="20"/>
          <w:shd w:val="clear" w:color="auto" w:fill="FFFFFF"/>
        </w:rPr>
        <w:t xml:space="preserve">. </w:t>
      </w:r>
    </w:p>
    <w:p w:rsidR="00886E5C" w:rsidRPr="00770C42" w:rsidRDefault="00886E5C" w:rsidP="00886E5C">
      <w:pPr>
        <w:pStyle w:val="ListParagraph"/>
        <w:ind w:left="426" w:right="-51"/>
        <w:jc w:val="both"/>
        <w:rPr>
          <w:rFonts w:asciiTheme="minorHAnsi" w:hAnsiTheme="minorHAnsi" w:cstheme="minorHAnsi"/>
          <w:color w:val="000000"/>
          <w:sz w:val="20"/>
          <w:szCs w:val="20"/>
          <w:shd w:val="clear" w:color="auto" w:fill="FFFFFF"/>
        </w:rPr>
      </w:pPr>
    </w:p>
    <w:p w:rsidR="00770C42" w:rsidRDefault="006F2A5F" w:rsidP="00886E5C">
      <w:pPr>
        <w:pStyle w:val="ListParagraph"/>
        <w:ind w:left="426" w:right="-51"/>
        <w:jc w:val="both"/>
        <w:rPr>
          <w:rFonts w:asciiTheme="minorHAnsi" w:hAnsiTheme="minorHAnsi" w:cstheme="minorHAnsi"/>
          <w:color w:val="000000"/>
          <w:sz w:val="20"/>
          <w:szCs w:val="20"/>
          <w:shd w:val="clear" w:color="auto" w:fill="FFFFFF"/>
        </w:rPr>
      </w:pPr>
      <w:r w:rsidRPr="00770C42">
        <w:rPr>
          <w:rFonts w:asciiTheme="minorHAnsi" w:hAnsiTheme="minorHAnsi" w:cstheme="minorHAnsi"/>
          <w:color w:val="000000"/>
          <w:sz w:val="20"/>
          <w:szCs w:val="20"/>
          <w:shd w:val="clear" w:color="auto" w:fill="FFFFFF"/>
        </w:rPr>
        <w:t xml:space="preserve">In un processo </w:t>
      </w:r>
      <w:r w:rsidR="00FB1A0B">
        <w:rPr>
          <w:rFonts w:asciiTheme="minorHAnsi" w:hAnsiTheme="minorHAnsi" w:cstheme="minorHAnsi"/>
          <w:color w:val="000000"/>
          <w:sz w:val="20"/>
          <w:szCs w:val="20"/>
          <w:shd w:val="clear" w:color="auto" w:fill="FFFFFF"/>
        </w:rPr>
        <w:t>noto</w:t>
      </w:r>
      <w:r w:rsidRPr="00770C42">
        <w:rPr>
          <w:rFonts w:asciiTheme="minorHAnsi" w:hAnsiTheme="minorHAnsi" w:cstheme="minorHAnsi"/>
          <w:color w:val="000000"/>
          <w:sz w:val="20"/>
          <w:szCs w:val="20"/>
          <w:shd w:val="clear" w:color="auto" w:fill="FFFFFF"/>
        </w:rPr>
        <w:t xml:space="preserve"> come </w:t>
      </w:r>
      <w:r w:rsidRPr="00770C42">
        <w:rPr>
          <w:rFonts w:asciiTheme="minorHAnsi" w:hAnsiTheme="minorHAnsi" w:cstheme="minorHAnsi"/>
          <w:b/>
          <w:bCs/>
          <w:color w:val="000000"/>
          <w:sz w:val="20"/>
          <w:szCs w:val="20"/>
          <w:shd w:val="clear" w:color="auto" w:fill="FFFFFF"/>
        </w:rPr>
        <w:t>potenziamento dipendente dall'anticorpo</w:t>
      </w:r>
      <w:r w:rsidRPr="00770C42">
        <w:rPr>
          <w:rFonts w:asciiTheme="minorHAnsi" w:hAnsiTheme="minorHAnsi" w:cstheme="minorHAnsi"/>
          <w:color w:val="000000"/>
          <w:sz w:val="20"/>
          <w:szCs w:val="20"/>
          <w:shd w:val="clear" w:color="auto" w:fill="FFFFFF"/>
        </w:rPr>
        <w:t xml:space="preserve"> </w:t>
      </w:r>
      <w:r w:rsidRPr="00770C42">
        <w:rPr>
          <w:rFonts w:asciiTheme="minorHAnsi" w:hAnsiTheme="minorHAnsi" w:cstheme="minorHAnsi"/>
          <w:b/>
          <w:color w:val="000000"/>
          <w:sz w:val="20"/>
          <w:szCs w:val="20"/>
          <w:shd w:val="clear" w:color="auto" w:fill="FFFFFF"/>
        </w:rPr>
        <w:t>(ADE)</w:t>
      </w:r>
      <w:r w:rsidR="00FB1A0B">
        <w:rPr>
          <w:rFonts w:asciiTheme="minorHAnsi" w:hAnsiTheme="minorHAnsi" w:cstheme="minorHAnsi"/>
          <w:b/>
          <w:color w:val="000000"/>
          <w:sz w:val="20"/>
          <w:szCs w:val="20"/>
          <w:shd w:val="clear" w:color="auto" w:fill="FFFFFF"/>
        </w:rPr>
        <w:t xml:space="preserve"> </w:t>
      </w:r>
      <w:r w:rsidR="00FB1A0B" w:rsidRPr="00FB1A0B">
        <w:rPr>
          <w:rFonts w:asciiTheme="minorHAnsi" w:hAnsiTheme="minorHAnsi" w:cstheme="minorHAnsi"/>
          <w:bCs/>
          <w:color w:val="000000"/>
          <w:sz w:val="20"/>
          <w:szCs w:val="20"/>
          <w:shd w:val="clear" w:color="auto" w:fill="FFFFFF"/>
        </w:rPr>
        <w:t>che si discuterà nel dettaglio più sotto</w:t>
      </w:r>
      <w:r w:rsidRPr="00FB1A0B">
        <w:rPr>
          <w:rFonts w:asciiTheme="minorHAnsi" w:hAnsiTheme="minorHAnsi" w:cstheme="minorHAnsi"/>
          <w:bCs/>
          <w:color w:val="000000"/>
          <w:sz w:val="20"/>
          <w:szCs w:val="20"/>
          <w:shd w:val="clear" w:color="auto" w:fill="FFFFFF"/>
        </w:rPr>
        <w:t>,</w:t>
      </w:r>
      <w:r w:rsidRPr="00770C42">
        <w:rPr>
          <w:rFonts w:asciiTheme="minorHAnsi" w:hAnsiTheme="minorHAnsi" w:cstheme="minorHAnsi"/>
          <w:color w:val="000000"/>
          <w:sz w:val="20"/>
          <w:szCs w:val="20"/>
          <w:shd w:val="clear" w:color="auto" w:fill="FFFFFF"/>
        </w:rPr>
        <w:t xml:space="preserve"> </w:t>
      </w:r>
      <w:r w:rsidRPr="00770C42">
        <w:rPr>
          <w:rFonts w:asciiTheme="minorHAnsi" w:hAnsiTheme="minorHAnsi" w:cstheme="minorHAnsi"/>
          <w:b/>
          <w:bCs/>
          <w:color w:val="000000"/>
          <w:sz w:val="20"/>
          <w:szCs w:val="20"/>
          <w:shd w:val="clear" w:color="auto" w:fill="FFFFFF"/>
        </w:rPr>
        <w:t xml:space="preserve">i virioni </w:t>
      </w:r>
      <w:r w:rsidR="00C51125" w:rsidRPr="00770C42">
        <w:rPr>
          <w:rFonts w:asciiTheme="minorHAnsi" w:hAnsiTheme="minorHAnsi" w:cstheme="minorHAnsi"/>
          <w:b/>
          <w:bCs/>
          <w:color w:val="000000"/>
          <w:sz w:val="20"/>
          <w:szCs w:val="20"/>
          <w:shd w:val="clear" w:color="auto" w:fill="FFFFFF"/>
        </w:rPr>
        <w:t xml:space="preserve">da un lato </w:t>
      </w:r>
      <w:r w:rsidRPr="00770C42">
        <w:rPr>
          <w:rFonts w:asciiTheme="minorHAnsi" w:hAnsiTheme="minorHAnsi" w:cstheme="minorHAnsi"/>
          <w:b/>
          <w:bCs/>
          <w:color w:val="000000"/>
          <w:sz w:val="20"/>
          <w:szCs w:val="20"/>
          <w:shd w:val="clear" w:color="auto" w:fill="FFFFFF"/>
        </w:rPr>
        <w:t xml:space="preserve">inibiscono il segnale degli IFN di tipo I nei macrofagi infetti </w:t>
      </w:r>
      <w:r w:rsidR="00C51125" w:rsidRPr="00770C42">
        <w:rPr>
          <w:rFonts w:asciiTheme="minorHAnsi" w:hAnsiTheme="minorHAnsi" w:cstheme="minorHAnsi"/>
          <w:b/>
          <w:bCs/>
          <w:color w:val="000000"/>
          <w:sz w:val="20"/>
          <w:szCs w:val="20"/>
          <w:shd w:val="clear" w:color="auto" w:fill="FFFFFF"/>
        </w:rPr>
        <w:t xml:space="preserve">e dall’altro </w:t>
      </w:r>
      <w:r w:rsidRPr="00770C42">
        <w:rPr>
          <w:rFonts w:asciiTheme="minorHAnsi" w:hAnsiTheme="minorHAnsi" w:cstheme="minorHAnsi"/>
          <w:b/>
          <w:bCs/>
          <w:color w:val="000000"/>
          <w:sz w:val="20"/>
          <w:szCs w:val="20"/>
          <w:shd w:val="clear" w:color="auto" w:fill="FFFFFF"/>
        </w:rPr>
        <w:t>consent</w:t>
      </w:r>
      <w:r w:rsidR="00C51125" w:rsidRPr="00770C42">
        <w:rPr>
          <w:rFonts w:asciiTheme="minorHAnsi" w:hAnsiTheme="minorHAnsi" w:cstheme="minorHAnsi"/>
          <w:b/>
          <w:bCs/>
          <w:color w:val="000000"/>
          <w:sz w:val="20"/>
          <w:szCs w:val="20"/>
          <w:shd w:val="clear" w:color="auto" w:fill="FFFFFF"/>
        </w:rPr>
        <w:t>ono</w:t>
      </w:r>
      <w:r w:rsidRPr="00770C42">
        <w:rPr>
          <w:rFonts w:asciiTheme="minorHAnsi" w:hAnsiTheme="minorHAnsi" w:cstheme="minorHAnsi"/>
          <w:b/>
          <w:bCs/>
          <w:color w:val="000000"/>
          <w:sz w:val="20"/>
          <w:szCs w:val="20"/>
          <w:shd w:val="clear" w:color="auto" w:fill="FFFFFF"/>
        </w:rPr>
        <w:t xml:space="preserve"> l'espressione pro-infiammatoria di IL-1, IL-6 e TNF-α, che p</w:t>
      </w:r>
      <w:r w:rsidR="00FB1A0B">
        <w:rPr>
          <w:rFonts w:asciiTheme="minorHAnsi" w:hAnsiTheme="minorHAnsi" w:cstheme="minorHAnsi"/>
          <w:b/>
          <w:bCs/>
          <w:color w:val="000000"/>
          <w:sz w:val="20"/>
          <w:szCs w:val="20"/>
          <w:shd w:val="clear" w:color="auto" w:fill="FFFFFF"/>
        </w:rPr>
        <w:t>ossono</w:t>
      </w:r>
      <w:r w:rsidRPr="00770C42">
        <w:rPr>
          <w:rFonts w:asciiTheme="minorHAnsi" w:hAnsiTheme="minorHAnsi" w:cstheme="minorHAnsi"/>
          <w:b/>
          <w:bCs/>
          <w:color w:val="000000"/>
          <w:sz w:val="20"/>
          <w:szCs w:val="20"/>
          <w:shd w:val="clear" w:color="auto" w:fill="FFFFFF"/>
        </w:rPr>
        <w:t xml:space="preserve"> contribuire all'iperinfiammazione e alla sindrome della tempesta di citochine</w:t>
      </w:r>
      <w:r w:rsidRPr="00770C42">
        <w:rPr>
          <w:rFonts w:asciiTheme="minorHAnsi" w:hAnsiTheme="minorHAnsi" w:cstheme="minorHAnsi"/>
          <w:color w:val="000000"/>
          <w:sz w:val="20"/>
          <w:szCs w:val="20"/>
          <w:shd w:val="clear" w:color="auto" w:fill="FFFFFF"/>
        </w:rPr>
        <w:t xml:space="preserve"> </w:t>
      </w:r>
      <w:r w:rsidRPr="00770C42">
        <w:rPr>
          <w:rFonts w:asciiTheme="minorHAnsi" w:hAnsiTheme="minorHAnsi" w:cstheme="minorHAnsi"/>
          <w:b/>
          <w:color w:val="000000"/>
          <w:sz w:val="20"/>
          <w:szCs w:val="20"/>
          <w:shd w:val="clear" w:color="auto" w:fill="FFFFFF"/>
        </w:rPr>
        <w:t>(c, d)</w:t>
      </w:r>
      <w:r w:rsidRPr="00770C42">
        <w:rPr>
          <w:rFonts w:asciiTheme="minorHAnsi" w:hAnsiTheme="minorHAnsi" w:cstheme="minorHAnsi"/>
          <w:color w:val="000000"/>
          <w:sz w:val="20"/>
          <w:szCs w:val="20"/>
          <w:shd w:val="clear" w:color="auto" w:fill="FFFFFF"/>
        </w:rPr>
        <w:t xml:space="preserve">. </w:t>
      </w:r>
    </w:p>
    <w:p w:rsidR="00886E5C" w:rsidRDefault="00886E5C" w:rsidP="00886E5C">
      <w:pPr>
        <w:pStyle w:val="ListParagraph"/>
        <w:ind w:left="426" w:right="-51"/>
        <w:jc w:val="both"/>
        <w:rPr>
          <w:rFonts w:asciiTheme="minorHAnsi" w:hAnsiTheme="minorHAnsi" w:cstheme="minorHAnsi"/>
          <w:color w:val="000000"/>
          <w:sz w:val="20"/>
          <w:szCs w:val="20"/>
          <w:shd w:val="clear" w:color="auto" w:fill="FFFFFF"/>
        </w:rPr>
      </w:pPr>
    </w:p>
    <w:p w:rsidR="006F2A5F" w:rsidRDefault="00FB1A0B" w:rsidP="00886E5C">
      <w:pPr>
        <w:pStyle w:val="ListParagraph"/>
        <w:ind w:left="426" w:right="-51"/>
        <w:jc w:val="bot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L’inibizione della</w:t>
      </w:r>
      <w:r w:rsidR="006F2A5F" w:rsidRPr="00770C42">
        <w:rPr>
          <w:rFonts w:asciiTheme="minorHAnsi" w:hAnsiTheme="minorHAnsi" w:cstheme="minorHAnsi"/>
          <w:color w:val="000000"/>
          <w:sz w:val="20"/>
          <w:szCs w:val="20"/>
          <w:shd w:val="clear" w:color="auto" w:fill="FFFFFF"/>
        </w:rPr>
        <w:t xml:space="preserve"> segnalazione dell’IFN di tipo 1 sopprime i programmi antivirali, mentre </w:t>
      </w:r>
      <w:r w:rsidR="00886E5C">
        <w:rPr>
          <w:rFonts w:asciiTheme="minorHAnsi" w:hAnsiTheme="minorHAnsi" w:cstheme="minorHAnsi"/>
          <w:color w:val="000000"/>
          <w:sz w:val="20"/>
          <w:szCs w:val="20"/>
          <w:shd w:val="clear" w:color="auto" w:fill="FFFFFF"/>
        </w:rPr>
        <w:t>l’</w:t>
      </w:r>
      <w:r w:rsidR="006F2A5F" w:rsidRPr="00770C42">
        <w:rPr>
          <w:rFonts w:asciiTheme="minorHAnsi" w:hAnsiTheme="minorHAnsi" w:cstheme="minorHAnsi"/>
          <w:color w:val="000000"/>
          <w:sz w:val="20"/>
          <w:szCs w:val="20"/>
          <w:shd w:val="clear" w:color="auto" w:fill="FFFFFF"/>
        </w:rPr>
        <w:t xml:space="preserve">aumento dell'espressione di IL-1, IL-6 e TNF-α si </w:t>
      </w:r>
      <w:r w:rsidR="00886E5C">
        <w:rPr>
          <w:rFonts w:asciiTheme="minorHAnsi" w:hAnsiTheme="minorHAnsi" w:cstheme="minorHAnsi"/>
          <w:color w:val="000000"/>
          <w:sz w:val="20"/>
          <w:szCs w:val="20"/>
          <w:shd w:val="clear" w:color="auto" w:fill="FFFFFF"/>
        </w:rPr>
        <w:t>auto-</w:t>
      </w:r>
      <w:r w:rsidR="006F2A5F" w:rsidRPr="00770C42">
        <w:rPr>
          <w:rFonts w:asciiTheme="minorHAnsi" w:hAnsiTheme="minorHAnsi" w:cstheme="minorHAnsi"/>
          <w:color w:val="000000"/>
          <w:sz w:val="20"/>
          <w:szCs w:val="20"/>
          <w:shd w:val="clear" w:color="auto" w:fill="FFFFFF"/>
        </w:rPr>
        <w:t xml:space="preserve">amplifica attraverso circuiti di feedback positivi </w:t>
      </w:r>
      <w:r w:rsidR="006F2A5F" w:rsidRPr="00770C42">
        <w:rPr>
          <w:rFonts w:asciiTheme="minorHAnsi" w:hAnsiTheme="minorHAnsi" w:cstheme="minorHAnsi"/>
          <w:b/>
          <w:color w:val="000000"/>
          <w:sz w:val="20"/>
          <w:szCs w:val="20"/>
          <w:shd w:val="clear" w:color="auto" w:fill="FFFFFF"/>
        </w:rPr>
        <w:t>(f)</w:t>
      </w:r>
      <w:r w:rsidR="006F2A5F" w:rsidRPr="00770C42">
        <w:rPr>
          <w:rFonts w:asciiTheme="minorHAnsi" w:hAnsiTheme="minorHAnsi" w:cstheme="minorHAnsi"/>
          <w:color w:val="000000"/>
          <w:sz w:val="20"/>
          <w:szCs w:val="20"/>
          <w:shd w:val="clear" w:color="auto" w:fill="FFFFFF"/>
        </w:rPr>
        <w:t>.</w:t>
      </w:r>
    </w:p>
    <w:p w:rsidR="00DE14C1" w:rsidRPr="00770C42" w:rsidRDefault="00DE14C1" w:rsidP="00886E5C">
      <w:pPr>
        <w:pStyle w:val="ListParagraph"/>
        <w:ind w:left="426" w:right="-51"/>
        <w:jc w:val="both"/>
        <w:rPr>
          <w:rFonts w:asciiTheme="minorHAnsi" w:hAnsiTheme="minorHAnsi" w:cstheme="minorHAnsi"/>
          <w:color w:val="000000"/>
          <w:sz w:val="20"/>
          <w:szCs w:val="20"/>
          <w:shd w:val="clear" w:color="auto" w:fill="FFFFFF"/>
        </w:rPr>
      </w:pPr>
    </w:p>
    <w:p w:rsidR="002B7F58" w:rsidRDefault="00932BDD" w:rsidP="00B80B1B">
      <w:pPr>
        <w:ind w:left="-567"/>
        <w:jc w:val="center"/>
        <w:rPr>
          <w:rFonts w:asciiTheme="minorHAnsi" w:hAnsiTheme="minorHAnsi"/>
        </w:rPr>
      </w:pPr>
      <w:r w:rsidRPr="00717D4D">
        <w:rPr>
          <w:rFonts w:asciiTheme="minorHAnsi" w:hAnsiTheme="minorHAnsi"/>
        </w:rPr>
        <w:lastRenderedPageBreak/>
        <w:fldChar w:fldCharType="begin"/>
      </w:r>
      <w:r w:rsidRPr="00717D4D">
        <w:rPr>
          <w:rFonts w:asciiTheme="minorHAnsi" w:hAnsiTheme="minorHAnsi"/>
        </w:rPr>
        <w:instrText xml:space="preserve"> INCLUDEPICTURE "/var/folders/ry/zkbp25750px6mrgwpjggxk0m0000gn/T/com.microsoft.Word/WebArchiveCopyPasteTempFiles/gr2_lrg.jpg" \* MERGEFORMATINET </w:instrText>
      </w:r>
      <w:r w:rsidRPr="00717D4D">
        <w:rPr>
          <w:rFonts w:asciiTheme="minorHAnsi" w:hAnsiTheme="minorHAnsi"/>
        </w:rPr>
        <w:fldChar w:fldCharType="separate"/>
      </w:r>
      <w:r w:rsidRPr="00717D4D">
        <w:rPr>
          <w:rFonts w:asciiTheme="minorHAnsi" w:hAnsiTheme="minorHAnsi"/>
          <w:noProof/>
        </w:rPr>
        <w:drawing>
          <wp:inline distT="0" distB="0" distL="0" distR="0" wp14:anchorId="6042D81E" wp14:editId="7F69E38A">
            <wp:extent cx="3602988" cy="4681415"/>
            <wp:effectExtent l="0" t="0" r="4445" b="5080"/>
            <wp:docPr id="38" name="Immagine 38"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41972" cy="4861999"/>
                    </a:xfrm>
                    <a:prstGeom prst="rect">
                      <a:avLst/>
                    </a:prstGeom>
                    <a:noFill/>
                    <a:ln>
                      <a:noFill/>
                    </a:ln>
                  </pic:spPr>
                </pic:pic>
              </a:graphicData>
            </a:graphic>
          </wp:inline>
        </w:drawing>
      </w:r>
      <w:r w:rsidRPr="00717D4D">
        <w:rPr>
          <w:rFonts w:asciiTheme="minorHAnsi" w:hAnsiTheme="minorHAnsi"/>
        </w:rPr>
        <w:fldChar w:fldCharType="end"/>
      </w:r>
    </w:p>
    <w:p w:rsidR="001B65C8" w:rsidRPr="00717D4D" w:rsidRDefault="001B65C8" w:rsidP="00B80B1B">
      <w:pPr>
        <w:ind w:left="-567"/>
        <w:jc w:val="center"/>
        <w:rPr>
          <w:rFonts w:asciiTheme="minorHAnsi" w:hAnsiTheme="minorHAnsi"/>
        </w:rPr>
      </w:pPr>
    </w:p>
    <w:p w:rsidR="002B7F58" w:rsidRPr="001B65C8" w:rsidRDefault="00932BDD" w:rsidP="001B65C8">
      <w:pPr>
        <w:shd w:val="clear" w:color="auto" w:fill="F2F2F2" w:themeFill="background1" w:themeFillShade="F2"/>
        <w:rPr>
          <w:rFonts w:asciiTheme="minorHAnsi" w:hAnsiTheme="minorHAnsi" w:cstheme="minorHAnsi"/>
          <w:color w:val="000000" w:themeColor="text1"/>
          <w:sz w:val="18"/>
          <w:szCs w:val="18"/>
          <w:shd w:val="clear" w:color="auto" w:fill="FFFFFF"/>
        </w:rPr>
      </w:pPr>
      <w:r w:rsidRPr="001B65C8">
        <w:rPr>
          <w:rFonts w:asciiTheme="minorHAnsi" w:hAnsiTheme="minorHAnsi" w:cstheme="minorHAnsi"/>
          <w:color w:val="000000" w:themeColor="text1"/>
          <w:sz w:val="18"/>
          <w:szCs w:val="18"/>
          <w:shd w:val="clear" w:color="auto" w:fill="F2F2F2" w:themeFill="background1" w:themeFillShade="F2"/>
        </w:rPr>
        <w:t xml:space="preserve">Tratta da </w:t>
      </w:r>
      <w:hyperlink r:id="rId92" w:history="1">
        <w:r w:rsidR="00B80B1B" w:rsidRPr="001B65C8">
          <w:rPr>
            <w:rStyle w:val="Hyperlink"/>
            <w:rFonts w:asciiTheme="minorHAnsi" w:hAnsiTheme="minorHAnsi" w:cstheme="minorHAnsi"/>
            <w:color w:val="000000" w:themeColor="text1"/>
            <w:sz w:val="18"/>
            <w:szCs w:val="18"/>
            <w:u w:val="none"/>
            <w:shd w:val="clear" w:color="auto" w:fill="F2F2F2" w:themeFill="background1" w:themeFillShade="F2"/>
          </w:rPr>
          <w:t>https://www.ncbi.nlm.nih.gov/pmc/articles/PMC7185015/pdf/main.pdf</w:t>
        </w:r>
      </w:hyperlink>
    </w:p>
    <w:p w:rsidR="00B80B1B" w:rsidRPr="001B65C8" w:rsidRDefault="00886E5C" w:rsidP="001B65C8">
      <w:pPr>
        <w:shd w:val="clear" w:color="auto" w:fill="F2F2F2" w:themeFill="background1" w:themeFillShade="F2"/>
        <w:jc w:val="both"/>
        <w:rPr>
          <w:rFonts w:asciiTheme="minorHAnsi" w:hAnsiTheme="minorHAnsi" w:cstheme="minorHAnsi"/>
          <w:b/>
          <w:color w:val="000000"/>
          <w:sz w:val="18"/>
          <w:szCs w:val="18"/>
          <w:shd w:val="clear" w:color="auto" w:fill="FFFFFF"/>
        </w:rPr>
      </w:pPr>
      <w:r w:rsidRPr="001B65C8">
        <w:rPr>
          <w:rFonts w:asciiTheme="minorHAnsi" w:hAnsiTheme="minorHAnsi" w:cstheme="minorHAnsi"/>
          <w:b/>
          <w:color w:val="000000"/>
          <w:sz w:val="18"/>
          <w:szCs w:val="18"/>
          <w:shd w:val="clear" w:color="auto" w:fill="F2F2F2" w:themeFill="background1" w:themeFillShade="F2"/>
        </w:rPr>
        <w:t>(vedi articolo per maggiori dettagli)</w:t>
      </w:r>
    </w:p>
    <w:p w:rsidR="002B7F58" w:rsidRDefault="002B7F58" w:rsidP="002B7F58">
      <w:pPr>
        <w:rPr>
          <w:rFonts w:asciiTheme="minorHAnsi" w:hAnsiTheme="minorHAnsi" w:cstheme="minorHAnsi"/>
          <w:b/>
          <w:color w:val="000000"/>
          <w:shd w:val="clear" w:color="auto" w:fill="FFFFFF"/>
        </w:rPr>
      </w:pPr>
    </w:p>
    <w:p w:rsidR="001B65C8" w:rsidRDefault="001B65C8" w:rsidP="002B7F58">
      <w:pPr>
        <w:rPr>
          <w:rFonts w:asciiTheme="minorHAnsi" w:hAnsiTheme="minorHAnsi" w:cstheme="minorHAnsi"/>
          <w:b/>
          <w:color w:val="000000"/>
          <w:shd w:val="clear" w:color="auto" w:fill="FFFFFF"/>
        </w:rPr>
      </w:pPr>
    </w:p>
    <w:p w:rsidR="002B7F58" w:rsidRPr="00FA15F5" w:rsidRDefault="00160A30" w:rsidP="001B65C8">
      <w:pPr>
        <w:pStyle w:val="Heading2"/>
        <w:shd w:val="clear" w:color="auto" w:fill="E2EFD9" w:themeFill="accent6" w:themeFillTint="33"/>
        <w:jc w:val="center"/>
        <w:rPr>
          <w:rFonts w:asciiTheme="minorHAnsi" w:hAnsiTheme="minorHAnsi"/>
          <w:b/>
          <w:color w:val="C00000"/>
          <w:sz w:val="24"/>
          <w:szCs w:val="24"/>
        </w:rPr>
      </w:pPr>
      <w:bookmarkStart w:id="55" w:name="_Toc43342387"/>
      <w:r w:rsidRPr="00FA15F5">
        <w:rPr>
          <w:rFonts w:asciiTheme="minorHAnsi" w:hAnsiTheme="minorHAnsi"/>
          <w:b/>
          <w:color w:val="C00000"/>
          <w:sz w:val="24"/>
          <w:szCs w:val="24"/>
        </w:rPr>
        <w:t>Il danno cellulare endoteliale e vascolare</w:t>
      </w:r>
      <w:bookmarkEnd w:id="55"/>
    </w:p>
    <w:p w:rsidR="00932BDD" w:rsidRPr="00FA15F5" w:rsidRDefault="00932BDD" w:rsidP="00932BDD">
      <w:pPr>
        <w:rPr>
          <w:rFonts w:asciiTheme="minorHAnsi" w:hAnsiTheme="minorHAnsi"/>
          <w:color w:val="C00000"/>
          <w:sz w:val="20"/>
          <w:szCs w:val="20"/>
        </w:rPr>
      </w:pPr>
    </w:p>
    <w:p w:rsidR="00E87F11" w:rsidRDefault="002B7F58" w:rsidP="002B7F58">
      <w:pPr>
        <w:jc w:val="both"/>
        <w:rPr>
          <w:rFonts w:asciiTheme="minorHAnsi" w:hAnsiTheme="minorHAnsi" w:cstheme="minorHAnsi"/>
          <w:color w:val="000000"/>
          <w:sz w:val="20"/>
          <w:szCs w:val="20"/>
          <w:shd w:val="clear" w:color="auto" w:fill="FFFFFF"/>
        </w:rPr>
      </w:pPr>
      <w:r w:rsidRPr="00663C61">
        <w:rPr>
          <w:rFonts w:asciiTheme="minorHAnsi" w:hAnsiTheme="minorHAnsi" w:cstheme="minorHAnsi"/>
          <w:color w:val="000000"/>
          <w:sz w:val="20"/>
          <w:szCs w:val="20"/>
          <w:shd w:val="clear" w:color="auto" w:fill="FFFFFF"/>
        </w:rPr>
        <w:t xml:space="preserve">Sebbene in apparente contraddizione con i meccanismi di evasione immunitaria discussi sopra, una maggiore attivazione immunitaria innata, inclusa una maggiore espressione di T1IFN, IL-1β, IL-6 e TNF-α contribuisce in maniera consistente alla morbilità e alla mortalità in COVID-19, MERS e SARS. </w:t>
      </w:r>
    </w:p>
    <w:p w:rsidR="00932BDD" w:rsidRDefault="002B7F58" w:rsidP="002B7F58">
      <w:pPr>
        <w:jc w:val="both"/>
        <w:rPr>
          <w:rFonts w:asciiTheme="minorHAnsi" w:hAnsiTheme="minorHAnsi" w:cstheme="minorHAnsi"/>
          <w:color w:val="000000"/>
          <w:sz w:val="20"/>
          <w:szCs w:val="20"/>
          <w:shd w:val="clear" w:color="auto" w:fill="FFFFFF"/>
        </w:rPr>
      </w:pPr>
      <w:r w:rsidRPr="00663C61">
        <w:rPr>
          <w:rFonts w:asciiTheme="minorHAnsi" w:hAnsiTheme="minorHAnsi" w:cstheme="minorHAnsi"/>
          <w:color w:val="000000"/>
          <w:sz w:val="20"/>
          <w:szCs w:val="20"/>
          <w:shd w:val="clear" w:color="auto" w:fill="FFFFFF"/>
        </w:rPr>
        <w:t>Una possibile spiegazione è l'</w:t>
      </w:r>
      <w:r w:rsidRPr="00663C61">
        <w:rPr>
          <w:rFonts w:asciiTheme="minorHAnsi" w:hAnsiTheme="minorHAnsi" w:cstheme="minorHAnsi"/>
          <w:b/>
          <w:bCs/>
          <w:color w:val="000000"/>
          <w:sz w:val="20"/>
          <w:szCs w:val="20"/>
          <w:shd w:val="clear" w:color="auto" w:fill="FFFFFF"/>
        </w:rPr>
        <w:t>induzione del danno cellulare endoteliale e vascolare e la morte cellulare a seguito della replicazione virale</w:t>
      </w:r>
      <w:r w:rsidRPr="00663C61">
        <w:rPr>
          <w:rFonts w:asciiTheme="minorHAnsi" w:hAnsiTheme="minorHAnsi" w:cstheme="minorHAnsi"/>
          <w:color w:val="000000"/>
          <w:sz w:val="20"/>
          <w:szCs w:val="20"/>
          <w:shd w:val="clear" w:color="auto" w:fill="FFFFFF"/>
        </w:rPr>
        <w:t xml:space="preserve">. </w:t>
      </w:r>
    </w:p>
    <w:p w:rsidR="00663C61" w:rsidRPr="00663C61" w:rsidRDefault="00663C61" w:rsidP="002B7F58">
      <w:pPr>
        <w:jc w:val="both"/>
        <w:rPr>
          <w:rFonts w:asciiTheme="minorHAnsi" w:hAnsiTheme="minorHAnsi" w:cstheme="minorHAnsi"/>
          <w:color w:val="000000"/>
          <w:sz w:val="20"/>
          <w:szCs w:val="20"/>
          <w:shd w:val="clear" w:color="auto" w:fill="FFFFFF"/>
        </w:rPr>
      </w:pPr>
    </w:p>
    <w:p w:rsidR="00663C61" w:rsidRDefault="002B7F58" w:rsidP="002B7F58">
      <w:pPr>
        <w:jc w:val="both"/>
        <w:rPr>
          <w:rFonts w:asciiTheme="minorHAnsi" w:hAnsiTheme="minorHAnsi" w:cstheme="minorHAnsi"/>
          <w:color w:val="000000"/>
          <w:sz w:val="20"/>
          <w:szCs w:val="20"/>
          <w:shd w:val="clear" w:color="auto" w:fill="FFFFFF"/>
        </w:rPr>
      </w:pPr>
      <w:r w:rsidRPr="00663C61">
        <w:rPr>
          <w:rFonts w:asciiTheme="minorHAnsi" w:hAnsiTheme="minorHAnsi" w:cstheme="minorHAnsi"/>
          <w:color w:val="000000"/>
          <w:sz w:val="20"/>
          <w:szCs w:val="20"/>
          <w:shd w:val="clear" w:color="auto" w:fill="FFFFFF"/>
        </w:rPr>
        <w:t xml:space="preserve">La morte cellulare infiammatoria indotta dal virus provoca l'espressione di citochine pro-infiammatorie, il reclutamento e l'attivazione delle cellule immunitarie non infette. </w:t>
      </w:r>
    </w:p>
    <w:p w:rsidR="00663C61" w:rsidRDefault="00663C61" w:rsidP="002B7F58">
      <w:pPr>
        <w:jc w:val="both"/>
        <w:rPr>
          <w:rFonts w:asciiTheme="minorHAnsi" w:hAnsiTheme="minorHAnsi" w:cstheme="minorHAnsi"/>
          <w:color w:val="000000"/>
          <w:sz w:val="20"/>
          <w:szCs w:val="20"/>
          <w:shd w:val="clear" w:color="auto" w:fill="FFFFFF"/>
        </w:rPr>
      </w:pPr>
    </w:p>
    <w:p w:rsidR="00A833D2" w:rsidRDefault="00A833D2" w:rsidP="00A833D2">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843"/>
        <w:jc w:val="both"/>
        <w:rPr>
          <w:rFonts w:asciiTheme="minorHAnsi" w:hAnsiTheme="minorHAnsi" w:cstheme="minorHAnsi"/>
          <w:i/>
          <w:iCs/>
          <w:color w:val="000000"/>
          <w:sz w:val="20"/>
          <w:szCs w:val="20"/>
          <w:shd w:val="clear" w:color="auto" w:fill="FBF9E1"/>
        </w:rPr>
      </w:pPr>
    </w:p>
    <w:p w:rsidR="002B7F58" w:rsidRDefault="002B7F58" w:rsidP="00A833D2">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843"/>
        <w:jc w:val="both"/>
        <w:rPr>
          <w:rFonts w:asciiTheme="minorHAnsi" w:hAnsiTheme="minorHAnsi" w:cstheme="minorHAnsi"/>
          <w:i/>
          <w:iCs/>
          <w:color w:val="000000"/>
          <w:sz w:val="20"/>
          <w:szCs w:val="20"/>
          <w:shd w:val="clear" w:color="auto" w:fill="FBF9E1"/>
        </w:rPr>
      </w:pPr>
      <w:r w:rsidRPr="00A833D2">
        <w:rPr>
          <w:rFonts w:asciiTheme="minorHAnsi" w:hAnsiTheme="minorHAnsi" w:cstheme="minorHAnsi"/>
          <w:i/>
          <w:iCs/>
          <w:color w:val="000000"/>
          <w:sz w:val="20"/>
          <w:szCs w:val="20"/>
          <w:shd w:val="clear" w:color="auto" w:fill="FBF9E1"/>
        </w:rPr>
        <w:t xml:space="preserve">Da ciò si ipotizza che monociti / macrofagi e neutrofili non infetti reclutati nel sito di infezione </w:t>
      </w:r>
      <w:r w:rsidR="00FB1A0B" w:rsidRPr="00A833D2">
        <w:rPr>
          <w:rFonts w:asciiTheme="minorHAnsi" w:hAnsiTheme="minorHAnsi" w:cstheme="minorHAnsi"/>
          <w:i/>
          <w:iCs/>
          <w:color w:val="000000"/>
          <w:sz w:val="20"/>
          <w:szCs w:val="20"/>
          <w:shd w:val="clear" w:color="auto" w:fill="FBF9E1"/>
        </w:rPr>
        <w:t>manifestino</w:t>
      </w:r>
      <w:r w:rsidRPr="00A833D2">
        <w:rPr>
          <w:rFonts w:asciiTheme="minorHAnsi" w:hAnsiTheme="minorHAnsi" w:cstheme="minorHAnsi"/>
          <w:i/>
          <w:iCs/>
          <w:color w:val="000000"/>
          <w:sz w:val="20"/>
          <w:szCs w:val="20"/>
          <w:shd w:val="clear" w:color="auto" w:fill="FBF9E1"/>
        </w:rPr>
        <w:t xml:space="preserve"> risposte infiammatorie forti e scarsamente controllate, con conseguenti danni ai tessuti e infiammazione sistemica, che contribuiscono entrambi a morbilità e mortalità </w:t>
      </w:r>
      <w:r w:rsidR="00932BDD" w:rsidRPr="00A833D2">
        <w:rPr>
          <w:rStyle w:val="FootnoteReference"/>
          <w:rFonts w:asciiTheme="minorHAnsi" w:hAnsiTheme="minorHAnsi" w:cstheme="minorHAnsi"/>
          <w:i/>
          <w:iCs/>
          <w:color w:val="000000"/>
          <w:sz w:val="20"/>
          <w:szCs w:val="20"/>
          <w:shd w:val="clear" w:color="auto" w:fill="FBF9E1"/>
        </w:rPr>
        <w:footnoteReference w:id="77"/>
      </w:r>
      <w:r w:rsidRPr="00A833D2">
        <w:rPr>
          <w:rFonts w:asciiTheme="minorHAnsi" w:hAnsiTheme="minorHAnsi" w:cstheme="minorHAnsi"/>
          <w:i/>
          <w:iCs/>
          <w:color w:val="000000"/>
          <w:sz w:val="20"/>
          <w:szCs w:val="20"/>
          <w:shd w:val="clear" w:color="auto" w:fill="FBF9E1"/>
        </w:rPr>
        <w:t>.</w:t>
      </w:r>
    </w:p>
    <w:p w:rsidR="00A833D2" w:rsidRPr="00A833D2" w:rsidRDefault="00A833D2" w:rsidP="00A833D2">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843"/>
        <w:jc w:val="both"/>
        <w:rPr>
          <w:rFonts w:asciiTheme="minorHAnsi" w:hAnsiTheme="minorHAnsi" w:cstheme="minorHAnsi"/>
          <w:i/>
          <w:iCs/>
          <w:color w:val="000000"/>
          <w:sz w:val="20"/>
          <w:szCs w:val="20"/>
          <w:shd w:val="clear" w:color="auto" w:fill="FBF9E1"/>
        </w:rPr>
      </w:pPr>
    </w:p>
    <w:p w:rsidR="00E87F11" w:rsidRPr="00663C61" w:rsidRDefault="00E87F11" w:rsidP="00E87F11">
      <w:pPr>
        <w:jc w:val="both"/>
        <w:rPr>
          <w:rFonts w:asciiTheme="minorHAnsi" w:hAnsiTheme="minorHAnsi" w:cstheme="minorHAnsi"/>
          <w:color w:val="000000"/>
          <w:sz w:val="20"/>
          <w:szCs w:val="20"/>
          <w:shd w:val="clear" w:color="auto" w:fill="FFFFFF"/>
        </w:rPr>
      </w:pPr>
    </w:p>
    <w:p w:rsidR="002B7F58" w:rsidRPr="00C51125" w:rsidRDefault="002B7F58" w:rsidP="00E272CB">
      <w:pPr>
        <w:jc w:val="center"/>
        <w:rPr>
          <w:rFonts w:asciiTheme="minorHAnsi" w:hAnsiTheme="minorHAnsi"/>
          <w:sz w:val="22"/>
          <w:szCs w:val="22"/>
        </w:rPr>
      </w:pPr>
      <w:r w:rsidRPr="00C51125">
        <w:rPr>
          <w:rFonts w:asciiTheme="minorHAnsi" w:hAnsiTheme="minorHAnsi"/>
          <w:sz w:val="22"/>
          <w:szCs w:val="22"/>
        </w:rPr>
        <w:fldChar w:fldCharType="begin"/>
      </w:r>
      <w:r w:rsidRPr="00C51125">
        <w:rPr>
          <w:rFonts w:asciiTheme="minorHAnsi" w:hAnsiTheme="minorHAnsi"/>
          <w:sz w:val="22"/>
          <w:szCs w:val="22"/>
        </w:rPr>
        <w:instrText xml:space="preserve"> INCLUDEPICTURE "https://www.ncbi.nlm.nih.gov/pmc/articles/PMC7185015/bin/gr3_lrg.jpg" \* MERGEFORMATINET </w:instrText>
      </w:r>
      <w:r w:rsidRPr="00C51125">
        <w:rPr>
          <w:rFonts w:asciiTheme="minorHAnsi" w:hAnsiTheme="minorHAnsi"/>
          <w:sz w:val="22"/>
          <w:szCs w:val="22"/>
        </w:rPr>
        <w:fldChar w:fldCharType="separate"/>
      </w:r>
      <w:r w:rsidRPr="00C51125">
        <w:rPr>
          <w:rFonts w:asciiTheme="minorHAnsi" w:hAnsiTheme="minorHAnsi"/>
          <w:noProof/>
          <w:sz w:val="22"/>
          <w:szCs w:val="22"/>
        </w:rPr>
        <w:drawing>
          <wp:inline distT="0" distB="0" distL="0" distR="0" wp14:anchorId="01F955C5" wp14:editId="555C1180">
            <wp:extent cx="4032738" cy="2313634"/>
            <wp:effectExtent l="0" t="0" r="0" b="0"/>
            <wp:docPr id="10" name="Immagine 10"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64753" cy="2389373"/>
                    </a:xfrm>
                    <a:prstGeom prst="rect">
                      <a:avLst/>
                    </a:prstGeom>
                    <a:noFill/>
                    <a:ln>
                      <a:noFill/>
                    </a:ln>
                  </pic:spPr>
                </pic:pic>
              </a:graphicData>
            </a:graphic>
          </wp:inline>
        </w:drawing>
      </w:r>
      <w:r w:rsidRPr="00C51125">
        <w:rPr>
          <w:rFonts w:asciiTheme="minorHAnsi" w:hAnsiTheme="minorHAnsi"/>
          <w:sz w:val="22"/>
          <w:szCs w:val="22"/>
        </w:rPr>
        <w:fldChar w:fldCharType="end"/>
      </w:r>
    </w:p>
    <w:p w:rsidR="00DE14C1" w:rsidRDefault="00DE14C1" w:rsidP="002B7F58">
      <w:pPr>
        <w:rPr>
          <w:rFonts w:asciiTheme="minorHAnsi" w:hAnsiTheme="minorHAnsi"/>
          <w:color w:val="000000" w:themeColor="text1"/>
          <w:sz w:val="16"/>
          <w:szCs w:val="16"/>
        </w:rPr>
      </w:pPr>
    </w:p>
    <w:p w:rsidR="00932BDD" w:rsidRPr="00B6000F" w:rsidRDefault="00932BDD" w:rsidP="00B6000F">
      <w:pPr>
        <w:shd w:val="clear" w:color="auto" w:fill="F2F2F2" w:themeFill="background1" w:themeFillShade="F2"/>
        <w:rPr>
          <w:rFonts w:asciiTheme="minorHAnsi" w:hAnsiTheme="minorHAnsi"/>
          <w:color w:val="000000" w:themeColor="text1"/>
          <w:sz w:val="18"/>
          <w:szCs w:val="18"/>
        </w:rPr>
      </w:pPr>
      <w:r w:rsidRPr="00B6000F">
        <w:rPr>
          <w:rFonts w:asciiTheme="minorHAnsi" w:hAnsiTheme="minorHAnsi"/>
          <w:color w:val="000000" w:themeColor="text1"/>
          <w:sz w:val="18"/>
          <w:szCs w:val="18"/>
        </w:rPr>
        <w:t xml:space="preserve">Tratta da </w:t>
      </w:r>
      <w:hyperlink r:id="rId94" w:history="1">
        <w:r w:rsidR="00A71524" w:rsidRPr="00B6000F">
          <w:rPr>
            <w:rStyle w:val="Hyperlink"/>
            <w:rFonts w:asciiTheme="minorHAnsi" w:hAnsiTheme="minorHAnsi"/>
            <w:color w:val="000000" w:themeColor="text1"/>
            <w:sz w:val="18"/>
            <w:szCs w:val="18"/>
            <w:u w:val="none"/>
          </w:rPr>
          <w:t>https://www.ncbi.nlm.nih.gov/pmc/articles/PMC7185015/pdf/main.pdf</w:t>
        </w:r>
      </w:hyperlink>
    </w:p>
    <w:p w:rsidR="002B7F58" w:rsidRPr="00C51125" w:rsidRDefault="002B7F58" w:rsidP="002B7F58">
      <w:pPr>
        <w:shd w:val="clear" w:color="auto" w:fill="FFFFFF"/>
        <w:rPr>
          <w:rFonts w:asciiTheme="minorHAnsi" w:hAnsiTheme="minorHAnsi" w:cs="Arial"/>
          <w:color w:val="1C1D1E"/>
          <w:sz w:val="22"/>
          <w:szCs w:val="22"/>
        </w:rPr>
      </w:pPr>
    </w:p>
    <w:p w:rsidR="00663C61" w:rsidRDefault="00E272CB" w:rsidP="00E272CB">
      <w:pPr>
        <w:tabs>
          <w:tab w:val="left" w:pos="3544"/>
        </w:tabs>
        <w:jc w:val="both"/>
        <w:rPr>
          <w:rFonts w:asciiTheme="minorHAnsi" w:hAnsiTheme="minorHAnsi" w:cstheme="minorHAnsi"/>
          <w:sz w:val="20"/>
          <w:szCs w:val="20"/>
        </w:rPr>
      </w:pPr>
      <w:r w:rsidRPr="00663C61">
        <w:rPr>
          <w:rFonts w:asciiTheme="minorHAnsi" w:hAnsiTheme="minorHAnsi" w:cstheme="minorHAnsi"/>
          <w:sz w:val="20"/>
          <w:szCs w:val="20"/>
        </w:rPr>
        <w:t xml:space="preserve">I monociti/macrofagi non infetti fuoriescono dal flusso sanguigno e invadono i polmoni dove rilevano le particelle virali e/o componenti citoplasmatici e nucleari. </w:t>
      </w:r>
    </w:p>
    <w:p w:rsidR="00994C5B" w:rsidRDefault="00994C5B" w:rsidP="00E272CB">
      <w:pPr>
        <w:tabs>
          <w:tab w:val="left" w:pos="3544"/>
        </w:tabs>
        <w:jc w:val="both"/>
        <w:rPr>
          <w:rFonts w:asciiTheme="minorHAnsi" w:hAnsiTheme="minorHAnsi" w:cstheme="minorHAnsi"/>
          <w:sz w:val="20"/>
          <w:szCs w:val="20"/>
        </w:rPr>
      </w:pPr>
    </w:p>
    <w:p w:rsidR="00E272CB" w:rsidRPr="00663C61" w:rsidRDefault="00663C61" w:rsidP="00E272CB">
      <w:pPr>
        <w:tabs>
          <w:tab w:val="left" w:pos="3544"/>
        </w:tabs>
        <w:jc w:val="both"/>
        <w:rPr>
          <w:rFonts w:asciiTheme="minorHAnsi" w:hAnsiTheme="minorHAnsi" w:cstheme="minorHAnsi"/>
          <w:sz w:val="20"/>
          <w:szCs w:val="20"/>
        </w:rPr>
      </w:pPr>
      <w:r>
        <w:rPr>
          <w:rFonts w:asciiTheme="minorHAnsi" w:hAnsiTheme="minorHAnsi" w:cstheme="minorHAnsi"/>
          <w:sz w:val="20"/>
          <w:szCs w:val="20"/>
        </w:rPr>
        <w:t>Q</w:t>
      </w:r>
      <w:r w:rsidR="00E272CB" w:rsidRPr="00663C61">
        <w:rPr>
          <w:rFonts w:asciiTheme="minorHAnsi" w:hAnsiTheme="minorHAnsi" w:cstheme="minorHAnsi"/>
          <w:sz w:val="20"/>
          <w:szCs w:val="20"/>
        </w:rPr>
        <w:t xml:space="preserve">ueste particelle vengono </w:t>
      </w:r>
      <w:r>
        <w:rPr>
          <w:rFonts w:asciiTheme="minorHAnsi" w:hAnsiTheme="minorHAnsi" w:cstheme="minorHAnsi"/>
          <w:sz w:val="20"/>
          <w:szCs w:val="20"/>
        </w:rPr>
        <w:t xml:space="preserve">veicolate sottoforma di </w:t>
      </w:r>
      <w:r w:rsidRPr="00663C61">
        <w:rPr>
          <w:rFonts w:asciiTheme="minorHAnsi" w:hAnsiTheme="minorHAnsi" w:cstheme="minorHAnsi"/>
          <w:sz w:val="20"/>
          <w:szCs w:val="20"/>
        </w:rPr>
        <w:t>complessi immunitari</w:t>
      </w:r>
      <w:r>
        <w:rPr>
          <w:rFonts w:asciiTheme="minorHAnsi" w:hAnsiTheme="minorHAnsi" w:cstheme="minorHAnsi"/>
          <w:sz w:val="20"/>
          <w:szCs w:val="20"/>
        </w:rPr>
        <w:t xml:space="preserve"> a</w:t>
      </w:r>
      <w:r w:rsidRPr="00663C61">
        <w:rPr>
          <w:rFonts w:asciiTheme="minorHAnsi" w:hAnsiTheme="minorHAnsi" w:cstheme="minorHAnsi"/>
          <w:sz w:val="20"/>
          <w:szCs w:val="20"/>
        </w:rPr>
        <w:t xml:space="preserve">ll'interno </w:t>
      </w:r>
      <w:r>
        <w:rPr>
          <w:rFonts w:asciiTheme="minorHAnsi" w:hAnsiTheme="minorHAnsi" w:cstheme="minorHAnsi"/>
          <w:sz w:val="20"/>
          <w:szCs w:val="20"/>
        </w:rPr>
        <w:t>d</w:t>
      </w:r>
      <w:r w:rsidR="00E272CB" w:rsidRPr="00663C61">
        <w:rPr>
          <w:rFonts w:asciiTheme="minorHAnsi" w:hAnsiTheme="minorHAnsi" w:cstheme="minorHAnsi"/>
          <w:sz w:val="20"/>
          <w:szCs w:val="20"/>
        </w:rPr>
        <w:t xml:space="preserve">ella cellula </w:t>
      </w:r>
      <w:r w:rsidR="00E272CB" w:rsidRPr="00663C61">
        <w:rPr>
          <w:rFonts w:asciiTheme="minorHAnsi" w:hAnsiTheme="minorHAnsi" w:cstheme="minorHAnsi"/>
          <w:b/>
          <w:sz w:val="20"/>
          <w:szCs w:val="20"/>
        </w:rPr>
        <w:t xml:space="preserve">(a) </w:t>
      </w:r>
      <w:r w:rsidR="00E272CB" w:rsidRPr="00663C61">
        <w:rPr>
          <w:rFonts w:asciiTheme="minorHAnsi" w:hAnsiTheme="minorHAnsi" w:cstheme="minorHAnsi"/>
          <w:sz w:val="20"/>
          <w:szCs w:val="20"/>
        </w:rPr>
        <w:t>dove vengono presentate ai TLR, attivando le vie pro-infiammatorie dipendenti da NF</w:t>
      </w:r>
      <w:r w:rsidR="00E272CB" w:rsidRPr="00663C61">
        <w:rPr>
          <w:rFonts w:asciiTheme="minorHAnsi" w:hAnsiTheme="minorHAnsi" w:cstheme="minorHAnsi"/>
          <w:sz w:val="20"/>
          <w:szCs w:val="20"/>
          <w:lang w:val="en-US"/>
        </w:rPr>
        <w:t>κ</w:t>
      </w:r>
      <w:r w:rsidR="00E272CB" w:rsidRPr="00663C61">
        <w:rPr>
          <w:rFonts w:asciiTheme="minorHAnsi" w:hAnsiTheme="minorHAnsi" w:cstheme="minorHAnsi"/>
          <w:sz w:val="20"/>
          <w:szCs w:val="20"/>
        </w:rPr>
        <w:t xml:space="preserve">B e/o IRF </w:t>
      </w:r>
      <w:r w:rsidR="00E272CB" w:rsidRPr="00663C61">
        <w:rPr>
          <w:rFonts w:asciiTheme="minorHAnsi" w:hAnsiTheme="minorHAnsi" w:cstheme="minorHAnsi"/>
          <w:b/>
          <w:sz w:val="20"/>
          <w:szCs w:val="20"/>
        </w:rPr>
        <w:t>(b, c)</w:t>
      </w:r>
      <w:r w:rsidR="00E272CB" w:rsidRPr="00663C61">
        <w:rPr>
          <w:rFonts w:asciiTheme="minorHAnsi" w:hAnsiTheme="minorHAnsi" w:cstheme="minorHAnsi"/>
          <w:sz w:val="20"/>
          <w:szCs w:val="20"/>
        </w:rPr>
        <w:t xml:space="preserve">. </w:t>
      </w:r>
    </w:p>
    <w:p w:rsidR="002B7F58" w:rsidRPr="00663C61" w:rsidRDefault="00E272CB" w:rsidP="00E272CB">
      <w:pPr>
        <w:jc w:val="both"/>
        <w:rPr>
          <w:rFonts w:asciiTheme="minorHAnsi" w:hAnsiTheme="minorHAnsi" w:cstheme="minorHAnsi"/>
          <w:sz w:val="20"/>
          <w:szCs w:val="20"/>
        </w:rPr>
      </w:pPr>
      <w:r w:rsidRPr="00663C61">
        <w:rPr>
          <w:rFonts w:asciiTheme="minorHAnsi" w:hAnsiTheme="minorHAnsi" w:cstheme="minorHAnsi"/>
          <w:sz w:val="20"/>
          <w:szCs w:val="20"/>
        </w:rPr>
        <w:t xml:space="preserve">Di conseguenza, </w:t>
      </w:r>
      <w:r w:rsidRPr="00FB1A0B">
        <w:rPr>
          <w:rFonts w:asciiTheme="minorHAnsi" w:hAnsiTheme="minorHAnsi" w:cstheme="minorHAnsi"/>
          <w:b/>
          <w:bCs/>
          <w:sz w:val="20"/>
          <w:szCs w:val="20"/>
        </w:rPr>
        <w:t xml:space="preserve">i monociti/macrofagi non infetti producono quantità significative di citochine pro-infiammatorie </w:t>
      </w:r>
      <w:r w:rsidRPr="00663C61">
        <w:rPr>
          <w:rFonts w:asciiTheme="minorHAnsi" w:hAnsiTheme="minorHAnsi" w:cstheme="minorHAnsi"/>
          <w:b/>
          <w:sz w:val="20"/>
          <w:szCs w:val="20"/>
        </w:rPr>
        <w:t>(d, e)</w:t>
      </w:r>
      <w:r w:rsidRPr="00663C61">
        <w:rPr>
          <w:rFonts w:asciiTheme="minorHAnsi" w:hAnsiTheme="minorHAnsi" w:cstheme="minorHAnsi"/>
          <w:sz w:val="20"/>
          <w:szCs w:val="20"/>
        </w:rPr>
        <w:t xml:space="preserve"> </w:t>
      </w:r>
      <w:r w:rsidRPr="00FB1A0B">
        <w:rPr>
          <w:rFonts w:asciiTheme="minorHAnsi" w:hAnsiTheme="minorHAnsi" w:cstheme="minorHAnsi"/>
          <w:b/>
          <w:bCs/>
          <w:sz w:val="20"/>
          <w:szCs w:val="20"/>
        </w:rPr>
        <w:t>che reclutano ulteriori cellule immunitarie innate e adattive e causano ulteriori danni ai tessuti</w:t>
      </w:r>
      <w:r w:rsidR="00FB1A0B">
        <w:rPr>
          <w:rFonts w:asciiTheme="minorHAnsi" w:hAnsiTheme="minorHAnsi" w:cstheme="minorHAnsi"/>
          <w:sz w:val="20"/>
          <w:szCs w:val="20"/>
        </w:rPr>
        <w:t>.</w:t>
      </w:r>
    </w:p>
    <w:p w:rsidR="00B80B1B" w:rsidRPr="00C51125" w:rsidRDefault="00B80B1B" w:rsidP="002B7F58">
      <w:pPr>
        <w:jc w:val="both"/>
        <w:rPr>
          <w:rFonts w:asciiTheme="minorHAnsi" w:hAnsiTheme="minorHAnsi" w:cstheme="minorHAnsi"/>
          <w:sz w:val="20"/>
          <w:szCs w:val="20"/>
        </w:rPr>
      </w:pPr>
    </w:p>
    <w:p w:rsidR="00B80B1B" w:rsidRPr="00717D4D" w:rsidRDefault="00B80B1B" w:rsidP="002B7F58">
      <w:pPr>
        <w:jc w:val="both"/>
        <w:rPr>
          <w:rFonts w:asciiTheme="minorHAnsi" w:hAnsiTheme="minorHAnsi" w:cstheme="minorHAnsi"/>
        </w:rPr>
      </w:pPr>
    </w:p>
    <w:p w:rsidR="002B7F58" w:rsidRPr="00FA15F5" w:rsidRDefault="00160A30" w:rsidP="000E20D5">
      <w:pPr>
        <w:pStyle w:val="Heading2"/>
        <w:shd w:val="clear" w:color="auto" w:fill="E2EFD9" w:themeFill="accent6" w:themeFillTint="33"/>
        <w:jc w:val="center"/>
        <w:rPr>
          <w:rFonts w:asciiTheme="minorHAnsi" w:hAnsiTheme="minorHAnsi"/>
          <w:b/>
          <w:color w:val="C00000"/>
          <w:sz w:val="24"/>
          <w:szCs w:val="24"/>
        </w:rPr>
      </w:pPr>
      <w:bookmarkStart w:id="56" w:name="_Toc43342388"/>
      <w:r w:rsidRPr="00FA15F5">
        <w:rPr>
          <w:rFonts w:asciiTheme="minorHAnsi" w:hAnsiTheme="minorHAnsi"/>
          <w:b/>
          <w:color w:val="C00000"/>
          <w:sz w:val="24"/>
          <w:szCs w:val="24"/>
        </w:rPr>
        <w:t>Il potenziamento anticorpo-dipendente (ADE)  e le vasculiti da immunocomplessi</w:t>
      </w:r>
      <w:bookmarkEnd w:id="56"/>
    </w:p>
    <w:p w:rsidR="00F36A7B" w:rsidRPr="00717D4D" w:rsidRDefault="00F36A7B" w:rsidP="00F36A7B">
      <w:pPr>
        <w:rPr>
          <w:rFonts w:asciiTheme="minorHAnsi" w:hAnsiTheme="minorHAnsi"/>
        </w:rPr>
      </w:pPr>
    </w:p>
    <w:p w:rsidR="006944F2" w:rsidRDefault="002B7F58" w:rsidP="002B7F58">
      <w:pPr>
        <w:jc w:val="both"/>
        <w:rPr>
          <w:rFonts w:asciiTheme="minorHAnsi" w:hAnsiTheme="minorHAnsi" w:cstheme="minorHAnsi"/>
          <w:sz w:val="20"/>
          <w:szCs w:val="20"/>
        </w:rPr>
      </w:pPr>
      <w:r w:rsidRPr="00FB1A0B">
        <w:rPr>
          <w:rFonts w:asciiTheme="minorHAnsi" w:hAnsiTheme="minorHAnsi" w:cstheme="minorHAnsi"/>
          <w:sz w:val="20"/>
          <w:szCs w:val="20"/>
        </w:rPr>
        <w:t xml:space="preserve">Un altro fattore che si ritiene contribuisca al danno d'organo e ai risultati negativi è la </w:t>
      </w:r>
      <w:r w:rsidRPr="000E20D5">
        <w:rPr>
          <w:rFonts w:asciiTheme="minorHAnsi" w:hAnsiTheme="minorHAnsi" w:cstheme="minorHAnsi"/>
          <w:b/>
          <w:bCs/>
          <w:sz w:val="20"/>
          <w:szCs w:val="20"/>
          <w:shd w:val="clear" w:color="auto" w:fill="FBF9E1"/>
        </w:rPr>
        <w:t>produzione precoce di anticorpi contro i coronavirus</w:t>
      </w:r>
      <w:r w:rsidRPr="000E20D5">
        <w:rPr>
          <w:rFonts w:asciiTheme="minorHAnsi" w:hAnsiTheme="minorHAnsi" w:cstheme="minorHAnsi"/>
          <w:sz w:val="20"/>
          <w:szCs w:val="20"/>
          <w:shd w:val="clear" w:color="auto" w:fill="FBF9E1"/>
        </w:rPr>
        <w:t>.</w:t>
      </w:r>
      <w:r w:rsidRPr="00FB1A0B">
        <w:rPr>
          <w:rFonts w:asciiTheme="minorHAnsi" w:hAnsiTheme="minorHAnsi" w:cstheme="minorHAnsi"/>
          <w:sz w:val="20"/>
          <w:szCs w:val="20"/>
        </w:rPr>
        <w:t xml:space="preserve"> </w:t>
      </w:r>
    </w:p>
    <w:p w:rsidR="006944F2" w:rsidRDefault="006944F2" w:rsidP="002B7F58">
      <w:pPr>
        <w:jc w:val="both"/>
        <w:rPr>
          <w:rFonts w:asciiTheme="minorHAnsi" w:hAnsiTheme="minorHAnsi" w:cstheme="minorHAnsi"/>
          <w:sz w:val="20"/>
          <w:szCs w:val="20"/>
        </w:rPr>
      </w:pPr>
    </w:p>
    <w:p w:rsidR="006944F2" w:rsidRDefault="002B7F58" w:rsidP="002B7F58">
      <w:pPr>
        <w:jc w:val="both"/>
        <w:rPr>
          <w:rFonts w:asciiTheme="minorHAnsi" w:hAnsiTheme="minorHAnsi" w:cstheme="minorHAnsi"/>
          <w:sz w:val="20"/>
          <w:szCs w:val="20"/>
        </w:rPr>
      </w:pPr>
      <w:r w:rsidRPr="00FB1A0B">
        <w:rPr>
          <w:rFonts w:asciiTheme="minorHAnsi" w:hAnsiTheme="minorHAnsi" w:cstheme="minorHAnsi"/>
          <w:sz w:val="20"/>
          <w:szCs w:val="20"/>
        </w:rPr>
        <w:t xml:space="preserve">Il </w:t>
      </w:r>
      <w:r w:rsidRPr="000E20D5">
        <w:rPr>
          <w:rFonts w:asciiTheme="minorHAnsi" w:hAnsiTheme="minorHAnsi" w:cstheme="minorHAnsi"/>
          <w:b/>
          <w:bCs/>
          <w:sz w:val="20"/>
          <w:szCs w:val="20"/>
          <w:shd w:val="clear" w:color="auto" w:fill="FBF9E1"/>
        </w:rPr>
        <w:t>potenziamento anticorpo-dipendente (ADE)</w:t>
      </w:r>
      <w:r w:rsidRPr="00FB1A0B">
        <w:rPr>
          <w:rFonts w:asciiTheme="minorHAnsi" w:hAnsiTheme="minorHAnsi" w:cstheme="minorHAnsi"/>
          <w:sz w:val="20"/>
          <w:szCs w:val="20"/>
        </w:rPr>
        <w:t xml:space="preserve"> è un fenomeno che ha dimostrato di contribuire al danno da accumulo durante le infezioni virali. </w:t>
      </w:r>
    </w:p>
    <w:p w:rsidR="006944F2" w:rsidRDefault="002B7F58" w:rsidP="002B7F58">
      <w:pPr>
        <w:jc w:val="both"/>
        <w:rPr>
          <w:rFonts w:asciiTheme="minorHAnsi" w:hAnsiTheme="minorHAnsi" w:cstheme="minorHAnsi"/>
          <w:sz w:val="20"/>
          <w:szCs w:val="20"/>
        </w:rPr>
      </w:pPr>
      <w:r w:rsidRPr="00FB1A0B">
        <w:rPr>
          <w:rFonts w:asciiTheme="minorHAnsi" w:hAnsiTheme="minorHAnsi" w:cstheme="minorHAnsi"/>
          <w:sz w:val="20"/>
          <w:szCs w:val="20"/>
        </w:rPr>
        <w:t xml:space="preserve">È stato dimostrato che </w:t>
      </w:r>
      <w:r w:rsidRPr="006944F2">
        <w:rPr>
          <w:rFonts w:asciiTheme="minorHAnsi" w:hAnsiTheme="minorHAnsi" w:cstheme="minorHAnsi"/>
          <w:b/>
          <w:bCs/>
          <w:sz w:val="20"/>
          <w:szCs w:val="20"/>
        </w:rPr>
        <w:t>promuove l'assorbimento cellulare delle particelle virali legate nei complessi immunitari, attraverso il loro legame con i recettori Fcγ (FcγR)</w:t>
      </w:r>
      <w:r w:rsidRPr="00FB1A0B">
        <w:rPr>
          <w:rFonts w:asciiTheme="minorHAnsi" w:hAnsiTheme="minorHAnsi" w:cstheme="minorHAnsi"/>
          <w:sz w:val="20"/>
          <w:szCs w:val="20"/>
        </w:rPr>
        <w:t xml:space="preserve">. </w:t>
      </w:r>
    </w:p>
    <w:p w:rsidR="000E20D5" w:rsidRDefault="000E20D5" w:rsidP="002B7F58">
      <w:pPr>
        <w:jc w:val="both"/>
        <w:rPr>
          <w:rFonts w:asciiTheme="minorHAnsi" w:hAnsiTheme="minorHAnsi" w:cstheme="minorHAnsi"/>
          <w:sz w:val="20"/>
          <w:szCs w:val="20"/>
        </w:rPr>
      </w:pPr>
    </w:p>
    <w:p w:rsidR="006944F2" w:rsidRDefault="002B7F58" w:rsidP="002B7F58">
      <w:pPr>
        <w:jc w:val="both"/>
        <w:rPr>
          <w:rFonts w:asciiTheme="minorHAnsi" w:hAnsiTheme="minorHAnsi" w:cstheme="minorHAnsi"/>
          <w:sz w:val="20"/>
          <w:szCs w:val="20"/>
        </w:rPr>
      </w:pPr>
      <w:r w:rsidRPr="00FB1A0B">
        <w:rPr>
          <w:rFonts w:asciiTheme="minorHAnsi" w:hAnsiTheme="minorHAnsi" w:cstheme="minorHAnsi"/>
          <w:sz w:val="20"/>
          <w:szCs w:val="20"/>
        </w:rPr>
        <w:t>Ciò può contribuire alla s</w:t>
      </w:r>
      <w:r w:rsidR="00AC0F6C" w:rsidRPr="00FB1A0B">
        <w:rPr>
          <w:rFonts w:asciiTheme="minorHAnsi" w:hAnsiTheme="minorHAnsi" w:cstheme="minorHAnsi"/>
          <w:sz w:val="20"/>
          <w:szCs w:val="20"/>
        </w:rPr>
        <w:t>opra</w:t>
      </w:r>
      <w:r w:rsidRPr="00FB1A0B">
        <w:rPr>
          <w:rFonts w:asciiTheme="minorHAnsi" w:hAnsiTheme="minorHAnsi" w:cstheme="minorHAnsi"/>
          <w:sz w:val="20"/>
          <w:szCs w:val="20"/>
        </w:rPr>
        <w:t xml:space="preserve">menzionata replicazione virale persistente nelle cellule immunitarie (comprese le cellule presentanti l'antigene di recente infezione), ma anche alle risposte infiammatorie mediate </w:t>
      </w:r>
      <w:r w:rsidR="00993781">
        <w:rPr>
          <w:rFonts w:asciiTheme="minorHAnsi" w:hAnsiTheme="minorHAnsi" w:cstheme="minorHAnsi"/>
          <w:sz w:val="20"/>
          <w:szCs w:val="20"/>
        </w:rPr>
        <w:t>dagli immunocomplessi</w:t>
      </w:r>
      <w:r w:rsidRPr="00FB1A0B">
        <w:rPr>
          <w:rFonts w:asciiTheme="minorHAnsi" w:hAnsiTheme="minorHAnsi" w:cstheme="minorHAnsi"/>
          <w:sz w:val="20"/>
          <w:szCs w:val="20"/>
        </w:rPr>
        <w:t xml:space="preserve">, che contribuiscono al danno dei tessuti e degli organi, compresa la sindrome da distress respiratorio acuto (ARDS) </w:t>
      </w:r>
      <w:r w:rsidR="000547D3">
        <w:rPr>
          <w:rStyle w:val="FootnoteReference"/>
          <w:rFonts w:asciiTheme="minorHAnsi" w:hAnsiTheme="minorHAnsi" w:cstheme="minorHAnsi"/>
          <w:sz w:val="20"/>
          <w:szCs w:val="20"/>
        </w:rPr>
        <w:footnoteReference w:id="78"/>
      </w:r>
      <w:r w:rsidRPr="00FB1A0B">
        <w:rPr>
          <w:rFonts w:asciiTheme="minorHAnsi" w:hAnsiTheme="minorHAnsi" w:cstheme="minorHAnsi"/>
          <w:sz w:val="20"/>
          <w:szCs w:val="20"/>
        </w:rPr>
        <w:t xml:space="preserve">. </w:t>
      </w:r>
    </w:p>
    <w:p w:rsidR="000E20D5" w:rsidRDefault="000E20D5" w:rsidP="002B7F58">
      <w:pPr>
        <w:jc w:val="both"/>
        <w:rPr>
          <w:rFonts w:asciiTheme="minorHAnsi" w:hAnsiTheme="minorHAnsi" w:cstheme="minorHAnsi"/>
          <w:sz w:val="20"/>
          <w:szCs w:val="20"/>
        </w:rPr>
      </w:pPr>
    </w:p>
    <w:p w:rsidR="000E20D5" w:rsidRDefault="000547D3" w:rsidP="002B7F58">
      <w:pPr>
        <w:jc w:val="both"/>
        <w:rPr>
          <w:rFonts w:asciiTheme="minorHAnsi" w:hAnsiTheme="minorHAnsi" w:cstheme="minorHAnsi"/>
          <w:sz w:val="20"/>
          <w:szCs w:val="20"/>
        </w:rPr>
      </w:pPr>
      <w:r w:rsidRPr="000547D3">
        <w:rPr>
          <w:rFonts w:asciiTheme="minorHAnsi" w:hAnsiTheme="minorHAnsi" w:cstheme="minorHAnsi"/>
          <w:sz w:val="20"/>
          <w:szCs w:val="20"/>
        </w:rPr>
        <w:t xml:space="preserve">Le risposte infiammatorie correlate a COVID-19 potrebbero anche essere indotte dalla </w:t>
      </w:r>
      <w:r w:rsidRPr="00DE14C1">
        <w:rPr>
          <w:rFonts w:asciiTheme="minorHAnsi" w:hAnsiTheme="minorHAnsi" w:cstheme="minorHAnsi"/>
          <w:b/>
          <w:bCs/>
          <w:sz w:val="20"/>
          <w:szCs w:val="20"/>
        </w:rPr>
        <w:t>disregolazione del sistema del complemento</w:t>
      </w:r>
      <w:r w:rsidRPr="000547D3">
        <w:rPr>
          <w:rFonts w:asciiTheme="minorHAnsi" w:hAnsiTheme="minorHAnsi" w:cstheme="minorHAnsi"/>
          <w:sz w:val="20"/>
          <w:szCs w:val="20"/>
        </w:rPr>
        <w:t xml:space="preserve">, un componente critico dell'immunità innata dell'ospite. Sebbene abbia lo scopo di prevenire la </w:t>
      </w:r>
      <w:r w:rsidRPr="000547D3">
        <w:rPr>
          <w:rFonts w:asciiTheme="minorHAnsi" w:hAnsiTheme="minorHAnsi" w:cstheme="minorHAnsi"/>
          <w:sz w:val="20"/>
          <w:szCs w:val="20"/>
        </w:rPr>
        <w:lastRenderedPageBreak/>
        <w:t xml:space="preserve">replicazione virale, un'eccessiva attivazione di componenti del complemento come C3, C3a, C5, C5a e </w:t>
      </w:r>
      <w:r w:rsidR="00DE14C1">
        <w:rPr>
          <w:rFonts w:asciiTheme="minorHAnsi" w:hAnsiTheme="minorHAnsi" w:cstheme="minorHAnsi"/>
          <w:sz w:val="20"/>
          <w:szCs w:val="20"/>
        </w:rPr>
        <w:t xml:space="preserve">la </w:t>
      </w:r>
      <w:r w:rsidRPr="000547D3">
        <w:rPr>
          <w:rFonts w:asciiTheme="minorHAnsi" w:hAnsiTheme="minorHAnsi" w:cstheme="minorHAnsi"/>
          <w:sz w:val="20"/>
          <w:szCs w:val="20"/>
        </w:rPr>
        <w:t>proteasi serinica associata a lectina (MASP2), è stata associata ad un aumento dell'infiammazione sia nell</w:t>
      </w:r>
      <w:r w:rsidR="00DE14C1">
        <w:rPr>
          <w:rFonts w:asciiTheme="minorHAnsi" w:hAnsiTheme="minorHAnsi" w:cstheme="minorHAnsi"/>
          <w:sz w:val="20"/>
          <w:szCs w:val="20"/>
        </w:rPr>
        <w:t>’i</w:t>
      </w:r>
      <w:r w:rsidR="00DE14C1" w:rsidRPr="000547D3">
        <w:rPr>
          <w:rFonts w:asciiTheme="minorHAnsi" w:hAnsiTheme="minorHAnsi" w:cstheme="minorHAnsi"/>
          <w:sz w:val="20"/>
          <w:szCs w:val="20"/>
        </w:rPr>
        <w:t>nfezion</w:t>
      </w:r>
      <w:r w:rsidR="00DE14C1">
        <w:rPr>
          <w:rFonts w:asciiTheme="minorHAnsi" w:hAnsiTheme="minorHAnsi" w:cstheme="minorHAnsi"/>
          <w:sz w:val="20"/>
          <w:szCs w:val="20"/>
        </w:rPr>
        <w:t>e</w:t>
      </w:r>
      <w:r w:rsidR="00DE14C1" w:rsidRPr="000547D3">
        <w:rPr>
          <w:rFonts w:asciiTheme="minorHAnsi" w:hAnsiTheme="minorHAnsi" w:cstheme="minorHAnsi"/>
          <w:sz w:val="20"/>
          <w:szCs w:val="20"/>
        </w:rPr>
        <w:t xml:space="preserve"> </w:t>
      </w:r>
      <w:r w:rsidR="00DE14C1">
        <w:rPr>
          <w:rFonts w:asciiTheme="minorHAnsi" w:hAnsiTheme="minorHAnsi" w:cstheme="minorHAnsi"/>
          <w:sz w:val="20"/>
          <w:szCs w:val="20"/>
        </w:rPr>
        <w:t xml:space="preserve"> da </w:t>
      </w:r>
      <w:r w:rsidRPr="000547D3">
        <w:rPr>
          <w:rFonts w:asciiTheme="minorHAnsi" w:hAnsiTheme="minorHAnsi" w:cstheme="minorHAnsi"/>
          <w:sz w:val="20"/>
          <w:szCs w:val="20"/>
        </w:rPr>
        <w:t>SARS</w:t>
      </w:r>
      <w:r w:rsidR="00DE14C1">
        <w:rPr>
          <w:rFonts w:asciiTheme="minorHAnsi" w:hAnsiTheme="minorHAnsi" w:cstheme="minorHAnsi"/>
          <w:sz w:val="20"/>
          <w:szCs w:val="20"/>
        </w:rPr>
        <w:t>-</w:t>
      </w:r>
      <w:r w:rsidRPr="000547D3">
        <w:rPr>
          <w:rFonts w:asciiTheme="minorHAnsi" w:hAnsiTheme="minorHAnsi" w:cstheme="minorHAnsi"/>
          <w:sz w:val="20"/>
          <w:szCs w:val="20"/>
        </w:rPr>
        <w:t xml:space="preserve"> CoV</w:t>
      </w:r>
      <w:r w:rsidR="00DE14C1">
        <w:rPr>
          <w:rFonts w:asciiTheme="minorHAnsi" w:hAnsiTheme="minorHAnsi" w:cstheme="minorHAnsi"/>
          <w:sz w:val="20"/>
          <w:szCs w:val="20"/>
        </w:rPr>
        <w:t>-1</w:t>
      </w:r>
      <w:r w:rsidRPr="000547D3">
        <w:rPr>
          <w:rFonts w:asciiTheme="minorHAnsi" w:hAnsiTheme="minorHAnsi" w:cstheme="minorHAnsi"/>
          <w:sz w:val="20"/>
          <w:szCs w:val="20"/>
        </w:rPr>
        <w:t xml:space="preserve"> </w:t>
      </w:r>
      <w:r w:rsidR="00DE14C1">
        <w:rPr>
          <w:rFonts w:asciiTheme="minorHAnsi" w:hAnsiTheme="minorHAnsi" w:cstheme="minorHAnsi"/>
          <w:sz w:val="20"/>
          <w:szCs w:val="20"/>
        </w:rPr>
        <w:t>ch</w:t>
      </w:r>
      <w:r w:rsidRPr="000547D3">
        <w:rPr>
          <w:rFonts w:asciiTheme="minorHAnsi" w:hAnsiTheme="minorHAnsi" w:cstheme="minorHAnsi"/>
          <w:sz w:val="20"/>
          <w:szCs w:val="20"/>
        </w:rPr>
        <w:t>e</w:t>
      </w:r>
      <w:r w:rsidR="00DE14C1">
        <w:rPr>
          <w:rFonts w:asciiTheme="minorHAnsi" w:hAnsiTheme="minorHAnsi" w:cstheme="minorHAnsi"/>
          <w:sz w:val="20"/>
          <w:szCs w:val="20"/>
        </w:rPr>
        <w:t xml:space="preserve"> da</w:t>
      </w:r>
      <w:r w:rsidRPr="000547D3">
        <w:rPr>
          <w:rFonts w:asciiTheme="minorHAnsi" w:hAnsiTheme="minorHAnsi" w:cstheme="minorHAnsi"/>
          <w:sz w:val="20"/>
          <w:szCs w:val="20"/>
        </w:rPr>
        <w:t xml:space="preserve"> SARS-CoV-2. </w:t>
      </w:r>
    </w:p>
    <w:p w:rsidR="000E20D5" w:rsidRDefault="000E20D5" w:rsidP="002B7F58">
      <w:pPr>
        <w:jc w:val="both"/>
        <w:rPr>
          <w:rFonts w:asciiTheme="minorHAnsi" w:hAnsiTheme="minorHAnsi" w:cstheme="minorHAnsi"/>
          <w:sz w:val="20"/>
          <w:szCs w:val="20"/>
        </w:rPr>
      </w:pPr>
    </w:p>
    <w:p w:rsidR="000547D3" w:rsidRDefault="000547D3" w:rsidP="002B7F58">
      <w:pPr>
        <w:jc w:val="both"/>
        <w:rPr>
          <w:rFonts w:asciiTheme="minorHAnsi" w:hAnsiTheme="minorHAnsi" w:cstheme="minorHAnsi"/>
          <w:sz w:val="20"/>
          <w:szCs w:val="20"/>
        </w:rPr>
      </w:pPr>
      <w:r w:rsidRPr="000547D3">
        <w:rPr>
          <w:rFonts w:asciiTheme="minorHAnsi" w:hAnsiTheme="minorHAnsi" w:cstheme="minorHAnsi"/>
          <w:sz w:val="20"/>
          <w:szCs w:val="20"/>
        </w:rPr>
        <w:t>La sovraespressione di C3a e C5a può attivare i macrofagi alveolari attraverso i rispettivi recettori portando al rilascio di citochine pro-infiammatorie come IL-6. Questa mancanza di controllo immunitario può esacerbare le malattie respiratorie e vascolari</w:t>
      </w:r>
      <w:r w:rsidR="009E6DDC">
        <w:rPr>
          <w:rFonts w:asciiTheme="minorHAnsi" w:hAnsiTheme="minorHAnsi" w:cstheme="minorHAnsi"/>
          <w:sz w:val="20"/>
          <w:szCs w:val="20"/>
        </w:rPr>
        <w:t>.</w:t>
      </w:r>
      <w:r w:rsidR="00DE14C1">
        <w:rPr>
          <w:rFonts w:asciiTheme="minorHAnsi" w:hAnsiTheme="minorHAnsi" w:cstheme="minorHAnsi"/>
          <w:sz w:val="20"/>
          <w:szCs w:val="20"/>
        </w:rPr>
        <w:t xml:space="preserve"> </w:t>
      </w:r>
      <w:r w:rsidR="00DE14C1">
        <w:rPr>
          <w:rStyle w:val="FootnoteReference"/>
          <w:rFonts w:asciiTheme="minorHAnsi" w:hAnsiTheme="minorHAnsi" w:cstheme="minorHAnsi"/>
          <w:sz w:val="20"/>
          <w:szCs w:val="20"/>
        </w:rPr>
        <w:footnoteReference w:id="79"/>
      </w:r>
    </w:p>
    <w:p w:rsidR="000547D3" w:rsidRPr="00FB1A0B" w:rsidRDefault="000547D3" w:rsidP="002B7F58">
      <w:pPr>
        <w:jc w:val="both"/>
        <w:rPr>
          <w:rFonts w:asciiTheme="minorHAnsi" w:hAnsiTheme="minorHAnsi" w:cstheme="minorHAnsi"/>
          <w:sz w:val="20"/>
          <w:szCs w:val="20"/>
        </w:rPr>
      </w:pPr>
    </w:p>
    <w:p w:rsidR="002B7F58" w:rsidRPr="00FB1A0B" w:rsidRDefault="00994C5B" w:rsidP="002B7F58">
      <w:pPr>
        <w:jc w:val="both"/>
        <w:rPr>
          <w:rFonts w:asciiTheme="minorHAnsi" w:hAnsiTheme="minorHAnsi" w:cstheme="minorHAnsi"/>
          <w:sz w:val="20"/>
          <w:szCs w:val="20"/>
        </w:rPr>
      </w:pPr>
      <w:r>
        <w:rPr>
          <w:rFonts w:asciiTheme="minorHAnsi" w:hAnsiTheme="minorHAnsi" w:cstheme="minorHAnsi"/>
          <w:sz w:val="20"/>
          <w:szCs w:val="20"/>
        </w:rPr>
        <w:t>È</w:t>
      </w:r>
      <w:r w:rsidR="006944F2">
        <w:rPr>
          <w:rFonts w:asciiTheme="minorHAnsi" w:hAnsiTheme="minorHAnsi" w:cstheme="minorHAnsi"/>
          <w:sz w:val="20"/>
          <w:szCs w:val="20"/>
        </w:rPr>
        <w:t xml:space="preserve"> noto che</w:t>
      </w:r>
      <w:r w:rsidR="002B7F58" w:rsidRPr="00FB1A0B">
        <w:rPr>
          <w:rFonts w:asciiTheme="minorHAnsi" w:hAnsiTheme="minorHAnsi" w:cstheme="minorHAnsi"/>
          <w:sz w:val="20"/>
          <w:szCs w:val="20"/>
        </w:rPr>
        <w:t xml:space="preserve"> un sottogruppo di pazienti con COVID-19 sviluppa </w:t>
      </w:r>
      <w:r w:rsidR="002B7F58" w:rsidRPr="006944F2">
        <w:rPr>
          <w:rFonts w:asciiTheme="minorHAnsi" w:hAnsiTheme="minorHAnsi" w:cstheme="minorHAnsi"/>
          <w:b/>
          <w:bCs/>
          <w:sz w:val="20"/>
          <w:szCs w:val="20"/>
        </w:rPr>
        <w:t>lesioni vasculitiche, occlusione dei vasi sanguigni e infarti</w:t>
      </w:r>
      <w:r w:rsidR="002B7F58" w:rsidRPr="00FB1A0B">
        <w:rPr>
          <w:rFonts w:asciiTheme="minorHAnsi" w:hAnsiTheme="minorHAnsi" w:cstheme="minorHAnsi"/>
          <w:sz w:val="20"/>
          <w:szCs w:val="20"/>
        </w:rPr>
        <w:t>. Rapporti istopatologici da sezioni di tessuto suggeriscono caratteristiche associate alla vasculite mediata da</w:t>
      </w:r>
      <w:r w:rsidR="00993781">
        <w:rPr>
          <w:rFonts w:asciiTheme="minorHAnsi" w:hAnsiTheme="minorHAnsi" w:cstheme="minorHAnsi"/>
          <w:sz w:val="20"/>
          <w:szCs w:val="20"/>
        </w:rPr>
        <w:t>gli immunocomplessi</w:t>
      </w:r>
      <w:r w:rsidR="002B7F58" w:rsidRPr="00FB1A0B">
        <w:rPr>
          <w:rFonts w:asciiTheme="minorHAnsi" w:hAnsiTheme="minorHAnsi" w:cstheme="minorHAnsi"/>
          <w:sz w:val="20"/>
          <w:szCs w:val="20"/>
        </w:rPr>
        <w:t xml:space="preserve">, tra cui infiltrazione di monociti e linfociti all'interno e intorno ai vasi sanguigni, ispessimento delle pareti ed emorragia focale </w:t>
      </w:r>
      <w:r w:rsidR="00673217">
        <w:rPr>
          <w:rStyle w:val="FootnoteReference"/>
          <w:rFonts w:asciiTheme="minorHAnsi" w:hAnsiTheme="minorHAnsi" w:cstheme="minorHAnsi"/>
          <w:sz w:val="20"/>
          <w:szCs w:val="20"/>
        </w:rPr>
        <w:footnoteReference w:id="80"/>
      </w:r>
      <w:r w:rsidR="002B7F58" w:rsidRPr="00FB1A0B">
        <w:rPr>
          <w:rFonts w:asciiTheme="minorHAnsi" w:hAnsiTheme="minorHAnsi" w:cstheme="minorHAnsi"/>
          <w:sz w:val="20"/>
          <w:szCs w:val="20"/>
        </w:rPr>
        <w:t>.</w:t>
      </w:r>
    </w:p>
    <w:p w:rsidR="002B7F58" w:rsidRPr="00717D4D" w:rsidRDefault="002B7F58" w:rsidP="002B7F58">
      <w:pPr>
        <w:jc w:val="center"/>
        <w:rPr>
          <w:rFonts w:asciiTheme="minorHAnsi" w:hAnsiTheme="minorHAnsi"/>
        </w:rPr>
      </w:pPr>
      <w:r w:rsidRPr="00717D4D">
        <w:rPr>
          <w:rFonts w:asciiTheme="minorHAnsi" w:hAnsiTheme="minorHAnsi"/>
        </w:rPr>
        <w:fldChar w:fldCharType="begin"/>
      </w:r>
      <w:r w:rsidRPr="00717D4D">
        <w:rPr>
          <w:rFonts w:asciiTheme="minorHAnsi" w:hAnsiTheme="minorHAnsi"/>
        </w:rPr>
        <w:instrText xml:space="preserve"> INCLUDEPICTURE "/var/folders/ry/zkbp25750px6mrgwpjggxk0m0000gn/T/com.microsoft.Word/WebArchiveCopyPasteTempFiles/gr4_lrg.jpg" \* MERGEFORMATINET </w:instrText>
      </w:r>
      <w:r w:rsidRPr="00717D4D">
        <w:rPr>
          <w:rFonts w:asciiTheme="minorHAnsi" w:hAnsiTheme="minorHAnsi"/>
        </w:rPr>
        <w:fldChar w:fldCharType="separate"/>
      </w:r>
      <w:r w:rsidRPr="00717D4D">
        <w:rPr>
          <w:rFonts w:asciiTheme="minorHAnsi" w:hAnsiTheme="minorHAnsi"/>
          <w:noProof/>
        </w:rPr>
        <w:drawing>
          <wp:inline distT="0" distB="0" distL="0" distR="0" wp14:anchorId="4818386A" wp14:editId="64390DFA">
            <wp:extent cx="4140714" cy="2394065"/>
            <wp:effectExtent l="0" t="0" r="0" b="0"/>
            <wp:docPr id="37" name="Immagine 37"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91228" cy="2481089"/>
                    </a:xfrm>
                    <a:prstGeom prst="rect">
                      <a:avLst/>
                    </a:prstGeom>
                    <a:noFill/>
                    <a:ln>
                      <a:noFill/>
                    </a:ln>
                  </pic:spPr>
                </pic:pic>
              </a:graphicData>
            </a:graphic>
          </wp:inline>
        </w:drawing>
      </w:r>
      <w:r w:rsidRPr="00717D4D">
        <w:rPr>
          <w:rFonts w:asciiTheme="minorHAnsi" w:hAnsiTheme="minorHAnsi"/>
        </w:rPr>
        <w:fldChar w:fldCharType="end"/>
      </w:r>
    </w:p>
    <w:p w:rsidR="009E6DDC" w:rsidRDefault="009E6DDC" w:rsidP="008D24FB">
      <w:pPr>
        <w:rPr>
          <w:rFonts w:asciiTheme="minorHAnsi" w:hAnsiTheme="minorHAnsi" w:cstheme="minorHAnsi"/>
          <w:color w:val="000000" w:themeColor="text1"/>
          <w:sz w:val="16"/>
          <w:szCs w:val="16"/>
          <w:shd w:val="clear" w:color="auto" w:fill="FFFFFF"/>
        </w:rPr>
      </w:pPr>
    </w:p>
    <w:p w:rsidR="008D24FB" w:rsidRPr="000E20D5" w:rsidRDefault="008D24FB" w:rsidP="000E20D5">
      <w:pPr>
        <w:shd w:val="clear" w:color="auto" w:fill="F2F2F2" w:themeFill="background1" w:themeFillShade="F2"/>
        <w:rPr>
          <w:rStyle w:val="Hyperlink"/>
          <w:rFonts w:asciiTheme="minorHAnsi" w:hAnsiTheme="minorHAnsi" w:cstheme="minorHAnsi"/>
          <w:color w:val="000000" w:themeColor="text1"/>
          <w:sz w:val="18"/>
          <w:szCs w:val="18"/>
          <w:u w:val="none"/>
          <w:shd w:val="clear" w:color="auto" w:fill="FFFFFF"/>
        </w:rPr>
      </w:pPr>
      <w:r w:rsidRPr="000E20D5">
        <w:rPr>
          <w:rFonts w:asciiTheme="minorHAnsi" w:hAnsiTheme="minorHAnsi" w:cstheme="minorHAnsi"/>
          <w:color w:val="000000" w:themeColor="text1"/>
          <w:sz w:val="18"/>
          <w:szCs w:val="18"/>
          <w:shd w:val="clear" w:color="auto" w:fill="FFFFFF"/>
        </w:rPr>
        <w:t xml:space="preserve">Tratta da </w:t>
      </w:r>
      <w:hyperlink r:id="rId96" w:history="1">
        <w:r w:rsidRPr="000E20D5">
          <w:rPr>
            <w:rStyle w:val="Hyperlink"/>
            <w:rFonts w:asciiTheme="minorHAnsi" w:hAnsiTheme="minorHAnsi" w:cstheme="minorHAnsi"/>
            <w:color w:val="000000" w:themeColor="text1"/>
            <w:sz w:val="18"/>
            <w:szCs w:val="18"/>
            <w:u w:val="none"/>
            <w:shd w:val="clear" w:color="auto" w:fill="FFFFFF"/>
          </w:rPr>
          <w:t>https://www.ncbi.nlm.nih.gov/pmc/articles/PMC7185015/pdf/main.pdf</w:t>
        </w:r>
      </w:hyperlink>
    </w:p>
    <w:p w:rsidR="000E20D5" w:rsidRDefault="000E20D5" w:rsidP="008D24FB">
      <w:pPr>
        <w:rPr>
          <w:rStyle w:val="Hyperlink"/>
          <w:rFonts w:asciiTheme="minorHAnsi" w:hAnsiTheme="minorHAnsi" w:cstheme="minorHAnsi"/>
          <w:color w:val="000000" w:themeColor="text1"/>
          <w:sz w:val="16"/>
          <w:szCs w:val="16"/>
          <w:u w:val="none"/>
          <w:shd w:val="clear" w:color="auto" w:fill="FFFFFF"/>
        </w:rPr>
      </w:pPr>
    </w:p>
    <w:p w:rsidR="00A833D2" w:rsidRDefault="00A833D2" w:rsidP="008D24FB">
      <w:pPr>
        <w:rPr>
          <w:rStyle w:val="Hyperlink"/>
          <w:rFonts w:asciiTheme="minorHAnsi" w:hAnsiTheme="minorHAnsi" w:cstheme="minorHAnsi"/>
          <w:color w:val="000000" w:themeColor="text1"/>
          <w:sz w:val="16"/>
          <w:szCs w:val="16"/>
          <w:u w:val="none"/>
          <w:shd w:val="clear" w:color="auto" w:fill="FFFFFF"/>
        </w:rPr>
      </w:pPr>
    </w:p>
    <w:p w:rsidR="00A833D2" w:rsidRDefault="00FF0FD9" w:rsidP="008D24FB">
      <w:pPr>
        <w:rPr>
          <w:rStyle w:val="Hyperlink"/>
          <w:rFonts w:asciiTheme="minorHAnsi" w:hAnsiTheme="minorHAnsi" w:cstheme="minorHAnsi"/>
          <w:color w:val="000000" w:themeColor="text1"/>
          <w:sz w:val="16"/>
          <w:szCs w:val="16"/>
          <w:u w:val="none"/>
          <w:shd w:val="clear" w:color="auto" w:fill="FFFFFF"/>
        </w:rPr>
      </w:pPr>
      <w:r>
        <w:rPr>
          <w:rStyle w:val="Hyperlink"/>
          <w:rFonts w:asciiTheme="minorHAnsi" w:hAnsiTheme="minorHAnsi" w:cstheme="minorHAnsi"/>
          <w:color w:val="000000" w:themeColor="text1"/>
          <w:sz w:val="16"/>
          <w:szCs w:val="16"/>
          <w:u w:val="none"/>
          <w:shd w:val="clear" w:color="auto" w:fill="FFFFFF"/>
        </w:rPr>
        <w:t>s</w:t>
      </w:r>
    </w:p>
    <w:p w:rsidR="00A833D2" w:rsidRDefault="00A833D2" w:rsidP="008D24FB">
      <w:pPr>
        <w:rPr>
          <w:rStyle w:val="Hyperlink"/>
          <w:rFonts w:asciiTheme="minorHAnsi" w:hAnsiTheme="minorHAnsi" w:cstheme="minorHAnsi"/>
          <w:color w:val="000000" w:themeColor="text1"/>
          <w:sz w:val="16"/>
          <w:szCs w:val="16"/>
          <w:u w:val="none"/>
          <w:shd w:val="clear" w:color="auto" w:fill="FFFFFF"/>
        </w:rPr>
      </w:pPr>
    </w:p>
    <w:p w:rsidR="00A833D2" w:rsidRDefault="00A833D2" w:rsidP="008D24FB">
      <w:pPr>
        <w:rPr>
          <w:rStyle w:val="Hyperlink"/>
          <w:rFonts w:asciiTheme="minorHAnsi" w:hAnsiTheme="minorHAnsi" w:cstheme="minorHAnsi"/>
          <w:color w:val="000000" w:themeColor="text1"/>
          <w:sz w:val="16"/>
          <w:szCs w:val="16"/>
          <w:u w:val="none"/>
          <w:shd w:val="clear" w:color="auto" w:fill="FFFFFF"/>
        </w:rPr>
      </w:pPr>
    </w:p>
    <w:p w:rsidR="000E20D5" w:rsidRPr="006944F2" w:rsidRDefault="000E20D5" w:rsidP="008D24FB">
      <w:pPr>
        <w:rPr>
          <w:rStyle w:val="Hyperlink"/>
          <w:rFonts w:asciiTheme="minorHAnsi" w:hAnsiTheme="minorHAnsi" w:cstheme="minorHAnsi"/>
          <w:color w:val="000000" w:themeColor="text1"/>
          <w:sz w:val="16"/>
          <w:szCs w:val="16"/>
          <w:u w:val="none"/>
          <w:shd w:val="clear" w:color="auto" w:fill="FFFFFF"/>
        </w:rPr>
      </w:pPr>
    </w:p>
    <w:p w:rsidR="00770C42" w:rsidRDefault="00770C42" w:rsidP="009E6DD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4395"/>
        </w:tabs>
        <w:ind w:left="284" w:right="701"/>
        <w:jc w:val="center"/>
        <w:rPr>
          <w:rFonts w:asciiTheme="minorHAnsi" w:hAnsiTheme="minorHAnsi" w:cstheme="minorHAnsi"/>
          <w:b/>
          <w:bCs/>
          <w:color w:val="C00000"/>
        </w:rPr>
      </w:pPr>
      <w:r w:rsidRPr="00DC48B4">
        <w:rPr>
          <w:rFonts w:asciiTheme="minorHAnsi" w:hAnsiTheme="minorHAnsi" w:cstheme="minorHAnsi"/>
          <w:b/>
          <w:bCs/>
          <w:color w:val="C00000"/>
        </w:rPr>
        <w:t>IN BREVE</w:t>
      </w:r>
    </w:p>
    <w:p w:rsidR="00770C42" w:rsidRDefault="00770C42" w:rsidP="000E20D5">
      <w:pPr>
        <w:pBdr>
          <w:top w:val="single" w:sz="4" w:space="1" w:color="auto"/>
          <w:left w:val="single" w:sz="4" w:space="5" w:color="auto"/>
          <w:bottom w:val="single" w:sz="4" w:space="1" w:color="auto"/>
          <w:right w:val="single" w:sz="4" w:space="4" w:color="auto"/>
        </w:pBdr>
        <w:shd w:val="clear" w:color="auto" w:fill="FBF9E1"/>
        <w:ind w:left="284" w:right="701"/>
        <w:jc w:val="center"/>
        <w:rPr>
          <w:rFonts w:asciiTheme="minorHAnsi" w:hAnsiTheme="minorHAnsi" w:cstheme="minorHAnsi"/>
          <w:color w:val="000000" w:themeColor="text1"/>
          <w:sz w:val="20"/>
          <w:szCs w:val="20"/>
        </w:rPr>
      </w:pPr>
    </w:p>
    <w:p w:rsidR="00770C42" w:rsidRPr="007959E0"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tabs>
          <w:tab w:val="left" w:pos="8080"/>
          <w:tab w:val="left" w:pos="8222"/>
        </w:tabs>
        <w:ind w:left="284" w:right="701"/>
        <w:jc w:val="both"/>
        <w:rPr>
          <w:rFonts w:asciiTheme="minorHAnsi" w:hAnsiTheme="minorHAnsi" w:cstheme="minorHAnsi"/>
          <w:color w:val="000000" w:themeColor="text1"/>
          <w:sz w:val="20"/>
          <w:szCs w:val="20"/>
        </w:rPr>
      </w:pPr>
      <w:r w:rsidRPr="007959E0">
        <w:rPr>
          <w:rFonts w:asciiTheme="minorHAnsi" w:hAnsiTheme="minorHAnsi" w:cstheme="minorHAnsi"/>
          <w:color w:val="000000" w:themeColor="text1"/>
          <w:sz w:val="20"/>
          <w:szCs w:val="20"/>
        </w:rPr>
        <w:t>Il COVID-19 è la complicazione dell’infezione dal coronavirus SARS-Cov-2  e si manifesta con una tempistica e una sintomatologia simile a quella degli altri virus della stessa famiglia (SARS-Cov-1, MERS)</w:t>
      </w:r>
    </w:p>
    <w:p w:rsidR="00770C42" w:rsidRPr="007959E0"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tabs>
          <w:tab w:val="left" w:pos="8080"/>
          <w:tab w:val="left" w:pos="8505"/>
        </w:tabs>
        <w:ind w:left="284" w:right="701"/>
        <w:jc w:val="both"/>
        <w:rPr>
          <w:rFonts w:asciiTheme="minorHAnsi" w:hAnsiTheme="minorHAnsi" w:cstheme="minorHAnsi"/>
          <w:color w:val="000000" w:themeColor="text1"/>
          <w:sz w:val="20"/>
          <w:szCs w:val="20"/>
        </w:rPr>
      </w:pPr>
    </w:p>
    <w:p w:rsidR="00770C42" w:rsidRPr="007959E0"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tabs>
          <w:tab w:val="left" w:pos="8080"/>
          <w:tab w:val="left" w:pos="8505"/>
        </w:tabs>
        <w:ind w:left="284" w:right="701"/>
        <w:jc w:val="both"/>
        <w:rPr>
          <w:rFonts w:asciiTheme="minorHAnsi" w:hAnsiTheme="minorHAnsi" w:cstheme="minorHAnsi"/>
          <w:color w:val="000000" w:themeColor="text1"/>
          <w:sz w:val="20"/>
          <w:szCs w:val="20"/>
        </w:rPr>
      </w:pPr>
      <w:r w:rsidRPr="007959E0">
        <w:rPr>
          <w:rFonts w:asciiTheme="minorHAnsi" w:hAnsiTheme="minorHAnsi" w:cstheme="minorHAnsi"/>
          <w:color w:val="000000" w:themeColor="text1"/>
          <w:sz w:val="20"/>
          <w:szCs w:val="20"/>
        </w:rPr>
        <w:t>Dallo studio del meccanismo immunitario che porta alla complicazione severa/fatale si è osservato che</w:t>
      </w:r>
      <w:r w:rsidR="00160A30" w:rsidRPr="007959E0">
        <w:rPr>
          <w:rFonts w:asciiTheme="minorHAnsi" w:hAnsiTheme="minorHAnsi" w:cstheme="minorHAnsi"/>
          <w:color w:val="000000" w:themeColor="text1"/>
          <w:sz w:val="20"/>
          <w:szCs w:val="20"/>
        </w:rPr>
        <w:t xml:space="preserve"> il fallimento multiorgano e il decesso sono legati ad una risposta esagerata del sistema immunitario al virus.</w:t>
      </w:r>
      <w:r w:rsidR="007959E0" w:rsidRPr="007959E0">
        <w:rPr>
          <w:rFonts w:asciiTheme="minorHAnsi" w:hAnsiTheme="minorHAnsi" w:cstheme="minorHAnsi"/>
          <w:color w:val="000000" w:themeColor="text1"/>
          <w:sz w:val="20"/>
          <w:szCs w:val="20"/>
        </w:rPr>
        <w:t xml:space="preserve"> Ciò avviene attraverso l’induzione di molteplici meccanismi:</w:t>
      </w:r>
    </w:p>
    <w:p w:rsidR="00160A30" w:rsidRPr="005D211B" w:rsidRDefault="00160A30" w:rsidP="000E20D5">
      <w:pPr>
        <w:pStyle w:val="ListParagraph"/>
        <w:pBdr>
          <w:top w:val="single" w:sz="4" w:space="1" w:color="auto"/>
          <w:left w:val="single" w:sz="4" w:space="5" w:color="auto"/>
          <w:bottom w:val="single" w:sz="4" w:space="1" w:color="auto"/>
          <w:right w:val="single" w:sz="4" w:space="4" w:color="auto"/>
        </w:pBdr>
        <w:shd w:val="clear" w:color="auto" w:fill="FBF9E1"/>
        <w:tabs>
          <w:tab w:val="left" w:pos="8080"/>
          <w:tab w:val="left" w:pos="8505"/>
        </w:tabs>
        <w:ind w:left="284" w:right="701"/>
        <w:jc w:val="both"/>
        <w:rPr>
          <w:rFonts w:asciiTheme="minorHAnsi" w:hAnsiTheme="minorHAnsi" w:cstheme="minorHAnsi"/>
          <w:i/>
          <w:iCs/>
          <w:color w:val="000000" w:themeColor="text1"/>
          <w:sz w:val="20"/>
          <w:szCs w:val="20"/>
        </w:rPr>
      </w:pPr>
    </w:p>
    <w:p w:rsidR="00592B0F"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tabs>
          <w:tab w:val="left" w:pos="8080"/>
          <w:tab w:val="left" w:pos="8505"/>
        </w:tabs>
        <w:ind w:left="284" w:right="701"/>
        <w:jc w:val="both"/>
        <w:rPr>
          <w:rFonts w:asciiTheme="minorHAnsi" w:hAnsiTheme="minorHAnsi" w:cstheme="minorHAnsi"/>
          <w:i/>
          <w:iCs/>
          <w:color w:val="000000" w:themeColor="text1"/>
          <w:sz w:val="20"/>
          <w:szCs w:val="20"/>
        </w:rPr>
      </w:pPr>
      <w:r w:rsidRPr="005D211B">
        <w:rPr>
          <w:rFonts w:asciiTheme="minorHAnsi" w:hAnsiTheme="minorHAnsi" w:cstheme="minorHAnsi"/>
          <w:i/>
          <w:iCs/>
          <w:color w:val="000000" w:themeColor="text1"/>
          <w:sz w:val="20"/>
          <w:szCs w:val="20"/>
        </w:rPr>
        <w:t xml:space="preserve">il SARS-Cov-2 dopo l’ingresso nelle cellule induce una </w:t>
      </w:r>
      <w:r w:rsidRPr="00BD4B44">
        <w:rPr>
          <w:rFonts w:asciiTheme="minorHAnsi" w:hAnsiTheme="minorHAnsi" w:cstheme="minorHAnsi"/>
          <w:b/>
          <w:bCs/>
          <w:i/>
          <w:iCs/>
          <w:color w:val="000000" w:themeColor="text1"/>
          <w:sz w:val="20"/>
          <w:szCs w:val="20"/>
        </w:rPr>
        <w:t>prima ondata di citochine proinfiammatorie</w:t>
      </w:r>
      <w:r w:rsidRPr="005D211B">
        <w:rPr>
          <w:rFonts w:asciiTheme="minorHAnsi" w:hAnsiTheme="minorHAnsi" w:cstheme="minorHAnsi"/>
          <w:i/>
          <w:iCs/>
          <w:color w:val="000000" w:themeColor="text1"/>
          <w:sz w:val="20"/>
          <w:szCs w:val="20"/>
        </w:rPr>
        <w:t xml:space="preserve"> </w:t>
      </w:r>
      <w:r w:rsidRPr="00BD4B44">
        <w:rPr>
          <w:rFonts w:asciiTheme="minorHAnsi" w:hAnsiTheme="minorHAnsi" w:cstheme="minorHAnsi"/>
          <w:i/>
          <w:iCs/>
          <w:color w:val="000000" w:themeColor="text1"/>
          <w:sz w:val="20"/>
          <w:szCs w:val="20"/>
        </w:rPr>
        <w:t>(ipercitochinemia</w:t>
      </w:r>
      <w:r w:rsidRPr="005D211B">
        <w:rPr>
          <w:rFonts w:asciiTheme="minorHAnsi" w:hAnsiTheme="minorHAnsi" w:cstheme="minorHAnsi"/>
          <w:i/>
          <w:iCs/>
          <w:color w:val="000000" w:themeColor="text1"/>
          <w:sz w:val="20"/>
          <w:szCs w:val="20"/>
        </w:rPr>
        <w:t>)</w:t>
      </w:r>
      <w:r>
        <w:rPr>
          <w:rFonts w:asciiTheme="minorHAnsi" w:hAnsiTheme="minorHAnsi" w:cstheme="minorHAnsi"/>
          <w:i/>
          <w:iCs/>
          <w:color w:val="000000" w:themeColor="text1"/>
          <w:sz w:val="20"/>
          <w:szCs w:val="20"/>
        </w:rPr>
        <w:t xml:space="preserve"> prodotte dalle cellule infettate e dalle cellule della risposta innata</w:t>
      </w:r>
      <w:r w:rsidRPr="005D211B">
        <w:rPr>
          <w:rFonts w:asciiTheme="minorHAnsi" w:hAnsiTheme="minorHAnsi" w:cstheme="minorHAnsi"/>
          <w:i/>
          <w:iCs/>
          <w:color w:val="000000" w:themeColor="text1"/>
          <w:sz w:val="20"/>
          <w:szCs w:val="20"/>
        </w:rPr>
        <w:t>.</w:t>
      </w:r>
    </w:p>
    <w:p w:rsidR="000C39B3" w:rsidRDefault="000C39B3" w:rsidP="000E20D5">
      <w:pPr>
        <w:pStyle w:val="ListParagraph"/>
        <w:pBdr>
          <w:top w:val="single" w:sz="4" w:space="1" w:color="auto"/>
          <w:left w:val="single" w:sz="4" w:space="5" w:color="auto"/>
          <w:bottom w:val="single" w:sz="4" w:space="1" w:color="auto"/>
          <w:right w:val="single" w:sz="4" w:space="4" w:color="auto"/>
        </w:pBdr>
        <w:shd w:val="clear" w:color="auto" w:fill="FBF9E1"/>
        <w:tabs>
          <w:tab w:val="left" w:pos="8080"/>
          <w:tab w:val="left" w:pos="8505"/>
        </w:tabs>
        <w:ind w:left="284" w:right="701"/>
        <w:jc w:val="both"/>
        <w:rPr>
          <w:rFonts w:asciiTheme="minorHAnsi" w:hAnsiTheme="minorHAnsi" w:cstheme="minorHAnsi"/>
          <w:i/>
          <w:iCs/>
          <w:color w:val="000000" w:themeColor="text1"/>
          <w:sz w:val="20"/>
          <w:szCs w:val="20"/>
        </w:rPr>
      </w:pPr>
    </w:p>
    <w:p w:rsidR="00770C42" w:rsidRPr="005D211B"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tabs>
          <w:tab w:val="left" w:pos="8080"/>
          <w:tab w:val="left" w:pos="8505"/>
        </w:tabs>
        <w:ind w:left="284" w:right="701"/>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Segue successivamente u</w:t>
      </w:r>
      <w:r w:rsidRPr="005D211B">
        <w:rPr>
          <w:rFonts w:asciiTheme="minorHAnsi" w:hAnsiTheme="minorHAnsi" w:cstheme="minorHAnsi"/>
          <w:i/>
          <w:iCs/>
          <w:color w:val="000000" w:themeColor="text1"/>
          <w:sz w:val="20"/>
          <w:szCs w:val="20"/>
        </w:rPr>
        <w:t xml:space="preserve">no </w:t>
      </w:r>
      <w:r w:rsidRPr="005D211B">
        <w:rPr>
          <w:rFonts w:asciiTheme="minorHAnsi" w:hAnsiTheme="minorHAnsi" w:cstheme="minorHAnsi"/>
          <w:b/>
          <w:bCs/>
          <w:i/>
          <w:iCs/>
          <w:color w:val="000000" w:themeColor="text1"/>
          <w:sz w:val="20"/>
          <w:szCs w:val="20"/>
        </w:rPr>
        <w:t>stato di immunosoppressione</w:t>
      </w:r>
      <w:r w:rsidRPr="005D211B">
        <w:rPr>
          <w:rFonts w:asciiTheme="minorHAnsi" w:hAnsiTheme="minorHAnsi" w:cstheme="minorHAnsi"/>
          <w:i/>
          <w:iCs/>
          <w:color w:val="000000" w:themeColor="text1"/>
          <w:sz w:val="20"/>
          <w:szCs w:val="20"/>
        </w:rPr>
        <w:t xml:space="preserve"> </w:t>
      </w:r>
      <w:r>
        <w:rPr>
          <w:rFonts w:asciiTheme="minorHAnsi" w:hAnsiTheme="minorHAnsi" w:cstheme="minorHAnsi"/>
          <w:i/>
          <w:iCs/>
          <w:color w:val="000000" w:themeColor="text1"/>
          <w:sz w:val="20"/>
          <w:szCs w:val="20"/>
        </w:rPr>
        <w:t xml:space="preserve">dovuto al </w:t>
      </w:r>
      <w:r w:rsidRPr="005D211B">
        <w:rPr>
          <w:rFonts w:asciiTheme="minorHAnsi" w:hAnsiTheme="minorHAnsi" w:cstheme="minorHAnsi"/>
          <w:i/>
          <w:iCs/>
          <w:color w:val="000000" w:themeColor="text1"/>
          <w:sz w:val="20"/>
          <w:szCs w:val="20"/>
        </w:rPr>
        <w:t xml:space="preserve">blocco </w:t>
      </w:r>
      <w:r>
        <w:rPr>
          <w:rFonts w:asciiTheme="minorHAnsi" w:hAnsiTheme="minorHAnsi" w:cstheme="minorHAnsi"/>
          <w:i/>
          <w:iCs/>
          <w:color w:val="000000" w:themeColor="text1"/>
          <w:sz w:val="20"/>
          <w:szCs w:val="20"/>
        </w:rPr>
        <w:t xml:space="preserve">indotto dal virus </w:t>
      </w:r>
      <w:r w:rsidRPr="005D211B">
        <w:rPr>
          <w:rFonts w:asciiTheme="minorHAnsi" w:hAnsiTheme="minorHAnsi" w:cstheme="minorHAnsi"/>
          <w:i/>
          <w:iCs/>
          <w:color w:val="000000" w:themeColor="text1"/>
          <w:sz w:val="20"/>
          <w:szCs w:val="20"/>
        </w:rPr>
        <w:t xml:space="preserve">della produzione dell’interferone I e III nelle cellule epiteliali </w:t>
      </w:r>
      <w:r w:rsidR="00DF3191">
        <w:rPr>
          <w:rFonts w:asciiTheme="minorHAnsi" w:hAnsiTheme="minorHAnsi" w:cstheme="minorHAnsi"/>
          <w:i/>
          <w:iCs/>
          <w:color w:val="000000" w:themeColor="text1"/>
          <w:sz w:val="20"/>
          <w:szCs w:val="20"/>
        </w:rPr>
        <w:t>e dall’esaurimento/deplezione dei linfociti T che favoriscono la persistenza dell’infezione virale.</w:t>
      </w:r>
    </w:p>
    <w:p w:rsidR="00770C42" w:rsidRPr="005D211B"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tabs>
          <w:tab w:val="left" w:pos="8080"/>
          <w:tab w:val="left" w:pos="8505"/>
        </w:tabs>
        <w:ind w:left="284" w:right="701"/>
        <w:jc w:val="both"/>
        <w:rPr>
          <w:rFonts w:asciiTheme="minorHAnsi" w:hAnsiTheme="minorHAnsi" w:cstheme="minorHAnsi"/>
          <w:i/>
          <w:iCs/>
          <w:color w:val="000000" w:themeColor="text1"/>
          <w:sz w:val="20"/>
          <w:szCs w:val="20"/>
        </w:rPr>
      </w:pPr>
    </w:p>
    <w:p w:rsidR="00770C42" w:rsidRPr="005D211B"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tabs>
          <w:tab w:val="left" w:pos="8080"/>
          <w:tab w:val="left" w:pos="8505"/>
        </w:tabs>
        <w:ind w:left="284" w:right="701"/>
        <w:jc w:val="both"/>
        <w:rPr>
          <w:rFonts w:asciiTheme="minorHAnsi" w:hAnsiTheme="minorHAnsi" w:cstheme="minorHAnsi"/>
          <w:i/>
          <w:iCs/>
          <w:color w:val="000000" w:themeColor="text1"/>
          <w:sz w:val="20"/>
          <w:szCs w:val="20"/>
        </w:rPr>
      </w:pPr>
      <w:r w:rsidRPr="005D211B">
        <w:rPr>
          <w:rFonts w:asciiTheme="minorHAnsi" w:hAnsiTheme="minorHAnsi" w:cstheme="minorHAnsi"/>
          <w:i/>
          <w:iCs/>
          <w:color w:val="000000" w:themeColor="text1"/>
          <w:sz w:val="20"/>
          <w:szCs w:val="20"/>
        </w:rPr>
        <w:t xml:space="preserve">Se l’infezione non viene risolta dall’immunità innata si assiste ad una </w:t>
      </w:r>
      <w:r w:rsidRPr="00BD4B44">
        <w:rPr>
          <w:rFonts w:asciiTheme="minorHAnsi" w:hAnsiTheme="minorHAnsi" w:cstheme="minorHAnsi"/>
          <w:b/>
          <w:bCs/>
          <w:i/>
          <w:iCs/>
          <w:color w:val="000000" w:themeColor="text1"/>
          <w:sz w:val="20"/>
          <w:szCs w:val="20"/>
        </w:rPr>
        <w:t>seconda ondata di citochine</w:t>
      </w:r>
      <w:r w:rsidR="00DF3191">
        <w:rPr>
          <w:rFonts w:asciiTheme="minorHAnsi" w:hAnsiTheme="minorHAnsi" w:cstheme="minorHAnsi"/>
          <w:b/>
          <w:bCs/>
          <w:i/>
          <w:iCs/>
          <w:color w:val="000000" w:themeColor="text1"/>
          <w:sz w:val="20"/>
          <w:szCs w:val="20"/>
        </w:rPr>
        <w:t>,</w:t>
      </w:r>
      <w:r w:rsidRPr="005D211B">
        <w:rPr>
          <w:rFonts w:asciiTheme="minorHAnsi" w:hAnsiTheme="minorHAnsi" w:cstheme="minorHAnsi"/>
          <w:i/>
          <w:iCs/>
          <w:color w:val="000000" w:themeColor="text1"/>
          <w:sz w:val="20"/>
          <w:szCs w:val="20"/>
        </w:rPr>
        <w:t xml:space="preserve"> causata da una risposta esagerata da parte del sistema immunitario </w:t>
      </w:r>
      <w:r w:rsidR="00160A30">
        <w:rPr>
          <w:rFonts w:asciiTheme="minorHAnsi" w:hAnsiTheme="minorHAnsi" w:cstheme="minorHAnsi"/>
          <w:i/>
          <w:iCs/>
          <w:color w:val="000000" w:themeColor="text1"/>
          <w:sz w:val="20"/>
          <w:szCs w:val="20"/>
        </w:rPr>
        <w:t xml:space="preserve">sia innato che adattativo </w:t>
      </w:r>
      <w:r>
        <w:rPr>
          <w:rFonts w:asciiTheme="minorHAnsi" w:hAnsiTheme="minorHAnsi" w:cstheme="minorHAnsi"/>
          <w:i/>
          <w:iCs/>
          <w:color w:val="000000" w:themeColor="text1"/>
          <w:sz w:val="20"/>
          <w:szCs w:val="20"/>
        </w:rPr>
        <w:t xml:space="preserve">nel tentativo di contrastare la replicazione virale, </w:t>
      </w:r>
      <w:r w:rsidRPr="005D211B">
        <w:rPr>
          <w:rFonts w:asciiTheme="minorHAnsi" w:hAnsiTheme="minorHAnsi" w:cstheme="minorHAnsi"/>
          <w:i/>
          <w:iCs/>
          <w:color w:val="000000" w:themeColor="text1"/>
          <w:sz w:val="20"/>
          <w:szCs w:val="20"/>
        </w:rPr>
        <w:t xml:space="preserve">che può portare alla </w:t>
      </w:r>
      <w:r w:rsidRPr="00BD4B44">
        <w:rPr>
          <w:rFonts w:asciiTheme="minorHAnsi" w:hAnsiTheme="minorHAnsi" w:cstheme="minorHAnsi"/>
          <w:b/>
          <w:bCs/>
          <w:i/>
          <w:iCs/>
          <w:color w:val="000000" w:themeColor="text1"/>
          <w:sz w:val="20"/>
          <w:szCs w:val="20"/>
        </w:rPr>
        <w:t>sindrome da tempesta di citochine</w:t>
      </w:r>
      <w:r w:rsidRPr="005D211B">
        <w:rPr>
          <w:rFonts w:asciiTheme="minorHAnsi" w:hAnsiTheme="minorHAnsi" w:cstheme="minorHAnsi"/>
          <w:i/>
          <w:iCs/>
          <w:color w:val="000000" w:themeColor="text1"/>
          <w:sz w:val="20"/>
          <w:szCs w:val="20"/>
        </w:rPr>
        <w:t xml:space="preserve"> </w:t>
      </w:r>
      <w:r w:rsidRPr="00BD4B44">
        <w:rPr>
          <w:rFonts w:asciiTheme="minorHAnsi" w:hAnsiTheme="minorHAnsi" w:cstheme="minorHAnsi"/>
          <w:b/>
          <w:bCs/>
          <w:i/>
          <w:iCs/>
          <w:color w:val="000000" w:themeColor="text1"/>
          <w:sz w:val="20"/>
          <w:szCs w:val="20"/>
        </w:rPr>
        <w:t>e ai suoi sottotipi</w:t>
      </w:r>
      <w:r w:rsidRPr="005D211B">
        <w:rPr>
          <w:rFonts w:asciiTheme="minorHAnsi" w:hAnsiTheme="minorHAnsi" w:cstheme="minorHAnsi"/>
          <w:i/>
          <w:iCs/>
          <w:color w:val="000000" w:themeColor="text1"/>
          <w:sz w:val="20"/>
          <w:szCs w:val="20"/>
        </w:rPr>
        <w:t xml:space="preserve"> (la sindrome da attivazione macrofagica mediata </w:t>
      </w:r>
      <w:r w:rsidRPr="00BD4B44">
        <w:rPr>
          <w:rFonts w:asciiTheme="minorHAnsi" w:hAnsiTheme="minorHAnsi" w:cstheme="minorHAnsi"/>
          <w:i/>
          <w:iCs/>
          <w:color w:val="000000" w:themeColor="text1"/>
          <w:sz w:val="20"/>
          <w:szCs w:val="20"/>
        </w:rPr>
        <w:t>dall’</w:t>
      </w:r>
      <w:r w:rsidRPr="00BD4B44">
        <w:rPr>
          <w:rFonts w:asciiTheme="minorHAnsi" w:hAnsiTheme="minorHAnsi" w:cstheme="minorHAnsi"/>
          <w:i/>
          <w:iCs/>
          <w:sz w:val="20"/>
          <w:szCs w:val="20"/>
        </w:rPr>
        <w:t>IL-1</w:t>
      </w:r>
      <w:r w:rsidR="00592B0F">
        <w:rPr>
          <w:rFonts w:ascii="Calibri" w:hAnsi="Calibri" w:cs="Calibri"/>
          <w:i/>
          <w:iCs/>
          <w:sz w:val="20"/>
          <w:szCs w:val="20"/>
        </w:rPr>
        <w:t>ß</w:t>
      </w:r>
      <w:r w:rsidRPr="00BD4B44">
        <w:rPr>
          <w:rFonts w:asciiTheme="minorHAnsi" w:hAnsiTheme="minorHAnsi" w:cstheme="minorHAnsi"/>
          <w:i/>
          <w:iCs/>
          <w:sz w:val="20"/>
          <w:szCs w:val="20"/>
        </w:rPr>
        <w:t>, la sindrome da rilascio di citochine mediata dall’IL-6, e la sindrome da iperferritinemia)</w:t>
      </w:r>
      <w:r w:rsidR="000C39B3">
        <w:rPr>
          <w:rFonts w:asciiTheme="minorHAnsi" w:hAnsiTheme="minorHAnsi" w:cstheme="minorHAnsi"/>
          <w:i/>
          <w:iCs/>
          <w:sz w:val="20"/>
          <w:szCs w:val="20"/>
        </w:rPr>
        <w:t>.</w:t>
      </w:r>
    </w:p>
    <w:p w:rsidR="00770C42"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ind w:left="284" w:right="701"/>
        <w:jc w:val="both"/>
        <w:rPr>
          <w:rFonts w:asciiTheme="minorHAnsi" w:hAnsiTheme="minorHAnsi" w:cstheme="minorHAnsi"/>
          <w:color w:val="000000" w:themeColor="text1"/>
          <w:sz w:val="20"/>
          <w:szCs w:val="20"/>
        </w:rPr>
      </w:pPr>
    </w:p>
    <w:p w:rsidR="00160A30"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ind w:left="284" w:right="701"/>
        <w:jc w:val="both"/>
        <w:rPr>
          <w:rFonts w:asciiTheme="minorHAnsi" w:hAnsiTheme="minorHAnsi" w:cstheme="minorHAnsi"/>
          <w:color w:val="000000"/>
          <w:sz w:val="20"/>
          <w:szCs w:val="20"/>
          <w:shd w:val="clear" w:color="auto" w:fill="FCFFD1"/>
        </w:rPr>
      </w:pPr>
      <w:r w:rsidRPr="00663C61">
        <w:rPr>
          <w:rFonts w:asciiTheme="minorHAnsi" w:hAnsiTheme="minorHAnsi" w:cstheme="minorHAnsi"/>
          <w:b/>
          <w:bCs/>
          <w:color w:val="000000" w:themeColor="text1"/>
          <w:sz w:val="20"/>
          <w:szCs w:val="20"/>
        </w:rPr>
        <w:t>Quando il virus infetta le</w:t>
      </w:r>
      <w:r>
        <w:rPr>
          <w:rFonts w:asciiTheme="minorHAnsi" w:hAnsiTheme="minorHAnsi" w:cstheme="minorHAnsi"/>
          <w:color w:val="000000" w:themeColor="text1"/>
          <w:sz w:val="20"/>
          <w:szCs w:val="20"/>
        </w:rPr>
        <w:t xml:space="preserve"> </w:t>
      </w:r>
      <w:r w:rsidRPr="00770C42">
        <w:rPr>
          <w:rFonts w:asciiTheme="minorHAnsi" w:hAnsiTheme="minorHAnsi" w:cstheme="minorHAnsi"/>
          <w:b/>
          <w:bCs/>
          <w:color w:val="000000" w:themeColor="text1"/>
          <w:sz w:val="20"/>
          <w:szCs w:val="20"/>
        </w:rPr>
        <w:t>cellule epiteliali</w:t>
      </w:r>
      <w:r>
        <w:rPr>
          <w:rFonts w:asciiTheme="minorHAnsi" w:hAnsiTheme="minorHAnsi" w:cstheme="minorHAnsi"/>
          <w:color w:val="000000" w:themeColor="text1"/>
          <w:sz w:val="20"/>
          <w:szCs w:val="20"/>
        </w:rPr>
        <w:t xml:space="preserve"> che presentano il recettore ACE2 in superficie</w:t>
      </w:r>
      <w:r w:rsidR="00160A30">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riesce ad evadere la risposta immunitaria antivirale bloccando la produzione degli interferoni di tipo I e </w:t>
      </w:r>
      <w:r w:rsidR="00592B0F">
        <w:rPr>
          <w:rFonts w:asciiTheme="minorHAnsi" w:hAnsiTheme="minorHAnsi" w:cstheme="minorHAnsi"/>
          <w:color w:val="000000" w:themeColor="text1"/>
          <w:sz w:val="20"/>
          <w:szCs w:val="20"/>
        </w:rPr>
        <w:t>delle</w:t>
      </w:r>
      <w:r>
        <w:rPr>
          <w:rFonts w:asciiTheme="minorHAnsi" w:hAnsiTheme="minorHAnsi" w:cstheme="minorHAnsi"/>
          <w:color w:val="000000" w:themeColor="text1"/>
          <w:sz w:val="20"/>
          <w:szCs w:val="20"/>
        </w:rPr>
        <w:t xml:space="preserve"> citochine infiammatorie </w:t>
      </w:r>
      <w:r w:rsidRPr="00770C42">
        <w:rPr>
          <w:rFonts w:asciiTheme="minorHAnsi" w:hAnsiTheme="minorHAnsi" w:cstheme="minorHAnsi"/>
          <w:color w:val="000000" w:themeColor="text1"/>
          <w:sz w:val="20"/>
          <w:szCs w:val="20"/>
        </w:rPr>
        <w:t>(</w:t>
      </w:r>
      <w:r w:rsidRPr="000E20D5">
        <w:rPr>
          <w:rFonts w:asciiTheme="minorHAnsi" w:hAnsiTheme="minorHAnsi" w:cstheme="minorHAnsi"/>
          <w:color w:val="000000"/>
          <w:sz w:val="20"/>
          <w:szCs w:val="20"/>
          <w:shd w:val="clear" w:color="auto" w:fill="FBF9E1"/>
        </w:rPr>
        <w:t>IL-1, IL-6 e TNF-α).</w:t>
      </w:r>
    </w:p>
    <w:p w:rsidR="00770C42" w:rsidRDefault="00FB1A0B" w:rsidP="000E20D5">
      <w:pPr>
        <w:pStyle w:val="ListParagraph"/>
        <w:pBdr>
          <w:top w:val="single" w:sz="4" w:space="1" w:color="auto"/>
          <w:left w:val="single" w:sz="4" w:space="5" w:color="auto"/>
          <w:bottom w:val="single" w:sz="4" w:space="1" w:color="auto"/>
          <w:right w:val="single" w:sz="4" w:space="4" w:color="auto"/>
        </w:pBdr>
        <w:shd w:val="clear" w:color="auto" w:fill="FBF9E1"/>
        <w:ind w:left="284" w:right="701"/>
        <w:jc w:val="both"/>
        <w:rPr>
          <w:rFonts w:asciiTheme="minorHAnsi" w:hAnsiTheme="minorHAnsi" w:cstheme="minorHAnsi"/>
          <w:color w:val="000000"/>
          <w:sz w:val="20"/>
          <w:szCs w:val="20"/>
          <w:shd w:val="clear" w:color="auto" w:fill="FCFFD1"/>
        </w:rPr>
      </w:pPr>
      <w:r w:rsidRPr="000E20D5">
        <w:rPr>
          <w:rFonts w:asciiTheme="minorHAnsi" w:hAnsiTheme="minorHAnsi" w:cstheme="minorHAnsi"/>
          <w:color w:val="000000"/>
          <w:sz w:val="20"/>
          <w:szCs w:val="20"/>
          <w:shd w:val="clear" w:color="auto" w:fill="FBF9E1"/>
        </w:rPr>
        <w:t xml:space="preserve">L’eccessiva replicazione virale e la morte delle cellule epiteliali </w:t>
      </w:r>
      <w:r w:rsidR="006944F2" w:rsidRPr="000E20D5">
        <w:rPr>
          <w:rFonts w:asciiTheme="minorHAnsi" w:hAnsiTheme="minorHAnsi" w:cstheme="minorHAnsi"/>
          <w:color w:val="000000"/>
          <w:sz w:val="20"/>
          <w:szCs w:val="20"/>
          <w:shd w:val="clear" w:color="auto" w:fill="FBF9E1"/>
        </w:rPr>
        <w:t>richiamano</w:t>
      </w:r>
      <w:r w:rsidRPr="000E20D5">
        <w:rPr>
          <w:rFonts w:asciiTheme="minorHAnsi" w:hAnsiTheme="minorHAnsi" w:cstheme="minorHAnsi"/>
          <w:color w:val="000000"/>
          <w:sz w:val="20"/>
          <w:szCs w:val="20"/>
          <w:shd w:val="clear" w:color="auto" w:fill="FBF9E1"/>
        </w:rPr>
        <w:t xml:space="preserve"> dal flusso sanguigno le cellule del sistema immunitario innato che internalizzano il virus e attivano </w:t>
      </w:r>
      <w:r w:rsidR="00160A30" w:rsidRPr="000E20D5">
        <w:rPr>
          <w:rFonts w:asciiTheme="minorHAnsi" w:hAnsiTheme="minorHAnsi" w:cstheme="minorHAnsi"/>
          <w:color w:val="000000"/>
          <w:sz w:val="20"/>
          <w:szCs w:val="20"/>
          <w:shd w:val="clear" w:color="auto" w:fill="FBF9E1"/>
        </w:rPr>
        <w:t>la</w:t>
      </w:r>
      <w:r w:rsidRPr="000E20D5">
        <w:rPr>
          <w:rFonts w:asciiTheme="minorHAnsi" w:hAnsiTheme="minorHAnsi" w:cstheme="minorHAnsi"/>
          <w:color w:val="000000"/>
          <w:sz w:val="20"/>
          <w:szCs w:val="20"/>
          <w:shd w:val="clear" w:color="auto" w:fill="FBF9E1"/>
        </w:rPr>
        <w:t xml:space="preserve"> risposta infiammatoria</w:t>
      </w:r>
      <w:r w:rsidR="00160A30" w:rsidRPr="000E20D5">
        <w:rPr>
          <w:rFonts w:asciiTheme="minorHAnsi" w:hAnsiTheme="minorHAnsi" w:cstheme="minorHAnsi"/>
          <w:color w:val="000000"/>
          <w:sz w:val="20"/>
          <w:szCs w:val="20"/>
          <w:shd w:val="clear" w:color="auto" w:fill="FBF9E1"/>
        </w:rPr>
        <w:t>,</w:t>
      </w:r>
      <w:r w:rsidRPr="000E20D5">
        <w:rPr>
          <w:rFonts w:asciiTheme="minorHAnsi" w:hAnsiTheme="minorHAnsi" w:cstheme="minorHAnsi"/>
          <w:color w:val="000000"/>
          <w:sz w:val="20"/>
          <w:szCs w:val="20"/>
          <w:shd w:val="clear" w:color="auto" w:fill="FBF9E1"/>
        </w:rPr>
        <w:t xml:space="preserve"> con lo scopo di bloccare la replicazione del virus</w:t>
      </w:r>
      <w:r w:rsidR="00160A30" w:rsidRPr="000E20D5">
        <w:rPr>
          <w:rFonts w:asciiTheme="minorHAnsi" w:hAnsiTheme="minorHAnsi" w:cstheme="minorHAnsi"/>
          <w:color w:val="000000"/>
          <w:sz w:val="20"/>
          <w:szCs w:val="20"/>
          <w:shd w:val="clear" w:color="auto" w:fill="FBF9E1"/>
        </w:rPr>
        <w:t>,</w:t>
      </w:r>
      <w:r w:rsidRPr="000E20D5">
        <w:rPr>
          <w:rFonts w:asciiTheme="minorHAnsi" w:hAnsiTheme="minorHAnsi" w:cstheme="minorHAnsi"/>
          <w:color w:val="000000"/>
          <w:sz w:val="20"/>
          <w:szCs w:val="20"/>
          <w:shd w:val="clear" w:color="auto" w:fill="FBF9E1"/>
        </w:rPr>
        <w:t xml:space="preserve"> che però porta ad un maggiore danno tissutale</w:t>
      </w:r>
      <w:r w:rsidR="006944F2">
        <w:rPr>
          <w:rFonts w:asciiTheme="minorHAnsi" w:hAnsiTheme="minorHAnsi" w:cstheme="minorHAnsi"/>
          <w:color w:val="000000"/>
          <w:sz w:val="20"/>
          <w:szCs w:val="20"/>
          <w:shd w:val="clear" w:color="auto" w:fill="FCFFD1"/>
        </w:rPr>
        <w:t>.</w:t>
      </w:r>
    </w:p>
    <w:p w:rsidR="00770C42"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ind w:left="284" w:right="701"/>
        <w:jc w:val="both"/>
        <w:rPr>
          <w:rFonts w:asciiTheme="minorHAnsi" w:hAnsiTheme="minorHAnsi" w:cstheme="minorHAnsi"/>
          <w:color w:val="000000"/>
          <w:sz w:val="20"/>
          <w:szCs w:val="20"/>
          <w:shd w:val="clear" w:color="auto" w:fill="FCFFD1"/>
        </w:rPr>
      </w:pPr>
    </w:p>
    <w:p w:rsidR="00770C42" w:rsidRPr="005D211B"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ind w:left="284" w:right="701"/>
        <w:jc w:val="both"/>
        <w:rPr>
          <w:rFonts w:asciiTheme="minorHAnsi" w:hAnsiTheme="minorHAnsi" w:cstheme="minorHAnsi"/>
          <w:color w:val="000000" w:themeColor="text1"/>
          <w:sz w:val="20"/>
          <w:szCs w:val="20"/>
        </w:rPr>
      </w:pPr>
      <w:r w:rsidRPr="000E20D5">
        <w:rPr>
          <w:rFonts w:asciiTheme="minorHAnsi" w:hAnsiTheme="minorHAnsi" w:cstheme="minorHAnsi"/>
          <w:b/>
          <w:bCs/>
          <w:color w:val="000000"/>
          <w:sz w:val="20"/>
          <w:szCs w:val="20"/>
          <w:shd w:val="clear" w:color="auto" w:fill="FBF9E1"/>
        </w:rPr>
        <w:t xml:space="preserve">Quando il virus infetta le cellule del sistema immunitario </w:t>
      </w:r>
      <w:r w:rsidR="00663C61" w:rsidRPr="000E20D5">
        <w:rPr>
          <w:rFonts w:asciiTheme="minorHAnsi" w:hAnsiTheme="minorHAnsi" w:cstheme="minorHAnsi"/>
          <w:color w:val="000000"/>
          <w:sz w:val="20"/>
          <w:szCs w:val="20"/>
          <w:shd w:val="clear" w:color="auto" w:fill="FBF9E1"/>
        </w:rPr>
        <w:t>(monociti e macrofagi tissutali)</w:t>
      </w:r>
      <w:r w:rsidR="006944F2" w:rsidRPr="000E20D5">
        <w:rPr>
          <w:rFonts w:asciiTheme="minorHAnsi" w:hAnsiTheme="minorHAnsi" w:cstheme="minorHAnsi"/>
          <w:color w:val="000000"/>
          <w:sz w:val="20"/>
          <w:szCs w:val="20"/>
          <w:shd w:val="clear" w:color="auto" w:fill="FBF9E1"/>
        </w:rPr>
        <w:t xml:space="preserve"> entra come</w:t>
      </w:r>
      <w:r w:rsidR="00663C61" w:rsidRPr="000E20D5">
        <w:rPr>
          <w:rFonts w:asciiTheme="minorHAnsi" w:hAnsiTheme="minorHAnsi" w:cstheme="minorHAnsi"/>
          <w:color w:val="000000"/>
          <w:sz w:val="20"/>
          <w:szCs w:val="20"/>
          <w:shd w:val="clear" w:color="auto" w:fill="FBF9E1"/>
        </w:rPr>
        <w:t xml:space="preserve"> complesso con </w:t>
      </w:r>
      <w:r w:rsidR="006944F2" w:rsidRPr="000E20D5">
        <w:rPr>
          <w:rFonts w:asciiTheme="minorHAnsi" w:hAnsiTheme="minorHAnsi" w:cstheme="minorHAnsi"/>
          <w:color w:val="000000"/>
          <w:sz w:val="20"/>
          <w:szCs w:val="20"/>
          <w:shd w:val="clear" w:color="auto" w:fill="FBF9E1"/>
        </w:rPr>
        <w:t xml:space="preserve">gli </w:t>
      </w:r>
      <w:r w:rsidR="00663C61" w:rsidRPr="000E20D5">
        <w:rPr>
          <w:rFonts w:asciiTheme="minorHAnsi" w:hAnsiTheme="minorHAnsi" w:cstheme="minorHAnsi"/>
          <w:color w:val="000000"/>
          <w:sz w:val="20"/>
          <w:szCs w:val="20"/>
          <w:shd w:val="clear" w:color="auto" w:fill="FBF9E1"/>
        </w:rPr>
        <w:t xml:space="preserve">anticorpi </w:t>
      </w:r>
      <w:r w:rsidR="00592B0F" w:rsidRPr="000E20D5">
        <w:rPr>
          <w:rFonts w:asciiTheme="minorHAnsi" w:hAnsiTheme="minorHAnsi" w:cstheme="minorHAnsi"/>
          <w:color w:val="000000"/>
          <w:sz w:val="20"/>
          <w:szCs w:val="20"/>
          <w:shd w:val="clear" w:color="auto" w:fill="FBF9E1"/>
        </w:rPr>
        <w:t xml:space="preserve">(immunocomplesso) </w:t>
      </w:r>
      <w:r w:rsidR="00663C61" w:rsidRPr="000E20D5">
        <w:rPr>
          <w:rFonts w:asciiTheme="minorHAnsi" w:hAnsiTheme="minorHAnsi" w:cstheme="minorHAnsi"/>
          <w:color w:val="000000"/>
          <w:sz w:val="20"/>
          <w:szCs w:val="20"/>
          <w:shd w:val="clear" w:color="auto" w:fill="FBF9E1"/>
        </w:rPr>
        <w:t>attraverso</w:t>
      </w:r>
      <w:r w:rsidR="006944F2" w:rsidRPr="000E20D5">
        <w:rPr>
          <w:rFonts w:asciiTheme="minorHAnsi" w:hAnsiTheme="minorHAnsi" w:cstheme="minorHAnsi"/>
          <w:color w:val="000000"/>
          <w:sz w:val="20"/>
          <w:szCs w:val="20"/>
          <w:shd w:val="clear" w:color="auto" w:fill="FBF9E1"/>
        </w:rPr>
        <w:t xml:space="preserve"> il legame con </w:t>
      </w:r>
      <w:r w:rsidR="00663C61" w:rsidRPr="000E20D5">
        <w:rPr>
          <w:rFonts w:asciiTheme="minorHAnsi" w:hAnsiTheme="minorHAnsi" w:cstheme="minorHAnsi"/>
          <w:color w:val="000000"/>
          <w:sz w:val="20"/>
          <w:szCs w:val="20"/>
          <w:shd w:val="clear" w:color="auto" w:fill="FBF9E1"/>
        </w:rPr>
        <w:t>il recettore Fc</w:t>
      </w:r>
      <w:r w:rsidR="00FB1A0B" w:rsidRPr="000E20D5">
        <w:rPr>
          <w:rFonts w:ascii="Calibri" w:hAnsi="Calibri" w:cs="Calibri"/>
          <w:color w:val="000000"/>
          <w:sz w:val="20"/>
          <w:szCs w:val="20"/>
          <w:shd w:val="clear" w:color="auto" w:fill="FBF9E1"/>
        </w:rPr>
        <w:t>y</w:t>
      </w:r>
      <w:r w:rsidR="006944F2" w:rsidRPr="000E20D5">
        <w:rPr>
          <w:rFonts w:ascii="Calibri" w:hAnsi="Calibri" w:cs="Calibri"/>
          <w:color w:val="000000"/>
          <w:sz w:val="20"/>
          <w:szCs w:val="20"/>
          <w:shd w:val="clear" w:color="auto" w:fill="FBF9E1"/>
        </w:rPr>
        <w:t xml:space="preserve"> presente sulla superficie di queste cellule</w:t>
      </w:r>
      <w:r w:rsidR="00663C61" w:rsidRPr="000E20D5">
        <w:rPr>
          <w:rFonts w:asciiTheme="minorHAnsi" w:hAnsiTheme="minorHAnsi" w:cstheme="minorHAnsi"/>
          <w:color w:val="000000"/>
          <w:sz w:val="20"/>
          <w:szCs w:val="20"/>
          <w:shd w:val="clear" w:color="auto" w:fill="FBF9E1"/>
        </w:rPr>
        <w:t>, blocca la produzione degli interferoni e altri mediatori antivirali ma stimola un’alta produzione d</w:t>
      </w:r>
      <w:r w:rsidR="006944F2" w:rsidRPr="000E20D5">
        <w:rPr>
          <w:rFonts w:asciiTheme="minorHAnsi" w:hAnsiTheme="minorHAnsi" w:cstheme="minorHAnsi"/>
          <w:color w:val="000000"/>
          <w:sz w:val="20"/>
          <w:szCs w:val="20"/>
          <w:shd w:val="clear" w:color="auto" w:fill="FBF9E1"/>
        </w:rPr>
        <w:t>i</w:t>
      </w:r>
      <w:r w:rsidR="00663C61" w:rsidRPr="000E20D5">
        <w:rPr>
          <w:rFonts w:asciiTheme="minorHAnsi" w:hAnsiTheme="minorHAnsi" w:cstheme="minorHAnsi"/>
          <w:color w:val="000000"/>
          <w:sz w:val="20"/>
          <w:szCs w:val="20"/>
          <w:shd w:val="clear" w:color="auto" w:fill="FBF9E1"/>
        </w:rPr>
        <w:t xml:space="preserve"> citochine proinfiammatorie che portano alla tempesta di citochine e al danno tissutale grave (potenziamento della malattia mediata dall’anticorpo</w:t>
      </w:r>
      <w:r w:rsidR="006944F2" w:rsidRPr="000E20D5">
        <w:rPr>
          <w:rFonts w:asciiTheme="minorHAnsi" w:hAnsiTheme="minorHAnsi" w:cstheme="minorHAnsi"/>
          <w:color w:val="000000"/>
          <w:sz w:val="20"/>
          <w:szCs w:val="20"/>
          <w:shd w:val="clear" w:color="auto" w:fill="FBF9E1"/>
        </w:rPr>
        <w:t xml:space="preserve"> - ADE</w:t>
      </w:r>
      <w:r w:rsidR="00663C61">
        <w:rPr>
          <w:rFonts w:asciiTheme="minorHAnsi" w:hAnsiTheme="minorHAnsi" w:cstheme="minorHAnsi"/>
          <w:color w:val="000000"/>
          <w:sz w:val="20"/>
          <w:szCs w:val="20"/>
          <w:shd w:val="clear" w:color="auto" w:fill="FCFFD1"/>
        </w:rPr>
        <w:t>)</w:t>
      </w:r>
    </w:p>
    <w:p w:rsidR="00770C42" w:rsidRDefault="00770C42" w:rsidP="000E20D5">
      <w:pPr>
        <w:pStyle w:val="ListParagraph"/>
        <w:pBdr>
          <w:top w:val="single" w:sz="4" w:space="1" w:color="auto"/>
          <w:left w:val="single" w:sz="4" w:space="5" w:color="auto"/>
          <w:bottom w:val="single" w:sz="4" w:space="1" w:color="auto"/>
          <w:right w:val="single" w:sz="4" w:space="4" w:color="auto"/>
        </w:pBdr>
        <w:shd w:val="clear" w:color="auto" w:fill="FBF9E1"/>
        <w:ind w:left="284" w:right="701"/>
        <w:jc w:val="both"/>
        <w:rPr>
          <w:rFonts w:asciiTheme="minorHAnsi" w:hAnsiTheme="minorHAnsi" w:cstheme="minorHAnsi"/>
          <w:color w:val="000000" w:themeColor="text1"/>
          <w:sz w:val="20"/>
          <w:szCs w:val="20"/>
        </w:rPr>
      </w:pPr>
    </w:p>
    <w:p w:rsidR="00FB1A0B" w:rsidRDefault="00FB1A0B" w:rsidP="000E20D5">
      <w:pPr>
        <w:pStyle w:val="ListParagraph"/>
        <w:pBdr>
          <w:top w:val="single" w:sz="4" w:space="1" w:color="auto"/>
          <w:left w:val="single" w:sz="4" w:space="5" w:color="auto"/>
          <w:bottom w:val="single" w:sz="4" w:space="1" w:color="auto"/>
          <w:right w:val="single" w:sz="4" w:space="4" w:color="auto"/>
        </w:pBdr>
        <w:shd w:val="clear" w:color="auto" w:fill="FBF9E1"/>
        <w:ind w:left="284" w:right="701"/>
        <w:jc w:val="both"/>
        <w:rPr>
          <w:rFonts w:asciiTheme="minorHAnsi" w:hAnsiTheme="minorHAnsi" w:cstheme="minorHAnsi"/>
          <w:color w:val="000000" w:themeColor="text1"/>
          <w:sz w:val="20"/>
          <w:szCs w:val="20"/>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bookmarkStart w:id="57" w:name="_Toc43342389"/>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A833D2" w:rsidRDefault="00A833D2" w:rsidP="00A833D2">
      <w:pPr>
        <w:pStyle w:val="Heading3"/>
        <w:shd w:val="clear" w:color="auto" w:fill="FFFFFF" w:themeFill="background1"/>
        <w:spacing w:before="0" w:beforeAutospacing="0" w:after="0" w:afterAutospacing="0"/>
        <w:jc w:val="center"/>
        <w:rPr>
          <w:rStyle w:val="Heading2Char"/>
          <w:rFonts w:asciiTheme="minorHAnsi" w:hAnsiTheme="minorHAnsi"/>
          <w:color w:val="C00000"/>
          <w:sz w:val="24"/>
          <w:szCs w:val="24"/>
        </w:rPr>
      </w:pPr>
    </w:p>
    <w:p w:rsidR="008D24FB" w:rsidRPr="00FD618B" w:rsidRDefault="008D24FB" w:rsidP="00FD618B">
      <w:pPr>
        <w:pStyle w:val="Heading3"/>
        <w:shd w:val="clear" w:color="auto" w:fill="E2EFD9" w:themeFill="accent6" w:themeFillTint="33"/>
        <w:spacing w:before="0" w:beforeAutospacing="0" w:after="0" w:afterAutospacing="0"/>
        <w:jc w:val="center"/>
        <w:rPr>
          <w:rStyle w:val="Heading2Char"/>
          <w:rFonts w:asciiTheme="minorHAnsi" w:hAnsiTheme="minorHAnsi"/>
          <w:color w:val="C00000"/>
          <w:sz w:val="24"/>
          <w:szCs w:val="24"/>
        </w:rPr>
      </w:pPr>
      <w:r w:rsidRPr="00FD618B">
        <w:rPr>
          <w:rStyle w:val="Heading2Char"/>
          <w:rFonts w:asciiTheme="minorHAnsi" w:hAnsiTheme="minorHAnsi"/>
          <w:color w:val="C00000"/>
          <w:sz w:val="24"/>
          <w:szCs w:val="24"/>
        </w:rPr>
        <w:lastRenderedPageBreak/>
        <w:t xml:space="preserve">Il meccanismo dell’ADE nell’induzione del COVID-19 </w:t>
      </w:r>
      <w:r w:rsidRPr="00FD618B">
        <w:rPr>
          <w:rStyle w:val="FootnoteReference"/>
          <w:rFonts w:asciiTheme="minorHAnsi" w:hAnsiTheme="minorHAnsi"/>
          <w:color w:val="C00000"/>
          <w:sz w:val="24"/>
          <w:szCs w:val="24"/>
          <w:shd w:val="clear" w:color="auto" w:fill="E2EFD9" w:themeFill="accent6" w:themeFillTint="33"/>
        </w:rPr>
        <w:footnoteReference w:id="81"/>
      </w:r>
      <w:bookmarkEnd w:id="57"/>
    </w:p>
    <w:p w:rsidR="00D2627D" w:rsidRPr="003843FE" w:rsidRDefault="00D2627D" w:rsidP="00A73F82">
      <w:pPr>
        <w:pStyle w:val="Heading3"/>
        <w:spacing w:before="0" w:beforeAutospacing="0" w:after="0" w:afterAutospacing="0"/>
        <w:jc w:val="center"/>
        <w:rPr>
          <w:rFonts w:asciiTheme="minorHAnsi" w:hAnsiTheme="minorHAnsi"/>
          <w:color w:val="000000" w:themeColor="text1"/>
          <w:sz w:val="20"/>
          <w:szCs w:val="20"/>
          <w:shd w:val="clear" w:color="auto" w:fill="FFFFFF"/>
        </w:rPr>
      </w:pPr>
    </w:p>
    <w:p w:rsidR="009E6DDC" w:rsidRDefault="005E0372" w:rsidP="00D2627D">
      <w:pPr>
        <w:jc w:val="both"/>
        <w:rPr>
          <w:rFonts w:asciiTheme="minorHAnsi" w:hAnsiTheme="minorHAnsi"/>
          <w:color w:val="000000" w:themeColor="text1"/>
          <w:sz w:val="20"/>
          <w:szCs w:val="20"/>
          <w:shd w:val="clear" w:color="auto" w:fill="FFFFFF"/>
        </w:rPr>
      </w:pPr>
      <w:r w:rsidRPr="00160A30">
        <w:rPr>
          <w:rFonts w:asciiTheme="minorHAnsi" w:hAnsiTheme="minorHAnsi"/>
          <w:color w:val="000000" w:themeColor="text1"/>
          <w:sz w:val="20"/>
          <w:szCs w:val="20"/>
          <w:shd w:val="clear" w:color="auto" w:fill="FFFFFF"/>
        </w:rPr>
        <w:t xml:space="preserve">La sensibilizzazione della risposta immunitaria umorale ai virus patogeni e la produzione di anticorpi antivirali fanno parte del repertorio antivirale dell’ospite. </w:t>
      </w:r>
    </w:p>
    <w:p w:rsidR="009E6DDC" w:rsidRDefault="005E0372" w:rsidP="00D2627D">
      <w:pPr>
        <w:jc w:val="both"/>
        <w:rPr>
          <w:rFonts w:asciiTheme="minorHAnsi" w:hAnsiTheme="minorHAnsi"/>
          <w:color w:val="000000" w:themeColor="text1"/>
          <w:sz w:val="20"/>
          <w:szCs w:val="20"/>
          <w:shd w:val="clear" w:color="auto" w:fill="FFFFFF"/>
        </w:rPr>
      </w:pPr>
      <w:r w:rsidRPr="00160A30">
        <w:rPr>
          <w:rFonts w:asciiTheme="minorHAnsi" w:hAnsiTheme="minorHAnsi"/>
          <w:color w:val="000000" w:themeColor="text1"/>
          <w:sz w:val="20"/>
          <w:szCs w:val="20"/>
          <w:shd w:val="clear" w:color="auto" w:fill="FFFFFF"/>
        </w:rPr>
        <w:t xml:space="preserve">Paradossalmente, </w:t>
      </w:r>
      <w:r w:rsidRPr="009E6DDC">
        <w:rPr>
          <w:rFonts w:asciiTheme="minorHAnsi" w:hAnsiTheme="minorHAnsi"/>
          <w:b/>
          <w:bCs/>
          <w:color w:val="000000" w:themeColor="text1"/>
          <w:sz w:val="20"/>
          <w:szCs w:val="20"/>
          <w:shd w:val="clear" w:color="auto" w:fill="FFFFFF"/>
        </w:rPr>
        <w:t>per un certo numero di agenti patogeni virali, in determinate condizioni, gli anticorpi forniscono un mezzo per un migliore ingresso e un’aumentata replicazione del virus in numerosi tipi di cellule</w:t>
      </w:r>
      <w:r w:rsidRPr="00160A30">
        <w:rPr>
          <w:rFonts w:asciiTheme="minorHAnsi" w:hAnsiTheme="minorHAnsi"/>
          <w:color w:val="000000" w:themeColor="text1"/>
          <w:sz w:val="20"/>
          <w:szCs w:val="20"/>
          <w:shd w:val="clear" w:color="auto" w:fill="FFFFFF"/>
        </w:rPr>
        <w:t xml:space="preserve">. </w:t>
      </w:r>
    </w:p>
    <w:p w:rsidR="009E6DDC" w:rsidRDefault="009E6DDC" w:rsidP="00D2627D">
      <w:pPr>
        <w:jc w:val="both"/>
        <w:rPr>
          <w:rFonts w:asciiTheme="minorHAnsi" w:hAnsiTheme="minorHAnsi"/>
          <w:color w:val="000000" w:themeColor="text1"/>
          <w:sz w:val="20"/>
          <w:szCs w:val="20"/>
          <w:shd w:val="clear" w:color="auto" w:fill="FFFFFF"/>
        </w:rPr>
      </w:pPr>
    </w:p>
    <w:p w:rsidR="00A944DC" w:rsidRDefault="00A944DC" w:rsidP="00A944DC">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851" w:right="1127"/>
        <w:jc w:val="both"/>
        <w:rPr>
          <w:rFonts w:asciiTheme="minorHAnsi" w:hAnsiTheme="minorHAnsi"/>
          <w:i/>
          <w:iCs/>
          <w:color w:val="000000" w:themeColor="text1"/>
          <w:sz w:val="20"/>
          <w:szCs w:val="20"/>
          <w:shd w:val="clear" w:color="auto" w:fill="FBF9E1"/>
        </w:rPr>
      </w:pPr>
    </w:p>
    <w:p w:rsidR="009E6DDC" w:rsidRDefault="005E0372" w:rsidP="00A944DC">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851" w:right="1127"/>
        <w:jc w:val="both"/>
        <w:rPr>
          <w:rFonts w:asciiTheme="minorHAnsi" w:hAnsiTheme="minorHAnsi"/>
          <w:i/>
          <w:iCs/>
          <w:color w:val="000000" w:themeColor="text1"/>
          <w:sz w:val="20"/>
          <w:szCs w:val="20"/>
          <w:shd w:val="clear" w:color="auto" w:fill="FFFFFF"/>
        </w:rPr>
      </w:pPr>
      <w:r w:rsidRPr="00A944DC">
        <w:rPr>
          <w:rFonts w:asciiTheme="minorHAnsi" w:hAnsiTheme="minorHAnsi"/>
          <w:i/>
          <w:iCs/>
          <w:color w:val="000000" w:themeColor="text1"/>
          <w:sz w:val="20"/>
          <w:szCs w:val="20"/>
          <w:shd w:val="clear" w:color="auto" w:fill="FBF9E1"/>
        </w:rPr>
        <w:t xml:space="preserve">Conosciuto come </w:t>
      </w:r>
      <w:r w:rsidRPr="00A944DC">
        <w:rPr>
          <w:rFonts w:asciiTheme="minorHAnsi" w:hAnsiTheme="minorHAnsi"/>
          <w:b/>
          <w:bCs/>
          <w:i/>
          <w:iCs/>
          <w:color w:val="000000" w:themeColor="text1"/>
          <w:sz w:val="20"/>
          <w:szCs w:val="20"/>
          <w:shd w:val="clear" w:color="auto" w:fill="FBF9E1"/>
        </w:rPr>
        <w:t>potenziamento dell'infezione dipendente dall'anticorpo (ADE)</w:t>
      </w:r>
      <w:r w:rsidRPr="00A944DC">
        <w:rPr>
          <w:rFonts w:asciiTheme="minorHAnsi" w:hAnsiTheme="minorHAnsi"/>
          <w:i/>
          <w:iCs/>
          <w:color w:val="000000" w:themeColor="text1"/>
          <w:sz w:val="20"/>
          <w:szCs w:val="20"/>
          <w:shd w:val="clear" w:color="auto" w:fill="FBF9E1"/>
        </w:rPr>
        <w:t xml:space="preserve">, il fenomeno si verifica quando gli immunocomplessi virus-anticorpo interagiscono con cellule legate al complemento </w:t>
      </w:r>
      <w:r w:rsidR="0023722E" w:rsidRPr="00A944DC">
        <w:rPr>
          <w:rFonts w:asciiTheme="minorHAnsi" w:hAnsiTheme="minorHAnsi"/>
          <w:i/>
          <w:iCs/>
          <w:color w:val="000000" w:themeColor="text1"/>
          <w:sz w:val="20"/>
          <w:szCs w:val="20"/>
          <w:shd w:val="clear" w:color="auto" w:fill="FBF9E1"/>
        </w:rPr>
        <w:t xml:space="preserve">(legame IgM-virus con il recettore del complemento (CR) sui macrofagi) </w:t>
      </w:r>
      <w:r w:rsidRPr="00A944DC">
        <w:rPr>
          <w:rFonts w:asciiTheme="minorHAnsi" w:hAnsiTheme="minorHAnsi"/>
          <w:i/>
          <w:iCs/>
          <w:color w:val="000000" w:themeColor="text1"/>
          <w:sz w:val="20"/>
          <w:szCs w:val="20"/>
          <w:shd w:val="clear" w:color="auto" w:fill="FBF9E1"/>
        </w:rPr>
        <w:t>o che presentano sulla loro membrana recettori Fc, promuovendo l'internalizzazione del virus e aumentandone l'infezione.</w:t>
      </w:r>
      <w:r w:rsidRPr="00A944DC">
        <w:rPr>
          <w:rFonts w:asciiTheme="minorHAnsi" w:hAnsiTheme="minorHAnsi"/>
          <w:i/>
          <w:iCs/>
          <w:color w:val="000000" w:themeColor="text1"/>
          <w:sz w:val="20"/>
          <w:szCs w:val="20"/>
          <w:shd w:val="clear" w:color="auto" w:fill="FFFFFF"/>
        </w:rPr>
        <w:t xml:space="preserve"> </w:t>
      </w:r>
    </w:p>
    <w:p w:rsidR="00A944DC" w:rsidRPr="00A944DC" w:rsidRDefault="00A944DC" w:rsidP="00A944DC">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851" w:right="1127"/>
        <w:jc w:val="both"/>
        <w:rPr>
          <w:rFonts w:asciiTheme="minorHAnsi" w:hAnsiTheme="minorHAnsi"/>
          <w:i/>
          <w:iCs/>
          <w:color w:val="000000" w:themeColor="text1"/>
          <w:sz w:val="20"/>
          <w:szCs w:val="20"/>
          <w:shd w:val="clear" w:color="auto" w:fill="FFFFFF"/>
        </w:rPr>
      </w:pPr>
    </w:p>
    <w:p w:rsidR="009E6DDC" w:rsidRDefault="009E6DDC" w:rsidP="00D2627D">
      <w:pPr>
        <w:jc w:val="both"/>
        <w:rPr>
          <w:rFonts w:asciiTheme="minorHAnsi" w:hAnsiTheme="minorHAnsi"/>
          <w:color w:val="000000" w:themeColor="text1"/>
          <w:sz w:val="20"/>
          <w:szCs w:val="20"/>
          <w:shd w:val="clear" w:color="auto" w:fill="FFFFFF"/>
        </w:rPr>
      </w:pPr>
    </w:p>
    <w:p w:rsidR="009E6DDC" w:rsidRDefault="005E0372" w:rsidP="00D2627D">
      <w:pPr>
        <w:jc w:val="both"/>
        <w:rPr>
          <w:rFonts w:asciiTheme="minorHAnsi" w:hAnsiTheme="minorHAnsi"/>
          <w:color w:val="000000" w:themeColor="text1"/>
          <w:sz w:val="20"/>
          <w:szCs w:val="20"/>
          <w:shd w:val="clear" w:color="auto" w:fill="FFFFFF"/>
        </w:rPr>
      </w:pPr>
      <w:r w:rsidRPr="00160A30">
        <w:rPr>
          <w:rFonts w:asciiTheme="minorHAnsi" w:hAnsiTheme="minorHAnsi"/>
          <w:color w:val="000000" w:themeColor="text1"/>
          <w:sz w:val="20"/>
          <w:szCs w:val="20"/>
          <w:shd w:val="clear" w:color="auto" w:fill="FFFFFF"/>
        </w:rPr>
        <w:t>Frequentemente associato all'esacerbazione della malattia virale, l'A</w:t>
      </w:r>
      <w:r w:rsidR="004F6988" w:rsidRPr="00160A30">
        <w:rPr>
          <w:rFonts w:asciiTheme="minorHAnsi" w:hAnsiTheme="minorHAnsi"/>
          <w:color w:val="000000" w:themeColor="text1"/>
          <w:sz w:val="20"/>
          <w:szCs w:val="20"/>
          <w:shd w:val="clear" w:color="auto" w:fill="FFFFFF"/>
        </w:rPr>
        <w:t>D</w:t>
      </w:r>
      <w:r w:rsidRPr="00160A30">
        <w:rPr>
          <w:rFonts w:asciiTheme="minorHAnsi" w:hAnsiTheme="minorHAnsi"/>
          <w:color w:val="000000" w:themeColor="text1"/>
          <w:sz w:val="20"/>
          <w:szCs w:val="20"/>
          <w:shd w:val="clear" w:color="auto" w:fill="FFFFFF"/>
        </w:rPr>
        <w:t xml:space="preserve">E dell'infezione presenta un grave ostacolo alla prevenzione della malattia virale mediante vaccinazione e si ritiene che sia parzialmente responsabile degli effetti avversi di nuove terapie antivirali come le immunoglobuline endovenose (anticorpi monoclonali e sieri iperimmuni). </w:t>
      </w:r>
    </w:p>
    <w:p w:rsidR="009E6DDC" w:rsidRDefault="009E6DDC" w:rsidP="00D2627D">
      <w:pPr>
        <w:jc w:val="both"/>
        <w:rPr>
          <w:rFonts w:asciiTheme="minorHAnsi" w:hAnsiTheme="minorHAnsi"/>
          <w:color w:val="000000" w:themeColor="text1"/>
          <w:sz w:val="20"/>
          <w:szCs w:val="20"/>
          <w:shd w:val="clear" w:color="auto" w:fill="FFFFFF"/>
        </w:rPr>
      </w:pPr>
    </w:p>
    <w:p w:rsidR="008D24FB" w:rsidRDefault="005E0372" w:rsidP="00D2627D">
      <w:pPr>
        <w:jc w:val="both"/>
        <w:rPr>
          <w:rFonts w:asciiTheme="minorHAnsi" w:hAnsiTheme="minorHAnsi"/>
          <w:color w:val="000000" w:themeColor="text1"/>
          <w:sz w:val="20"/>
          <w:szCs w:val="20"/>
          <w:shd w:val="clear" w:color="auto" w:fill="FFFFFF"/>
        </w:rPr>
      </w:pPr>
      <w:r w:rsidRPr="00160A30">
        <w:rPr>
          <w:rFonts w:asciiTheme="minorHAnsi" w:hAnsiTheme="minorHAnsi"/>
          <w:color w:val="000000" w:themeColor="text1"/>
          <w:sz w:val="20"/>
          <w:szCs w:val="20"/>
          <w:shd w:val="clear" w:color="auto" w:fill="FFFFFF"/>
        </w:rPr>
        <w:t>Vi è un crescente corpus di lavoro che esamina le vie di segnalazione intracellulari e gli epitopi responsabili della mediazione dell'A</w:t>
      </w:r>
      <w:r w:rsidR="004F6988" w:rsidRPr="00160A30">
        <w:rPr>
          <w:rFonts w:asciiTheme="minorHAnsi" w:hAnsiTheme="minorHAnsi"/>
          <w:color w:val="000000" w:themeColor="text1"/>
          <w:sz w:val="20"/>
          <w:szCs w:val="20"/>
          <w:shd w:val="clear" w:color="auto" w:fill="FFFFFF"/>
        </w:rPr>
        <w:t>D</w:t>
      </w:r>
      <w:r w:rsidRPr="00160A30">
        <w:rPr>
          <w:rFonts w:asciiTheme="minorHAnsi" w:hAnsiTheme="minorHAnsi"/>
          <w:color w:val="000000" w:themeColor="text1"/>
          <w:sz w:val="20"/>
          <w:szCs w:val="20"/>
          <w:shd w:val="clear" w:color="auto" w:fill="FFFFFF"/>
        </w:rPr>
        <w:t xml:space="preserve">E, al fine di favorire la progettazione razionale delle strategie antivirali. Nonostante gli studi anche in vitro che confermano l'ADE come caratteristica dell'infezione per un numero crescente di virus, permangono delle difficoltà a comprendere i meccanismi molecolari dell'ADE e i suoi effetti sulla patogenesi virale. </w:t>
      </w:r>
    </w:p>
    <w:p w:rsidR="009E6DDC" w:rsidRPr="00160A30" w:rsidRDefault="009E6DDC" w:rsidP="00D2627D">
      <w:pPr>
        <w:jc w:val="both"/>
        <w:rPr>
          <w:rFonts w:asciiTheme="minorHAnsi" w:hAnsiTheme="minorHAnsi"/>
          <w:color w:val="000000" w:themeColor="text1"/>
          <w:sz w:val="20"/>
          <w:szCs w:val="20"/>
          <w:shd w:val="clear" w:color="auto" w:fill="FFFFFF"/>
        </w:rPr>
      </w:pPr>
    </w:p>
    <w:p w:rsidR="009E6DDC" w:rsidRDefault="005E0372" w:rsidP="005E0372">
      <w:pPr>
        <w:jc w:val="both"/>
        <w:rPr>
          <w:rFonts w:asciiTheme="minorHAnsi" w:hAnsiTheme="minorHAnsi"/>
          <w:color w:val="000000" w:themeColor="text1"/>
          <w:sz w:val="20"/>
          <w:szCs w:val="20"/>
        </w:rPr>
      </w:pPr>
      <w:r w:rsidRPr="00160A30">
        <w:rPr>
          <w:rFonts w:asciiTheme="minorHAnsi" w:hAnsiTheme="minorHAnsi"/>
          <w:color w:val="000000" w:themeColor="text1"/>
          <w:sz w:val="20"/>
          <w:szCs w:val="20"/>
        </w:rPr>
        <w:t xml:space="preserve">Sono stati proposti due modelli per descrivere la cinetica della neutralizzazione dei virus da parte degli anticorpi. </w:t>
      </w:r>
    </w:p>
    <w:p w:rsidR="009E6DDC" w:rsidRDefault="005E0372" w:rsidP="005E0372">
      <w:pPr>
        <w:jc w:val="both"/>
        <w:rPr>
          <w:rFonts w:asciiTheme="minorHAnsi" w:hAnsiTheme="minorHAnsi"/>
          <w:color w:val="000000" w:themeColor="text1"/>
          <w:sz w:val="20"/>
          <w:szCs w:val="20"/>
        </w:rPr>
      </w:pPr>
      <w:r w:rsidRPr="00160A30">
        <w:rPr>
          <w:rFonts w:asciiTheme="minorHAnsi" w:hAnsiTheme="minorHAnsi"/>
          <w:color w:val="000000" w:themeColor="text1"/>
          <w:sz w:val="20"/>
          <w:szCs w:val="20"/>
        </w:rPr>
        <w:t xml:space="preserve">Il primo è un </w:t>
      </w:r>
      <w:r w:rsidRPr="009E6DDC">
        <w:rPr>
          <w:rFonts w:asciiTheme="minorHAnsi" w:hAnsiTheme="minorHAnsi"/>
          <w:b/>
          <w:bCs/>
          <w:color w:val="000000" w:themeColor="text1"/>
          <w:sz w:val="20"/>
          <w:szCs w:val="20"/>
        </w:rPr>
        <w:t>modello a singolo colpo</w:t>
      </w:r>
      <w:r w:rsidR="00A73F82" w:rsidRPr="009E6DDC">
        <w:rPr>
          <w:rFonts w:asciiTheme="minorHAnsi" w:hAnsiTheme="minorHAnsi"/>
          <w:b/>
          <w:bCs/>
          <w:color w:val="000000" w:themeColor="text1"/>
          <w:sz w:val="20"/>
          <w:szCs w:val="20"/>
        </w:rPr>
        <w:t xml:space="preserve"> [single-hit]</w:t>
      </w:r>
      <w:r w:rsidRPr="00160A30">
        <w:rPr>
          <w:rFonts w:asciiTheme="minorHAnsi" w:hAnsiTheme="minorHAnsi"/>
          <w:color w:val="000000" w:themeColor="text1"/>
          <w:sz w:val="20"/>
          <w:szCs w:val="20"/>
        </w:rPr>
        <w:t xml:space="preserve">, in cui il legame di una singola molecola di anticorpo a un sito critico sul virione è sufficiente per neutralizzare il virus, mentre il secondo, </w:t>
      </w:r>
      <w:r w:rsidRPr="009E6DDC">
        <w:rPr>
          <w:rFonts w:asciiTheme="minorHAnsi" w:hAnsiTheme="minorHAnsi"/>
          <w:b/>
          <w:bCs/>
          <w:color w:val="000000" w:themeColor="text1"/>
          <w:sz w:val="20"/>
          <w:szCs w:val="20"/>
        </w:rPr>
        <w:t xml:space="preserve">modello più ampiamente accettato, a più colpi </w:t>
      </w:r>
      <w:r w:rsidR="00A73F82" w:rsidRPr="009E6DDC">
        <w:rPr>
          <w:rFonts w:asciiTheme="minorHAnsi" w:hAnsiTheme="minorHAnsi"/>
          <w:b/>
          <w:bCs/>
          <w:color w:val="000000" w:themeColor="text1"/>
          <w:sz w:val="20"/>
          <w:szCs w:val="20"/>
        </w:rPr>
        <w:t>[multi-hit]</w:t>
      </w:r>
      <w:r w:rsidR="00A73F82" w:rsidRPr="00160A30">
        <w:rPr>
          <w:rFonts w:asciiTheme="minorHAnsi" w:hAnsiTheme="minorHAnsi"/>
          <w:color w:val="000000" w:themeColor="text1"/>
          <w:sz w:val="20"/>
          <w:szCs w:val="20"/>
        </w:rPr>
        <w:t xml:space="preserve"> </w:t>
      </w:r>
      <w:r w:rsidRPr="00160A30">
        <w:rPr>
          <w:rFonts w:asciiTheme="minorHAnsi" w:hAnsiTheme="minorHAnsi"/>
          <w:color w:val="000000" w:themeColor="text1"/>
          <w:sz w:val="20"/>
          <w:szCs w:val="20"/>
        </w:rPr>
        <w:t xml:space="preserve">propone che la neutralizzazione venga raggiunta solo una volta </w:t>
      </w:r>
      <w:r w:rsidR="00A73F82" w:rsidRPr="00160A30">
        <w:rPr>
          <w:rFonts w:asciiTheme="minorHAnsi" w:hAnsiTheme="minorHAnsi"/>
          <w:color w:val="000000" w:themeColor="text1"/>
          <w:sz w:val="20"/>
          <w:szCs w:val="20"/>
        </w:rPr>
        <w:t>che il</w:t>
      </w:r>
      <w:r w:rsidRPr="00160A30">
        <w:rPr>
          <w:rFonts w:asciiTheme="minorHAnsi" w:hAnsiTheme="minorHAnsi"/>
          <w:color w:val="000000" w:themeColor="text1"/>
          <w:sz w:val="20"/>
          <w:szCs w:val="20"/>
        </w:rPr>
        <w:t xml:space="preserve"> singolo virione è legato da un numero di anticorpi</w:t>
      </w:r>
      <w:r w:rsidR="00A73F82" w:rsidRPr="00160A30">
        <w:rPr>
          <w:rFonts w:asciiTheme="minorHAnsi" w:hAnsiTheme="minorHAnsi"/>
          <w:color w:val="000000" w:themeColor="text1"/>
          <w:sz w:val="20"/>
          <w:szCs w:val="20"/>
        </w:rPr>
        <w:t xml:space="preserve"> sufficiente da</w:t>
      </w:r>
      <w:r w:rsidRPr="00160A30">
        <w:rPr>
          <w:rFonts w:asciiTheme="minorHAnsi" w:hAnsiTheme="minorHAnsi"/>
          <w:color w:val="000000" w:themeColor="text1"/>
          <w:sz w:val="20"/>
          <w:szCs w:val="20"/>
        </w:rPr>
        <w:t xml:space="preserve"> supera</w:t>
      </w:r>
      <w:r w:rsidR="00A73F82" w:rsidRPr="00160A30">
        <w:rPr>
          <w:rFonts w:asciiTheme="minorHAnsi" w:hAnsiTheme="minorHAnsi"/>
          <w:color w:val="000000" w:themeColor="text1"/>
          <w:sz w:val="20"/>
          <w:szCs w:val="20"/>
        </w:rPr>
        <w:t>re</w:t>
      </w:r>
      <w:r w:rsidRPr="00160A30">
        <w:rPr>
          <w:rFonts w:asciiTheme="minorHAnsi" w:hAnsiTheme="minorHAnsi"/>
          <w:color w:val="000000" w:themeColor="text1"/>
          <w:sz w:val="20"/>
          <w:szCs w:val="20"/>
        </w:rPr>
        <w:t xml:space="preserve"> la soglia stechiometrica della neutralizzazione</w:t>
      </w:r>
      <w:r w:rsidR="00A73F82" w:rsidRPr="00160A30">
        <w:rPr>
          <w:rFonts w:asciiTheme="minorHAnsi" w:hAnsiTheme="minorHAnsi"/>
          <w:color w:val="000000" w:themeColor="text1"/>
          <w:sz w:val="20"/>
          <w:szCs w:val="20"/>
        </w:rPr>
        <w:t xml:space="preserve"> </w:t>
      </w:r>
      <w:r w:rsidR="00A73F82" w:rsidRPr="00160A30">
        <w:rPr>
          <w:rStyle w:val="FootnoteReference"/>
          <w:rFonts w:asciiTheme="minorHAnsi" w:hAnsiTheme="minorHAnsi"/>
          <w:color w:val="000000" w:themeColor="text1"/>
          <w:sz w:val="20"/>
          <w:szCs w:val="20"/>
        </w:rPr>
        <w:footnoteReference w:id="82"/>
      </w:r>
      <w:r w:rsidRPr="00160A30">
        <w:rPr>
          <w:rFonts w:asciiTheme="minorHAnsi" w:hAnsiTheme="minorHAnsi"/>
          <w:color w:val="000000" w:themeColor="text1"/>
          <w:sz w:val="20"/>
          <w:szCs w:val="20"/>
        </w:rPr>
        <w:t xml:space="preserve">. </w:t>
      </w:r>
    </w:p>
    <w:p w:rsidR="009E6DDC" w:rsidRDefault="009E6DDC" w:rsidP="005E0372">
      <w:pPr>
        <w:jc w:val="both"/>
        <w:rPr>
          <w:rFonts w:asciiTheme="minorHAnsi" w:hAnsiTheme="minorHAnsi"/>
          <w:color w:val="000000" w:themeColor="text1"/>
          <w:sz w:val="20"/>
          <w:szCs w:val="20"/>
        </w:rPr>
      </w:pPr>
    </w:p>
    <w:p w:rsidR="00EC0BC8" w:rsidRPr="00160A30" w:rsidRDefault="005E0372" w:rsidP="005E0372">
      <w:pPr>
        <w:jc w:val="both"/>
        <w:rPr>
          <w:rFonts w:asciiTheme="minorHAnsi" w:hAnsiTheme="minorHAnsi"/>
          <w:color w:val="000000" w:themeColor="text1"/>
          <w:sz w:val="20"/>
          <w:szCs w:val="20"/>
        </w:rPr>
      </w:pPr>
      <w:r w:rsidRPr="00160A30">
        <w:rPr>
          <w:rFonts w:asciiTheme="minorHAnsi" w:hAnsiTheme="minorHAnsi"/>
          <w:color w:val="000000" w:themeColor="text1"/>
          <w:sz w:val="20"/>
          <w:szCs w:val="20"/>
        </w:rPr>
        <w:t>Poiché il numero di epitopi disponibili per un anticorpo specifico sul virione</w:t>
      </w:r>
      <w:r w:rsidR="00A73F82" w:rsidRPr="00160A30">
        <w:rPr>
          <w:rFonts w:asciiTheme="minorHAnsi" w:hAnsiTheme="minorHAnsi"/>
          <w:color w:val="000000" w:themeColor="text1"/>
          <w:sz w:val="20"/>
          <w:szCs w:val="20"/>
        </w:rPr>
        <w:t xml:space="preserve"> è noto</w:t>
      </w:r>
      <w:r w:rsidRPr="00160A30">
        <w:rPr>
          <w:rFonts w:asciiTheme="minorHAnsi" w:hAnsiTheme="minorHAnsi"/>
          <w:color w:val="000000" w:themeColor="text1"/>
          <w:sz w:val="20"/>
          <w:szCs w:val="20"/>
        </w:rPr>
        <w:t>, è possibile calcolare la stechiometria della neutralizzazione. Tuttavia, la soglia stechiometrica della neutralizzazione è determinata dall'affinità anticorpale e dall'accessibilità dell'epitopo. Ad esempio, gli anticorpi specifici per epitopi scarsamente accessibili richiedono una concentrazione più elevata per superare la soglia di occupazione per la neutralizzazione</w:t>
      </w:r>
      <w:r w:rsidR="00A73F82" w:rsidRPr="00160A30">
        <w:rPr>
          <w:rFonts w:asciiTheme="minorHAnsi" w:hAnsiTheme="minorHAnsi"/>
          <w:color w:val="000000" w:themeColor="text1"/>
          <w:sz w:val="20"/>
          <w:szCs w:val="20"/>
        </w:rPr>
        <w:t xml:space="preserve">. </w:t>
      </w:r>
      <w:r w:rsidR="00A73F82" w:rsidRPr="00160A30">
        <w:rPr>
          <w:rStyle w:val="FootnoteReference"/>
          <w:rFonts w:asciiTheme="minorHAnsi" w:hAnsiTheme="minorHAnsi"/>
          <w:color w:val="000000" w:themeColor="text1"/>
          <w:sz w:val="20"/>
          <w:szCs w:val="20"/>
        </w:rPr>
        <w:footnoteReference w:id="83"/>
      </w:r>
    </w:p>
    <w:p w:rsidR="00A73F82" w:rsidRPr="00160A30" w:rsidRDefault="00A73F82" w:rsidP="005E0372">
      <w:pPr>
        <w:jc w:val="both"/>
        <w:rPr>
          <w:rFonts w:asciiTheme="minorHAnsi" w:hAnsiTheme="minorHAnsi"/>
          <w:color w:val="000000" w:themeColor="text1"/>
          <w:sz w:val="20"/>
          <w:szCs w:val="20"/>
        </w:rPr>
      </w:pPr>
    </w:p>
    <w:p w:rsidR="009E6DDC" w:rsidRDefault="00A73F82" w:rsidP="008D24FB">
      <w:pPr>
        <w:jc w:val="both"/>
        <w:rPr>
          <w:rFonts w:asciiTheme="minorHAnsi" w:hAnsiTheme="minorHAnsi"/>
          <w:color w:val="000000" w:themeColor="text1"/>
          <w:sz w:val="20"/>
          <w:szCs w:val="20"/>
        </w:rPr>
      </w:pPr>
      <w:r w:rsidRPr="00160A30">
        <w:rPr>
          <w:rFonts w:asciiTheme="minorHAnsi" w:hAnsiTheme="minorHAnsi"/>
          <w:color w:val="000000" w:themeColor="text1"/>
          <w:sz w:val="20"/>
          <w:szCs w:val="20"/>
        </w:rPr>
        <w:t xml:space="preserve">Paradossalmente, tuttavia, </w:t>
      </w:r>
      <w:r w:rsidR="00275438" w:rsidRPr="00160A30">
        <w:rPr>
          <w:rFonts w:asciiTheme="minorHAnsi" w:hAnsiTheme="minorHAnsi"/>
          <w:color w:val="000000" w:themeColor="text1"/>
          <w:sz w:val="20"/>
          <w:szCs w:val="20"/>
        </w:rPr>
        <w:t>è ormai</w:t>
      </w:r>
      <w:r w:rsidRPr="00160A30">
        <w:rPr>
          <w:rFonts w:asciiTheme="minorHAnsi" w:hAnsiTheme="minorHAnsi"/>
          <w:color w:val="000000" w:themeColor="text1"/>
          <w:sz w:val="20"/>
          <w:szCs w:val="20"/>
        </w:rPr>
        <w:t xml:space="preserve"> riconosciuto che </w:t>
      </w:r>
      <w:r w:rsidRPr="009E6DDC">
        <w:rPr>
          <w:rFonts w:asciiTheme="minorHAnsi" w:hAnsiTheme="minorHAnsi"/>
          <w:color w:val="000000" w:themeColor="text1"/>
          <w:sz w:val="20"/>
          <w:szCs w:val="20"/>
        </w:rPr>
        <w:t xml:space="preserve">concentrazioni sub-neutralizzanti di anticorpi, in determinate condizioni, possono agire per </w:t>
      </w:r>
      <w:r w:rsidR="00275438" w:rsidRPr="009E6DDC">
        <w:rPr>
          <w:rFonts w:asciiTheme="minorHAnsi" w:hAnsiTheme="minorHAnsi"/>
          <w:color w:val="000000" w:themeColor="text1"/>
          <w:sz w:val="20"/>
          <w:szCs w:val="20"/>
        </w:rPr>
        <w:t xml:space="preserve">potenziare </w:t>
      </w:r>
      <w:r w:rsidRPr="009E6DDC">
        <w:rPr>
          <w:rFonts w:asciiTheme="minorHAnsi" w:hAnsiTheme="minorHAnsi"/>
          <w:color w:val="000000" w:themeColor="text1"/>
          <w:sz w:val="20"/>
          <w:szCs w:val="20"/>
        </w:rPr>
        <w:t>l'infezione virale favorendo l'ingresso virale nelle cellule bersaglio</w:t>
      </w:r>
      <w:r w:rsidRPr="00160A30">
        <w:rPr>
          <w:rFonts w:asciiTheme="minorHAnsi" w:hAnsiTheme="minorHAnsi"/>
          <w:color w:val="000000" w:themeColor="text1"/>
          <w:sz w:val="20"/>
          <w:szCs w:val="20"/>
        </w:rPr>
        <w:t xml:space="preserve">. </w:t>
      </w:r>
    </w:p>
    <w:p w:rsidR="00A944DC" w:rsidRDefault="00A944DC" w:rsidP="008D24FB">
      <w:pPr>
        <w:jc w:val="both"/>
        <w:rPr>
          <w:rFonts w:asciiTheme="minorHAnsi" w:hAnsiTheme="minorHAnsi"/>
          <w:color w:val="000000" w:themeColor="text1"/>
          <w:sz w:val="20"/>
          <w:szCs w:val="20"/>
        </w:rPr>
      </w:pPr>
    </w:p>
    <w:p w:rsidR="00A944DC" w:rsidRDefault="00A944DC" w:rsidP="008D24FB">
      <w:pPr>
        <w:jc w:val="both"/>
        <w:rPr>
          <w:rFonts w:asciiTheme="minorHAnsi" w:hAnsiTheme="minorHAnsi"/>
          <w:color w:val="000000" w:themeColor="text1"/>
          <w:sz w:val="20"/>
          <w:szCs w:val="20"/>
        </w:rPr>
      </w:pPr>
    </w:p>
    <w:p w:rsidR="00A944DC" w:rsidRDefault="00A944DC" w:rsidP="008D24FB">
      <w:pPr>
        <w:jc w:val="both"/>
        <w:rPr>
          <w:rFonts w:asciiTheme="minorHAnsi" w:hAnsiTheme="minorHAnsi"/>
          <w:color w:val="000000" w:themeColor="text1"/>
          <w:sz w:val="20"/>
          <w:szCs w:val="20"/>
        </w:rPr>
      </w:pPr>
    </w:p>
    <w:p w:rsidR="00A944DC" w:rsidRDefault="00A944DC" w:rsidP="00A944DC">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567" w:right="701"/>
        <w:jc w:val="both"/>
        <w:rPr>
          <w:rFonts w:asciiTheme="minorHAnsi" w:hAnsiTheme="minorHAnsi"/>
          <w:i/>
          <w:iCs/>
          <w:color w:val="000000" w:themeColor="text1"/>
          <w:sz w:val="20"/>
          <w:szCs w:val="20"/>
        </w:rPr>
      </w:pPr>
    </w:p>
    <w:p w:rsidR="00ED1CF0" w:rsidRDefault="00A73F82" w:rsidP="00A944DC">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567" w:right="701"/>
        <w:jc w:val="both"/>
        <w:rPr>
          <w:rFonts w:asciiTheme="minorHAnsi" w:hAnsiTheme="minorHAnsi"/>
          <w:i/>
          <w:iCs/>
          <w:color w:val="000000" w:themeColor="text1"/>
          <w:sz w:val="20"/>
          <w:szCs w:val="20"/>
        </w:rPr>
      </w:pPr>
      <w:r w:rsidRPr="00A944DC">
        <w:rPr>
          <w:rFonts w:asciiTheme="minorHAnsi" w:hAnsiTheme="minorHAnsi"/>
          <w:i/>
          <w:iCs/>
          <w:color w:val="000000" w:themeColor="text1"/>
          <w:sz w:val="20"/>
          <w:szCs w:val="20"/>
        </w:rPr>
        <w:t xml:space="preserve">Si ritiene che questo meccanismo di </w:t>
      </w:r>
      <w:r w:rsidR="00275438" w:rsidRPr="00A944DC">
        <w:rPr>
          <w:rFonts w:asciiTheme="minorHAnsi" w:hAnsiTheme="minorHAnsi"/>
          <w:i/>
          <w:iCs/>
          <w:color w:val="000000" w:themeColor="text1"/>
          <w:sz w:val="20"/>
          <w:szCs w:val="20"/>
        </w:rPr>
        <w:t>potenziamento</w:t>
      </w:r>
      <w:r w:rsidRPr="00A944DC">
        <w:rPr>
          <w:rFonts w:asciiTheme="minorHAnsi" w:hAnsiTheme="minorHAnsi"/>
          <w:i/>
          <w:iCs/>
          <w:color w:val="000000" w:themeColor="text1"/>
          <w:sz w:val="20"/>
          <w:szCs w:val="20"/>
        </w:rPr>
        <w:t xml:space="preserve"> dell'assorbimento del virus</w:t>
      </w:r>
      <w:r w:rsidR="00275438" w:rsidRPr="00A944DC">
        <w:rPr>
          <w:rFonts w:asciiTheme="minorHAnsi" w:hAnsiTheme="minorHAnsi"/>
          <w:i/>
          <w:iCs/>
          <w:color w:val="000000" w:themeColor="text1"/>
          <w:sz w:val="20"/>
          <w:szCs w:val="20"/>
        </w:rPr>
        <w:t xml:space="preserve"> (ADE)</w:t>
      </w:r>
      <w:r w:rsidRPr="00A944DC">
        <w:rPr>
          <w:rFonts w:asciiTheme="minorHAnsi" w:hAnsiTheme="minorHAnsi"/>
          <w:i/>
          <w:iCs/>
          <w:color w:val="000000" w:themeColor="text1"/>
          <w:sz w:val="20"/>
          <w:szCs w:val="20"/>
        </w:rPr>
        <w:t xml:space="preserve">, si verifichi quando il virus è legato da anticorpi </w:t>
      </w:r>
      <w:r w:rsidR="00492558" w:rsidRPr="00A944DC">
        <w:rPr>
          <w:rFonts w:asciiTheme="minorHAnsi" w:hAnsiTheme="minorHAnsi"/>
          <w:b/>
          <w:bCs/>
          <w:i/>
          <w:iCs/>
          <w:color w:val="000000" w:themeColor="text1"/>
          <w:sz w:val="20"/>
          <w:szCs w:val="20"/>
        </w:rPr>
        <w:t xml:space="preserve">IgG </w:t>
      </w:r>
      <w:r w:rsidRPr="00A944DC">
        <w:rPr>
          <w:rFonts w:asciiTheme="minorHAnsi" w:hAnsiTheme="minorHAnsi"/>
          <w:b/>
          <w:bCs/>
          <w:i/>
          <w:iCs/>
          <w:color w:val="000000" w:themeColor="text1"/>
          <w:sz w:val="20"/>
          <w:szCs w:val="20"/>
        </w:rPr>
        <w:t xml:space="preserve">non neutralizzanti o concentrazioni sub-neutralizzanti di anticorpi </w:t>
      </w:r>
      <w:r w:rsidR="00492558" w:rsidRPr="00A944DC">
        <w:rPr>
          <w:rFonts w:asciiTheme="minorHAnsi" w:hAnsiTheme="minorHAnsi"/>
          <w:b/>
          <w:bCs/>
          <w:i/>
          <w:iCs/>
          <w:color w:val="000000" w:themeColor="text1"/>
          <w:sz w:val="20"/>
          <w:szCs w:val="20"/>
        </w:rPr>
        <w:t>IgG</w:t>
      </w:r>
      <w:r w:rsidR="00492558" w:rsidRPr="00A944DC">
        <w:rPr>
          <w:rFonts w:asciiTheme="minorHAnsi" w:hAnsiTheme="minorHAnsi"/>
          <w:i/>
          <w:iCs/>
          <w:color w:val="000000" w:themeColor="text1"/>
          <w:sz w:val="20"/>
          <w:szCs w:val="20"/>
        </w:rPr>
        <w:t xml:space="preserve"> </w:t>
      </w:r>
      <w:r w:rsidRPr="00A944DC">
        <w:rPr>
          <w:rFonts w:asciiTheme="minorHAnsi" w:hAnsiTheme="minorHAnsi"/>
          <w:i/>
          <w:iCs/>
          <w:color w:val="000000" w:themeColor="text1"/>
          <w:sz w:val="20"/>
          <w:szCs w:val="20"/>
        </w:rPr>
        <w:t xml:space="preserve">che facilitano l'ingresso delle cellule </w:t>
      </w:r>
      <w:r w:rsidR="00275438" w:rsidRPr="00A944DC">
        <w:rPr>
          <w:rFonts w:asciiTheme="minorHAnsi" w:hAnsiTheme="minorHAnsi"/>
          <w:i/>
          <w:iCs/>
          <w:color w:val="000000" w:themeColor="text1"/>
          <w:sz w:val="20"/>
          <w:szCs w:val="20"/>
        </w:rPr>
        <w:t xml:space="preserve">attraverso un meccanismo che </w:t>
      </w:r>
      <w:r w:rsidRPr="00A944DC">
        <w:rPr>
          <w:rFonts w:asciiTheme="minorHAnsi" w:hAnsiTheme="minorHAnsi"/>
          <w:i/>
          <w:iCs/>
          <w:color w:val="000000" w:themeColor="text1"/>
          <w:sz w:val="20"/>
          <w:szCs w:val="20"/>
        </w:rPr>
        <w:t xml:space="preserve"> </w:t>
      </w:r>
      <w:r w:rsidR="00275438" w:rsidRPr="00A944DC">
        <w:rPr>
          <w:rFonts w:asciiTheme="minorHAnsi" w:hAnsiTheme="minorHAnsi"/>
          <w:i/>
          <w:iCs/>
          <w:color w:val="000000" w:themeColor="text1"/>
          <w:sz w:val="20"/>
          <w:szCs w:val="20"/>
        </w:rPr>
        <w:t xml:space="preserve">dipende dal </w:t>
      </w:r>
      <w:r w:rsidRPr="00A944DC">
        <w:rPr>
          <w:rFonts w:asciiTheme="minorHAnsi" w:hAnsiTheme="minorHAnsi"/>
          <w:b/>
          <w:bCs/>
          <w:i/>
          <w:iCs/>
          <w:color w:val="000000" w:themeColor="text1"/>
          <w:sz w:val="20"/>
          <w:szCs w:val="20"/>
        </w:rPr>
        <w:t>recettore Fc</w:t>
      </w:r>
      <w:r w:rsidR="00AB621E" w:rsidRPr="00A944DC">
        <w:rPr>
          <w:rFonts w:asciiTheme="minorHAnsi" w:hAnsiTheme="minorHAnsi"/>
          <w:b/>
          <w:bCs/>
          <w:i/>
          <w:iCs/>
          <w:color w:val="000000" w:themeColor="text1"/>
          <w:sz w:val="20"/>
          <w:szCs w:val="20"/>
        </w:rPr>
        <w:t>γ</w:t>
      </w:r>
      <w:r w:rsidRPr="00A944DC">
        <w:rPr>
          <w:rFonts w:asciiTheme="minorHAnsi" w:hAnsiTheme="minorHAnsi"/>
          <w:i/>
          <w:iCs/>
          <w:color w:val="000000" w:themeColor="text1"/>
          <w:sz w:val="20"/>
          <w:szCs w:val="20"/>
        </w:rPr>
        <w:t xml:space="preserve"> (FcγR)</w:t>
      </w:r>
      <w:r w:rsidR="00275438" w:rsidRPr="00A944DC">
        <w:rPr>
          <w:rFonts w:asciiTheme="minorHAnsi" w:hAnsiTheme="minorHAnsi"/>
          <w:i/>
          <w:iCs/>
          <w:color w:val="000000" w:themeColor="text1"/>
          <w:sz w:val="20"/>
          <w:szCs w:val="20"/>
        </w:rPr>
        <w:t>.</w:t>
      </w:r>
      <w:r w:rsidRPr="00A944DC">
        <w:rPr>
          <w:rFonts w:asciiTheme="minorHAnsi" w:hAnsiTheme="minorHAnsi"/>
          <w:i/>
          <w:iCs/>
          <w:color w:val="000000" w:themeColor="text1"/>
          <w:sz w:val="20"/>
          <w:szCs w:val="20"/>
        </w:rPr>
        <w:t xml:space="preserve"> </w:t>
      </w:r>
    </w:p>
    <w:p w:rsidR="00A944DC" w:rsidRPr="00A944DC" w:rsidRDefault="00A944DC" w:rsidP="00A944DC">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567" w:right="701"/>
        <w:jc w:val="both"/>
        <w:rPr>
          <w:rFonts w:asciiTheme="minorHAnsi" w:hAnsiTheme="minorHAnsi"/>
          <w:i/>
          <w:iCs/>
          <w:color w:val="000000" w:themeColor="text1"/>
          <w:sz w:val="20"/>
          <w:szCs w:val="20"/>
        </w:rPr>
      </w:pPr>
    </w:p>
    <w:p w:rsidR="00ED1CF0" w:rsidRDefault="00ED1CF0" w:rsidP="008D24FB">
      <w:pPr>
        <w:jc w:val="both"/>
        <w:rPr>
          <w:rFonts w:asciiTheme="minorHAnsi" w:hAnsiTheme="minorHAnsi"/>
          <w:color w:val="000000" w:themeColor="text1"/>
          <w:sz w:val="20"/>
          <w:szCs w:val="20"/>
        </w:rPr>
      </w:pPr>
    </w:p>
    <w:p w:rsidR="00AB621E" w:rsidRPr="00160A30" w:rsidRDefault="00AB621E" w:rsidP="008D24FB">
      <w:pPr>
        <w:jc w:val="both"/>
        <w:rPr>
          <w:rFonts w:asciiTheme="minorHAnsi" w:hAnsiTheme="minorHAnsi"/>
          <w:color w:val="000000" w:themeColor="text1"/>
          <w:sz w:val="20"/>
          <w:szCs w:val="20"/>
        </w:rPr>
      </w:pPr>
    </w:p>
    <w:p w:rsidR="006B6EA8" w:rsidRPr="00E21CB2" w:rsidRDefault="006B6EA8" w:rsidP="00AB621E">
      <w:pPr>
        <w:pStyle w:val="Heading3"/>
        <w:spacing w:before="0" w:beforeAutospacing="0" w:after="0" w:afterAutospacing="0"/>
        <w:rPr>
          <w:rFonts w:asciiTheme="minorHAnsi" w:hAnsiTheme="minorHAnsi" w:cstheme="minorHAnsi"/>
          <w:i/>
          <w:iCs/>
          <w:color w:val="C00000"/>
          <w:sz w:val="22"/>
          <w:szCs w:val="22"/>
        </w:rPr>
      </w:pPr>
      <w:bookmarkStart w:id="58" w:name="_Toc43342390"/>
      <w:r w:rsidRPr="00E21CB2">
        <w:rPr>
          <w:rFonts w:asciiTheme="minorHAnsi" w:hAnsiTheme="minorHAnsi" w:cstheme="minorHAnsi"/>
          <w:i/>
          <w:iCs/>
          <w:color w:val="C00000"/>
          <w:sz w:val="22"/>
          <w:szCs w:val="22"/>
        </w:rPr>
        <w:t xml:space="preserve">La funzione </w:t>
      </w:r>
      <w:r w:rsidR="00AB621E" w:rsidRPr="00E21CB2">
        <w:rPr>
          <w:rFonts w:asciiTheme="minorHAnsi" w:hAnsiTheme="minorHAnsi" w:cstheme="minorHAnsi"/>
          <w:i/>
          <w:iCs/>
          <w:color w:val="C00000"/>
          <w:sz w:val="22"/>
          <w:szCs w:val="22"/>
        </w:rPr>
        <w:t>d</w:t>
      </w:r>
      <w:r w:rsidRPr="00E21CB2">
        <w:rPr>
          <w:rFonts w:asciiTheme="minorHAnsi" w:hAnsiTheme="minorHAnsi" w:cstheme="minorHAnsi"/>
          <w:i/>
          <w:iCs/>
          <w:color w:val="C00000"/>
          <w:sz w:val="22"/>
          <w:szCs w:val="22"/>
        </w:rPr>
        <w:t>ei recettori Fc</w:t>
      </w:r>
      <w:r w:rsidR="00AB621E" w:rsidRPr="00E21CB2">
        <w:rPr>
          <w:rFonts w:asciiTheme="minorHAnsi" w:hAnsiTheme="minorHAnsi" w:cstheme="minorHAnsi"/>
          <w:i/>
          <w:iCs/>
          <w:color w:val="C00000"/>
          <w:sz w:val="22"/>
          <w:szCs w:val="22"/>
        </w:rPr>
        <w:t xml:space="preserve">γ nelle cellule dendritiche e nei macrofagi </w:t>
      </w:r>
      <w:r w:rsidR="00AB621E" w:rsidRPr="00E21CB2">
        <w:rPr>
          <w:rStyle w:val="FootnoteReference"/>
          <w:rFonts w:asciiTheme="minorHAnsi" w:hAnsiTheme="minorHAnsi"/>
          <w:i/>
          <w:iCs/>
          <w:color w:val="C00000"/>
          <w:sz w:val="20"/>
          <w:szCs w:val="20"/>
        </w:rPr>
        <w:footnoteReference w:id="84"/>
      </w:r>
      <w:bookmarkEnd w:id="58"/>
    </w:p>
    <w:p w:rsidR="00081318" w:rsidRDefault="00081318" w:rsidP="00081318">
      <w:pPr>
        <w:ind w:right="-7"/>
        <w:jc w:val="both"/>
        <w:rPr>
          <w:rFonts w:asciiTheme="minorHAnsi" w:hAnsiTheme="minorHAnsi"/>
          <w:iCs/>
          <w:color w:val="2F5496" w:themeColor="accent1" w:themeShade="BF"/>
          <w:sz w:val="20"/>
          <w:szCs w:val="20"/>
        </w:rPr>
      </w:pPr>
      <w:r w:rsidRPr="00AB621E">
        <w:rPr>
          <w:rFonts w:asciiTheme="minorHAnsi" w:hAnsiTheme="minorHAnsi"/>
          <w:iCs/>
          <w:color w:val="2F5496" w:themeColor="accent1" w:themeShade="BF"/>
          <w:sz w:val="20"/>
          <w:szCs w:val="20"/>
        </w:rPr>
        <w:t>I recettori Fc gamma (γ) (FcγR) appartengono a un'ampia famiglia di proteine che comprendono recettori di superficie classici legati alla membrana, recettori intracellulari atipici e glicoproteine citoplasmatiche</w:t>
      </w:r>
      <w:r w:rsidRPr="00C47F2A">
        <w:rPr>
          <w:rFonts w:asciiTheme="minorHAnsi" w:hAnsiTheme="minorHAnsi"/>
          <w:b/>
          <w:bCs/>
          <w:iCs/>
          <w:color w:val="2F5496" w:themeColor="accent1" w:themeShade="BF"/>
          <w:sz w:val="20"/>
          <w:szCs w:val="20"/>
        </w:rPr>
        <w:t>. I recettori classici possono essere divisi in inibitori (FcγRIIB) e attivanti (FcγRI, FcγRIIA, FcγRIIC, FcγRIIIA e FcγRIIIB)</w:t>
      </w:r>
      <w:r w:rsidRPr="00AB621E">
        <w:rPr>
          <w:rFonts w:asciiTheme="minorHAnsi" w:hAnsiTheme="minorHAnsi"/>
          <w:iCs/>
          <w:color w:val="2F5496" w:themeColor="accent1" w:themeShade="BF"/>
          <w:sz w:val="20"/>
          <w:szCs w:val="20"/>
        </w:rPr>
        <w:t>.</w:t>
      </w:r>
    </w:p>
    <w:p w:rsidR="002C1F3F" w:rsidRDefault="002C1F3F" w:rsidP="00081318">
      <w:pPr>
        <w:ind w:right="-7"/>
        <w:jc w:val="both"/>
        <w:rPr>
          <w:rFonts w:asciiTheme="minorHAnsi" w:hAnsiTheme="minorHAnsi"/>
          <w:iCs/>
          <w:color w:val="2F5496" w:themeColor="accent1" w:themeShade="BF"/>
          <w:sz w:val="20"/>
          <w:szCs w:val="20"/>
        </w:rPr>
      </w:pPr>
    </w:p>
    <w:p w:rsidR="002C1F3F" w:rsidRDefault="009E6DDC" w:rsidP="006B6EA8">
      <w:pPr>
        <w:ind w:right="-7"/>
        <w:jc w:val="both"/>
        <w:rPr>
          <w:rFonts w:asciiTheme="minorHAnsi" w:hAnsiTheme="minorHAnsi"/>
          <w:iCs/>
          <w:color w:val="2F5496" w:themeColor="accent1" w:themeShade="BF"/>
          <w:sz w:val="20"/>
          <w:szCs w:val="20"/>
        </w:rPr>
      </w:pPr>
      <w:r w:rsidRPr="00AB621E">
        <w:rPr>
          <w:rFonts w:asciiTheme="minorHAnsi" w:hAnsiTheme="minorHAnsi"/>
          <w:iCs/>
          <w:color w:val="2F5496" w:themeColor="accent1" w:themeShade="BF"/>
          <w:sz w:val="20"/>
          <w:szCs w:val="20"/>
        </w:rPr>
        <w:t>Gli immunocomplessi che vengono internalizzati attraverso gli</w:t>
      </w:r>
      <w:r w:rsidR="003843FE" w:rsidRPr="00AB621E">
        <w:rPr>
          <w:rFonts w:asciiTheme="minorHAnsi" w:hAnsiTheme="minorHAnsi"/>
          <w:iCs/>
          <w:color w:val="2F5496" w:themeColor="accent1" w:themeShade="BF"/>
          <w:sz w:val="20"/>
          <w:szCs w:val="20"/>
        </w:rPr>
        <w:t xml:space="preserve"> FcγR </w:t>
      </w:r>
      <w:r w:rsidRPr="00AB621E">
        <w:rPr>
          <w:rFonts w:asciiTheme="minorHAnsi" w:hAnsiTheme="minorHAnsi"/>
          <w:iCs/>
          <w:color w:val="2F5496" w:themeColor="accent1" w:themeShade="BF"/>
          <w:sz w:val="20"/>
          <w:szCs w:val="20"/>
        </w:rPr>
        <w:t xml:space="preserve">presenti </w:t>
      </w:r>
      <w:r w:rsidR="003843FE" w:rsidRPr="00AB621E">
        <w:rPr>
          <w:rFonts w:asciiTheme="minorHAnsi" w:hAnsiTheme="minorHAnsi"/>
          <w:iCs/>
          <w:color w:val="2F5496" w:themeColor="accent1" w:themeShade="BF"/>
          <w:sz w:val="20"/>
          <w:szCs w:val="20"/>
        </w:rPr>
        <w:t xml:space="preserve">sulle cellule presentanti l'antigene (in particolare le cellule dendritiche) sono una parte importante della presentazione dell'antigene per lo sviluppo di risposte immunitarie efficaci. </w:t>
      </w:r>
    </w:p>
    <w:p w:rsidR="003843FE" w:rsidRDefault="003843FE" w:rsidP="006B6EA8">
      <w:pPr>
        <w:ind w:right="-7"/>
        <w:jc w:val="both"/>
        <w:rPr>
          <w:rFonts w:asciiTheme="minorHAnsi" w:hAnsiTheme="minorHAnsi"/>
          <w:iCs/>
          <w:color w:val="2F5496" w:themeColor="accent1" w:themeShade="BF"/>
          <w:sz w:val="20"/>
          <w:szCs w:val="20"/>
        </w:rPr>
      </w:pPr>
      <w:r w:rsidRPr="00AB621E">
        <w:rPr>
          <w:rFonts w:asciiTheme="minorHAnsi" w:hAnsiTheme="minorHAnsi"/>
          <w:iCs/>
          <w:color w:val="2F5496" w:themeColor="accent1" w:themeShade="BF"/>
          <w:sz w:val="20"/>
          <w:szCs w:val="20"/>
        </w:rPr>
        <w:t>Questo processo aumenta anche l'efficienza dell'attivazione delle cellule T, in particolare in risposta a basse concentrazioni di antigene</w:t>
      </w:r>
      <w:r w:rsidR="00AB621E">
        <w:rPr>
          <w:rFonts w:asciiTheme="minorHAnsi" w:hAnsiTheme="minorHAnsi"/>
          <w:iCs/>
          <w:color w:val="2F5496" w:themeColor="accent1" w:themeShade="BF"/>
          <w:sz w:val="20"/>
          <w:szCs w:val="20"/>
        </w:rPr>
        <w:t>.</w:t>
      </w:r>
    </w:p>
    <w:p w:rsidR="009E6DDC" w:rsidRDefault="00081318" w:rsidP="00081318">
      <w:pPr>
        <w:ind w:right="-7"/>
        <w:jc w:val="center"/>
        <w:rPr>
          <w:rFonts w:asciiTheme="minorHAnsi" w:hAnsiTheme="minorHAnsi"/>
          <w:i/>
          <w:color w:val="000000" w:themeColor="text1"/>
          <w:sz w:val="20"/>
          <w:szCs w:val="20"/>
        </w:rPr>
      </w:pPr>
      <w:r>
        <w:rPr>
          <w:rFonts w:asciiTheme="minorHAnsi" w:hAnsiTheme="minorHAnsi"/>
          <w:i/>
          <w:noProof/>
          <w:color w:val="000000" w:themeColor="text1"/>
          <w:sz w:val="20"/>
          <w:szCs w:val="20"/>
        </w:rPr>
        <w:drawing>
          <wp:inline distT="0" distB="0" distL="0" distR="0">
            <wp:extent cx="4837883" cy="4618892"/>
            <wp:effectExtent l="0" t="0" r="127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ta 2020-06-17 alle 01.24.37.png"/>
                    <pic:cNvPicPr/>
                  </pic:nvPicPr>
                  <pic:blipFill>
                    <a:blip r:embed="rId97">
                      <a:extLst>
                        <a:ext uri="{28A0092B-C50C-407E-A947-70E740481C1C}">
                          <a14:useLocalDpi xmlns:a14="http://schemas.microsoft.com/office/drawing/2010/main" val="0"/>
                        </a:ext>
                      </a:extLst>
                    </a:blip>
                    <a:stretch>
                      <a:fillRect/>
                    </a:stretch>
                  </pic:blipFill>
                  <pic:spPr>
                    <a:xfrm>
                      <a:off x="0" y="0"/>
                      <a:ext cx="4979395" cy="4753999"/>
                    </a:xfrm>
                    <a:prstGeom prst="rect">
                      <a:avLst/>
                    </a:prstGeom>
                  </pic:spPr>
                </pic:pic>
              </a:graphicData>
            </a:graphic>
          </wp:inline>
        </w:drawing>
      </w:r>
    </w:p>
    <w:p w:rsidR="00A944DC" w:rsidRDefault="00A944DC" w:rsidP="00081318">
      <w:pPr>
        <w:ind w:right="-7"/>
        <w:jc w:val="center"/>
        <w:rPr>
          <w:rFonts w:asciiTheme="minorHAnsi" w:hAnsiTheme="minorHAnsi"/>
          <w:i/>
          <w:color w:val="000000" w:themeColor="text1"/>
          <w:sz w:val="20"/>
          <w:szCs w:val="20"/>
        </w:rPr>
      </w:pPr>
    </w:p>
    <w:p w:rsidR="00081318" w:rsidRPr="00A944DC" w:rsidRDefault="00081318" w:rsidP="00081318">
      <w:pPr>
        <w:jc w:val="both"/>
        <w:rPr>
          <w:rFonts w:asciiTheme="minorHAnsi" w:hAnsiTheme="minorHAnsi" w:cstheme="minorHAnsi"/>
          <w:color w:val="2F5496" w:themeColor="accent1" w:themeShade="BF"/>
          <w:sz w:val="18"/>
          <w:szCs w:val="18"/>
        </w:rPr>
      </w:pPr>
      <w:r w:rsidRPr="00A944DC">
        <w:rPr>
          <w:rFonts w:asciiTheme="minorHAnsi" w:hAnsiTheme="minorHAnsi" w:cstheme="minorHAnsi"/>
          <w:b/>
          <w:bCs/>
          <w:color w:val="2F5496" w:themeColor="accent1" w:themeShade="BF"/>
          <w:sz w:val="18"/>
          <w:szCs w:val="18"/>
        </w:rPr>
        <w:t>Elaborazione efficiente di antigeni legati agli anticorpi mediante moDC</w:t>
      </w:r>
      <w:r w:rsidR="000D2CB2" w:rsidRPr="00A944DC">
        <w:rPr>
          <w:rFonts w:asciiTheme="minorHAnsi" w:hAnsiTheme="minorHAnsi" w:cstheme="minorHAnsi"/>
          <w:b/>
          <w:bCs/>
          <w:color w:val="2F5496" w:themeColor="accent1" w:themeShade="BF"/>
          <w:sz w:val="18"/>
          <w:szCs w:val="18"/>
        </w:rPr>
        <w:t xml:space="preserve"> (cellule dendritiche di origine monocitaria)</w:t>
      </w:r>
      <w:r w:rsidRPr="00A944DC">
        <w:rPr>
          <w:rFonts w:asciiTheme="minorHAnsi" w:hAnsiTheme="minorHAnsi" w:cstheme="minorHAnsi"/>
          <w:color w:val="2F5496" w:themeColor="accent1" w:themeShade="BF"/>
          <w:sz w:val="18"/>
          <w:szCs w:val="18"/>
        </w:rPr>
        <w:t>. β2m, β2 microglobulina; ER, reticolo endoplasmatico.</w:t>
      </w:r>
    </w:p>
    <w:p w:rsidR="003843FE" w:rsidRDefault="000D2CB2" w:rsidP="000D2CB2">
      <w:pPr>
        <w:jc w:val="center"/>
        <w:rPr>
          <w:rFonts w:asciiTheme="minorHAnsi" w:hAnsiTheme="minorHAnsi"/>
          <w:i/>
          <w:color w:val="000000" w:themeColor="text1"/>
          <w:sz w:val="20"/>
          <w:szCs w:val="20"/>
        </w:rPr>
      </w:pPr>
      <w:r>
        <w:rPr>
          <w:rFonts w:asciiTheme="minorHAnsi" w:hAnsiTheme="minorHAnsi"/>
          <w:i/>
          <w:noProof/>
          <w:color w:val="000000" w:themeColor="text1"/>
          <w:sz w:val="20"/>
          <w:szCs w:val="20"/>
        </w:rPr>
        <w:lastRenderedPageBreak/>
        <w:drawing>
          <wp:inline distT="0" distB="0" distL="0" distR="0">
            <wp:extent cx="5314461" cy="5152797"/>
            <wp:effectExtent l="0" t="0" r="0" b="381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ta 2020-06-17 alle 01.41.49.png"/>
                    <pic:cNvPicPr/>
                  </pic:nvPicPr>
                  <pic:blipFill>
                    <a:blip r:embed="rId98">
                      <a:extLst>
                        <a:ext uri="{28A0092B-C50C-407E-A947-70E740481C1C}">
                          <a14:useLocalDpi xmlns:a14="http://schemas.microsoft.com/office/drawing/2010/main" val="0"/>
                        </a:ext>
                      </a:extLst>
                    </a:blip>
                    <a:stretch>
                      <a:fillRect/>
                    </a:stretch>
                  </pic:blipFill>
                  <pic:spPr>
                    <a:xfrm>
                      <a:off x="0" y="0"/>
                      <a:ext cx="5529350" cy="5361149"/>
                    </a:xfrm>
                    <a:prstGeom prst="rect">
                      <a:avLst/>
                    </a:prstGeom>
                  </pic:spPr>
                </pic:pic>
              </a:graphicData>
            </a:graphic>
          </wp:inline>
        </w:drawing>
      </w:r>
    </w:p>
    <w:p w:rsidR="00A944DC" w:rsidRPr="00AB621E" w:rsidRDefault="00A944DC" w:rsidP="000D2CB2">
      <w:pPr>
        <w:jc w:val="center"/>
        <w:rPr>
          <w:rFonts w:asciiTheme="minorHAnsi" w:hAnsiTheme="minorHAnsi"/>
          <w:i/>
          <w:color w:val="000000" w:themeColor="text1"/>
          <w:sz w:val="20"/>
          <w:szCs w:val="20"/>
        </w:rPr>
      </w:pPr>
    </w:p>
    <w:p w:rsidR="00C47F2A" w:rsidRPr="00A944DC" w:rsidRDefault="00C47F2A" w:rsidP="00A944DC">
      <w:pPr>
        <w:shd w:val="clear" w:color="auto" w:fill="F2F2F2" w:themeFill="background1" w:themeFillShade="F2"/>
        <w:jc w:val="both"/>
        <w:rPr>
          <w:rFonts w:asciiTheme="minorHAnsi" w:hAnsiTheme="minorHAnsi" w:cstheme="minorHAnsi"/>
          <w:color w:val="2F5496" w:themeColor="accent1" w:themeShade="BF"/>
          <w:sz w:val="18"/>
          <w:szCs w:val="18"/>
        </w:rPr>
      </w:pPr>
      <w:r w:rsidRPr="00A944DC">
        <w:rPr>
          <w:rFonts w:asciiTheme="minorHAnsi" w:hAnsiTheme="minorHAnsi" w:cstheme="minorHAnsi"/>
          <w:b/>
          <w:bCs/>
          <w:color w:val="2F5496" w:themeColor="accent1" w:themeShade="BF"/>
          <w:sz w:val="18"/>
          <w:szCs w:val="18"/>
        </w:rPr>
        <w:t>Macrofagi mediati da FcγR e attivazione pDC</w:t>
      </w:r>
      <w:r w:rsidRPr="00A944DC">
        <w:rPr>
          <w:rFonts w:asciiTheme="minorHAnsi" w:hAnsiTheme="minorHAnsi" w:cstheme="minorHAnsi"/>
          <w:color w:val="2F5496" w:themeColor="accent1" w:themeShade="BF"/>
          <w:sz w:val="18"/>
          <w:szCs w:val="18"/>
        </w:rPr>
        <w:t xml:space="preserve">. </w:t>
      </w:r>
      <w:r w:rsidRPr="00A944DC">
        <w:rPr>
          <w:rFonts w:asciiTheme="minorHAnsi" w:hAnsiTheme="minorHAnsi" w:cstheme="minorHAnsi"/>
          <w:b/>
          <w:bCs/>
          <w:color w:val="2F5496" w:themeColor="accent1" w:themeShade="BF"/>
          <w:sz w:val="18"/>
          <w:szCs w:val="18"/>
        </w:rPr>
        <w:t>A)</w:t>
      </w:r>
      <w:r w:rsidRPr="00A944DC">
        <w:rPr>
          <w:rFonts w:asciiTheme="minorHAnsi" w:hAnsiTheme="minorHAnsi" w:cstheme="minorHAnsi"/>
          <w:color w:val="2F5496" w:themeColor="accent1" w:themeShade="BF"/>
          <w:sz w:val="18"/>
          <w:szCs w:val="18"/>
        </w:rPr>
        <w:t xml:space="preserve"> Agenti patogeni ricoperti di anticorpi (agenti patogeni opsonizzati) sono spesso uccisi in modo più efficiente dai macrofagi a causa del recettore Fc per l'attivazione mediata da IgG (FcγR) di macrofagi, che induce un assorbimento aumentato dipendente dall’immunorecettore del motivo di attivazione della tirosina (ITAM) e aumenta la fusione fagolisosomiale, producendo così un'uccisione più efficiente dei patogeni. Allo stesso modo, le cellule infettate opsonizzate possono essere uccise attraverso un meccanismo chiamato citotossicità cellulare mediata da anticorpi (ADCC). Tuttavia, i complessi immuni inducono un particolare stato di attivazione dei macrofagi chiamato stato di attivazione dei macrofagi M2b (regolamentare), che è caratterizzato da un aumento della produzione di interleuchina-10 (IL-10), IL-1, IL-6, fattore di necrosi tumorale (TNF) e da una riduzione della produzione di IL-12. Questo stato di attivazione M2b può facilitare la sopravvivenza degli agenti patogeni macrofagi-tropici, come Leishmania spp., che hanno sviluppato strategie per sovvertire la funzione dei macrofagi e utilizzare i macrofagi come nicchia cellulare preferenziale. Un aumento dell'assorbimento di questi patogeni macrofagi-tropici comporta un potenziamento da anticorpi dell’infezione. Infine, la manipolatzione dell'attivazione dei macrofagi da parte dei complessi immunitari ha suggerito che sono uno dei principali meccanismi alla base della terapia immunoglobulinica endovenosa (terapia IVIG). Un’alta dose di complessi immunitari si pensa induca un'espressione più alta di FcγRIIB inibente e un'espressione più bassa di FcγR attivante, che produce una soglia di attivazione aumentata per i macrofagi. </w:t>
      </w:r>
    </w:p>
    <w:p w:rsidR="00AB621E" w:rsidRPr="00A944DC" w:rsidRDefault="00C47F2A" w:rsidP="00A944DC">
      <w:pPr>
        <w:shd w:val="clear" w:color="auto" w:fill="F2F2F2" w:themeFill="background1" w:themeFillShade="F2"/>
        <w:jc w:val="both"/>
        <w:rPr>
          <w:rFonts w:asciiTheme="minorHAnsi" w:hAnsiTheme="minorHAnsi" w:cstheme="minorHAnsi"/>
          <w:color w:val="2F5496" w:themeColor="accent1" w:themeShade="BF"/>
          <w:sz w:val="18"/>
          <w:szCs w:val="18"/>
        </w:rPr>
      </w:pPr>
      <w:r w:rsidRPr="00A944DC">
        <w:rPr>
          <w:rFonts w:asciiTheme="minorHAnsi" w:hAnsiTheme="minorHAnsi" w:cstheme="minorHAnsi"/>
          <w:b/>
          <w:bCs/>
          <w:color w:val="2F5496" w:themeColor="accent1" w:themeShade="BF"/>
          <w:sz w:val="18"/>
          <w:szCs w:val="18"/>
        </w:rPr>
        <w:t>B)</w:t>
      </w:r>
      <w:r w:rsidRPr="00A944DC">
        <w:rPr>
          <w:rFonts w:asciiTheme="minorHAnsi" w:hAnsiTheme="minorHAnsi" w:cstheme="minorHAnsi"/>
          <w:color w:val="2F5496" w:themeColor="accent1" w:themeShade="BF"/>
          <w:sz w:val="18"/>
          <w:szCs w:val="18"/>
        </w:rPr>
        <w:t xml:space="preserve"> le cellule dendritiche plasmacitoidi (pDC) hanno scarse capacità di cattura e presentazione di antigeni di particolato sulle cellule T CD4 + rispetto ai DC convenzionali (cDC) (freccia tratteggiata). Gli antigeni con rivestimento anticorpale vengono assorbiti in modo più efficiente dai PDC e successivamente indirizzati in modo più efficiente agli organelli di elaborazione MHC di classe II rispetto ai cDC, che si traduce in una migliore presentazione dell'antigene alle cellule T CD4 +. Dato che i pDC hanno dimostrato di essere tollerogenici allo stato stazionario, ipotizziamo che, in assenza di segnali di pericolo,</w:t>
      </w:r>
      <w:r w:rsidR="002C1F3F" w:rsidRPr="00A944DC">
        <w:rPr>
          <w:rFonts w:asciiTheme="minorHAnsi" w:hAnsiTheme="minorHAnsi" w:cstheme="minorHAnsi"/>
          <w:color w:val="2F5496" w:themeColor="accent1" w:themeShade="BF"/>
          <w:sz w:val="18"/>
          <w:szCs w:val="18"/>
        </w:rPr>
        <w:t xml:space="preserve"> l</w:t>
      </w:r>
      <w:r w:rsidRPr="00A944DC">
        <w:rPr>
          <w:rFonts w:asciiTheme="minorHAnsi" w:hAnsiTheme="minorHAnsi" w:cstheme="minorHAnsi"/>
          <w:color w:val="2F5496" w:themeColor="accent1" w:themeShade="BF"/>
          <w:sz w:val="18"/>
          <w:szCs w:val="18"/>
        </w:rPr>
        <w:t xml:space="preserve">'assorbimento mediato da FcγR e la presentazione di </w:t>
      </w:r>
      <w:r w:rsidR="002C1F3F" w:rsidRPr="00A944DC">
        <w:rPr>
          <w:rFonts w:asciiTheme="minorHAnsi" w:hAnsiTheme="minorHAnsi" w:cstheme="minorHAnsi"/>
          <w:color w:val="2F5496" w:themeColor="accent1" w:themeShade="BF"/>
          <w:sz w:val="18"/>
          <w:szCs w:val="18"/>
        </w:rPr>
        <w:t xml:space="preserve">immunocomplessi degli </w:t>
      </w:r>
      <w:r w:rsidRPr="00A944DC">
        <w:rPr>
          <w:rFonts w:asciiTheme="minorHAnsi" w:hAnsiTheme="minorHAnsi" w:cstheme="minorHAnsi"/>
          <w:color w:val="2F5496" w:themeColor="accent1" w:themeShade="BF"/>
          <w:sz w:val="18"/>
          <w:szCs w:val="18"/>
        </w:rPr>
        <w:t>antigeni da parte dei pDC induc</w:t>
      </w:r>
      <w:r w:rsidR="002C1F3F" w:rsidRPr="00A944DC">
        <w:rPr>
          <w:rFonts w:asciiTheme="minorHAnsi" w:hAnsiTheme="minorHAnsi" w:cstheme="minorHAnsi"/>
          <w:color w:val="2F5496" w:themeColor="accent1" w:themeShade="BF"/>
          <w:sz w:val="18"/>
          <w:szCs w:val="18"/>
        </w:rPr>
        <w:t>a</w:t>
      </w:r>
      <w:r w:rsidRPr="00A944DC">
        <w:rPr>
          <w:rFonts w:asciiTheme="minorHAnsi" w:hAnsiTheme="minorHAnsi" w:cstheme="minorHAnsi"/>
          <w:color w:val="2F5496" w:themeColor="accent1" w:themeShade="BF"/>
          <w:sz w:val="18"/>
          <w:szCs w:val="18"/>
        </w:rPr>
        <w:t xml:space="preserve"> lo sviluppo di</w:t>
      </w:r>
      <w:r w:rsidR="002C1F3F" w:rsidRPr="00A944DC">
        <w:rPr>
          <w:rFonts w:asciiTheme="minorHAnsi" w:hAnsiTheme="minorHAnsi" w:cstheme="minorHAnsi"/>
          <w:color w:val="2F5496" w:themeColor="accent1" w:themeShade="BF"/>
          <w:sz w:val="18"/>
          <w:szCs w:val="18"/>
        </w:rPr>
        <w:t xml:space="preserve"> </w:t>
      </w:r>
      <w:r w:rsidRPr="00A944DC">
        <w:rPr>
          <w:rFonts w:asciiTheme="minorHAnsi" w:hAnsiTheme="minorHAnsi" w:cstheme="minorHAnsi"/>
          <w:color w:val="2F5496" w:themeColor="accent1" w:themeShade="BF"/>
          <w:sz w:val="18"/>
          <w:szCs w:val="18"/>
        </w:rPr>
        <w:t xml:space="preserve">tolleranza. </w:t>
      </w:r>
      <w:r w:rsidR="002C1F3F" w:rsidRPr="00A944DC">
        <w:rPr>
          <w:rFonts w:asciiTheme="minorHAnsi" w:hAnsiTheme="minorHAnsi" w:cstheme="minorHAnsi"/>
          <w:color w:val="2F5496" w:themeColor="accent1" w:themeShade="BF"/>
          <w:sz w:val="18"/>
          <w:szCs w:val="18"/>
        </w:rPr>
        <w:t>I</w:t>
      </w:r>
      <w:r w:rsidRPr="00A944DC">
        <w:rPr>
          <w:rFonts w:asciiTheme="minorHAnsi" w:hAnsiTheme="minorHAnsi" w:cstheme="minorHAnsi"/>
          <w:color w:val="2F5496" w:themeColor="accent1" w:themeShade="BF"/>
          <w:sz w:val="18"/>
          <w:szCs w:val="18"/>
        </w:rPr>
        <w:t xml:space="preserve"> pDC sono stati anche implicati nella patogenesi del lupus eritematoso sistemico (LES). Nei pazienti con LES,</w:t>
      </w:r>
      <w:r w:rsidR="002C1F3F" w:rsidRPr="00A944DC">
        <w:rPr>
          <w:rFonts w:asciiTheme="minorHAnsi" w:hAnsiTheme="minorHAnsi" w:cstheme="minorHAnsi"/>
          <w:color w:val="2F5496" w:themeColor="accent1" w:themeShade="BF"/>
          <w:sz w:val="18"/>
          <w:szCs w:val="18"/>
        </w:rPr>
        <w:t xml:space="preserve"> i </w:t>
      </w:r>
      <w:r w:rsidRPr="00A944DC">
        <w:rPr>
          <w:rFonts w:asciiTheme="minorHAnsi" w:hAnsiTheme="minorHAnsi" w:cstheme="minorHAnsi"/>
          <w:color w:val="2F5496" w:themeColor="accent1" w:themeShade="BF"/>
          <w:sz w:val="18"/>
          <w:szCs w:val="18"/>
        </w:rPr>
        <w:t xml:space="preserve">complessi immunitari contenenti </w:t>
      </w:r>
      <w:r w:rsidR="002C1F3F" w:rsidRPr="00A944DC">
        <w:rPr>
          <w:rFonts w:asciiTheme="minorHAnsi" w:hAnsiTheme="minorHAnsi" w:cstheme="minorHAnsi"/>
          <w:color w:val="2F5496" w:themeColor="accent1" w:themeShade="BF"/>
          <w:sz w:val="18"/>
          <w:szCs w:val="18"/>
        </w:rPr>
        <w:t>self-</w:t>
      </w:r>
      <w:r w:rsidRPr="00A944DC">
        <w:rPr>
          <w:rFonts w:asciiTheme="minorHAnsi" w:hAnsiTheme="minorHAnsi" w:cstheme="minorHAnsi"/>
          <w:color w:val="2F5496" w:themeColor="accent1" w:themeShade="BF"/>
          <w:sz w:val="18"/>
          <w:szCs w:val="18"/>
        </w:rPr>
        <w:t xml:space="preserve">DNA associati a peptidi antimicrobici, </w:t>
      </w:r>
      <w:r w:rsidR="002C1F3F" w:rsidRPr="00A944DC">
        <w:rPr>
          <w:rFonts w:asciiTheme="minorHAnsi" w:hAnsiTheme="minorHAnsi" w:cstheme="minorHAnsi"/>
          <w:color w:val="2F5496" w:themeColor="accent1" w:themeShade="BF"/>
          <w:sz w:val="18"/>
          <w:szCs w:val="18"/>
        </w:rPr>
        <w:t xml:space="preserve">alla </w:t>
      </w:r>
      <w:r w:rsidRPr="00A944DC">
        <w:rPr>
          <w:rFonts w:asciiTheme="minorHAnsi" w:hAnsiTheme="minorHAnsi" w:cstheme="minorHAnsi"/>
          <w:color w:val="2F5496" w:themeColor="accent1" w:themeShade="BF"/>
          <w:sz w:val="18"/>
          <w:szCs w:val="18"/>
        </w:rPr>
        <w:t>proteina box gruppo 1 ad alta mobilità</w:t>
      </w:r>
      <w:r w:rsidR="002C1F3F" w:rsidRPr="00A944DC">
        <w:rPr>
          <w:rFonts w:asciiTheme="minorHAnsi" w:hAnsiTheme="minorHAnsi" w:cstheme="minorHAnsi"/>
          <w:color w:val="2F5496" w:themeColor="accent1" w:themeShade="BF"/>
          <w:sz w:val="18"/>
          <w:szCs w:val="18"/>
        </w:rPr>
        <w:t xml:space="preserve"> </w:t>
      </w:r>
      <w:r w:rsidRPr="00A944DC">
        <w:rPr>
          <w:rFonts w:asciiTheme="minorHAnsi" w:hAnsiTheme="minorHAnsi" w:cstheme="minorHAnsi"/>
          <w:color w:val="2F5496" w:themeColor="accent1" w:themeShade="BF"/>
          <w:sz w:val="18"/>
          <w:szCs w:val="18"/>
        </w:rPr>
        <w:t>(HMGB1) e</w:t>
      </w:r>
      <w:r w:rsidR="002C1F3F" w:rsidRPr="00A944DC">
        <w:rPr>
          <w:rFonts w:asciiTheme="minorHAnsi" w:hAnsiTheme="minorHAnsi" w:cstheme="minorHAnsi"/>
          <w:color w:val="2F5496" w:themeColor="accent1" w:themeShade="BF"/>
          <w:sz w:val="18"/>
          <w:szCs w:val="18"/>
        </w:rPr>
        <w:t xml:space="preserve"> ad</w:t>
      </w:r>
      <w:r w:rsidRPr="00A944DC">
        <w:rPr>
          <w:rFonts w:asciiTheme="minorHAnsi" w:hAnsiTheme="minorHAnsi" w:cstheme="minorHAnsi"/>
          <w:color w:val="2F5496" w:themeColor="accent1" w:themeShade="BF"/>
          <w:sz w:val="18"/>
          <w:szCs w:val="18"/>
        </w:rPr>
        <w:t xml:space="preserve"> autoanticorpi sono riconosciuti da FcγR su pDC. Ciò innesca la maturazione fagosomica e la generazione d</w:t>
      </w:r>
      <w:r w:rsidR="002C1F3F" w:rsidRPr="00A944DC">
        <w:rPr>
          <w:rFonts w:asciiTheme="minorHAnsi" w:hAnsiTheme="minorHAnsi" w:cstheme="minorHAnsi"/>
          <w:color w:val="2F5496" w:themeColor="accent1" w:themeShade="BF"/>
          <w:sz w:val="18"/>
          <w:szCs w:val="18"/>
        </w:rPr>
        <w:t>e</w:t>
      </w:r>
      <w:r w:rsidRPr="00A944DC">
        <w:rPr>
          <w:rFonts w:asciiTheme="minorHAnsi" w:hAnsiTheme="minorHAnsi" w:cstheme="minorHAnsi"/>
          <w:color w:val="2F5496" w:themeColor="accent1" w:themeShade="BF"/>
          <w:sz w:val="18"/>
          <w:szCs w:val="18"/>
        </w:rPr>
        <w:t xml:space="preserve">l compartimento di segnalazione interferone (IFN) (ISC). </w:t>
      </w:r>
      <w:r w:rsidR="002C1F3F" w:rsidRPr="00A944DC">
        <w:rPr>
          <w:rFonts w:asciiTheme="minorHAnsi" w:hAnsiTheme="minorHAnsi" w:cstheme="minorHAnsi"/>
          <w:color w:val="2F5496" w:themeColor="accent1" w:themeShade="BF"/>
          <w:sz w:val="18"/>
          <w:szCs w:val="18"/>
        </w:rPr>
        <w:t xml:space="preserve">L’innesco di </w:t>
      </w:r>
      <w:r w:rsidRPr="00A944DC">
        <w:rPr>
          <w:rFonts w:asciiTheme="minorHAnsi" w:hAnsiTheme="minorHAnsi" w:cstheme="minorHAnsi"/>
          <w:color w:val="2F5496" w:themeColor="accent1" w:themeShade="BF"/>
          <w:sz w:val="18"/>
          <w:szCs w:val="18"/>
        </w:rPr>
        <w:t xml:space="preserve">FcγR da </w:t>
      </w:r>
      <w:r w:rsidR="002C1F3F" w:rsidRPr="00A944DC">
        <w:rPr>
          <w:rFonts w:asciiTheme="minorHAnsi" w:hAnsiTheme="minorHAnsi" w:cstheme="minorHAnsi"/>
          <w:color w:val="2F5496" w:themeColor="accent1" w:themeShade="BF"/>
          <w:sz w:val="18"/>
          <w:szCs w:val="18"/>
        </w:rPr>
        <w:t xml:space="preserve">parte dei </w:t>
      </w:r>
      <w:r w:rsidRPr="00A944DC">
        <w:rPr>
          <w:rFonts w:asciiTheme="minorHAnsi" w:hAnsiTheme="minorHAnsi" w:cstheme="minorHAnsi"/>
          <w:color w:val="2F5496" w:themeColor="accent1" w:themeShade="BF"/>
          <w:sz w:val="18"/>
          <w:szCs w:val="18"/>
        </w:rPr>
        <w:t xml:space="preserve">complessi immunitari contenenti </w:t>
      </w:r>
      <w:r w:rsidR="002C1F3F" w:rsidRPr="00A944DC">
        <w:rPr>
          <w:rFonts w:asciiTheme="minorHAnsi" w:hAnsiTheme="minorHAnsi" w:cstheme="minorHAnsi"/>
          <w:color w:val="2F5496" w:themeColor="accent1" w:themeShade="BF"/>
          <w:sz w:val="18"/>
          <w:szCs w:val="18"/>
        </w:rPr>
        <w:t>self-</w:t>
      </w:r>
      <w:r w:rsidRPr="00A944DC">
        <w:rPr>
          <w:rFonts w:asciiTheme="minorHAnsi" w:hAnsiTheme="minorHAnsi" w:cstheme="minorHAnsi"/>
          <w:color w:val="2F5496" w:themeColor="accent1" w:themeShade="BF"/>
          <w:sz w:val="18"/>
          <w:szCs w:val="18"/>
        </w:rPr>
        <w:t>DNA</w:t>
      </w:r>
      <w:r w:rsidR="002C1F3F" w:rsidRPr="00A944DC">
        <w:rPr>
          <w:rFonts w:asciiTheme="minorHAnsi" w:hAnsiTheme="minorHAnsi" w:cstheme="minorHAnsi"/>
          <w:color w:val="2F5496" w:themeColor="accent1" w:themeShade="BF"/>
          <w:sz w:val="18"/>
          <w:szCs w:val="18"/>
        </w:rPr>
        <w:t xml:space="preserve"> ha d</w:t>
      </w:r>
      <w:r w:rsidRPr="00A944DC">
        <w:rPr>
          <w:rFonts w:asciiTheme="minorHAnsi" w:hAnsiTheme="minorHAnsi" w:cstheme="minorHAnsi"/>
          <w:color w:val="2F5496" w:themeColor="accent1" w:themeShade="BF"/>
          <w:sz w:val="18"/>
          <w:szCs w:val="18"/>
        </w:rPr>
        <w:t xml:space="preserve">imostrato di essere cruciale nella rilocalizzazione del recettore Toll-like 9 (TLR9) nell'ISC, che si traduce quindi in alti livelli di </w:t>
      </w:r>
      <w:r w:rsidR="002C1F3F" w:rsidRPr="00A944DC">
        <w:rPr>
          <w:rFonts w:asciiTheme="minorHAnsi" w:hAnsiTheme="minorHAnsi" w:cstheme="minorHAnsi"/>
          <w:color w:val="2F5496" w:themeColor="accent1" w:themeShade="BF"/>
          <w:sz w:val="18"/>
          <w:szCs w:val="18"/>
        </w:rPr>
        <w:t xml:space="preserve">produzione di </w:t>
      </w:r>
      <w:r w:rsidRPr="00A944DC">
        <w:rPr>
          <w:rFonts w:asciiTheme="minorHAnsi" w:hAnsiTheme="minorHAnsi" w:cstheme="minorHAnsi"/>
          <w:color w:val="2F5496" w:themeColor="accent1" w:themeShade="BF"/>
          <w:sz w:val="18"/>
          <w:szCs w:val="18"/>
        </w:rPr>
        <w:t>IFN di tipo I</w:t>
      </w:r>
      <w:r w:rsidR="002C1F3F" w:rsidRPr="00A944DC">
        <w:rPr>
          <w:rFonts w:asciiTheme="minorHAnsi" w:hAnsiTheme="minorHAnsi" w:cstheme="minorHAnsi"/>
          <w:color w:val="2F5496" w:themeColor="accent1" w:themeShade="BF"/>
          <w:sz w:val="18"/>
          <w:szCs w:val="18"/>
        </w:rPr>
        <w:t xml:space="preserve"> </w:t>
      </w:r>
      <w:r w:rsidRPr="00A944DC">
        <w:rPr>
          <w:rFonts w:asciiTheme="minorHAnsi" w:hAnsiTheme="minorHAnsi" w:cstheme="minorHAnsi"/>
          <w:color w:val="2F5496" w:themeColor="accent1" w:themeShade="BF"/>
          <w:sz w:val="18"/>
          <w:szCs w:val="18"/>
        </w:rPr>
        <w:t>da parte dei pDC e aggrava la risposta autoimmune nei pazienti con LES.</w:t>
      </w:r>
    </w:p>
    <w:p w:rsidR="00A833D2" w:rsidRDefault="00A833D2" w:rsidP="00A944DC">
      <w:pPr>
        <w:pBdr>
          <w:top w:val="double" w:sz="4" w:space="1" w:color="4472C4" w:themeColor="accent1"/>
          <w:left w:val="double" w:sz="4" w:space="1" w:color="4472C4" w:themeColor="accent1"/>
          <w:bottom w:val="double" w:sz="4" w:space="1" w:color="4472C4" w:themeColor="accent1"/>
          <w:right w:val="double" w:sz="4" w:space="1" w:color="4472C4" w:themeColor="accent1"/>
        </w:pBdr>
        <w:shd w:val="clear" w:color="auto" w:fill="FBF9E1"/>
        <w:ind w:left="709" w:right="1552"/>
        <w:jc w:val="center"/>
        <w:rPr>
          <w:rFonts w:asciiTheme="minorHAnsi" w:hAnsiTheme="minorHAnsi"/>
          <w:b/>
          <w:bCs/>
          <w:iCs/>
          <w:color w:val="C00000"/>
          <w:sz w:val="20"/>
          <w:szCs w:val="20"/>
        </w:rPr>
      </w:pPr>
    </w:p>
    <w:p w:rsidR="002C1F3F" w:rsidRPr="00A944DC" w:rsidRDefault="002C1F3F" w:rsidP="00A944DC">
      <w:pPr>
        <w:pBdr>
          <w:top w:val="double" w:sz="4" w:space="1" w:color="4472C4" w:themeColor="accent1"/>
          <w:left w:val="double" w:sz="4" w:space="1" w:color="4472C4" w:themeColor="accent1"/>
          <w:bottom w:val="double" w:sz="4" w:space="1" w:color="4472C4" w:themeColor="accent1"/>
          <w:right w:val="double" w:sz="4" w:space="1" w:color="4472C4" w:themeColor="accent1"/>
        </w:pBdr>
        <w:shd w:val="clear" w:color="auto" w:fill="FBF9E1"/>
        <w:ind w:left="709" w:right="1552"/>
        <w:jc w:val="center"/>
        <w:rPr>
          <w:rFonts w:asciiTheme="minorHAnsi" w:hAnsiTheme="minorHAnsi"/>
          <w:b/>
          <w:bCs/>
          <w:iCs/>
          <w:color w:val="C00000"/>
          <w:sz w:val="20"/>
          <w:szCs w:val="20"/>
        </w:rPr>
      </w:pPr>
      <w:r w:rsidRPr="00A944DC">
        <w:rPr>
          <w:rFonts w:asciiTheme="minorHAnsi" w:hAnsiTheme="minorHAnsi"/>
          <w:b/>
          <w:bCs/>
          <w:iCs/>
          <w:color w:val="C00000"/>
          <w:sz w:val="20"/>
          <w:szCs w:val="20"/>
        </w:rPr>
        <w:t>Si rimanda al testo dell’articolo per un approfondimento</w:t>
      </w:r>
    </w:p>
    <w:p w:rsidR="002C1F3F" w:rsidRPr="002C1F3F" w:rsidRDefault="002C1F3F" w:rsidP="00A944DC">
      <w:pPr>
        <w:pStyle w:val="Heading1"/>
        <w:pBdr>
          <w:top w:val="double" w:sz="4" w:space="1" w:color="4472C4" w:themeColor="accent1"/>
          <w:left w:val="double" w:sz="4" w:space="1" w:color="4472C4" w:themeColor="accent1"/>
          <w:bottom w:val="double" w:sz="4" w:space="1" w:color="4472C4" w:themeColor="accent1"/>
          <w:right w:val="double" w:sz="4" w:space="1" w:color="4472C4" w:themeColor="accent1"/>
        </w:pBdr>
        <w:shd w:val="clear" w:color="auto" w:fill="FBF9E1"/>
        <w:spacing w:before="0"/>
        <w:ind w:left="709" w:right="1552"/>
        <w:rPr>
          <w:rFonts w:asciiTheme="minorHAnsi" w:hAnsiTheme="minorHAnsi"/>
          <w:b/>
          <w:bCs/>
          <w:iCs/>
          <w:sz w:val="16"/>
          <w:szCs w:val="16"/>
        </w:rPr>
      </w:pPr>
    </w:p>
    <w:p w:rsidR="00E21CB2" w:rsidRPr="00A944DC" w:rsidRDefault="002C1F3F" w:rsidP="00A944DC">
      <w:pPr>
        <w:pBdr>
          <w:top w:val="double" w:sz="4" w:space="1" w:color="4472C4" w:themeColor="accent1"/>
          <w:left w:val="double" w:sz="4" w:space="1" w:color="4472C4" w:themeColor="accent1"/>
          <w:bottom w:val="double" w:sz="4" w:space="1" w:color="4472C4" w:themeColor="accent1"/>
          <w:right w:val="double" w:sz="4" w:space="1" w:color="4472C4" w:themeColor="accent1"/>
        </w:pBdr>
        <w:shd w:val="clear" w:color="auto" w:fill="FBF9E1"/>
        <w:ind w:left="709" w:right="1552"/>
        <w:rPr>
          <w:rFonts w:asciiTheme="minorHAnsi" w:hAnsiTheme="minorHAnsi"/>
          <w:b/>
          <w:bCs/>
          <w:i/>
          <w:color w:val="2F5496" w:themeColor="accent1" w:themeShade="BF"/>
          <w:sz w:val="20"/>
          <w:szCs w:val="20"/>
        </w:rPr>
      </w:pPr>
      <w:r w:rsidRPr="00A944DC">
        <w:rPr>
          <w:rFonts w:asciiTheme="minorHAnsi" w:hAnsiTheme="minorHAnsi"/>
          <w:b/>
          <w:bCs/>
          <w:i/>
          <w:color w:val="2F5496" w:themeColor="accent1" w:themeShade="BF"/>
          <w:sz w:val="20"/>
          <w:szCs w:val="20"/>
        </w:rPr>
        <w:t xml:space="preserve">Figure tratte da </w:t>
      </w:r>
    </w:p>
    <w:p w:rsidR="002C1F3F" w:rsidRPr="00E21CB2" w:rsidRDefault="0052743C" w:rsidP="00A944DC">
      <w:pPr>
        <w:pBdr>
          <w:top w:val="double" w:sz="4" w:space="1" w:color="4472C4" w:themeColor="accent1"/>
          <w:left w:val="double" w:sz="4" w:space="1" w:color="4472C4" w:themeColor="accent1"/>
          <w:bottom w:val="double" w:sz="4" w:space="1" w:color="4472C4" w:themeColor="accent1"/>
          <w:right w:val="double" w:sz="4" w:space="1" w:color="4472C4" w:themeColor="accent1"/>
        </w:pBdr>
        <w:shd w:val="clear" w:color="auto" w:fill="FBF9E1"/>
        <w:ind w:left="709" w:right="1552"/>
        <w:rPr>
          <w:rFonts w:asciiTheme="minorHAnsi" w:hAnsiTheme="minorHAnsi"/>
          <w:i/>
          <w:color w:val="2F5496" w:themeColor="accent1" w:themeShade="BF"/>
          <w:sz w:val="18"/>
          <w:szCs w:val="18"/>
        </w:rPr>
      </w:pPr>
      <w:hyperlink r:id="rId99" w:history="1">
        <w:r w:rsidR="00E21CB2" w:rsidRPr="00E21CB2">
          <w:rPr>
            <w:rStyle w:val="Hyperlink"/>
            <w:rFonts w:asciiTheme="minorHAnsi" w:hAnsiTheme="minorHAnsi"/>
            <w:i/>
            <w:color w:val="2F5496" w:themeColor="accent1" w:themeShade="BF"/>
            <w:sz w:val="18"/>
            <w:szCs w:val="18"/>
            <w:u w:val="none"/>
          </w:rPr>
          <w:t>https://www.researchgate.net/publication/259826273_The_function_of_Fc_gamma_receptors_in_dendritic_cells_and_macrophages/link/0a85e53c9011b7e179000000/download</w:t>
        </w:r>
      </w:hyperlink>
    </w:p>
    <w:p w:rsidR="002C1F3F" w:rsidRPr="002C1F3F" w:rsidRDefault="002C1F3F" w:rsidP="00A944DC">
      <w:pPr>
        <w:pBdr>
          <w:top w:val="double" w:sz="4" w:space="1" w:color="4472C4" w:themeColor="accent1"/>
          <w:left w:val="double" w:sz="4" w:space="1" w:color="4472C4" w:themeColor="accent1"/>
          <w:bottom w:val="double" w:sz="4" w:space="1" w:color="4472C4" w:themeColor="accent1"/>
          <w:right w:val="double" w:sz="4" w:space="1" w:color="4472C4" w:themeColor="accent1"/>
        </w:pBdr>
        <w:shd w:val="clear" w:color="auto" w:fill="FBF9E1"/>
        <w:ind w:left="709" w:right="1552"/>
      </w:pPr>
    </w:p>
    <w:p w:rsidR="00A944DC" w:rsidRDefault="00A944DC" w:rsidP="00A944DC">
      <w:pPr>
        <w:pStyle w:val="Heading3"/>
        <w:spacing w:before="0" w:beforeAutospacing="0" w:after="0" w:afterAutospacing="0"/>
        <w:rPr>
          <w:rFonts w:asciiTheme="minorHAnsi" w:hAnsiTheme="minorHAnsi" w:cstheme="minorHAnsi"/>
          <w:i/>
          <w:iCs/>
          <w:color w:val="C00000"/>
          <w:sz w:val="22"/>
          <w:szCs w:val="22"/>
        </w:rPr>
      </w:pPr>
      <w:bookmarkStart w:id="59" w:name="_Toc43342391"/>
    </w:p>
    <w:p w:rsidR="00A944DC" w:rsidRDefault="00A944DC" w:rsidP="00A944DC">
      <w:pPr>
        <w:pStyle w:val="Heading3"/>
        <w:spacing w:before="0" w:beforeAutospacing="0" w:after="0" w:afterAutospacing="0"/>
        <w:rPr>
          <w:rFonts w:asciiTheme="minorHAnsi" w:hAnsiTheme="minorHAnsi" w:cstheme="minorHAnsi"/>
          <w:i/>
          <w:iCs/>
          <w:color w:val="C00000"/>
          <w:sz w:val="22"/>
          <w:szCs w:val="22"/>
        </w:rPr>
      </w:pPr>
    </w:p>
    <w:p w:rsidR="003843FE" w:rsidRPr="00E21CB2" w:rsidRDefault="003843FE" w:rsidP="00A944DC">
      <w:pPr>
        <w:pStyle w:val="Heading3"/>
        <w:spacing w:before="0" w:beforeAutospacing="0" w:after="0" w:afterAutospacing="0"/>
        <w:rPr>
          <w:rFonts w:asciiTheme="minorHAnsi" w:hAnsiTheme="minorHAnsi" w:cstheme="minorHAnsi"/>
          <w:i/>
          <w:iCs/>
          <w:color w:val="C00000"/>
          <w:sz w:val="16"/>
          <w:szCs w:val="16"/>
        </w:rPr>
      </w:pPr>
      <w:r w:rsidRPr="00E21CB2">
        <w:rPr>
          <w:rFonts w:asciiTheme="minorHAnsi" w:hAnsiTheme="minorHAnsi" w:cstheme="minorHAnsi"/>
          <w:i/>
          <w:iCs/>
          <w:color w:val="C00000"/>
          <w:sz w:val="22"/>
          <w:szCs w:val="22"/>
        </w:rPr>
        <w:t xml:space="preserve">Il recettore neonatale Fc (FcRn) </w:t>
      </w:r>
      <w:r w:rsidR="00AA1222" w:rsidRPr="00E21CB2">
        <w:rPr>
          <w:rStyle w:val="FootnoteReference"/>
          <w:rFonts w:asciiTheme="minorHAnsi" w:hAnsiTheme="minorHAnsi" w:cstheme="minorHAnsi"/>
          <w:i/>
          <w:iCs/>
          <w:color w:val="C00000"/>
          <w:sz w:val="22"/>
          <w:szCs w:val="22"/>
        </w:rPr>
        <w:footnoteReference w:id="85"/>
      </w:r>
      <w:bookmarkEnd w:id="59"/>
    </w:p>
    <w:p w:rsidR="00E96491" w:rsidRDefault="003843FE" w:rsidP="008D24FB">
      <w:pPr>
        <w:jc w:val="both"/>
        <w:rPr>
          <w:rFonts w:asciiTheme="minorHAnsi" w:hAnsiTheme="minorHAnsi" w:cstheme="minorHAnsi"/>
          <w:iCs/>
          <w:color w:val="2F5496" w:themeColor="accent1" w:themeShade="BF"/>
          <w:sz w:val="20"/>
          <w:szCs w:val="20"/>
        </w:rPr>
      </w:pPr>
      <w:r w:rsidRPr="002C1F3F">
        <w:rPr>
          <w:rFonts w:asciiTheme="minorHAnsi" w:hAnsiTheme="minorHAnsi" w:cstheme="minorHAnsi"/>
          <w:iCs/>
          <w:color w:val="2F5496" w:themeColor="accent1" w:themeShade="BF"/>
          <w:sz w:val="20"/>
          <w:szCs w:val="20"/>
        </w:rPr>
        <w:t xml:space="preserve">Tra gli FcγR atipici, il recettore Fc neonatale (FcRn) ha acquisito sempre più </w:t>
      </w:r>
      <w:r w:rsidR="00A10A46" w:rsidRPr="002C1F3F">
        <w:rPr>
          <w:rFonts w:asciiTheme="minorHAnsi" w:hAnsiTheme="minorHAnsi" w:cstheme="minorHAnsi"/>
          <w:iCs/>
          <w:color w:val="2F5496" w:themeColor="accent1" w:themeShade="BF"/>
          <w:sz w:val="20"/>
          <w:szCs w:val="20"/>
        </w:rPr>
        <w:t xml:space="preserve">interesse </w:t>
      </w:r>
      <w:r w:rsidRPr="002C1F3F">
        <w:rPr>
          <w:rFonts w:asciiTheme="minorHAnsi" w:hAnsiTheme="minorHAnsi" w:cstheme="minorHAnsi"/>
          <w:iCs/>
          <w:color w:val="2F5496" w:themeColor="accent1" w:themeShade="BF"/>
          <w:sz w:val="20"/>
          <w:szCs w:val="20"/>
        </w:rPr>
        <w:t xml:space="preserve">data la sua intima influenza sulla biologia delle IgG e la sua capacità di legarsi anche all'albumina. </w:t>
      </w:r>
    </w:p>
    <w:p w:rsidR="002C1F3F" w:rsidRPr="002C1F3F" w:rsidRDefault="002C1F3F" w:rsidP="008D24FB">
      <w:pPr>
        <w:jc w:val="both"/>
        <w:rPr>
          <w:rFonts w:asciiTheme="minorHAnsi" w:hAnsiTheme="minorHAnsi" w:cstheme="minorHAnsi"/>
          <w:iCs/>
          <w:color w:val="000000" w:themeColor="text1"/>
          <w:sz w:val="20"/>
          <w:szCs w:val="20"/>
        </w:rPr>
      </w:pPr>
    </w:p>
    <w:p w:rsidR="002C1F3F" w:rsidRDefault="00E96491" w:rsidP="008D24FB">
      <w:pPr>
        <w:jc w:val="both"/>
        <w:rPr>
          <w:rFonts w:asciiTheme="minorHAnsi" w:hAnsiTheme="minorHAnsi" w:cstheme="minorHAnsi"/>
          <w:iCs/>
          <w:color w:val="2F5496" w:themeColor="accent1" w:themeShade="BF"/>
          <w:sz w:val="20"/>
          <w:szCs w:val="20"/>
        </w:rPr>
      </w:pPr>
      <w:r w:rsidRPr="002C1F3F">
        <w:rPr>
          <w:rFonts w:asciiTheme="minorHAnsi" w:hAnsiTheme="minorHAnsi" w:cstheme="minorHAnsi"/>
          <w:iCs/>
          <w:color w:val="2F5496" w:themeColor="accent1" w:themeShade="BF"/>
          <w:sz w:val="20"/>
          <w:szCs w:val="20"/>
        </w:rPr>
        <w:t xml:space="preserve">FcRn si distingue per essere una </w:t>
      </w:r>
      <w:r w:rsidRPr="00A944DC">
        <w:rPr>
          <w:rFonts w:asciiTheme="minorHAnsi" w:hAnsiTheme="minorHAnsi" w:cstheme="minorHAnsi"/>
          <w:b/>
          <w:bCs/>
          <w:iCs/>
          <w:color w:val="2F5496" w:themeColor="accent1" w:themeShade="BF"/>
          <w:sz w:val="20"/>
          <w:szCs w:val="20"/>
          <w:shd w:val="clear" w:color="auto" w:fill="FBF9E1"/>
        </w:rPr>
        <w:t>proteina beta (β) -2-microglobulina (β2m)</w:t>
      </w:r>
      <w:r w:rsidRPr="002C1F3F">
        <w:rPr>
          <w:rFonts w:asciiTheme="minorHAnsi" w:hAnsiTheme="minorHAnsi" w:cstheme="minorHAnsi"/>
          <w:iCs/>
          <w:color w:val="2F5496" w:themeColor="accent1" w:themeShade="BF"/>
          <w:sz w:val="20"/>
          <w:szCs w:val="20"/>
        </w:rPr>
        <w:t xml:space="preserve"> strutturalmente correlata alla famiglia del complesso maggiore di istocompatibilità di classe I (MHC-I), </w:t>
      </w:r>
      <w:r w:rsidR="00A10A46" w:rsidRPr="002C1F3F">
        <w:rPr>
          <w:rFonts w:asciiTheme="minorHAnsi" w:hAnsiTheme="minorHAnsi" w:cstheme="minorHAnsi"/>
          <w:iCs/>
          <w:color w:val="2F5496" w:themeColor="accent1" w:themeShade="BF"/>
          <w:sz w:val="20"/>
          <w:szCs w:val="20"/>
        </w:rPr>
        <w:t xml:space="preserve">che </w:t>
      </w:r>
      <w:r w:rsidRPr="002C1F3F">
        <w:rPr>
          <w:rFonts w:asciiTheme="minorHAnsi" w:hAnsiTheme="minorHAnsi" w:cstheme="minorHAnsi"/>
          <w:iCs/>
          <w:color w:val="2F5496" w:themeColor="accent1" w:themeShade="BF"/>
          <w:sz w:val="20"/>
          <w:szCs w:val="20"/>
        </w:rPr>
        <w:t xml:space="preserve">non è </w:t>
      </w:r>
      <w:r w:rsidR="00A10A46" w:rsidRPr="002C1F3F">
        <w:rPr>
          <w:rFonts w:asciiTheme="minorHAnsi" w:hAnsiTheme="minorHAnsi" w:cstheme="minorHAnsi"/>
          <w:iCs/>
          <w:color w:val="2F5496" w:themeColor="accent1" w:themeShade="BF"/>
          <w:sz w:val="20"/>
          <w:szCs w:val="20"/>
        </w:rPr>
        <w:t xml:space="preserve">però </w:t>
      </w:r>
      <w:r w:rsidRPr="002C1F3F">
        <w:rPr>
          <w:rFonts w:asciiTheme="minorHAnsi" w:hAnsiTheme="minorHAnsi" w:cstheme="minorHAnsi"/>
          <w:iCs/>
          <w:color w:val="2F5496" w:themeColor="accent1" w:themeShade="BF"/>
          <w:sz w:val="20"/>
          <w:szCs w:val="20"/>
        </w:rPr>
        <w:t xml:space="preserve">in grado di presentare peptidi antigenici alle cellule T. </w:t>
      </w:r>
    </w:p>
    <w:p w:rsidR="002C1F3F" w:rsidRDefault="002C1F3F" w:rsidP="008D24FB">
      <w:pPr>
        <w:jc w:val="both"/>
        <w:rPr>
          <w:rFonts w:asciiTheme="minorHAnsi" w:hAnsiTheme="minorHAnsi" w:cstheme="minorHAnsi"/>
          <w:iCs/>
          <w:color w:val="2F5496" w:themeColor="accent1" w:themeShade="BF"/>
          <w:sz w:val="20"/>
          <w:szCs w:val="20"/>
        </w:rPr>
      </w:pPr>
    </w:p>
    <w:p w:rsidR="002C1F3F" w:rsidRDefault="00E96491" w:rsidP="008D24FB">
      <w:pPr>
        <w:jc w:val="both"/>
        <w:rPr>
          <w:rFonts w:asciiTheme="minorHAnsi" w:hAnsiTheme="minorHAnsi" w:cstheme="minorHAnsi"/>
          <w:iCs/>
          <w:color w:val="2F5496" w:themeColor="accent1" w:themeShade="BF"/>
          <w:sz w:val="20"/>
          <w:szCs w:val="20"/>
        </w:rPr>
      </w:pPr>
      <w:r w:rsidRPr="002C1F3F">
        <w:rPr>
          <w:rFonts w:asciiTheme="minorHAnsi" w:hAnsiTheme="minorHAnsi" w:cstheme="minorHAnsi"/>
          <w:iCs/>
          <w:color w:val="2F5496" w:themeColor="accent1" w:themeShade="BF"/>
          <w:sz w:val="20"/>
          <w:szCs w:val="20"/>
        </w:rPr>
        <w:t xml:space="preserve">Inoltre, FcRn ha un </w:t>
      </w:r>
      <w:r w:rsidRPr="002C1F3F">
        <w:rPr>
          <w:rFonts w:asciiTheme="minorHAnsi" w:hAnsiTheme="minorHAnsi" w:cstheme="minorHAnsi"/>
          <w:b/>
          <w:bCs/>
          <w:iCs/>
          <w:color w:val="2F5496" w:themeColor="accent1" w:themeShade="BF"/>
          <w:sz w:val="20"/>
          <w:szCs w:val="20"/>
        </w:rPr>
        <w:t>profilo di espressione quasi ubiquitario</w:t>
      </w:r>
      <w:r w:rsidRPr="002C1F3F">
        <w:rPr>
          <w:rFonts w:asciiTheme="minorHAnsi" w:hAnsiTheme="minorHAnsi" w:cstheme="minorHAnsi"/>
          <w:iCs/>
          <w:color w:val="2F5496" w:themeColor="accent1" w:themeShade="BF"/>
          <w:sz w:val="20"/>
          <w:szCs w:val="20"/>
        </w:rPr>
        <w:t xml:space="preserve">, possiede una localizzazione prevalentemente intracellulare, è monomorfo e </w:t>
      </w:r>
      <w:r w:rsidRPr="00A944DC">
        <w:rPr>
          <w:rFonts w:asciiTheme="minorHAnsi" w:hAnsiTheme="minorHAnsi" w:cstheme="minorHAnsi"/>
          <w:b/>
          <w:bCs/>
          <w:iCs/>
          <w:color w:val="2F5496" w:themeColor="accent1" w:themeShade="BF"/>
          <w:sz w:val="20"/>
          <w:szCs w:val="20"/>
          <w:shd w:val="clear" w:color="auto" w:fill="FBF9E1"/>
        </w:rPr>
        <w:t>lega alle IgG un'altra proteina strutturalmente e funzionalmente non correlata, l'albumina</w:t>
      </w:r>
      <w:r w:rsidRPr="002C1F3F">
        <w:rPr>
          <w:rFonts w:asciiTheme="minorHAnsi" w:hAnsiTheme="minorHAnsi" w:cstheme="minorHAnsi"/>
          <w:iCs/>
          <w:color w:val="2F5496" w:themeColor="accent1" w:themeShade="BF"/>
          <w:sz w:val="20"/>
          <w:szCs w:val="20"/>
        </w:rPr>
        <w:t xml:space="preserve">. </w:t>
      </w:r>
    </w:p>
    <w:p w:rsidR="00A944DC" w:rsidRDefault="00A944DC" w:rsidP="008D24FB">
      <w:pPr>
        <w:jc w:val="both"/>
        <w:rPr>
          <w:rFonts w:asciiTheme="minorHAnsi" w:hAnsiTheme="minorHAnsi" w:cstheme="minorHAnsi"/>
          <w:iCs/>
          <w:color w:val="2F5496" w:themeColor="accent1" w:themeShade="BF"/>
          <w:sz w:val="20"/>
          <w:szCs w:val="20"/>
        </w:rPr>
      </w:pPr>
    </w:p>
    <w:p w:rsidR="002C1F3F" w:rsidRDefault="00E96491" w:rsidP="008D24FB">
      <w:pPr>
        <w:jc w:val="both"/>
        <w:rPr>
          <w:rFonts w:asciiTheme="minorHAnsi" w:hAnsiTheme="minorHAnsi" w:cstheme="minorHAnsi"/>
          <w:iCs/>
          <w:color w:val="2F5496" w:themeColor="accent1" w:themeShade="BF"/>
          <w:sz w:val="20"/>
          <w:szCs w:val="20"/>
        </w:rPr>
      </w:pPr>
      <w:r w:rsidRPr="002C1F3F">
        <w:rPr>
          <w:rFonts w:asciiTheme="minorHAnsi" w:hAnsiTheme="minorHAnsi" w:cstheme="minorHAnsi"/>
          <w:iCs/>
          <w:color w:val="2F5496" w:themeColor="accent1" w:themeShade="BF"/>
          <w:sz w:val="20"/>
          <w:szCs w:val="20"/>
        </w:rPr>
        <w:t xml:space="preserve">Mentre i sottotipi di IgG sono fondamentali nelle risposte immunitarie, l'albumina funziona come proteina carrier oltre ad essere un importante regolatore della pressione arteriosa oncotica </w:t>
      </w:r>
      <w:r w:rsidR="00A471DB" w:rsidRPr="002C1F3F">
        <w:rPr>
          <w:rFonts w:asciiTheme="minorHAnsi" w:hAnsiTheme="minorHAnsi" w:cstheme="minorHAnsi"/>
          <w:iCs/>
          <w:color w:val="2F5496" w:themeColor="accent1" w:themeShade="BF"/>
          <w:sz w:val="20"/>
          <w:szCs w:val="20"/>
        </w:rPr>
        <w:t>(cioè del riassorbimento nel circolo sanguigno di elettroliti, acqua e sostanze prodotte dal catabolismo tissutale)</w:t>
      </w:r>
      <w:r w:rsidRPr="002C1F3F">
        <w:rPr>
          <w:rFonts w:asciiTheme="minorHAnsi" w:hAnsiTheme="minorHAnsi" w:cstheme="minorHAnsi"/>
          <w:iCs/>
          <w:color w:val="2F5496" w:themeColor="accent1" w:themeShade="BF"/>
          <w:sz w:val="20"/>
          <w:szCs w:val="20"/>
        </w:rPr>
        <w:t xml:space="preserve"> . </w:t>
      </w:r>
    </w:p>
    <w:p w:rsidR="002C1F3F" w:rsidRDefault="00E96491" w:rsidP="008D24FB">
      <w:pPr>
        <w:jc w:val="both"/>
        <w:rPr>
          <w:rFonts w:asciiTheme="minorHAnsi" w:hAnsiTheme="minorHAnsi" w:cstheme="minorHAnsi"/>
          <w:iCs/>
          <w:color w:val="2F5496" w:themeColor="accent1" w:themeShade="BF"/>
          <w:sz w:val="20"/>
          <w:szCs w:val="20"/>
        </w:rPr>
      </w:pPr>
      <w:r w:rsidRPr="002C1F3F">
        <w:rPr>
          <w:rFonts w:asciiTheme="minorHAnsi" w:hAnsiTheme="minorHAnsi" w:cstheme="minorHAnsi"/>
          <w:iCs/>
          <w:color w:val="2F5496" w:themeColor="accent1" w:themeShade="BF"/>
          <w:sz w:val="20"/>
          <w:szCs w:val="20"/>
        </w:rPr>
        <w:t xml:space="preserve">Nonostante queste differenze, le IgG e l'albumina sono le due proteine ​​sieriche più abbondanti che possiedono una lunga emivita </w:t>
      </w:r>
      <w:r w:rsidR="00A471DB" w:rsidRPr="002C1F3F">
        <w:rPr>
          <w:rFonts w:asciiTheme="minorHAnsi" w:hAnsiTheme="minorHAnsi" w:cstheme="minorHAnsi"/>
          <w:iCs/>
          <w:color w:val="2F5496" w:themeColor="accent1" w:themeShade="BF"/>
          <w:sz w:val="20"/>
          <w:szCs w:val="20"/>
        </w:rPr>
        <w:t>nel siero</w:t>
      </w:r>
      <w:r w:rsidRPr="002C1F3F">
        <w:rPr>
          <w:rFonts w:asciiTheme="minorHAnsi" w:hAnsiTheme="minorHAnsi" w:cstheme="minorHAnsi"/>
          <w:iCs/>
          <w:color w:val="2F5496" w:themeColor="accent1" w:themeShade="BF"/>
          <w:sz w:val="20"/>
          <w:szCs w:val="20"/>
        </w:rPr>
        <w:t xml:space="preserve"> a causa della loro interazione con FcRn, che </w:t>
      </w:r>
      <w:r w:rsidRPr="00A944DC">
        <w:rPr>
          <w:rFonts w:asciiTheme="minorHAnsi" w:hAnsiTheme="minorHAnsi" w:cstheme="minorHAnsi"/>
          <w:iCs/>
          <w:color w:val="2F5496" w:themeColor="accent1" w:themeShade="BF"/>
          <w:sz w:val="20"/>
          <w:szCs w:val="20"/>
          <w:shd w:val="clear" w:color="auto" w:fill="FBF9E1"/>
        </w:rPr>
        <w:t xml:space="preserve">le salva dalla degradazione intracellulare attraverso un </w:t>
      </w:r>
      <w:r w:rsidRPr="00A944DC">
        <w:rPr>
          <w:rFonts w:asciiTheme="minorHAnsi" w:hAnsiTheme="minorHAnsi" w:cstheme="minorHAnsi"/>
          <w:b/>
          <w:bCs/>
          <w:iCs/>
          <w:color w:val="2F5496" w:themeColor="accent1" w:themeShade="BF"/>
          <w:sz w:val="20"/>
          <w:szCs w:val="20"/>
          <w:shd w:val="clear" w:color="auto" w:fill="FBF9E1"/>
        </w:rPr>
        <w:t>meccanismo di riciclaggio cellulare</w:t>
      </w:r>
      <w:r w:rsidRPr="002C1F3F">
        <w:rPr>
          <w:rFonts w:asciiTheme="minorHAnsi" w:hAnsiTheme="minorHAnsi" w:cstheme="minorHAnsi"/>
          <w:iCs/>
          <w:color w:val="2F5496" w:themeColor="accent1" w:themeShade="BF"/>
          <w:sz w:val="20"/>
          <w:szCs w:val="20"/>
        </w:rPr>
        <w:t xml:space="preserve">. </w:t>
      </w:r>
    </w:p>
    <w:p w:rsidR="002C1F3F" w:rsidRDefault="002C1F3F" w:rsidP="008D24FB">
      <w:pPr>
        <w:jc w:val="both"/>
        <w:rPr>
          <w:rFonts w:asciiTheme="minorHAnsi" w:hAnsiTheme="minorHAnsi" w:cstheme="minorHAnsi"/>
          <w:iCs/>
          <w:color w:val="2F5496" w:themeColor="accent1" w:themeShade="BF"/>
          <w:sz w:val="20"/>
          <w:szCs w:val="20"/>
        </w:rPr>
      </w:pPr>
    </w:p>
    <w:p w:rsidR="00A944DC" w:rsidRDefault="00E96491" w:rsidP="008D24FB">
      <w:pPr>
        <w:jc w:val="both"/>
        <w:rPr>
          <w:rFonts w:asciiTheme="minorHAnsi" w:hAnsiTheme="minorHAnsi" w:cstheme="minorHAnsi"/>
          <w:iCs/>
          <w:color w:val="2F5496" w:themeColor="accent1" w:themeShade="BF"/>
          <w:sz w:val="20"/>
          <w:szCs w:val="20"/>
        </w:rPr>
      </w:pPr>
      <w:r w:rsidRPr="00A944DC">
        <w:rPr>
          <w:rFonts w:asciiTheme="minorHAnsi" w:hAnsiTheme="minorHAnsi" w:cstheme="minorHAnsi"/>
          <w:iCs/>
          <w:color w:val="2F5496" w:themeColor="accent1" w:themeShade="BF"/>
          <w:sz w:val="20"/>
          <w:szCs w:val="20"/>
          <w:shd w:val="clear" w:color="auto" w:fill="FBF9E1"/>
        </w:rPr>
        <w:t xml:space="preserve">Un'altra delle funzioni di FcRn è di </w:t>
      </w:r>
      <w:r w:rsidRPr="00A944DC">
        <w:rPr>
          <w:rFonts w:asciiTheme="minorHAnsi" w:hAnsiTheme="minorHAnsi" w:cstheme="minorHAnsi"/>
          <w:b/>
          <w:bCs/>
          <w:iCs/>
          <w:color w:val="2F5496" w:themeColor="accent1" w:themeShade="BF"/>
          <w:sz w:val="20"/>
          <w:szCs w:val="20"/>
          <w:shd w:val="clear" w:color="auto" w:fill="FBF9E1"/>
        </w:rPr>
        <w:t>trasportare le IgG dalla madre alla prole</w:t>
      </w:r>
      <w:r w:rsidRPr="00A944DC">
        <w:rPr>
          <w:rFonts w:asciiTheme="minorHAnsi" w:hAnsiTheme="minorHAnsi" w:cstheme="minorHAnsi"/>
          <w:iCs/>
          <w:color w:val="2F5496" w:themeColor="accent1" w:themeShade="BF"/>
          <w:sz w:val="20"/>
          <w:szCs w:val="20"/>
          <w:shd w:val="clear" w:color="auto" w:fill="FBF9E1"/>
        </w:rPr>
        <w:t xml:space="preserve"> </w:t>
      </w:r>
      <w:r w:rsidRPr="002C1F3F">
        <w:rPr>
          <w:rFonts w:asciiTheme="minorHAnsi" w:hAnsiTheme="minorHAnsi" w:cstheme="minorHAnsi"/>
          <w:iCs/>
          <w:color w:val="2F5496" w:themeColor="accent1" w:themeShade="BF"/>
          <w:sz w:val="20"/>
          <w:szCs w:val="20"/>
        </w:rPr>
        <w:t xml:space="preserve">fornendo così al sistema immunitario </w:t>
      </w:r>
      <w:r w:rsidR="00A471DB" w:rsidRPr="002C1F3F">
        <w:rPr>
          <w:rFonts w:asciiTheme="minorHAnsi" w:hAnsiTheme="minorHAnsi" w:cstheme="minorHAnsi"/>
          <w:iCs/>
          <w:color w:val="2F5496" w:themeColor="accent1" w:themeShade="BF"/>
          <w:sz w:val="20"/>
          <w:szCs w:val="20"/>
        </w:rPr>
        <w:t>naïve</w:t>
      </w:r>
      <w:r w:rsidRPr="002C1F3F">
        <w:rPr>
          <w:rFonts w:asciiTheme="minorHAnsi" w:hAnsiTheme="minorHAnsi" w:cstheme="minorHAnsi"/>
          <w:iCs/>
          <w:color w:val="2F5496" w:themeColor="accent1" w:themeShade="BF"/>
          <w:sz w:val="20"/>
          <w:szCs w:val="20"/>
        </w:rPr>
        <w:t xml:space="preserve"> e immaturo del neonato l'esperienza e la protezione sviluppate nel progenitore adulto.</w:t>
      </w:r>
      <w:r w:rsidR="00A471DB" w:rsidRPr="002C1F3F">
        <w:rPr>
          <w:rFonts w:asciiTheme="minorHAnsi" w:hAnsiTheme="minorHAnsi" w:cstheme="minorHAnsi"/>
          <w:iCs/>
          <w:color w:val="2F5496" w:themeColor="accent1" w:themeShade="BF"/>
          <w:sz w:val="20"/>
          <w:szCs w:val="20"/>
        </w:rPr>
        <w:t xml:space="preserve"> </w:t>
      </w:r>
    </w:p>
    <w:p w:rsidR="002C1F3F" w:rsidRDefault="00A471DB" w:rsidP="008D24FB">
      <w:pPr>
        <w:jc w:val="both"/>
        <w:rPr>
          <w:rFonts w:asciiTheme="minorHAnsi" w:hAnsiTheme="minorHAnsi" w:cstheme="minorHAnsi"/>
          <w:iCs/>
          <w:color w:val="2F5496" w:themeColor="accent1" w:themeShade="BF"/>
          <w:sz w:val="20"/>
          <w:szCs w:val="20"/>
        </w:rPr>
      </w:pPr>
      <w:r w:rsidRPr="002C1F3F">
        <w:rPr>
          <w:rFonts w:asciiTheme="minorHAnsi" w:hAnsiTheme="minorHAnsi" w:cstheme="minorHAnsi"/>
          <w:iCs/>
          <w:color w:val="2F5496" w:themeColor="accent1" w:themeShade="BF"/>
          <w:sz w:val="20"/>
          <w:szCs w:val="20"/>
        </w:rPr>
        <w:t xml:space="preserve">Questa espressione funzionale di FcRn e la sua capacità di transcitare le IgG (transcitosi: </w:t>
      </w:r>
      <w:r w:rsidR="00A10A46" w:rsidRPr="002C1F3F">
        <w:rPr>
          <w:rFonts w:asciiTheme="minorHAnsi" w:hAnsiTheme="minorHAnsi" w:cstheme="minorHAnsi"/>
          <w:iCs/>
          <w:color w:val="2F5496" w:themeColor="accent1" w:themeShade="BF"/>
          <w:sz w:val="20"/>
          <w:szCs w:val="20"/>
        </w:rPr>
        <w:t xml:space="preserve">trasporto “navetta” che avviene all’interno della cellula) </w:t>
      </w:r>
      <w:r w:rsidRPr="002C1F3F">
        <w:rPr>
          <w:rFonts w:asciiTheme="minorHAnsi" w:hAnsiTheme="minorHAnsi" w:cstheme="minorHAnsi"/>
          <w:iCs/>
          <w:color w:val="2F5496" w:themeColor="accent1" w:themeShade="BF"/>
          <w:sz w:val="20"/>
          <w:szCs w:val="20"/>
        </w:rPr>
        <w:t xml:space="preserve">non si limitano al neonato ma </w:t>
      </w:r>
      <w:r w:rsidRPr="002C1F3F">
        <w:rPr>
          <w:rFonts w:asciiTheme="minorHAnsi" w:hAnsiTheme="minorHAnsi" w:cstheme="minorHAnsi"/>
          <w:b/>
          <w:bCs/>
          <w:iCs/>
          <w:color w:val="2F5496" w:themeColor="accent1" w:themeShade="BF"/>
          <w:sz w:val="20"/>
          <w:szCs w:val="20"/>
        </w:rPr>
        <w:t>persistono per tutta la vita e consentono il rilascio mirato di IgG in siti in cui la presenza di questo tipo di anticorpo rinforza l'immunità, un processo ampiamente sfruttato dalla terapia basata su</w:t>
      </w:r>
      <w:r w:rsidR="008340A4" w:rsidRPr="002C1F3F">
        <w:rPr>
          <w:rFonts w:asciiTheme="minorHAnsi" w:hAnsiTheme="minorHAnsi" w:cstheme="minorHAnsi"/>
          <w:b/>
          <w:bCs/>
          <w:iCs/>
          <w:color w:val="2F5496" w:themeColor="accent1" w:themeShade="BF"/>
          <w:sz w:val="20"/>
          <w:szCs w:val="20"/>
        </w:rPr>
        <w:t>lle</w:t>
      </w:r>
      <w:r w:rsidRPr="002C1F3F">
        <w:rPr>
          <w:rFonts w:asciiTheme="minorHAnsi" w:hAnsiTheme="minorHAnsi" w:cstheme="minorHAnsi"/>
          <w:b/>
          <w:bCs/>
          <w:iCs/>
          <w:color w:val="2F5496" w:themeColor="accent1" w:themeShade="BF"/>
          <w:sz w:val="20"/>
          <w:szCs w:val="20"/>
        </w:rPr>
        <w:t xml:space="preserve"> IgG</w:t>
      </w:r>
      <w:r w:rsidRPr="002C1F3F">
        <w:rPr>
          <w:rFonts w:asciiTheme="minorHAnsi" w:hAnsiTheme="minorHAnsi" w:cstheme="minorHAnsi"/>
          <w:iCs/>
          <w:color w:val="2F5496" w:themeColor="accent1" w:themeShade="BF"/>
          <w:sz w:val="20"/>
          <w:szCs w:val="20"/>
        </w:rPr>
        <w:t xml:space="preserve"> . </w:t>
      </w:r>
    </w:p>
    <w:p w:rsidR="00A944DC" w:rsidRDefault="00A944DC" w:rsidP="008D24FB">
      <w:pPr>
        <w:jc w:val="both"/>
        <w:rPr>
          <w:rFonts w:asciiTheme="minorHAnsi" w:hAnsiTheme="minorHAnsi" w:cstheme="minorHAnsi"/>
          <w:iCs/>
          <w:color w:val="2F5496" w:themeColor="accent1" w:themeShade="BF"/>
          <w:sz w:val="20"/>
          <w:szCs w:val="20"/>
        </w:rPr>
      </w:pPr>
    </w:p>
    <w:p w:rsidR="00571807" w:rsidRDefault="00A471DB" w:rsidP="008D24FB">
      <w:pPr>
        <w:jc w:val="both"/>
        <w:rPr>
          <w:rFonts w:asciiTheme="minorHAnsi" w:hAnsiTheme="minorHAnsi" w:cstheme="minorHAnsi"/>
          <w:iCs/>
          <w:color w:val="2F5496" w:themeColor="accent1" w:themeShade="BF"/>
          <w:sz w:val="20"/>
          <w:szCs w:val="20"/>
        </w:rPr>
      </w:pPr>
      <w:r w:rsidRPr="002C1F3F">
        <w:rPr>
          <w:rFonts w:asciiTheme="minorHAnsi" w:hAnsiTheme="minorHAnsi" w:cstheme="minorHAnsi"/>
          <w:iCs/>
          <w:color w:val="2F5496" w:themeColor="accent1" w:themeShade="BF"/>
          <w:sz w:val="20"/>
          <w:szCs w:val="20"/>
        </w:rPr>
        <w:t xml:space="preserve">Infine, le funzioni di FcRn sono determinate in modo differenziale </w:t>
      </w:r>
      <w:r w:rsidR="00571807">
        <w:rPr>
          <w:rFonts w:asciiTheme="minorHAnsi" w:hAnsiTheme="minorHAnsi" w:cstheme="minorHAnsi"/>
          <w:iCs/>
          <w:color w:val="2F5496" w:themeColor="accent1" w:themeShade="BF"/>
          <w:sz w:val="20"/>
          <w:szCs w:val="20"/>
        </w:rPr>
        <w:t>a seconda</w:t>
      </w:r>
      <w:r w:rsidRPr="002C1F3F">
        <w:rPr>
          <w:rFonts w:asciiTheme="minorHAnsi" w:hAnsiTheme="minorHAnsi" w:cstheme="minorHAnsi"/>
          <w:iCs/>
          <w:color w:val="2F5496" w:themeColor="accent1" w:themeShade="BF"/>
          <w:sz w:val="20"/>
          <w:szCs w:val="20"/>
        </w:rPr>
        <w:t xml:space="preserve"> che l'IgG sia una singola molecola, e quindi monomerica, o </w:t>
      </w:r>
      <w:r w:rsidR="00571807">
        <w:rPr>
          <w:rFonts w:asciiTheme="minorHAnsi" w:hAnsiTheme="minorHAnsi" w:cstheme="minorHAnsi"/>
          <w:iCs/>
          <w:color w:val="2F5496" w:themeColor="accent1" w:themeShade="BF"/>
          <w:sz w:val="20"/>
          <w:szCs w:val="20"/>
        </w:rPr>
        <w:t xml:space="preserve">sia </w:t>
      </w:r>
      <w:r w:rsidRPr="002C1F3F">
        <w:rPr>
          <w:rFonts w:asciiTheme="minorHAnsi" w:hAnsiTheme="minorHAnsi" w:cstheme="minorHAnsi"/>
          <w:iCs/>
          <w:color w:val="2F5496" w:themeColor="accent1" w:themeShade="BF"/>
          <w:sz w:val="20"/>
          <w:szCs w:val="20"/>
        </w:rPr>
        <w:t xml:space="preserve">presente come complesso immunitario (IC). </w:t>
      </w:r>
    </w:p>
    <w:p w:rsidR="00E96491" w:rsidRPr="002C1F3F" w:rsidRDefault="00A471DB" w:rsidP="008D24FB">
      <w:pPr>
        <w:jc w:val="both"/>
        <w:rPr>
          <w:rFonts w:asciiTheme="minorHAnsi" w:hAnsiTheme="minorHAnsi" w:cstheme="minorHAnsi"/>
          <w:iCs/>
          <w:color w:val="2F5496" w:themeColor="accent1" w:themeShade="BF"/>
          <w:sz w:val="20"/>
          <w:szCs w:val="20"/>
        </w:rPr>
      </w:pPr>
      <w:r w:rsidRPr="002C1F3F">
        <w:rPr>
          <w:rFonts w:asciiTheme="minorHAnsi" w:hAnsiTheme="minorHAnsi" w:cstheme="minorHAnsi"/>
          <w:iCs/>
          <w:color w:val="2F5496" w:themeColor="accent1" w:themeShade="BF"/>
          <w:sz w:val="20"/>
          <w:szCs w:val="20"/>
        </w:rPr>
        <w:t>In quest'ultimo caso, FcRn ha dimostrato di regolare criticamente le risposte immunitarie innate, nonché l'elaborazione e la presentazione di antigeni contenuti nell'IC IgG.</w:t>
      </w:r>
    </w:p>
    <w:p w:rsidR="00A10A46" w:rsidRPr="002C1F3F" w:rsidRDefault="00A10A46" w:rsidP="008D24FB">
      <w:pPr>
        <w:jc w:val="both"/>
        <w:rPr>
          <w:rFonts w:asciiTheme="minorHAnsi" w:hAnsiTheme="minorHAnsi" w:cstheme="minorHAnsi"/>
          <w:iCs/>
          <w:color w:val="2F5496" w:themeColor="accent1" w:themeShade="BF"/>
          <w:sz w:val="20"/>
          <w:szCs w:val="20"/>
        </w:rPr>
      </w:pPr>
    </w:p>
    <w:p w:rsidR="00A10A46" w:rsidRPr="002C1F3F" w:rsidRDefault="00A10A46" w:rsidP="008D24FB">
      <w:pPr>
        <w:jc w:val="both"/>
        <w:rPr>
          <w:rFonts w:asciiTheme="minorHAnsi" w:hAnsiTheme="minorHAnsi" w:cstheme="minorHAnsi"/>
          <w:iCs/>
          <w:color w:val="2F5496" w:themeColor="accent1" w:themeShade="BF"/>
          <w:sz w:val="20"/>
          <w:szCs w:val="20"/>
        </w:rPr>
      </w:pPr>
    </w:p>
    <w:p w:rsidR="00A10A46" w:rsidRDefault="00A10A46" w:rsidP="00C92264">
      <w:pPr>
        <w:jc w:val="center"/>
        <w:rPr>
          <w:rFonts w:asciiTheme="minorHAnsi" w:hAnsiTheme="minorHAnsi" w:cstheme="minorHAnsi"/>
          <w:sz w:val="20"/>
          <w:szCs w:val="20"/>
        </w:rPr>
      </w:pPr>
      <w:r w:rsidRPr="002C1F3F">
        <w:rPr>
          <w:rFonts w:asciiTheme="minorHAnsi" w:hAnsiTheme="minorHAnsi" w:cstheme="minorHAnsi"/>
          <w:sz w:val="20"/>
          <w:szCs w:val="20"/>
        </w:rPr>
        <w:lastRenderedPageBreak/>
        <w:fldChar w:fldCharType="begin"/>
      </w:r>
      <w:r w:rsidRPr="002C1F3F">
        <w:rPr>
          <w:rFonts w:asciiTheme="minorHAnsi" w:hAnsiTheme="minorHAnsi" w:cstheme="minorHAnsi"/>
          <w:sz w:val="20"/>
          <w:szCs w:val="20"/>
        </w:rPr>
        <w:instrText xml:space="preserve"> INCLUDEPICTURE "https://www.frontiersin.org/files/Articles/459634/fimmu-10-01540-HTML-r1/image_m/fimmu-10-01540-g003.jpg" \* MERGEFORMATINET </w:instrText>
      </w:r>
      <w:r w:rsidRPr="002C1F3F">
        <w:rPr>
          <w:rFonts w:asciiTheme="minorHAnsi" w:hAnsiTheme="minorHAnsi" w:cstheme="minorHAnsi"/>
          <w:sz w:val="20"/>
          <w:szCs w:val="20"/>
        </w:rPr>
        <w:fldChar w:fldCharType="separate"/>
      </w:r>
      <w:r w:rsidRPr="002C1F3F">
        <w:rPr>
          <w:rFonts w:asciiTheme="minorHAnsi" w:hAnsiTheme="minorHAnsi" w:cstheme="minorHAnsi"/>
          <w:noProof/>
          <w:sz w:val="20"/>
          <w:szCs w:val="20"/>
        </w:rPr>
        <w:drawing>
          <wp:inline distT="0" distB="0" distL="0" distR="0">
            <wp:extent cx="4275015" cy="2925315"/>
            <wp:effectExtent l="0" t="0" r="508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57036" cy="3049869"/>
                    </a:xfrm>
                    <a:prstGeom prst="rect">
                      <a:avLst/>
                    </a:prstGeom>
                    <a:noFill/>
                    <a:ln>
                      <a:noFill/>
                    </a:ln>
                  </pic:spPr>
                </pic:pic>
              </a:graphicData>
            </a:graphic>
          </wp:inline>
        </w:drawing>
      </w:r>
      <w:r w:rsidRPr="002C1F3F">
        <w:rPr>
          <w:rFonts w:asciiTheme="minorHAnsi" w:hAnsiTheme="minorHAnsi" w:cstheme="minorHAnsi"/>
          <w:sz w:val="20"/>
          <w:szCs w:val="20"/>
        </w:rPr>
        <w:fldChar w:fldCharType="end"/>
      </w:r>
    </w:p>
    <w:p w:rsidR="00A944DC" w:rsidRPr="002C1F3F" w:rsidRDefault="00A944DC" w:rsidP="00C92264">
      <w:pPr>
        <w:jc w:val="center"/>
        <w:rPr>
          <w:rFonts w:asciiTheme="minorHAnsi" w:hAnsiTheme="minorHAnsi" w:cstheme="minorHAnsi"/>
          <w:sz w:val="20"/>
          <w:szCs w:val="20"/>
        </w:rPr>
      </w:pPr>
    </w:p>
    <w:p w:rsidR="00A10A46" w:rsidRPr="00A944DC" w:rsidRDefault="00A10A46" w:rsidP="00A944DC">
      <w:pPr>
        <w:shd w:val="clear" w:color="auto" w:fill="F2F2F2" w:themeFill="background1" w:themeFillShade="F2"/>
        <w:rPr>
          <w:rFonts w:asciiTheme="minorHAnsi" w:hAnsiTheme="minorHAnsi" w:cstheme="minorHAnsi"/>
          <w:color w:val="2F5496" w:themeColor="accent1" w:themeShade="BF"/>
          <w:sz w:val="18"/>
          <w:szCs w:val="18"/>
        </w:rPr>
      </w:pPr>
      <w:r w:rsidRPr="00A944DC">
        <w:rPr>
          <w:rFonts w:asciiTheme="minorHAnsi" w:hAnsiTheme="minorHAnsi" w:cstheme="minorHAnsi"/>
          <w:iCs/>
          <w:color w:val="2F5496" w:themeColor="accent1" w:themeShade="BF"/>
          <w:sz w:val="18"/>
          <w:szCs w:val="18"/>
        </w:rPr>
        <w:t xml:space="preserve">Tratta da </w:t>
      </w:r>
      <w:hyperlink r:id="rId101" w:history="1">
        <w:r w:rsidRPr="00A944DC">
          <w:rPr>
            <w:rStyle w:val="Hyperlink"/>
            <w:rFonts w:asciiTheme="minorHAnsi" w:eastAsiaTheme="majorEastAsia" w:hAnsiTheme="minorHAnsi" w:cstheme="minorHAnsi"/>
            <w:color w:val="2F5496" w:themeColor="accent1" w:themeShade="BF"/>
            <w:sz w:val="18"/>
            <w:szCs w:val="18"/>
            <w:u w:val="none"/>
          </w:rPr>
          <w:t>https://www.frontiersin.org/articles/10.3389/fimmu.2019.01540/full</w:t>
        </w:r>
      </w:hyperlink>
    </w:p>
    <w:p w:rsidR="00571807" w:rsidRPr="00A944DC" w:rsidRDefault="00571807" w:rsidP="00A944DC">
      <w:pPr>
        <w:shd w:val="clear" w:color="auto" w:fill="F2F2F2" w:themeFill="background1" w:themeFillShade="F2"/>
        <w:jc w:val="both"/>
        <w:rPr>
          <w:rFonts w:asciiTheme="minorHAnsi" w:hAnsiTheme="minorHAnsi" w:cstheme="minorHAnsi"/>
          <w:iCs/>
          <w:color w:val="2F5496" w:themeColor="accent1" w:themeShade="BF"/>
          <w:sz w:val="18"/>
          <w:szCs w:val="18"/>
        </w:rPr>
      </w:pPr>
      <w:r w:rsidRPr="00A944DC">
        <w:rPr>
          <w:rFonts w:asciiTheme="minorHAnsi" w:hAnsiTheme="minorHAnsi" w:cstheme="minorHAnsi"/>
          <w:b/>
          <w:bCs/>
          <w:iCs/>
          <w:color w:val="2F5496" w:themeColor="accent1" w:themeShade="BF"/>
          <w:sz w:val="18"/>
          <w:szCs w:val="18"/>
        </w:rPr>
        <w:t>FcRn media il trasporto bidirezionale e la risposta immunitaria delle IgG e ai complessi immunitari delle IgG nell'intestino</w:t>
      </w:r>
      <w:r w:rsidRPr="00A944DC">
        <w:rPr>
          <w:rFonts w:asciiTheme="minorHAnsi" w:hAnsiTheme="minorHAnsi" w:cstheme="minorHAnsi"/>
          <w:iCs/>
          <w:color w:val="2F5496" w:themeColor="accent1" w:themeShade="BF"/>
          <w:sz w:val="18"/>
          <w:szCs w:val="18"/>
        </w:rPr>
        <w:t xml:space="preserve">. </w:t>
      </w:r>
      <w:r w:rsidRPr="00A944DC">
        <w:rPr>
          <w:rFonts w:asciiTheme="minorHAnsi" w:hAnsiTheme="minorHAnsi" w:cstheme="minorHAnsi"/>
          <w:b/>
          <w:bCs/>
          <w:iCs/>
          <w:color w:val="2F5496" w:themeColor="accent1" w:themeShade="BF"/>
          <w:sz w:val="18"/>
          <w:szCs w:val="18"/>
        </w:rPr>
        <w:t xml:space="preserve">(1) </w:t>
      </w:r>
      <w:r w:rsidRPr="00A944DC">
        <w:rPr>
          <w:rFonts w:asciiTheme="minorHAnsi" w:hAnsiTheme="minorHAnsi" w:cstheme="minorHAnsi"/>
          <w:iCs/>
          <w:color w:val="2F5496" w:themeColor="accent1" w:themeShade="BF"/>
          <w:sz w:val="18"/>
          <w:szCs w:val="18"/>
        </w:rPr>
        <w:t xml:space="preserve">Il pH della superficie della mucosa dell'intestino prossimale può essere leggermente acido, in modo tale che FcRn possa legare l’IgG materna e IC IgG già sulla superficie cellulare e transcitarle sul lato basolaterale. </w:t>
      </w:r>
      <w:r w:rsidRPr="00A944DC">
        <w:rPr>
          <w:rFonts w:asciiTheme="minorHAnsi" w:hAnsiTheme="minorHAnsi" w:cstheme="minorHAnsi"/>
          <w:b/>
          <w:bCs/>
          <w:iCs/>
          <w:color w:val="2F5496" w:themeColor="accent1" w:themeShade="BF"/>
          <w:sz w:val="18"/>
          <w:szCs w:val="18"/>
        </w:rPr>
        <w:t xml:space="preserve">(2) </w:t>
      </w:r>
      <w:r w:rsidRPr="00A944DC">
        <w:rPr>
          <w:rFonts w:asciiTheme="minorHAnsi" w:hAnsiTheme="minorHAnsi" w:cstheme="minorHAnsi"/>
          <w:iCs/>
          <w:color w:val="2F5496" w:themeColor="accent1" w:themeShade="BF"/>
          <w:sz w:val="18"/>
          <w:szCs w:val="18"/>
        </w:rPr>
        <w:t xml:space="preserve">APC come la DC, può legare e interiorizzare attivamente l’IC IgG tramite FcγR. </w:t>
      </w:r>
      <w:r w:rsidRPr="00A944DC">
        <w:rPr>
          <w:rFonts w:asciiTheme="minorHAnsi" w:hAnsiTheme="minorHAnsi" w:cstheme="minorHAnsi"/>
          <w:b/>
          <w:bCs/>
          <w:iCs/>
          <w:color w:val="2F5496" w:themeColor="accent1" w:themeShade="BF"/>
          <w:sz w:val="18"/>
          <w:szCs w:val="18"/>
        </w:rPr>
        <w:t>(3)</w:t>
      </w:r>
      <w:r w:rsidRPr="00A944DC">
        <w:rPr>
          <w:rFonts w:asciiTheme="minorHAnsi" w:hAnsiTheme="minorHAnsi" w:cstheme="minorHAnsi"/>
          <w:iCs/>
          <w:color w:val="2F5496" w:themeColor="accent1" w:themeShade="BF"/>
          <w:sz w:val="18"/>
          <w:szCs w:val="18"/>
        </w:rPr>
        <w:t xml:space="preserve"> FcRn in APC aiuta nel trattamento dell'antigene e nella consegna dell'IC IgG ai compartimenti di caricamento dell'antigene in cui i peptidi derivati ​​da questi complessi possono essere caricati su MHC II per la presentazione sulle cellule T CD4</w:t>
      </w:r>
      <w:r w:rsidRPr="00A944DC">
        <w:rPr>
          <w:rFonts w:asciiTheme="minorHAnsi" w:hAnsiTheme="minorHAnsi" w:cstheme="minorHAnsi"/>
          <w:iCs/>
          <w:color w:val="2F5496" w:themeColor="accent1" w:themeShade="BF"/>
          <w:sz w:val="18"/>
          <w:szCs w:val="18"/>
          <w:vertAlign w:val="superscript"/>
        </w:rPr>
        <w:t>+</w:t>
      </w:r>
      <w:r w:rsidRPr="00A944DC">
        <w:rPr>
          <w:rFonts w:asciiTheme="minorHAnsi" w:hAnsiTheme="minorHAnsi" w:cstheme="minorHAnsi"/>
          <w:iCs/>
          <w:color w:val="2F5496" w:themeColor="accent1" w:themeShade="BF"/>
          <w:sz w:val="18"/>
          <w:szCs w:val="18"/>
        </w:rPr>
        <w:t xml:space="preserve">. </w:t>
      </w:r>
      <w:r w:rsidRPr="00A944DC">
        <w:rPr>
          <w:rFonts w:asciiTheme="minorHAnsi" w:hAnsiTheme="minorHAnsi" w:cstheme="minorHAnsi"/>
          <w:b/>
          <w:bCs/>
          <w:iCs/>
          <w:color w:val="2F5496" w:themeColor="accent1" w:themeShade="BF"/>
          <w:sz w:val="18"/>
          <w:szCs w:val="18"/>
        </w:rPr>
        <w:t>(4)</w:t>
      </w:r>
      <w:r w:rsidRPr="00A944DC">
        <w:rPr>
          <w:rFonts w:asciiTheme="minorHAnsi" w:hAnsiTheme="minorHAnsi" w:cstheme="minorHAnsi"/>
          <w:iCs/>
          <w:color w:val="2F5496" w:themeColor="accent1" w:themeShade="BF"/>
          <w:sz w:val="18"/>
          <w:szCs w:val="18"/>
        </w:rPr>
        <w:t xml:space="preserve"> Nella prima infanzia, la presentazione del peptide derivato dall'antigene sull'MHC II in presenza di altri fattori derivati ​​dal latte materno crea </w:t>
      </w:r>
      <w:r w:rsidRPr="00A944DC">
        <w:rPr>
          <w:rFonts w:asciiTheme="minorHAnsi" w:hAnsiTheme="minorHAnsi" w:cstheme="minorHAnsi"/>
          <w:b/>
          <w:bCs/>
          <w:iCs/>
          <w:color w:val="2F5496" w:themeColor="accent1" w:themeShade="BF"/>
          <w:sz w:val="18"/>
          <w:szCs w:val="18"/>
        </w:rPr>
        <w:t>(5)</w:t>
      </w:r>
      <w:r w:rsidRPr="00A944DC">
        <w:rPr>
          <w:rFonts w:asciiTheme="minorHAnsi" w:hAnsiTheme="minorHAnsi" w:cstheme="minorHAnsi"/>
          <w:iCs/>
          <w:color w:val="2F5496" w:themeColor="accent1" w:themeShade="BF"/>
          <w:sz w:val="18"/>
          <w:szCs w:val="18"/>
        </w:rPr>
        <w:t xml:space="preserve"> un ambiente tollerogenico alle cellule T CD </w:t>
      </w:r>
      <w:r w:rsidRPr="00A944DC">
        <w:rPr>
          <w:rFonts w:asciiTheme="minorHAnsi" w:hAnsiTheme="minorHAnsi" w:cstheme="minorHAnsi"/>
          <w:iCs/>
          <w:color w:val="2F5496" w:themeColor="accent1" w:themeShade="BF"/>
          <w:sz w:val="18"/>
          <w:szCs w:val="18"/>
          <w:vertAlign w:val="superscript"/>
        </w:rPr>
        <w:t>+</w:t>
      </w:r>
      <w:r w:rsidRPr="00A944DC">
        <w:rPr>
          <w:rFonts w:asciiTheme="minorHAnsi" w:hAnsiTheme="minorHAnsi" w:cstheme="minorHAnsi"/>
          <w:iCs/>
          <w:color w:val="2F5496" w:themeColor="accent1" w:themeShade="BF"/>
          <w:sz w:val="18"/>
          <w:szCs w:val="18"/>
        </w:rPr>
        <w:t>. In questi casi, l'espressione di FcRn da parte delle APC è cruciale per l'induzione delle cellule T regolatorie CD4</w:t>
      </w:r>
      <w:r w:rsidRPr="00A944DC">
        <w:rPr>
          <w:rFonts w:asciiTheme="minorHAnsi" w:hAnsiTheme="minorHAnsi" w:cstheme="minorHAnsi"/>
          <w:iCs/>
          <w:color w:val="2F5496" w:themeColor="accent1" w:themeShade="BF"/>
          <w:sz w:val="18"/>
          <w:szCs w:val="18"/>
          <w:vertAlign w:val="superscript"/>
        </w:rPr>
        <w:t>+</w:t>
      </w:r>
      <w:r w:rsidRPr="00A944DC">
        <w:rPr>
          <w:rFonts w:asciiTheme="minorHAnsi" w:hAnsiTheme="minorHAnsi" w:cstheme="minorHAnsi"/>
          <w:iCs/>
          <w:color w:val="2F5496" w:themeColor="accent1" w:themeShade="BF"/>
          <w:sz w:val="18"/>
          <w:szCs w:val="18"/>
        </w:rPr>
        <w:t xml:space="preserve"> Foxp3</w:t>
      </w:r>
      <w:r w:rsidRPr="00A944DC">
        <w:rPr>
          <w:rFonts w:asciiTheme="minorHAnsi" w:hAnsiTheme="minorHAnsi" w:cstheme="minorHAnsi"/>
          <w:iCs/>
          <w:color w:val="2F5496" w:themeColor="accent1" w:themeShade="BF"/>
          <w:sz w:val="18"/>
          <w:szCs w:val="18"/>
          <w:vertAlign w:val="superscript"/>
        </w:rPr>
        <w:t xml:space="preserve">+ </w:t>
      </w:r>
      <w:r w:rsidRPr="00A944DC">
        <w:rPr>
          <w:rFonts w:asciiTheme="minorHAnsi" w:hAnsiTheme="minorHAnsi" w:cstheme="minorHAnsi"/>
          <w:iCs/>
          <w:color w:val="2F5496" w:themeColor="accent1" w:themeShade="BF"/>
          <w:sz w:val="18"/>
          <w:szCs w:val="18"/>
        </w:rPr>
        <w:t xml:space="preserve">(Treg). </w:t>
      </w:r>
      <w:r w:rsidRPr="00A944DC">
        <w:rPr>
          <w:rFonts w:asciiTheme="minorHAnsi" w:hAnsiTheme="minorHAnsi" w:cstheme="minorHAnsi"/>
          <w:b/>
          <w:bCs/>
          <w:iCs/>
          <w:color w:val="2F5496" w:themeColor="accent1" w:themeShade="BF"/>
          <w:sz w:val="18"/>
          <w:szCs w:val="18"/>
        </w:rPr>
        <w:t>(6)</w:t>
      </w:r>
      <w:r w:rsidRPr="00A944DC">
        <w:rPr>
          <w:rFonts w:asciiTheme="minorHAnsi" w:hAnsiTheme="minorHAnsi" w:cstheme="minorHAnsi"/>
          <w:iCs/>
          <w:color w:val="2F5496" w:themeColor="accent1" w:themeShade="BF"/>
          <w:sz w:val="18"/>
          <w:szCs w:val="18"/>
        </w:rPr>
        <w:t xml:space="preserve"> In età adulta, durante l'infezione, gli antigeni derivati ​​dal patogeno legati dalle IgG luminali saranno trasportati attraverso la mucosa in modo dipendente da FcRn e </w:t>
      </w:r>
      <w:r w:rsidRPr="00A944DC">
        <w:rPr>
          <w:rFonts w:asciiTheme="minorHAnsi" w:hAnsiTheme="minorHAnsi" w:cstheme="minorHAnsi"/>
          <w:b/>
          <w:bCs/>
          <w:iCs/>
          <w:color w:val="2F5496" w:themeColor="accent1" w:themeShade="BF"/>
          <w:sz w:val="18"/>
          <w:szCs w:val="18"/>
        </w:rPr>
        <w:t>(7)</w:t>
      </w:r>
      <w:r w:rsidRPr="00A944DC">
        <w:rPr>
          <w:rFonts w:asciiTheme="minorHAnsi" w:hAnsiTheme="minorHAnsi" w:cstheme="minorHAnsi"/>
          <w:iCs/>
          <w:color w:val="2F5496" w:themeColor="accent1" w:themeShade="BF"/>
          <w:sz w:val="18"/>
          <w:szCs w:val="18"/>
        </w:rPr>
        <w:t xml:space="preserve"> consegnati alle APC, che processano e presentano antigeni, </w:t>
      </w:r>
      <w:r w:rsidRPr="00A944DC">
        <w:rPr>
          <w:rFonts w:asciiTheme="minorHAnsi" w:hAnsiTheme="minorHAnsi" w:cstheme="minorHAnsi"/>
          <w:b/>
          <w:bCs/>
          <w:iCs/>
          <w:color w:val="2F5496" w:themeColor="accent1" w:themeShade="BF"/>
          <w:sz w:val="18"/>
          <w:szCs w:val="18"/>
        </w:rPr>
        <w:t>(8)</w:t>
      </w:r>
      <w:r w:rsidRPr="00A944DC">
        <w:rPr>
          <w:rFonts w:asciiTheme="minorHAnsi" w:hAnsiTheme="minorHAnsi" w:cstheme="minorHAnsi"/>
          <w:iCs/>
          <w:color w:val="2F5496" w:themeColor="accent1" w:themeShade="BF"/>
          <w:sz w:val="18"/>
          <w:szCs w:val="18"/>
        </w:rPr>
        <w:t xml:space="preserve"> per la successiva attivazione delle risposte immunitarie.</w:t>
      </w:r>
      <w:r w:rsidRPr="00A944DC">
        <w:rPr>
          <w:rFonts w:asciiTheme="minorHAnsi" w:hAnsiTheme="minorHAnsi" w:cstheme="minorHAnsi"/>
          <w:sz w:val="18"/>
          <w:szCs w:val="18"/>
        </w:rPr>
        <w:t xml:space="preserve"> </w:t>
      </w:r>
      <w:r w:rsidRPr="00A944DC">
        <w:rPr>
          <w:rFonts w:asciiTheme="minorHAnsi" w:hAnsiTheme="minorHAnsi" w:cstheme="minorHAnsi"/>
          <w:iCs/>
          <w:color w:val="2F5496" w:themeColor="accent1" w:themeShade="BF"/>
          <w:sz w:val="18"/>
          <w:szCs w:val="18"/>
        </w:rPr>
        <w:t>Pertanto, FcRn nell'intestino può rilasciare IgG nel lume e transcitare anche IgG monomeriche o IC IgG in senso inverso nella lamina propria. Questo processo garantisce il rilascio specifico di antigeni luminali sotto forma di IgG IC alle cellule dendritiche della mucosa che possono quindi regolare le risposte immunitarie.</w:t>
      </w:r>
    </w:p>
    <w:p w:rsidR="00C92264" w:rsidRPr="002C1F3F" w:rsidRDefault="00C92264" w:rsidP="00A10A46">
      <w:pPr>
        <w:rPr>
          <w:rFonts w:asciiTheme="minorHAnsi" w:hAnsiTheme="minorHAnsi" w:cstheme="minorHAnsi"/>
          <w:sz w:val="20"/>
          <w:szCs w:val="20"/>
        </w:rPr>
      </w:pPr>
    </w:p>
    <w:p w:rsidR="00A944DC" w:rsidRDefault="00C92264" w:rsidP="00A944DC">
      <w:pPr>
        <w:jc w:val="center"/>
        <w:rPr>
          <w:rFonts w:asciiTheme="minorHAnsi" w:hAnsiTheme="minorHAnsi" w:cstheme="minorHAnsi"/>
          <w:sz w:val="20"/>
          <w:szCs w:val="20"/>
        </w:rPr>
      </w:pPr>
      <w:r w:rsidRPr="002C1F3F">
        <w:rPr>
          <w:rFonts w:asciiTheme="minorHAnsi" w:hAnsiTheme="minorHAnsi" w:cstheme="minorHAnsi"/>
          <w:sz w:val="20"/>
          <w:szCs w:val="20"/>
        </w:rPr>
        <w:fldChar w:fldCharType="begin"/>
      </w:r>
      <w:r w:rsidRPr="002C1F3F">
        <w:rPr>
          <w:rFonts w:asciiTheme="minorHAnsi" w:hAnsiTheme="minorHAnsi" w:cstheme="minorHAnsi"/>
          <w:sz w:val="20"/>
          <w:szCs w:val="20"/>
        </w:rPr>
        <w:instrText xml:space="preserve"> INCLUDEPICTURE "https://www.frontiersin.org/files/Articles/459634/fimmu-10-01540-HTML-r1/image_m/fimmu-10-01540-g004.jpg" \* MERGEFORMATINET </w:instrText>
      </w:r>
      <w:r w:rsidRPr="002C1F3F">
        <w:rPr>
          <w:rFonts w:asciiTheme="minorHAnsi" w:hAnsiTheme="minorHAnsi" w:cstheme="minorHAnsi"/>
          <w:sz w:val="20"/>
          <w:szCs w:val="20"/>
        </w:rPr>
        <w:fldChar w:fldCharType="separate"/>
      </w:r>
      <w:r w:rsidRPr="002C1F3F">
        <w:rPr>
          <w:rFonts w:asciiTheme="minorHAnsi" w:hAnsiTheme="minorHAnsi" w:cstheme="minorHAnsi"/>
          <w:noProof/>
          <w:sz w:val="20"/>
          <w:szCs w:val="20"/>
        </w:rPr>
        <w:drawing>
          <wp:inline distT="0" distB="0" distL="0" distR="0">
            <wp:extent cx="2594707" cy="2142411"/>
            <wp:effectExtent l="0" t="0" r="0" b="444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77857" cy="2211067"/>
                    </a:xfrm>
                    <a:prstGeom prst="rect">
                      <a:avLst/>
                    </a:prstGeom>
                    <a:noFill/>
                    <a:ln>
                      <a:noFill/>
                    </a:ln>
                  </pic:spPr>
                </pic:pic>
              </a:graphicData>
            </a:graphic>
          </wp:inline>
        </w:drawing>
      </w:r>
      <w:r w:rsidRPr="002C1F3F">
        <w:rPr>
          <w:rFonts w:asciiTheme="minorHAnsi" w:hAnsiTheme="minorHAnsi" w:cstheme="minorHAnsi"/>
          <w:sz w:val="20"/>
          <w:szCs w:val="20"/>
        </w:rPr>
        <w:fldChar w:fldCharType="end"/>
      </w:r>
    </w:p>
    <w:p w:rsidR="00A944DC" w:rsidRPr="002C1F3F" w:rsidRDefault="00A944DC" w:rsidP="00A944DC">
      <w:pPr>
        <w:jc w:val="center"/>
        <w:rPr>
          <w:rFonts w:asciiTheme="minorHAnsi" w:hAnsiTheme="minorHAnsi" w:cstheme="minorHAnsi"/>
          <w:sz w:val="20"/>
          <w:szCs w:val="20"/>
        </w:rPr>
      </w:pPr>
    </w:p>
    <w:p w:rsidR="00C92264" w:rsidRPr="00A944DC" w:rsidRDefault="00C92264" w:rsidP="00A944DC">
      <w:pPr>
        <w:shd w:val="clear" w:color="auto" w:fill="F2F2F2" w:themeFill="background1" w:themeFillShade="F2"/>
        <w:rPr>
          <w:rFonts w:asciiTheme="minorHAnsi" w:hAnsiTheme="minorHAnsi" w:cstheme="minorHAnsi"/>
          <w:color w:val="2F5496" w:themeColor="accent1" w:themeShade="BF"/>
          <w:sz w:val="18"/>
          <w:szCs w:val="18"/>
        </w:rPr>
      </w:pPr>
      <w:r w:rsidRPr="00A944DC">
        <w:rPr>
          <w:rFonts w:asciiTheme="minorHAnsi" w:hAnsiTheme="minorHAnsi" w:cstheme="minorHAnsi"/>
          <w:iCs/>
          <w:color w:val="2F5496" w:themeColor="accent1" w:themeShade="BF"/>
          <w:sz w:val="18"/>
          <w:szCs w:val="18"/>
        </w:rPr>
        <w:t xml:space="preserve">Tratta da </w:t>
      </w:r>
      <w:hyperlink r:id="rId103" w:history="1">
        <w:r w:rsidRPr="00A944DC">
          <w:rPr>
            <w:rStyle w:val="Hyperlink"/>
            <w:rFonts w:asciiTheme="minorHAnsi" w:eastAsiaTheme="majorEastAsia" w:hAnsiTheme="minorHAnsi" w:cstheme="minorHAnsi"/>
            <w:color w:val="2F5496" w:themeColor="accent1" w:themeShade="BF"/>
            <w:sz w:val="18"/>
            <w:szCs w:val="18"/>
            <w:u w:val="none"/>
          </w:rPr>
          <w:t>https://www.frontiersin.org/articles/10.3389/fimmu.2019.01540/full</w:t>
        </w:r>
      </w:hyperlink>
    </w:p>
    <w:p w:rsidR="00571807" w:rsidRPr="00A944DC" w:rsidRDefault="00571807" w:rsidP="00A944DC">
      <w:pPr>
        <w:shd w:val="clear" w:color="auto" w:fill="F2F2F2" w:themeFill="background1" w:themeFillShade="F2"/>
        <w:jc w:val="both"/>
        <w:rPr>
          <w:rFonts w:asciiTheme="minorHAnsi" w:hAnsiTheme="minorHAnsi" w:cstheme="minorHAnsi"/>
          <w:color w:val="2F5496" w:themeColor="accent1" w:themeShade="BF"/>
          <w:sz w:val="18"/>
          <w:szCs w:val="18"/>
        </w:rPr>
      </w:pPr>
      <w:r w:rsidRPr="00A944DC">
        <w:rPr>
          <w:rFonts w:asciiTheme="minorHAnsi" w:hAnsiTheme="minorHAnsi" w:cstheme="minorHAnsi"/>
          <w:b/>
          <w:bCs/>
          <w:color w:val="2F5496" w:themeColor="accent1" w:themeShade="BF"/>
          <w:sz w:val="18"/>
          <w:szCs w:val="18"/>
        </w:rPr>
        <w:t>L’FcRn nel fegato è essenziale per il trasporto vettoriale dell’albumina nel flusso sanguigno.</w:t>
      </w:r>
      <w:r w:rsidRPr="00A944DC">
        <w:rPr>
          <w:rFonts w:asciiTheme="minorHAnsi" w:hAnsiTheme="minorHAnsi" w:cstheme="minorHAnsi"/>
          <w:color w:val="2F5496" w:themeColor="accent1" w:themeShade="BF"/>
          <w:sz w:val="18"/>
          <w:szCs w:val="18"/>
        </w:rPr>
        <w:t xml:space="preserve"> </w:t>
      </w:r>
      <w:r w:rsidRPr="00A944DC">
        <w:rPr>
          <w:rFonts w:asciiTheme="minorHAnsi" w:hAnsiTheme="minorHAnsi" w:cstheme="minorHAnsi"/>
          <w:b/>
          <w:bCs/>
          <w:color w:val="2F5496" w:themeColor="accent1" w:themeShade="BF"/>
          <w:sz w:val="18"/>
          <w:szCs w:val="18"/>
        </w:rPr>
        <w:t>(1)</w:t>
      </w:r>
      <w:r w:rsidRPr="00A944DC">
        <w:rPr>
          <w:rFonts w:asciiTheme="minorHAnsi" w:hAnsiTheme="minorHAnsi" w:cstheme="minorHAnsi"/>
          <w:color w:val="2F5496" w:themeColor="accent1" w:themeShade="BF"/>
          <w:sz w:val="18"/>
          <w:szCs w:val="18"/>
        </w:rPr>
        <w:t xml:space="preserve"> Gli epatociti sono cellule epiteliali polarizzate di cui il lato apicale (rosso) è rivolto verso il dotto biliare e il lato basolaterale (nero) è rivolto verso l'endotelio sinusoidale fenestrato. L'endotelio sinusoidale è popolato da macrofagi specifici del fegato chiamati cellule di Kupffer. L'albumina è prodotta esclusivamente dagli epatociti. </w:t>
      </w:r>
      <w:r w:rsidRPr="00A944DC">
        <w:rPr>
          <w:rFonts w:asciiTheme="minorHAnsi" w:hAnsiTheme="minorHAnsi" w:cstheme="minorHAnsi"/>
          <w:b/>
          <w:bCs/>
          <w:color w:val="2F5496" w:themeColor="accent1" w:themeShade="BF"/>
          <w:sz w:val="18"/>
          <w:szCs w:val="18"/>
        </w:rPr>
        <w:t>(2)</w:t>
      </w:r>
      <w:r w:rsidRPr="00A944DC">
        <w:rPr>
          <w:rFonts w:asciiTheme="minorHAnsi" w:hAnsiTheme="minorHAnsi" w:cstheme="minorHAnsi"/>
          <w:color w:val="2F5496" w:themeColor="accent1" w:themeShade="BF"/>
          <w:sz w:val="18"/>
          <w:szCs w:val="18"/>
        </w:rPr>
        <w:t xml:space="preserve"> FcRn negli epatociti è necessario per il rilascio di albumina appena sintetizzata sul lato basolaterale delle cellule e successiva secrezione di albumina nel flusso sanguigno (a sinistra) </w:t>
      </w:r>
      <w:r w:rsidRPr="00A944DC">
        <w:rPr>
          <w:rFonts w:asciiTheme="minorHAnsi" w:hAnsiTheme="minorHAnsi" w:cstheme="minorHAnsi"/>
          <w:b/>
          <w:bCs/>
          <w:color w:val="2F5496" w:themeColor="accent1" w:themeShade="BF"/>
          <w:sz w:val="18"/>
          <w:szCs w:val="18"/>
        </w:rPr>
        <w:t>(3)</w:t>
      </w:r>
      <w:r w:rsidRPr="00A944DC">
        <w:rPr>
          <w:rFonts w:asciiTheme="minorHAnsi" w:hAnsiTheme="minorHAnsi" w:cstheme="minorHAnsi"/>
          <w:color w:val="2F5496" w:themeColor="accent1" w:themeShade="BF"/>
          <w:sz w:val="18"/>
          <w:szCs w:val="18"/>
        </w:rPr>
        <w:t xml:space="preserve"> L'assenza dell'espressione di FcRn negli epatociti determina un aumento dei livelli di albumina nella bile, il suo accumulo intracellulare e livelli di albumina circolanti più bassi (a destra). Per semplicità, il riciclaggio dell'albumina mediata da FcRn negli epatociti non è rappresentato.</w:t>
      </w:r>
      <w:r w:rsidRPr="00A944DC">
        <w:rPr>
          <w:rFonts w:asciiTheme="minorHAnsi" w:hAnsiTheme="minorHAnsi" w:cstheme="minorHAnsi"/>
          <w:sz w:val="18"/>
          <w:szCs w:val="18"/>
        </w:rPr>
        <w:t xml:space="preserve"> </w:t>
      </w:r>
      <w:r w:rsidRPr="00A944DC">
        <w:rPr>
          <w:rFonts w:asciiTheme="minorHAnsi" w:hAnsiTheme="minorHAnsi" w:cstheme="minorHAnsi"/>
          <w:color w:val="2F5496" w:themeColor="accent1" w:themeShade="BF"/>
          <w:sz w:val="18"/>
          <w:szCs w:val="18"/>
        </w:rPr>
        <w:t>L'espressione di FcRn nel fegato ha due scopi principali: mantenere le IgG monomeriche e l'albumina nella circolazione e dirigere l'albumina verso la circolazione anziché verso la bile.</w:t>
      </w:r>
    </w:p>
    <w:p w:rsidR="00C92264" w:rsidRPr="002C1F3F" w:rsidRDefault="00C92264" w:rsidP="00C92264">
      <w:pPr>
        <w:jc w:val="both"/>
        <w:rPr>
          <w:rFonts w:asciiTheme="minorHAnsi" w:hAnsiTheme="minorHAnsi" w:cstheme="minorHAnsi"/>
          <w:sz w:val="20"/>
          <w:szCs w:val="20"/>
        </w:rPr>
      </w:pPr>
    </w:p>
    <w:p w:rsidR="00EA302D" w:rsidRDefault="00C92264" w:rsidP="00C92264">
      <w:pPr>
        <w:jc w:val="both"/>
        <w:rPr>
          <w:rFonts w:asciiTheme="minorHAnsi" w:hAnsiTheme="minorHAnsi" w:cstheme="minorHAnsi"/>
          <w:color w:val="2F5496" w:themeColor="accent1" w:themeShade="BF"/>
          <w:sz w:val="20"/>
          <w:szCs w:val="20"/>
        </w:rPr>
      </w:pPr>
      <w:r w:rsidRPr="002C1F3F">
        <w:rPr>
          <w:rFonts w:asciiTheme="minorHAnsi" w:hAnsiTheme="minorHAnsi" w:cstheme="minorHAnsi"/>
          <w:color w:val="2F5496" w:themeColor="accent1" w:themeShade="BF"/>
          <w:sz w:val="20"/>
          <w:szCs w:val="20"/>
        </w:rPr>
        <w:t xml:space="preserve">Altre localizzazioni </w:t>
      </w:r>
      <w:r w:rsidR="00EA302D" w:rsidRPr="002C1F3F">
        <w:rPr>
          <w:rFonts w:asciiTheme="minorHAnsi" w:hAnsiTheme="minorHAnsi" w:cstheme="minorHAnsi"/>
          <w:color w:val="2F5496" w:themeColor="accent1" w:themeShade="BF"/>
          <w:sz w:val="20"/>
          <w:szCs w:val="20"/>
        </w:rPr>
        <w:t xml:space="preserve">anatomiche </w:t>
      </w:r>
      <w:r w:rsidRPr="002C1F3F">
        <w:rPr>
          <w:rFonts w:asciiTheme="minorHAnsi" w:hAnsiTheme="minorHAnsi" w:cstheme="minorHAnsi"/>
          <w:color w:val="2F5496" w:themeColor="accent1" w:themeShade="BF"/>
          <w:sz w:val="20"/>
          <w:szCs w:val="20"/>
        </w:rPr>
        <w:t>importanti di FcRn sono</w:t>
      </w:r>
      <w:r w:rsidR="00EA302D" w:rsidRPr="002C1F3F">
        <w:rPr>
          <w:rFonts w:asciiTheme="minorHAnsi" w:hAnsiTheme="minorHAnsi" w:cstheme="minorHAnsi"/>
          <w:color w:val="2F5496" w:themeColor="accent1" w:themeShade="BF"/>
          <w:sz w:val="20"/>
          <w:szCs w:val="20"/>
        </w:rPr>
        <w:t xml:space="preserve">: </w:t>
      </w:r>
    </w:p>
    <w:p w:rsidR="00571807" w:rsidRPr="002C1F3F" w:rsidRDefault="00571807" w:rsidP="00C92264">
      <w:pPr>
        <w:jc w:val="both"/>
        <w:rPr>
          <w:rFonts w:asciiTheme="minorHAnsi" w:hAnsiTheme="minorHAnsi" w:cstheme="minorHAnsi"/>
          <w:color w:val="2F5496" w:themeColor="accent1" w:themeShade="BF"/>
          <w:sz w:val="20"/>
          <w:szCs w:val="20"/>
        </w:rPr>
      </w:pPr>
    </w:p>
    <w:p w:rsidR="00EA302D" w:rsidRDefault="00EA302D" w:rsidP="009A3865">
      <w:pPr>
        <w:pStyle w:val="ListParagraph"/>
        <w:numPr>
          <w:ilvl w:val="0"/>
          <w:numId w:val="7"/>
        </w:numPr>
        <w:tabs>
          <w:tab w:val="left" w:pos="284"/>
        </w:tabs>
        <w:ind w:left="0" w:firstLine="0"/>
        <w:jc w:val="both"/>
        <w:rPr>
          <w:rFonts w:asciiTheme="minorHAnsi" w:hAnsiTheme="minorHAnsi" w:cstheme="minorHAnsi"/>
          <w:color w:val="2F5496" w:themeColor="accent1" w:themeShade="BF"/>
          <w:sz w:val="20"/>
          <w:szCs w:val="20"/>
        </w:rPr>
      </w:pPr>
      <w:r w:rsidRPr="00A944DC">
        <w:rPr>
          <w:rFonts w:asciiTheme="minorHAnsi" w:hAnsiTheme="minorHAnsi" w:cstheme="minorHAnsi"/>
          <w:b/>
          <w:bCs/>
          <w:color w:val="2F5496" w:themeColor="accent1" w:themeShade="BF"/>
          <w:sz w:val="20"/>
          <w:szCs w:val="20"/>
          <w:shd w:val="clear" w:color="auto" w:fill="FBF9E1"/>
        </w:rPr>
        <w:t>i</w:t>
      </w:r>
      <w:r w:rsidR="00C92264" w:rsidRPr="00A944DC">
        <w:rPr>
          <w:rFonts w:asciiTheme="minorHAnsi" w:hAnsiTheme="minorHAnsi" w:cstheme="minorHAnsi"/>
          <w:b/>
          <w:bCs/>
          <w:color w:val="2F5496" w:themeColor="accent1" w:themeShade="BF"/>
          <w:sz w:val="20"/>
          <w:szCs w:val="20"/>
          <w:shd w:val="clear" w:color="auto" w:fill="FBF9E1"/>
        </w:rPr>
        <w:t xml:space="preserve"> reni</w:t>
      </w:r>
      <w:r w:rsidRPr="00A944DC">
        <w:rPr>
          <w:rFonts w:asciiTheme="minorHAnsi" w:hAnsiTheme="minorHAnsi" w:cstheme="minorHAnsi"/>
          <w:color w:val="2F5496" w:themeColor="accent1" w:themeShade="BF"/>
          <w:sz w:val="20"/>
          <w:szCs w:val="20"/>
          <w:shd w:val="clear" w:color="auto" w:fill="FBF9E1"/>
        </w:rPr>
        <w:t>,</w:t>
      </w:r>
      <w:r w:rsidRPr="002C1F3F">
        <w:rPr>
          <w:rFonts w:asciiTheme="minorHAnsi" w:hAnsiTheme="minorHAnsi" w:cstheme="minorHAnsi"/>
          <w:color w:val="2F5496" w:themeColor="accent1" w:themeShade="BF"/>
          <w:sz w:val="20"/>
          <w:szCs w:val="20"/>
        </w:rPr>
        <w:t xml:space="preserve"> in cui viene espresso nei podociti (cellule della barriera di filtrazione) con lo scopo di rimuovere le IgG e i complessi delle IgG dalla membrana filtrante</w:t>
      </w:r>
      <w:r w:rsidR="00571807">
        <w:rPr>
          <w:rFonts w:asciiTheme="minorHAnsi" w:hAnsiTheme="minorHAnsi" w:cstheme="minorHAnsi"/>
          <w:color w:val="2F5496" w:themeColor="accent1" w:themeShade="BF"/>
          <w:sz w:val="20"/>
          <w:szCs w:val="20"/>
        </w:rPr>
        <w:t>,</w:t>
      </w:r>
      <w:r w:rsidRPr="002C1F3F">
        <w:rPr>
          <w:rFonts w:asciiTheme="minorHAnsi" w:hAnsiTheme="minorHAnsi" w:cstheme="minorHAnsi"/>
          <w:color w:val="2F5496" w:themeColor="accent1" w:themeShade="BF"/>
          <w:sz w:val="20"/>
          <w:szCs w:val="20"/>
        </w:rPr>
        <w:t xml:space="preserve"> in modo da fornire IgG protettivi nel tratto urinario (la sua assenz</w:t>
      </w:r>
      <w:r w:rsidR="00136C98" w:rsidRPr="002C1F3F">
        <w:rPr>
          <w:rFonts w:asciiTheme="minorHAnsi" w:hAnsiTheme="minorHAnsi" w:cstheme="minorHAnsi"/>
          <w:color w:val="2F5496" w:themeColor="accent1" w:themeShade="BF"/>
          <w:sz w:val="20"/>
          <w:szCs w:val="20"/>
        </w:rPr>
        <w:t>a</w:t>
      </w:r>
      <w:r w:rsidRPr="002C1F3F">
        <w:rPr>
          <w:rFonts w:asciiTheme="minorHAnsi" w:hAnsiTheme="minorHAnsi" w:cstheme="minorHAnsi"/>
          <w:color w:val="2F5496" w:themeColor="accent1" w:themeShade="BF"/>
          <w:sz w:val="20"/>
          <w:szCs w:val="20"/>
        </w:rPr>
        <w:t xml:space="preserve"> causa nefriti) e viene espresso anche dalle cellule epiteliali dei tubuli prossimali dove assiste al riassorbimento dell’albumina.</w:t>
      </w:r>
    </w:p>
    <w:p w:rsidR="00571807" w:rsidRPr="002C1F3F" w:rsidRDefault="00571807" w:rsidP="00571807">
      <w:pPr>
        <w:pStyle w:val="ListParagraph"/>
        <w:tabs>
          <w:tab w:val="left" w:pos="284"/>
        </w:tabs>
        <w:ind w:left="0"/>
        <w:jc w:val="both"/>
        <w:rPr>
          <w:rFonts w:asciiTheme="minorHAnsi" w:hAnsiTheme="minorHAnsi" w:cstheme="minorHAnsi"/>
          <w:color w:val="2F5496" w:themeColor="accent1" w:themeShade="BF"/>
          <w:sz w:val="20"/>
          <w:szCs w:val="20"/>
        </w:rPr>
      </w:pPr>
    </w:p>
    <w:p w:rsidR="00C92264" w:rsidRDefault="00EA302D" w:rsidP="009A3865">
      <w:pPr>
        <w:pStyle w:val="ListParagraph"/>
        <w:numPr>
          <w:ilvl w:val="0"/>
          <w:numId w:val="7"/>
        </w:numPr>
        <w:tabs>
          <w:tab w:val="left" w:pos="284"/>
        </w:tabs>
        <w:ind w:left="0" w:firstLine="0"/>
        <w:jc w:val="both"/>
        <w:rPr>
          <w:rFonts w:asciiTheme="minorHAnsi" w:hAnsiTheme="minorHAnsi" w:cstheme="minorHAnsi"/>
          <w:color w:val="2F5496" w:themeColor="accent1" w:themeShade="BF"/>
          <w:sz w:val="20"/>
          <w:szCs w:val="20"/>
        </w:rPr>
      </w:pPr>
      <w:r w:rsidRPr="00A944DC">
        <w:rPr>
          <w:rFonts w:asciiTheme="minorHAnsi" w:hAnsiTheme="minorHAnsi" w:cstheme="minorHAnsi"/>
          <w:b/>
          <w:bCs/>
          <w:color w:val="2F5496" w:themeColor="accent1" w:themeShade="BF"/>
          <w:sz w:val="20"/>
          <w:szCs w:val="20"/>
          <w:shd w:val="clear" w:color="auto" w:fill="FBF9E1"/>
        </w:rPr>
        <w:t>Endotelio</w:t>
      </w:r>
      <w:r w:rsidRPr="00571807">
        <w:rPr>
          <w:rFonts w:asciiTheme="minorHAnsi" w:hAnsiTheme="minorHAnsi" w:cstheme="minorHAnsi"/>
          <w:b/>
          <w:bCs/>
          <w:color w:val="2F5496" w:themeColor="accent1" w:themeShade="BF"/>
          <w:sz w:val="20"/>
          <w:szCs w:val="20"/>
        </w:rPr>
        <w:t>:</w:t>
      </w:r>
      <w:r w:rsidRPr="002C1F3F">
        <w:rPr>
          <w:rFonts w:asciiTheme="minorHAnsi" w:hAnsiTheme="minorHAnsi" w:cstheme="minorHAnsi"/>
          <w:color w:val="2F5496" w:themeColor="accent1" w:themeShade="BF"/>
          <w:sz w:val="20"/>
          <w:szCs w:val="20"/>
        </w:rPr>
        <w:t xml:space="preserve"> Le cellule endoteliali rivestono l'intero sistema vascolare e controllano il passaggio di numerose cellule e molecole dentro e fuori la circolazione e sono una delle principali posizioni cellulari in cui FcRn controlla i livelli e la persistenza di IgG e albumina. L’espressione di FcRn da parte di queste cellule è ben documentata negli scomparti vescicolari intracellulari.</w:t>
      </w:r>
    </w:p>
    <w:p w:rsidR="00571807" w:rsidRPr="002C1F3F" w:rsidRDefault="00571807" w:rsidP="00571807">
      <w:pPr>
        <w:pStyle w:val="ListParagraph"/>
        <w:tabs>
          <w:tab w:val="left" w:pos="284"/>
        </w:tabs>
        <w:ind w:left="0"/>
        <w:jc w:val="both"/>
        <w:rPr>
          <w:rFonts w:asciiTheme="minorHAnsi" w:hAnsiTheme="minorHAnsi" w:cstheme="minorHAnsi"/>
          <w:color w:val="2F5496" w:themeColor="accent1" w:themeShade="BF"/>
          <w:sz w:val="20"/>
          <w:szCs w:val="20"/>
        </w:rPr>
      </w:pPr>
    </w:p>
    <w:p w:rsidR="00EA302D" w:rsidRDefault="00EA302D" w:rsidP="009A3865">
      <w:pPr>
        <w:pStyle w:val="ListParagraph"/>
        <w:numPr>
          <w:ilvl w:val="0"/>
          <w:numId w:val="7"/>
        </w:numPr>
        <w:tabs>
          <w:tab w:val="left" w:pos="284"/>
        </w:tabs>
        <w:ind w:left="0" w:firstLine="0"/>
        <w:jc w:val="both"/>
        <w:rPr>
          <w:rFonts w:asciiTheme="minorHAnsi" w:hAnsiTheme="minorHAnsi" w:cstheme="minorHAnsi"/>
          <w:color w:val="2F5496" w:themeColor="accent1" w:themeShade="BF"/>
          <w:sz w:val="20"/>
          <w:szCs w:val="20"/>
        </w:rPr>
      </w:pPr>
      <w:r w:rsidRPr="00A944DC">
        <w:rPr>
          <w:rFonts w:asciiTheme="minorHAnsi" w:hAnsiTheme="minorHAnsi" w:cstheme="minorHAnsi"/>
          <w:b/>
          <w:bCs/>
          <w:color w:val="2F5496" w:themeColor="accent1" w:themeShade="BF"/>
          <w:sz w:val="20"/>
          <w:szCs w:val="20"/>
          <w:shd w:val="clear" w:color="auto" w:fill="FBF9E1"/>
        </w:rPr>
        <w:t>La barriera ematoencefalica</w:t>
      </w:r>
      <w:r w:rsidRPr="00571807">
        <w:rPr>
          <w:rFonts w:asciiTheme="minorHAnsi" w:hAnsiTheme="minorHAnsi" w:cstheme="minorHAnsi"/>
          <w:b/>
          <w:bCs/>
          <w:color w:val="2F5496" w:themeColor="accent1" w:themeShade="BF"/>
          <w:sz w:val="20"/>
          <w:szCs w:val="20"/>
        </w:rPr>
        <w:t>:</w:t>
      </w:r>
      <w:r w:rsidRPr="002C1F3F">
        <w:rPr>
          <w:rFonts w:asciiTheme="minorHAnsi" w:hAnsiTheme="minorHAnsi" w:cstheme="minorHAnsi"/>
          <w:color w:val="2F5496" w:themeColor="accent1" w:themeShade="BF"/>
          <w:sz w:val="20"/>
          <w:szCs w:val="20"/>
        </w:rPr>
        <w:t xml:space="preserve"> Studi di microscopia hanno dimostrato che FcRn è espresso nell'endotelio microvascolare cerebrale e nell'epitelio del plesso coroideo, dove è stato suggerito mediare il trasporto attivo di IgG dal cervello nel flusso sanguigno</w:t>
      </w:r>
    </w:p>
    <w:p w:rsidR="00571807" w:rsidRPr="002C1F3F" w:rsidRDefault="00571807" w:rsidP="00571807">
      <w:pPr>
        <w:pStyle w:val="ListParagraph"/>
        <w:tabs>
          <w:tab w:val="left" w:pos="284"/>
        </w:tabs>
        <w:ind w:left="0"/>
        <w:jc w:val="both"/>
        <w:rPr>
          <w:rFonts w:asciiTheme="minorHAnsi" w:hAnsiTheme="minorHAnsi" w:cstheme="minorHAnsi"/>
          <w:color w:val="2F5496" w:themeColor="accent1" w:themeShade="BF"/>
          <w:sz w:val="20"/>
          <w:szCs w:val="20"/>
        </w:rPr>
      </w:pPr>
    </w:p>
    <w:p w:rsidR="00136C98" w:rsidRPr="002C1F3F" w:rsidRDefault="00136C98" w:rsidP="009A3865">
      <w:pPr>
        <w:pStyle w:val="ListParagraph"/>
        <w:numPr>
          <w:ilvl w:val="0"/>
          <w:numId w:val="7"/>
        </w:numPr>
        <w:tabs>
          <w:tab w:val="left" w:pos="284"/>
        </w:tabs>
        <w:ind w:left="0" w:firstLine="0"/>
        <w:jc w:val="both"/>
        <w:rPr>
          <w:rFonts w:asciiTheme="minorHAnsi" w:hAnsiTheme="minorHAnsi" w:cstheme="minorHAnsi"/>
          <w:color w:val="2F5496" w:themeColor="accent1" w:themeShade="BF"/>
          <w:sz w:val="20"/>
          <w:szCs w:val="20"/>
        </w:rPr>
      </w:pPr>
      <w:r w:rsidRPr="00A944DC">
        <w:rPr>
          <w:rFonts w:asciiTheme="minorHAnsi" w:hAnsiTheme="minorHAnsi" w:cstheme="minorHAnsi"/>
          <w:b/>
          <w:bCs/>
          <w:color w:val="2F5496" w:themeColor="accent1" w:themeShade="BF"/>
          <w:sz w:val="20"/>
          <w:szCs w:val="20"/>
          <w:shd w:val="clear" w:color="auto" w:fill="FBF9E1"/>
        </w:rPr>
        <w:t>Cellule di origine ematopoietica</w:t>
      </w:r>
      <w:r w:rsidRPr="00571807">
        <w:rPr>
          <w:rFonts w:asciiTheme="minorHAnsi" w:hAnsiTheme="minorHAnsi" w:cstheme="minorHAnsi"/>
          <w:b/>
          <w:bCs/>
          <w:color w:val="2F5496" w:themeColor="accent1" w:themeShade="BF"/>
          <w:sz w:val="20"/>
          <w:szCs w:val="20"/>
        </w:rPr>
        <w:t>:</w:t>
      </w:r>
      <w:r w:rsidRPr="002C1F3F">
        <w:rPr>
          <w:rFonts w:asciiTheme="minorHAnsi" w:hAnsiTheme="minorHAnsi" w:cstheme="minorHAnsi"/>
          <w:color w:val="2F5496" w:themeColor="accent1" w:themeShade="BF"/>
          <w:sz w:val="20"/>
          <w:szCs w:val="20"/>
        </w:rPr>
        <w:t xml:space="preserve"> FcRn è espresso da monociti, macrofagi (sia residenti nel tessuto che splenici), neutrofili, linfociti DC e B ma non da cellule T o natural killer (NK). La presenza di FcRn principalmente nelle cellule presentanti l'antigene (APC) indica che potrebbe fornire benefici funzionali a queste cellule e coinvolge l’FcRn direttamente nelle risposte immunitarie mediate dalle IgG</w:t>
      </w:r>
    </w:p>
    <w:p w:rsidR="00C92264" w:rsidRPr="002C1F3F" w:rsidRDefault="00C92264" w:rsidP="00C92264">
      <w:pPr>
        <w:jc w:val="center"/>
        <w:rPr>
          <w:rFonts w:asciiTheme="minorHAnsi" w:hAnsiTheme="minorHAnsi" w:cstheme="minorHAnsi"/>
          <w:color w:val="2F5496" w:themeColor="accent1" w:themeShade="BF"/>
          <w:sz w:val="20"/>
          <w:szCs w:val="20"/>
        </w:rPr>
      </w:pPr>
    </w:p>
    <w:p w:rsidR="00ED1CF0" w:rsidRPr="002C1F3F" w:rsidRDefault="0052743C" w:rsidP="008D24FB">
      <w:pPr>
        <w:jc w:val="both"/>
        <w:rPr>
          <w:rFonts w:asciiTheme="minorHAnsi" w:hAnsiTheme="minorHAnsi" w:cstheme="minorHAnsi"/>
          <w:i/>
          <w:color w:val="000000" w:themeColor="text1"/>
          <w:sz w:val="20"/>
          <w:szCs w:val="20"/>
        </w:rPr>
      </w:pPr>
      <w:r w:rsidRPr="0052743C">
        <w:rPr>
          <w:rFonts w:asciiTheme="minorHAnsi" w:hAnsiTheme="minorHAnsi" w:cstheme="minorHAnsi"/>
          <w:i/>
          <w:noProof/>
          <w:color w:val="000000" w:themeColor="text1"/>
          <w:sz w:val="20"/>
          <w:szCs w:val="20"/>
        </w:rPr>
        <w:pict>
          <v:rect id="_x0000_i1027" alt="" style="width:451.3pt;height:.05pt;mso-width-percent:0;mso-height-percent:0;mso-width-percent:0;mso-height-percent:0" o:hralign="center" o:hrstd="t" o:hr="t" fillcolor="#a0a0a0" stroked="f"/>
        </w:pict>
      </w:r>
    </w:p>
    <w:p w:rsidR="009075A1" w:rsidRDefault="009075A1" w:rsidP="008D24FB">
      <w:pPr>
        <w:jc w:val="both"/>
        <w:rPr>
          <w:rFonts w:asciiTheme="minorHAnsi" w:hAnsiTheme="minorHAnsi" w:cstheme="minorHAnsi"/>
          <w:color w:val="000000" w:themeColor="text1"/>
          <w:sz w:val="20"/>
          <w:szCs w:val="20"/>
        </w:rPr>
      </w:pPr>
    </w:p>
    <w:p w:rsidR="00571807" w:rsidRDefault="00A73F82" w:rsidP="008D24FB">
      <w:pPr>
        <w:jc w:val="both"/>
        <w:rPr>
          <w:rFonts w:asciiTheme="minorHAnsi" w:hAnsiTheme="minorHAnsi" w:cstheme="minorHAnsi"/>
          <w:color w:val="000000" w:themeColor="text1"/>
          <w:sz w:val="20"/>
          <w:szCs w:val="20"/>
        </w:rPr>
      </w:pPr>
      <w:r w:rsidRPr="00144EDD">
        <w:rPr>
          <w:rFonts w:asciiTheme="minorHAnsi" w:hAnsiTheme="minorHAnsi" w:cstheme="minorHAnsi"/>
          <w:color w:val="000000" w:themeColor="text1"/>
          <w:sz w:val="20"/>
          <w:szCs w:val="20"/>
        </w:rPr>
        <w:t xml:space="preserve">L'interazione </w:t>
      </w:r>
      <w:r w:rsidR="00275438" w:rsidRPr="00144EDD">
        <w:rPr>
          <w:rFonts w:asciiTheme="minorHAnsi" w:hAnsiTheme="minorHAnsi" w:cstheme="minorHAnsi"/>
          <w:color w:val="000000" w:themeColor="text1"/>
          <w:sz w:val="20"/>
          <w:szCs w:val="20"/>
        </w:rPr>
        <w:t xml:space="preserve">tra la parte esposta Fc </w:t>
      </w:r>
      <w:r w:rsidRPr="00144EDD">
        <w:rPr>
          <w:rFonts w:asciiTheme="minorHAnsi" w:hAnsiTheme="minorHAnsi" w:cstheme="minorHAnsi"/>
          <w:color w:val="000000" w:themeColor="text1"/>
          <w:sz w:val="20"/>
          <w:szCs w:val="20"/>
        </w:rPr>
        <w:t xml:space="preserve">dell'anticorpo </w:t>
      </w:r>
      <w:r w:rsidR="00275438" w:rsidRPr="00144EDD">
        <w:rPr>
          <w:rFonts w:asciiTheme="minorHAnsi" w:hAnsiTheme="minorHAnsi" w:cstheme="minorHAnsi"/>
          <w:color w:val="000000" w:themeColor="text1"/>
          <w:sz w:val="20"/>
          <w:szCs w:val="20"/>
        </w:rPr>
        <w:t xml:space="preserve">che costituisce </w:t>
      </w:r>
      <w:r w:rsidRPr="00144EDD">
        <w:rPr>
          <w:rFonts w:asciiTheme="minorHAnsi" w:hAnsiTheme="minorHAnsi" w:cstheme="minorHAnsi"/>
          <w:color w:val="000000" w:themeColor="text1"/>
          <w:sz w:val="20"/>
          <w:szCs w:val="20"/>
        </w:rPr>
        <w:t xml:space="preserve">l'immunocomplesso anticorpo-virus con l'FcγR </w:t>
      </w:r>
      <w:r w:rsidR="00275438" w:rsidRPr="00144EDD">
        <w:rPr>
          <w:rFonts w:asciiTheme="minorHAnsi" w:hAnsiTheme="minorHAnsi" w:cstheme="minorHAnsi"/>
          <w:color w:val="000000" w:themeColor="text1"/>
          <w:sz w:val="20"/>
          <w:szCs w:val="20"/>
        </w:rPr>
        <w:t xml:space="preserve">presente sulla membrana delle </w:t>
      </w:r>
      <w:r w:rsidRPr="00144EDD">
        <w:rPr>
          <w:rFonts w:asciiTheme="minorHAnsi" w:hAnsiTheme="minorHAnsi" w:cstheme="minorHAnsi"/>
          <w:color w:val="000000" w:themeColor="text1"/>
          <w:sz w:val="20"/>
          <w:szCs w:val="20"/>
        </w:rPr>
        <w:t>cellule mieloidi come monociti, macrofagi, cellule dendritiche (DC) e alcuni granulociti porta tipicamente alla fagocitosi, con conseguente aumento del numero di cellule infett</w:t>
      </w:r>
      <w:r w:rsidR="00275438" w:rsidRPr="00144EDD">
        <w:rPr>
          <w:rFonts w:asciiTheme="minorHAnsi" w:hAnsiTheme="minorHAnsi" w:cstheme="minorHAnsi"/>
          <w:color w:val="000000" w:themeColor="text1"/>
          <w:sz w:val="20"/>
          <w:szCs w:val="20"/>
        </w:rPr>
        <w:t>at</w:t>
      </w:r>
      <w:r w:rsidRPr="00144EDD">
        <w:rPr>
          <w:rFonts w:asciiTheme="minorHAnsi" w:hAnsiTheme="minorHAnsi" w:cstheme="minorHAnsi"/>
          <w:color w:val="000000" w:themeColor="text1"/>
          <w:sz w:val="20"/>
          <w:szCs w:val="20"/>
        </w:rPr>
        <w:t xml:space="preserve">e - il cosiddetto </w:t>
      </w:r>
      <w:r w:rsidR="00275438" w:rsidRPr="00144EDD">
        <w:rPr>
          <w:rFonts w:asciiTheme="minorHAnsi" w:hAnsiTheme="minorHAnsi" w:cstheme="minorHAnsi"/>
          <w:b/>
          <w:color w:val="000000" w:themeColor="text1"/>
          <w:sz w:val="20"/>
          <w:szCs w:val="20"/>
          <w:shd w:val="clear" w:color="auto" w:fill="FBF9E1"/>
        </w:rPr>
        <w:t xml:space="preserve">ADE </w:t>
      </w:r>
      <w:r w:rsidRPr="00144EDD">
        <w:rPr>
          <w:rFonts w:asciiTheme="minorHAnsi" w:hAnsiTheme="minorHAnsi" w:cstheme="minorHAnsi"/>
          <w:b/>
          <w:color w:val="000000" w:themeColor="text1"/>
          <w:sz w:val="20"/>
          <w:szCs w:val="20"/>
          <w:shd w:val="clear" w:color="auto" w:fill="FBF9E1"/>
        </w:rPr>
        <w:t>estrinseco</w:t>
      </w:r>
      <w:r w:rsidRPr="002C1F3F">
        <w:rPr>
          <w:rFonts w:asciiTheme="minorHAnsi" w:hAnsiTheme="minorHAnsi" w:cstheme="minorHAnsi"/>
          <w:color w:val="000000" w:themeColor="text1"/>
          <w:sz w:val="20"/>
          <w:szCs w:val="20"/>
        </w:rPr>
        <w:t xml:space="preserve">. </w:t>
      </w:r>
    </w:p>
    <w:p w:rsidR="00571807" w:rsidRDefault="00571807" w:rsidP="008D24FB">
      <w:pPr>
        <w:jc w:val="both"/>
        <w:rPr>
          <w:rFonts w:asciiTheme="minorHAnsi" w:hAnsiTheme="minorHAnsi" w:cstheme="minorHAnsi"/>
          <w:color w:val="000000" w:themeColor="text1"/>
          <w:sz w:val="20"/>
          <w:szCs w:val="20"/>
        </w:rPr>
      </w:pPr>
    </w:p>
    <w:p w:rsidR="00136C98" w:rsidRDefault="00A73F82" w:rsidP="008D24FB">
      <w:pPr>
        <w:jc w:val="both"/>
        <w:rPr>
          <w:rFonts w:asciiTheme="minorHAnsi" w:hAnsiTheme="minorHAnsi" w:cstheme="minorHAnsi"/>
          <w:color w:val="000000" w:themeColor="text1"/>
          <w:sz w:val="20"/>
          <w:szCs w:val="20"/>
        </w:rPr>
      </w:pPr>
      <w:r w:rsidRPr="002C1F3F">
        <w:rPr>
          <w:rFonts w:asciiTheme="minorHAnsi" w:hAnsiTheme="minorHAnsi" w:cstheme="minorHAnsi"/>
          <w:color w:val="000000" w:themeColor="text1"/>
          <w:sz w:val="20"/>
          <w:szCs w:val="20"/>
        </w:rPr>
        <w:t xml:space="preserve">Questa forma di ADE richiede quindi una </w:t>
      </w:r>
      <w:r w:rsidRPr="00A944DC">
        <w:rPr>
          <w:rFonts w:asciiTheme="minorHAnsi" w:hAnsiTheme="minorHAnsi" w:cstheme="minorHAnsi"/>
          <w:b/>
          <w:bCs/>
          <w:color w:val="000000" w:themeColor="text1"/>
          <w:sz w:val="20"/>
          <w:szCs w:val="20"/>
        </w:rPr>
        <w:t>preventiva sensibilizzazione della risposta immunitaria umorale</w:t>
      </w:r>
      <w:r w:rsidRPr="002C1F3F">
        <w:rPr>
          <w:rFonts w:asciiTheme="minorHAnsi" w:hAnsiTheme="minorHAnsi" w:cstheme="minorHAnsi"/>
          <w:color w:val="000000" w:themeColor="text1"/>
          <w:sz w:val="20"/>
          <w:szCs w:val="20"/>
        </w:rPr>
        <w:t xml:space="preserve">, in base alla quale gli anticorpi circolanti prodotti durante l'infezione primaria riconoscono e si legano a un sierotipo eterologo del virus e </w:t>
      </w:r>
      <w:r w:rsidR="00275438" w:rsidRPr="002C1F3F">
        <w:rPr>
          <w:rFonts w:asciiTheme="minorHAnsi" w:hAnsiTheme="minorHAnsi" w:cstheme="minorHAnsi"/>
          <w:color w:val="000000" w:themeColor="text1"/>
          <w:sz w:val="20"/>
          <w:szCs w:val="20"/>
        </w:rPr>
        <w:t>aumentano</w:t>
      </w:r>
      <w:r w:rsidRPr="002C1F3F">
        <w:rPr>
          <w:rFonts w:asciiTheme="minorHAnsi" w:hAnsiTheme="minorHAnsi" w:cstheme="minorHAnsi"/>
          <w:color w:val="000000" w:themeColor="text1"/>
          <w:sz w:val="20"/>
          <w:szCs w:val="20"/>
        </w:rPr>
        <w:t xml:space="preserve"> l'infettività virale attraverso l'internalizzazione degli immunocomplessi virus-anticorpo da parte delle cellule che portano FcγR, piuttosto che promuovere </w:t>
      </w:r>
      <w:r w:rsidR="00275438" w:rsidRPr="002C1F3F">
        <w:rPr>
          <w:rFonts w:asciiTheme="minorHAnsi" w:hAnsiTheme="minorHAnsi" w:cstheme="minorHAnsi"/>
          <w:color w:val="000000" w:themeColor="text1"/>
          <w:sz w:val="20"/>
          <w:szCs w:val="20"/>
        </w:rPr>
        <w:t xml:space="preserve">la </w:t>
      </w:r>
      <w:r w:rsidRPr="002C1F3F">
        <w:rPr>
          <w:rFonts w:asciiTheme="minorHAnsi" w:hAnsiTheme="minorHAnsi" w:cstheme="minorHAnsi"/>
          <w:color w:val="000000" w:themeColor="text1"/>
          <w:sz w:val="20"/>
          <w:szCs w:val="20"/>
        </w:rPr>
        <w:t xml:space="preserve">neutralizzazione virale. </w:t>
      </w:r>
    </w:p>
    <w:p w:rsidR="00571807" w:rsidRPr="002C1F3F" w:rsidRDefault="00571807" w:rsidP="008D24FB">
      <w:pPr>
        <w:jc w:val="both"/>
        <w:rPr>
          <w:rFonts w:asciiTheme="minorHAnsi" w:hAnsiTheme="minorHAnsi" w:cstheme="minorHAnsi"/>
          <w:color w:val="000000" w:themeColor="text1"/>
          <w:sz w:val="20"/>
          <w:szCs w:val="20"/>
        </w:rPr>
      </w:pPr>
    </w:p>
    <w:p w:rsidR="00571807" w:rsidRDefault="00A73F82" w:rsidP="008D24FB">
      <w:pPr>
        <w:jc w:val="both"/>
        <w:rPr>
          <w:rFonts w:asciiTheme="minorHAnsi" w:hAnsiTheme="minorHAnsi" w:cstheme="minorHAnsi"/>
          <w:color w:val="000000" w:themeColor="text1"/>
          <w:sz w:val="20"/>
          <w:szCs w:val="20"/>
        </w:rPr>
      </w:pPr>
      <w:r w:rsidRPr="00144EDD">
        <w:rPr>
          <w:rFonts w:asciiTheme="minorHAnsi" w:hAnsiTheme="minorHAnsi" w:cstheme="minorHAnsi"/>
          <w:color w:val="000000" w:themeColor="text1"/>
          <w:sz w:val="20"/>
          <w:szCs w:val="20"/>
        </w:rPr>
        <w:t xml:space="preserve">Una volta interiorizzati, questi immunocomplessi possono modulare le risposte innate </w:t>
      </w:r>
      <w:r w:rsidR="00275438" w:rsidRPr="00144EDD">
        <w:rPr>
          <w:rFonts w:asciiTheme="minorHAnsi" w:hAnsiTheme="minorHAnsi" w:cstheme="minorHAnsi"/>
          <w:color w:val="000000" w:themeColor="text1"/>
          <w:sz w:val="20"/>
          <w:szCs w:val="20"/>
        </w:rPr>
        <w:t xml:space="preserve">antivirali </w:t>
      </w:r>
      <w:r w:rsidRPr="00144EDD">
        <w:rPr>
          <w:rFonts w:asciiTheme="minorHAnsi" w:hAnsiTheme="minorHAnsi" w:cstheme="minorHAnsi"/>
          <w:color w:val="000000" w:themeColor="text1"/>
          <w:sz w:val="20"/>
          <w:szCs w:val="20"/>
        </w:rPr>
        <w:t xml:space="preserve">delle cellule per aumentare la produzione di virus in ciascuna cellula, un processo chiamato </w:t>
      </w:r>
      <w:r w:rsidRPr="00144EDD">
        <w:rPr>
          <w:rFonts w:asciiTheme="minorHAnsi" w:hAnsiTheme="minorHAnsi" w:cstheme="minorHAnsi"/>
          <w:b/>
          <w:color w:val="000000" w:themeColor="text1"/>
          <w:sz w:val="20"/>
          <w:szCs w:val="20"/>
          <w:shd w:val="clear" w:color="auto" w:fill="FBF9E1"/>
        </w:rPr>
        <w:t>ADE intrinseco</w:t>
      </w:r>
      <w:r w:rsidRPr="002C1F3F">
        <w:rPr>
          <w:rFonts w:asciiTheme="minorHAnsi" w:hAnsiTheme="minorHAnsi" w:cstheme="minorHAnsi"/>
          <w:color w:val="000000" w:themeColor="text1"/>
          <w:sz w:val="20"/>
          <w:szCs w:val="20"/>
        </w:rPr>
        <w:t xml:space="preserve">. </w:t>
      </w:r>
    </w:p>
    <w:p w:rsidR="00571807" w:rsidRDefault="00571807" w:rsidP="008D24FB">
      <w:pPr>
        <w:jc w:val="both"/>
        <w:rPr>
          <w:rFonts w:asciiTheme="minorHAnsi" w:hAnsiTheme="minorHAnsi" w:cstheme="minorHAnsi"/>
          <w:color w:val="000000" w:themeColor="text1"/>
          <w:sz w:val="20"/>
          <w:szCs w:val="20"/>
        </w:rPr>
      </w:pPr>
    </w:p>
    <w:p w:rsidR="00A944DC" w:rsidRDefault="00A944DC"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851" w:right="1268"/>
        <w:jc w:val="both"/>
        <w:rPr>
          <w:rFonts w:asciiTheme="minorHAnsi" w:hAnsiTheme="minorHAnsi" w:cstheme="minorHAnsi"/>
          <w:b/>
          <w:bCs/>
          <w:i/>
          <w:iCs/>
          <w:color w:val="000000" w:themeColor="text1"/>
          <w:sz w:val="20"/>
          <w:szCs w:val="20"/>
        </w:rPr>
      </w:pPr>
    </w:p>
    <w:p w:rsidR="00275438" w:rsidRPr="00A944DC" w:rsidRDefault="00275438"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851" w:right="1268"/>
        <w:jc w:val="both"/>
        <w:rPr>
          <w:rFonts w:asciiTheme="minorHAnsi" w:hAnsiTheme="minorHAnsi" w:cstheme="minorHAnsi"/>
          <w:i/>
          <w:iCs/>
          <w:color w:val="000000" w:themeColor="text1"/>
          <w:sz w:val="20"/>
          <w:szCs w:val="20"/>
        </w:rPr>
      </w:pPr>
      <w:r w:rsidRPr="00A944DC">
        <w:rPr>
          <w:rFonts w:asciiTheme="minorHAnsi" w:hAnsiTheme="minorHAnsi" w:cstheme="minorHAnsi"/>
          <w:i/>
          <w:iCs/>
          <w:color w:val="000000" w:themeColor="text1"/>
          <w:sz w:val="20"/>
          <w:szCs w:val="20"/>
        </w:rPr>
        <w:t>S</w:t>
      </w:r>
      <w:r w:rsidR="00A73F82" w:rsidRPr="00A944DC">
        <w:rPr>
          <w:rFonts w:asciiTheme="minorHAnsi" w:hAnsiTheme="minorHAnsi" w:cstheme="minorHAnsi"/>
          <w:i/>
          <w:iCs/>
          <w:color w:val="000000" w:themeColor="text1"/>
          <w:sz w:val="20"/>
          <w:szCs w:val="20"/>
        </w:rPr>
        <w:t>i pensa che l'ADE estrinseco e</w:t>
      </w:r>
      <w:r w:rsidR="00492558" w:rsidRPr="00A944DC">
        <w:rPr>
          <w:rFonts w:asciiTheme="minorHAnsi" w:hAnsiTheme="minorHAnsi" w:cstheme="minorHAnsi"/>
          <w:i/>
          <w:iCs/>
          <w:color w:val="000000" w:themeColor="text1"/>
          <w:sz w:val="20"/>
          <w:szCs w:val="20"/>
        </w:rPr>
        <w:t>d</w:t>
      </w:r>
      <w:r w:rsidR="00A73F82" w:rsidRPr="00A944DC">
        <w:rPr>
          <w:rFonts w:asciiTheme="minorHAnsi" w:hAnsiTheme="minorHAnsi" w:cstheme="minorHAnsi"/>
          <w:i/>
          <w:iCs/>
          <w:color w:val="000000" w:themeColor="text1"/>
          <w:sz w:val="20"/>
          <w:szCs w:val="20"/>
        </w:rPr>
        <w:t xml:space="preserve"> intrinseco </w:t>
      </w:r>
      <w:r w:rsidRPr="00A944DC">
        <w:rPr>
          <w:rFonts w:asciiTheme="minorHAnsi" w:hAnsiTheme="minorHAnsi" w:cstheme="minorHAnsi"/>
          <w:i/>
          <w:iCs/>
          <w:color w:val="000000" w:themeColor="text1"/>
          <w:sz w:val="20"/>
          <w:szCs w:val="20"/>
        </w:rPr>
        <w:t xml:space="preserve">insieme </w:t>
      </w:r>
      <w:r w:rsidR="00A73F82" w:rsidRPr="00A944DC">
        <w:rPr>
          <w:rFonts w:asciiTheme="minorHAnsi" w:hAnsiTheme="minorHAnsi" w:cstheme="minorHAnsi"/>
          <w:i/>
          <w:iCs/>
          <w:color w:val="000000" w:themeColor="text1"/>
          <w:sz w:val="20"/>
          <w:szCs w:val="20"/>
        </w:rPr>
        <w:t>induca</w:t>
      </w:r>
      <w:r w:rsidRPr="00A944DC">
        <w:rPr>
          <w:rFonts w:asciiTheme="minorHAnsi" w:hAnsiTheme="minorHAnsi" w:cstheme="minorHAnsi"/>
          <w:i/>
          <w:iCs/>
          <w:color w:val="000000" w:themeColor="text1"/>
          <w:sz w:val="20"/>
          <w:szCs w:val="20"/>
        </w:rPr>
        <w:t>no</w:t>
      </w:r>
      <w:r w:rsidR="00A73F82" w:rsidRPr="00A944DC">
        <w:rPr>
          <w:rFonts w:asciiTheme="minorHAnsi" w:hAnsiTheme="minorHAnsi" w:cstheme="minorHAnsi"/>
          <w:i/>
          <w:iCs/>
          <w:color w:val="000000" w:themeColor="text1"/>
          <w:sz w:val="20"/>
          <w:szCs w:val="20"/>
        </w:rPr>
        <w:t xml:space="preserve"> il rilascio massiccio di mediatori infiammatori e vasoattivi che alla fine contribuiscono alla gravità della malattia.</w:t>
      </w:r>
      <w:r w:rsidR="007C1332" w:rsidRPr="00A944DC">
        <w:rPr>
          <w:rStyle w:val="FootnoteReference"/>
          <w:rFonts w:asciiTheme="minorHAnsi" w:hAnsiTheme="minorHAnsi" w:cstheme="minorHAnsi"/>
          <w:i/>
          <w:iCs/>
          <w:color w:val="000000" w:themeColor="text1"/>
          <w:sz w:val="20"/>
          <w:szCs w:val="20"/>
        </w:rPr>
        <w:t xml:space="preserve"> </w:t>
      </w:r>
      <w:r w:rsidR="007C1332" w:rsidRPr="00A944DC">
        <w:rPr>
          <w:rStyle w:val="FootnoteReference"/>
          <w:rFonts w:asciiTheme="minorHAnsi" w:hAnsiTheme="minorHAnsi" w:cstheme="minorHAnsi"/>
          <w:i/>
          <w:iCs/>
          <w:color w:val="000000" w:themeColor="text1"/>
          <w:sz w:val="20"/>
          <w:szCs w:val="20"/>
        </w:rPr>
        <w:footnoteReference w:id="86"/>
      </w:r>
    </w:p>
    <w:p w:rsidR="00A944DC" w:rsidRPr="00A944DC" w:rsidRDefault="00A944DC" w:rsidP="00144EDD">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851" w:right="1268"/>
        <w:jc w:val="both"/>
        <w:rPr>
          <w:rFonts w:asciiTheme="minorHAnsi" w:hAnsiTheme="minorHAnsi" w:cstheme="minorHAnsi"/>
          <w:i/>
          <w:iCs/>
          <w:color w:val="000000" w:themeColor="text1"/>
          <w:sz w:val="20"/>
          <w:szCs w:val="20"/>
        </w:rPr>
      </w:pPr>
    </w:p>
    <w:p w:rsidR="00B45530" w:rsidRPr="002C1F3F" w:rsidRDefault="00B45530" w:rsidP="00B45530">
      <w:pPr>
        <w:jc w:val="center"/>
        <w:rPr>
          <w:rFonts w:asciiTheme="minorHAnsi" w:hAnsiTheme="minorHAnsi" w:cstheme="minorHAnsi"/>
          <w:color w:val="000000" w:themeColor="text1"/>
          <w:sz w:val="20"/>
          <w:szCs w:val="20"/>
        </w:rPr>
      </w:pPr>
      <w:r w:rsidRPr="002C1F3F">
        <w:rPr>
          <w:rFonts w:asciiTheme="minorHAnsi" w:hAnsiTheme="minorHAnsi" w:cstheme="minorHAnsi"/>
          <w:color w:val="000000" w:themeColor="text1"/>
          <w:sz w:val="20"/>
          <w:szCs w:val="20"/>
        </w:rPr>
        <w:lastRenderedPageBreak/>
        <w:fldChar w:fldCharType="begin"/>
      </w:r>
      <w:r w:rsidRPr="002C1F3F">
        <w:rPr>
          <w:rFonts w:asciiTheme="minorHAnsi" w:hAnsiTheme="minorHAnsi" w:cstheme="minorHAnsi"/>
          <w:color w:val="000000" w:themeColor="text1"/>
          <w:sz w:val="20"/>
          <w:szCs w:val="20"/>
        </w:rPr>
        <w:instrText xml:space="preserve"> INCLUDEPICTURE "https://media.springernature.com/lw685/springer-static/image/art%3A10.1007%2Fs12250-020-00207-4/MediaObjects/12250_2020_207_Fig2_HTML.png" \* MERGEFORMATINET </w:instrText>
      </w:r>
      <w:r w:rsidRPr="002C1F3F">
        <w:rPr>
          <w:rFonts w:asciiTheme="minorHAnsi" w:hAnsiTheme="minorHAnsi" w:cstheme="minorHAnsi"/>
          <w:color w:val="000000" w:themeColor="text1"/>
          <w:sz w:val="20"/>
          <w:szCs w:val="20"/>
        </w:rPr>
        <w:fldChar w:fldCharType="separate"/>
      </w:r>
      <w:r w:rsidRPr="002C1F3F">
        <w:rPr>
          <w:rFonts w:asciiTheme="minorHAnsi" w:hAnsiTheme="minorHAnsi" w:cstheme="minorHAnsi"/>
          <w:noProof/>
          <w:color w:val="000000" w:themeColor="text1"/>
          <w:sz w:val="20"/>
          <w:szCs w:val="20"/>
        </w:rPr>
        <w:drawing>
          <wp:inline distT="0" distB="0" distL="0" distR="0">
            <wp:extent cx="3923058" cy="3449782"/>
            <wp:effectExtent l="0" t="0" r="1270" b="5080"/>
            <wp:docPr id="34" name="Immagine 34"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03859" cy="3520836"/>
                    </a:xfrm>
                    <a:prstGeom prst="rect">
                      <a:avLst/>
                    </a:prstGeom>
                    <a:noFill/>
                    <a:ln>
                      <a:noFill/>
                    </a:ln>
                  </pic:spPr>
                </pic:pic>
              </a:graphicData>
            </a:graphic>
          </wp:inline>
        </w:drawing>
      </w:r>
      <w:r w:rsidRPr="002C1F3F">
        <w:rPr>
          <w:rFonts w:asciiTheme="minorHAnsi" w:hAnsiTheme="minorHAnsi" w:cstheme="minorHAnsi"/>
          <w:color w:val="000000" w:themeColor="text1"/>
          <w:sz w:val="20"/>
          <w:szCs w:val="20"/>
        </w:rPr>
        <w:fldChar w:fldCharType="end"/>
      </w:r>
    </w:p>
    <w:p w:rsidR="00275438" w:rsidRPr="003843FE" w:rsidRDefault="00275438" w:rsidP="008D24FB">
      <w:pPr>
        <w:jc w:val="both"/>
        <w:rPr>
          <w:rFonts w:asciiTheme="minorHAnsi" w:hAnsiTheme="minorHAnsi"/>
          <w:color w:val="000000" w:themeColor="text1"/>
        </w:rPr>
      </w:pPr>
    </w:p>
    <w:p w:rsidR="00B45530" w:rsidRPr="00144EDD" w:rsidRDefault="00B45530" w:rsidP="00144EDD">
      <w:pPr>
        <w:shd w:val="clear" w:color="auto" w:fill="F2F2F2" w:themeFill="background1" w:themeFillShade="F2"/>
        <w:rPr>
          <w:rFonts w:asciiTheme="minorHAnsi" w:hAnsiTheme="minorHAnsi"/>
          <w:color w:val="000000" w:themeColor="text1"/>
          <w:sz w:val="18"/>
          <w:szCs w:val="18"/>
        </w:rPr>
      </w:pPr>
      <w:r w:rsidRPr="00144EDD">
        <w:rPr>
          <w:rFonts w:asciiTheme="minorHAnsi" w:hAnsiTheme="minorHAnsi" w:cstheme="minorHAnsi"/>
          <w:color w:val="000000" w:themeColor="text1"/>
          <w:sz w:val="18"/>
          <w:szCs w:val="18"/>
          <w:shd w:val="clear" w:color="auto" w:fill="F2F2F2" w:themeFill="background1" w:themeFillShade="F2"/>
        </w:rPr>
        <w:t>Tratta da</w:t>
      </w:r>
      <w:r w:rsidRPr="00144EDD">
        <w:rPr>
          <w:rFonts w:asciiTheme="minorHAnsi" w:hAnsiTheme="minorHAnsi" w:cstheme="minorHAnsi"/>
          <w:color w:val="000000" w:themeColor="text1"/>
          <w:sz w:val="18"/>
          <w:szCs w:val="18"/>
          <w:shd w:val="clear" w:color="auto" w:fill="FCFCFC"/>
        </w:rPr>
        <w:t xml:space="preserve"> </w:t>
      </w:r>
      <w:hyperlink r:id="rId105" w:history="1">
        <w:r w:rsidRPr="00144EDD">
          <w:rPr>
            <w:rStyle w:val="Hyperlink"/>
            <w:rFonts w:asciiTheme="minorHAnsi" w:hAnsiTheme="minorHAnsi"/>
            <w:color w:val="000000" w:themeColor="text1"/>
            <w:sz w:val="18"/>
            <w:szCs w:val="18"/>
            <w:u w:val="none"/>
          </w:rPr>
          <w:t>https://link.springer.com/article/10.1007/s12250-020-00207-4</w:t>
        </w:r>
      </w:hyperlink>
    </w:p>
    <w:p w:rsidR="00144EDD" w:rsidRDefault="007E0EB3" w:rsidP="00144EDD">
      <w:pPr>
        <w:shd w:val="clear" w:color="auto" w:fill="F2F2F2" w:themeFill="background1" w:themeFillShade="F2"/>
        <w:jc w:val="both"/>
        <w:rPr>
          <w:rFonts w:asciiTheme="minorHAnsi" w:hAnsiTheme="minorHAnsi" w:cstheme="minorHAnsi"/>
          <w:color w:val="000000" w:themeColor="text1"/>
          <w:sz w:val="18"/>
          <w:szCs w:val="18"/>
          <w:shd w:val="clear" w:color="auto" w:fill="F2F2F2" w:themeFill="background1" w:themeFillShade="F2"/>
        </w:rPr>
      </w:pPr>
      <w:r w:rsidRPr="00144EDD">
        <w:rPr>
          <w:rFonts w:asciiTheme="minorHAnsi" w:hAnsiTheme="minorHAnsi" w:cstheme="minorHAnsi"/>
          <w:b/>
          <w:bCs/>
          <w:color w:val="000000" w:themeColor="text1"/>
          <w:sz w:val="18"/>
          <w:szCs w:val="18"/>
          <w:shd w:val="clear" w:color="auto" w:fill="F2F2F2" w:themeFill="background1" w:themeFillShade="F2"/>
        </w:rPr>
        <w:t>Potenziamento anticorpo-dipendente (ADE) mediata dal recettore Fc delle risposte da infezione virale e infiammatorie</w:t>
      </w:r>
      <w:r w:rsidRPr="00144EDD">
        <w:rPr>
          <w:rFonts w:asciiTheme="minorHAnsi" w:hAnsiTheme="minorHAnsi" w:cstheme="minorHAnsi"/>
          <w:color w:val="000000" w:themeColor="text1"/>
          <w:sz w:val="18"/>
          <w:szCs w:val="18"/>
          <w:shd w:val="clear" w:color="auto" w:fill="F2F2F2" w:themeFill="background1" w:themeFillShade="F2"/>
        </w:rPr>
        <w:t xml:space="preserve">. </w:t>
      </w:r>
    </w:p>
    <w:p w:rsidR="00144EDD" w:rsidRDefault="00FA11B0" w:rsidP="00144EDD">
      <w:pPr>
        <w:shd w:val="clear" w:color="auto" w:fill="F2F2F2" w:themeFill="background1" w:themeFillShade="F2"/>
        <w:jc w:val="both"/>
        <w:rPr>
          <w:rFonts w:asciiTheme="minorHAnsi" w:hAnsiTheme="minorHAnsi" w:cstheme="minorHAnsi"/>
          <w:color w:val="000000" w:themeColor="text1"/>
          <w:sz w:val="18"/>
          <w:szCs w:val="18"/>
          <w:shd w:val="clear" w:color="auto" w:fill="F2F2F2" w:themeFill="background1" w:themeFillShade="F2"/>
        </w:rPr>
      </w:pPr>
      <w:r w:rsidRPr="00144EDD">
        <w:rPr>
          <w:rFonts w:asciiTheme="minorHAnsi" w:hAnsiTheme="minorHAnsi" w:cstheme="minorHAnsi"/>
          <w:b/>
          <w:bCs/>
          <w:color w:val="000000" w:themeColor="text1"/>
          <w:sz w:val="18"/>
          <w:szCs w:val="18"/>
          <w:shd w:val="clear" w:color="auto" w:fill="F2F2F2" w:themeFill="background1" w:themeFillShade="F2"/>
        </w:rPr>
        <w:t>A)</w:t>
      </w:r>
      <w:r w:rsidRPr="00144EDD">
        <w:rPr>
          <w:rFonts w:asciiTheme="minorHAnsi" w:hAnsiTheme="minorHAnsi" w:cstheme="minorHAnsi"/>
          <w:color w:val="000000" w:themeColor="text1"/>
          <w:sz w:val="18"/>
          <w:szCs w:val="18"/>
          <w:shd w:val="clear" w:color="auto" w:fill="F2F2F2" w:themeFill="background1" w:themeFillShade="F2"/>
        </w:rPr>
        <w:t xml:space="preserve"> L’</w:t>
      </w:r>
      <w:r w:rsidR="007E0EB3" w:rsidRPr="00144EDD">
        <w:rPr>
          <w:rFonts w:asciiTheme="minorHAnsi" w:hAnsiTheme="minorHAnsi" w:cstheme="minorHAnsi"/>
          <w:color w:val="000000" w:themeColor="text1"/>
          <w:sz w:val="18"/>
          <w:szCs w:val="18"/>
          <w:shd w:val="clear" w:color="auto" w:fill="F2F2F2" w:themeFill="background1" w:themeFillShade="F2"/>
        </w:rPr>
        <w:t xml:space="preserve">ADE si verifica quando gli anticorpi neutralizzanti antivirali non possono neutralizzare completamente il virus. Invece, il complesso virus-NAb si attacca al recettore Fc (FcR), portando all'endocitosi virale e all'infezione delle cellule bersaglio. Il risultato è un aumento della replicazione globale del virus e una maggiore gravità della malattia. </w:t>
      </w:r>
    </w:p>
    <w:p w:rsidR="00144EDD" w:rsidRDefault="00FA11B0" w:rsidP="00144EDD">
      <w:pPr>
        <w:shd w:val="clear" w:color="auto" w:fill="F2F2F2" w:themeFill="background1" w:themeFillShade="F2"/>
        <w:jc w:val="both"/>
        <w:rPr>
          <w:rFonts w:asciiTheme="minorHAnsi" w:hAnsiTheme="minorHAnsi" w:cstheme="minorHAnsi"/>
          <w:color w:val="000000" w:themeColor="text1"/>
          <w:sz w:val="18"/>
          <w:szCs w:val="18"/>
          <w:shd w:val="clear" w:color="auto" w:fill="F2F2F2" w:themeFill="background1" w:themeFillShade="F2"/>
        </w:rPr>
      </w:pPr>
      <w:r w:rsidRPr="00144EDD">
        <w:rPr>
          <w:rFonts w:asciiTheme="minorHAnsi" w:hAnsiTheme="minorHAnsi" w:cstheme="minorHAnsi"/>
          <w:b/>
          <w:bCs/>
          <w:color w:val="000000" w:themeColor="text1"/>
          <w:sz w:val="18"/>
          <w:szCs w:val="18"/>
          <w:shd w:val="clear" w:color="auto" w:fill="F2F2F2" w:themeFill="background1" w:themeFillShade="F2"/>
        </w:rPr>
        <w:t>B)</w:t>
      </w:r>
      <w:r w:rsidRPr="00144EDD">
        <w:rPr>
          <w:rFonts w:asciiTheme="minorHAnsi" w:hAnsiTheme="minorHAnsi" w:cstheme="minorHAnsi"/>
          <w:color w:val="000000" w:themeColor="text1"/>
          <w:sz w:val="18"/>
          <w:szCs w:val="18"/>
          <w:shd w:val="clear" w:color="auto" w:fill="F2F2F2" w:themeFill="background1" w:themeFillShade="F2"/>
        </w:rPr>
        <w:t xml:space="preserve"> </w:t>
      </w:r>
      <w:r w:rsidR="007E0EB3" w:rsidRPr="00144EDD">
        <w:rPr>
          <w:rFonts w:asciiTheme="minorHAnsi" w:hAnsiTheme="minorHAnsi" w:cstheme="minorHAnsi"/>
          <w:color w:val="000000" w:themeColor="text1"/>
          <w:sz w:val="18"/>
          <w:szCs w:val="18"/>
          <w:shd w:val="clear" w:color="auto" w:fill="F2F2F2" w:themeFill="background1" w:themeFillShade="F2"/>
        </w:rPr>
        <w:t xml:space="preserve">Il legame del complesso virus-NAb con FcR può anche attivare la segnalazione proinfiammatoria, spostando le risposte dei macrofagi all'accumulo di macrofagi proinfiammatori (M1 o attivati ​​classicamente) nei polmoni. I macrofagi M1 secernono citochine infiammatorie come MCP-1 e IL-8, causando lesioni polmonari. </w:t>
      </w:r>
    </w:p>
    <w:p w:rsidR="00AB2BB4" w:rsidRPr="00144EDD" w:rsidRDefault="007E0EB3" w:rsidP="00144EDD">
      <w:pPr>
        <w:shd w:val="clear" w:color="auto" w:fill="F2F2F2" w:themeFill="background1" w:themeFillShade="F2"/>
        <w:jc w:val="both"/>
        <w:rPr>
          <w:rFonts w:asciiTheme="minorHAnsi" w:hAnsiTheme="minorHAnsi" w:cstheme="minorHAnsi"/>
          <w:color w:val="000000" w:themeColor="text1"/>
          <w:sz w:val="18"/>
          <w:szCs w:val="18"/>
          <w:shd w:val="clear" w:color="auto" w:fill="FCFCFC"/>
        </w:rPr>
      </w:pPr>
      <w:r w:rsidRPr="00144EDD">
        <w:rPr>
          <w:rFonts w:asciiTheme="minorHAnsi" w:hAnsiTheme="minorHAnsi" w:cstheme="minorHAnsi"/>
          <w:b/>
          <w:bCs/>
          <w:color w:val="000000" w:themeColor="text1"/>
          <w:sz w:val="18"/>
          <w:szCs w:val="18"/>
          <w:shd w:val="clear" w:color="auto" w:fill="F2F2F2" w:themeFill="background1" w:themeFillShade="F2"/>
        </w:rPr>
        <w:t>C</w:t>
      </w:r>
      <w:r w:rsidR="00FA11B0" w:rsidRPr="00144EDD">
        <w:rPr>
          <w:rFonts w:asciiTheme="minorHAnsi" w:hAnsiTheme="minorHAnsi" w:cstheme="minorHAnsi"/>
          <w:b/>
          <w:bCs/>
          <w:color w:val="000000" w:themeColor="text1"/>
          <w:sz w:val="18"/>
          <w:szCs w:val="18"/>
          <w:shd w:val="clear" w:color="auto" w:fill="F2F2F2" w:themeFill="background1" w:themeFillShade="F2"/>
        </w:rPr>
        <w:t>)</w:t>
      </w:r>
      <w:r w:rsidR="00FA11B0" w:rsidRPr="00144EDD">
        <w:rPr>
          <w:rFonts w:asciiTheme="minorHAnsi" w:hAnsiTheme="minorHAnsi" w:cstheme="minorHAnsi"/>
          <w:color w:val="000000" w:themeColor="text1"/>
          <w:sz w:val="18"/>
          <w:szCs w:val="18"/>
          <w:shd w:val="clear" w:color="auto" w:fill="F2F2F2" w:themeFill="background1" w:themeFillShade="F2"/>
        </w:rPr>
        <w:t xml:space="preserve"> </w:t>
      </w:r>
      <w:r w:rsidRPr="00144EDD">
        <w:rPr>
          <w:rFonts w:asciiTheme="minorHAnsi" w:hAnsiTheme="minorHAnsi" w:cstheme="minorHAnsi"/>
          <w:color w:val="000000" w:themeColor="text1"/>
          <w:sz w:val="18"/>
          <w:szCs w:val="18"/>
          <w:shd w:val="clear" w:color="auto" w:fill="F2F2F2" w:themeFill="background1" w:themeFillShade="F2"/>
        </w:rPr>
        <w:t>Potenziali terapie basate sul targeting dei recettori Fc per bloccare le risposte infiammatorie indotte da SARS-CoV-2. Da sinistra a destra, FcR può essere bloccato utilizzando anticorpi specifici anti-Fc, piccole molecole o immunoglobuline per via endovenosa (IVIG). L’FcR inibitorio, Fc</w:t>
      </w:r>
      <w:r w:rsidRPr="00144EDD">
        <w:rPr>
          <w:rFonts w:asciiTheme="minorHAnsi" w:hAnsiTheme="minorHAnsi" w:cstheme="minorHAnsi"/>
          <w:color w:val="000000" w:themeColor="text1"/>
          <w:sz w:val="18"/>
          <w:szCs w:val="18"/>
          <w:shd w:val="clear" w:color="auto" w:fill="F2F2F2" w:themeFill="background1" w:themeFillShade="F2"/>
          <w:lang w:val="en-US"/>
        </w:rPr>
        <w:t>γ</w:t>
      </w:r>
      <w:r w:rsidRPr="00144EDD">
        <w:rPr>
          <w:rFonts w:asciiTheme="minorHAnsi" w:hAnsiTheme="minorHAnsi" w:cstheme="minorHAnsi"/>
          <w:color w:val="000000" w:themeColor="text1"/>
          <w:sz w:val="18"/>
          <w:szCs w:val="18"/>
          <w:shd w:val="clear" w:color="auto" w:fill="F2F2F2" w:themeFill="background1" w:themeFillShade="F2"/>
        </w:rPr>
        <w:t>RIIB, può anche essere mirato per inibire l'attivazione di FcR. L'FcRn può anche essere bloccato da anticorpi specifici o inibito in modo competitivo attraverso il legame delle IVIG.</w:t>
      </w:r>
    </w:p>
    <w:p w:rsidR="007E0EB3" w:rsidRPr="003843FE" w:rsidRDefault="007E0EB3" w:rsidP="00275438">
      <w:pPr>
        <w:jc w:val="both"/>
        <w:rPr>
          <w:rFonts w:asciiTheme="minorHAnsi" w:hAnsiTheme="minorHAnsi"/>
          <w:color w:val="000000" w:themeColor="text1"/>
        </w:rPr>
      </w:pPr>
    </w:p>
    <w:p w:rsidR="001F37CA" w:rsidRDefault="00AB2BB4" w:rsidP="008D24FB">
      <w:pPr>
        <w:jc w:val="both"/>
        <w:rPr>
          <w:rFonts w:asciiTheme="minorHAnsi" w:hAnsiTheme="minorHAnsi"/>
          <w:color w:val="000000" w:themeColor="text1"/>
          <w:sz w:val="20"/>
          <w:szCs w:val="20"/>
        </w:rPr>
      </w:pPr>
      <w:r w:rsidRPr="00571807">
        <w:rPr>
          <w:rFonts w:asciiTheme="minorHAnsi" w:hAnsiTheme="minorHAnsi"/>
          <w:color w:val="000000" w:themeColor="text1"/>
          <w:sz w:val="20"/>
          <w:szCs w:val="20"/>
        </w:rPr>
        <w:t>Studi sui determinanti antigenici che mediano l'A</w:t>
      </w:r>
      <w:r w:rsidR="00DD2153" w:rsidRPr="00571807">
        <w:rPr>
          <w:rFonts w:asciiTheme="minorHAnsi" w:hAnsiTheme="minorHAnsi"/>
          <w:color w:val="000000" w:themeColor="text1"/>
          <w:sz w:val="20"/>
          <w:szCs w:val="20"/>
        </w:rPr>
        <w:t>D</w:t>
      </w:r>
      <w:r w:rsidRPr="00571807">
        <w:rPr>
          <w:rFonts w:asciiTheme="minorHAnsi" w:hAnsiTheme="minorHAnsi"/>
          <w:color w:val="000000" w:themeColor="text1"/>
          <w:sz w:val="20"/>
          <w:szCs w:val="20"/>
        </w:rPr>
        <w:t xml:space="preserve">E hanno </w:t>
      </w:r>
      <w:r w:rsidR="00DD2153" w:rsidRPr="00571807">
        <w:rPr>
          <w:rFonts w:asciiTheme="minorHAnsi" w:hAnsiTheme="minorHAnsi"/>
          <w:color w:val="000000" w:themeColor="text1"/>
          <w:sz w:val="20"/>
          <w:szCs w:val="20"/>
        </w:rPr>
        <w:t xml:space="preserve">permesso di </w:t>
      </w:r>
      <w:r w:rsidR="00B54415" w:rsidRPr="00571807">
        <w:rPr>
          <w:rFonts w:asciiTheme="minorHAnsi" w:hAnsiTheme="minorHAnsi"/>
          <w:color w:val="000000" w:themeColor="text1"/>
          <w:sz w:val="20"/>
          <w:szCs w:val="20"/>
        </w:rPr>
        <w:t>dimostrare</w:t>
      </w:r>
      <w:r w:rsidR="00DD2153" w:rsidRPr="00571807">
        <w:rPr>
          <w:rFonts w:asciiTheme="minorHAnsi" w:hAnsiTheme="minorHAnsi"/>
          <w:color w:val="000000" w:themeColor="text1"/>
          <w:sz w:val="20"/>
          <w:szCs w:val="20"/>
        </w:rPr>
        <w:t xml:space="preserve"> </w:t>
      </w:r>
      <w:r w:rsidRPr="00571807">
        <w:rPr>
          <w:rFonts w:asciiTheme="minorHAnsi" w:hAnsiTheme="minorHAnsi"/>
          <w:color w:val="000000" w:themeColor="text1"/>
          <w:sz w:val="20"/>
          <w:szCs w:val="20"/>
        </w:rPr>
        <w:t>il ruolo degli epitopi delle proteine strutturali superficiali</w:t>
      </w:r>
      <w:r w:rsidR="00136C98" w:rsidRPr="00571807">
        <w:rPr>
          <w:rFonts w:asciiTheme="minorHAnsi" w:hAnsiTheme="minorHAnsi"/>
          <w:color w:val="000000" w:themeColor="text1"/>
          <w:sz w:val="20"/>
          <w:szCs w:val="20"/>
        </w:rPr>
        <w:t>;</w:t>
      </w:r>
      <w:r w:rsidR="008C1775" w:rsidRPr="00571807">
        <w:rPr>
          <w:rFonts w:asciiTheme="minorHAnsi" w:hAnsiTheme="minorHAnsi"/>
          <w:color w:val="000000" w:themeColor="text1"/>
          <w:sz w:val="20"/>
          <w:szCs w:val="20"/>
        </w:rPr>
        <w:t xml:space="preserve"> si è visto infatti che g</w:t>
      </w:r>
      <w:r w:rsidRPr="00571807">
        <w:rPr>
          <w:rFonts w:asciiTheme="minorHAnsi" w:hAnsiTheme="minorHAnsi"/>
          <w:color w:val="000000" w:themeColor="text1"/>
          <w:sz w:val="20"/>
          <w:szCs w:val="20"/>
        </w:rPr>
        <w:t xml:space="preserve">li anticorpi generati contro le proteine dell'involucro </w:t>
      </w:r>
      <w:r w:rsidR="00DD2153" w:rsidRPr="00571807">
        <w:rPr>
          <w:rFonts w:asciiTheme="minorHAnsi" w:hAnsiTheme="minorHAnsi"/>
          <w:color w:val="000000" w:themeColor="text1"/>
          <w:sz w:val="20"/>
          <w:szCs w:val="20"/>
        </w:rPr>
        <w:t>del</w:t>
      </w:r>
      <w:r w:rsidRPr="00571807">
        <w:rPr>
          <w:rFonts w:asciiTheme="minorHAnsi" w:hAnsiTheme="minorHAnsi"/>
          <w:color w:val="000000" w:themeColor="text1"/>
          <w:sz w:val="20"/>
          <w:szCs w:val="20"/>
        </w:rPr>
        <w:t xml:space="preserve"> virus </w:t>
      </w:r>
      <w:r w:rsidR="008C1775" w:rsidRPr="00571807">
        <w:rPr>
          <w:rFonts w:asciiTheme="minorHAnsi" w:hAnsiTheme="minorHAnsi"/>
          <w:color w:val="000000" w:themeColor="text1"/>
          <w:sz w:val="20"/>
          <w:szCs w:val="20"/>
        </w:rPr>
        <w:t>potenziavano</w:t>
      </w:r>
      <w:r w:rsidRPr="00571807">
        <w:rPr>
          <w:rFonts w:asciiTheme="minorHAnsi" w:hAnsiTheme="minorHAnsi"/>
          <w:color w:val="000000" w:themeColor="text1"/>
          <w:sz w:val="20"/>
          <w:szCs w:val="20"/>
        </w:rPr>
        <w:t xml:space="preserve"> l'infezione in vitro. </w:t>
      </w:r>
    </w:p>
    <w:p w:rsidR="00571807" w:rsidRPr="00571807" w:rsidRDefault="00571807" w:rsidP="008D24FB">
      <w:pPr>
        <w:jc w:val="both"/>
        <w:rPr>
          <w:rFonts w:asciiTheme="minorHAnsi" w:hAnsiTheme="minorHAnsi"/>
          <w:color w:val="000000" w:themeColor="text1"/>
          <w:sz w:val="20"/>
          <w:szCs w:val="20"/>
        </w:rPr>
      </w:pPr>
    </w:p>
    <w:p w:rsidR="007E0EB3" w:rsidRPr="00571807" w:rsidRDefault="00AB2BB4" w:rsidP="008D24FB">
      <w:pPr>
        <w:jc w:val="both"/>
        <w:rPr>
          <w:rFonts w:asciiTheme="minorHAnsi" w:hAnsiTheme="minorHAnsi"/>
          <w:color w:val="000000" w:themeColor="text1"/>
          <w:sz w:val="20"/>
          <w:szCs w:val="20"/>
        </w:rPr>
      </w:pPr>
      <w:r w:rsidRPr="00571807">
        <w:rPr>
          <w:rFonts w:asciiTheme="minorHAnsi" w:hAnsiTheme="minorHAnsi"/>
          <w:color w:val="000000" w:themeColor="text1"/>
          <w:sz w:val="20"/>
          <w:szCs w:val="20"/>
        </w:rPr>
        <w:t>Esempi di tali epitopi includono la proteina spike di SARS-CoV</w:t>
      </w:r>
      <w:r w:rsidR="00DD2153" w:rsidRPr="00571807">
        <w:rPr>
          <w:rFonts w:asciiTheme="minorHAnsi" w:hAnsiTheme="minorHAnsi"/>
          <w:color w:val="000000" w:themeColor="text1"/>
          <w:sz w:val="20"/>
          <w:szCs w:val="20"/>
        </w:rPr>
        <w:t xml:space="preserve"> </w:t>
      </w:r>
      <w:r w:rsidR="00DD2153" w:rsidRPr="00571807">
        <w:rPr>
          <w:rStyle w:val="FootnoteReference"/>
          <w:rFonts w:asciiTheme="minorHAnsi" w:hAnsiTheme="minorHAnsi"/>
          <w:color w:val="000000" w:themeColor="text1"/>
          <w:sz w:val="20"/>
          <w:szCs w:val="20"/>
        </w:rPr>
        <w:footnoteReference w:id="87"/>
      </w:r>
      <w:r w:rsidR="00DD2153" w:rsidRPr="00571807">
        <w:rPr>
          <w:rFonts w:asciiTheme="minorHAnsi" w:hAnsiTheme="minorHAnsi"/>
          <w:color w:val="000000" w:themeColor="text1"/>
          <w:sz w:val="20"/>
          <w:szCs w:val="20"/>
        </w:rPr>
        <w:t xml:space="preserve">. </w:t>
      </w:r>
    </w:p>
    <w:p w:rsidR="008C1775" w:rsidRPr="003843FE" w:rsidRDefault="00136C98" w:rsidP="008D24FB">
      <w:pPr>
        <w:jc w:val="both"/>
        <w:rPr>
          <w:rFonts w:asciiTheme="minorHAnsi" w:hAnsiTheme="minorHAnsi"/>
          <w:color w:val="000000" w:themeColor="text1"/>
        </w:rPr>
      </w:pPr>
      <w:r>
        <w:rPr>
          <w:rFonts w:asciiTheme="minorHAnsi" w:hAnsiTheme="minorHAnsi"/>
          <w:noProof/>
          <w:color w:val="000000" w:themeColor="text1"/>
        </w:rPr>
        <w:lastRenderedPageBreak/>
        <w:drawing>
          <wp:inline distT="0" distB="0" distL="0" distR="0">
            <wp:extent cx="6062134" cy="146644"/>
            <wp:effectExtent l="0" t="0" r="0" b="635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hermata 2020-06-05 alle 14.39.56.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624225" cy="160241"/>
                    </a:xfrm>
                    <a:prstGeom prst="rect">
                      <a:avLst/>
                    </a:prstGeom>
                  </pic:spPr>
                </pic:pic>
              </a:graphicData>
            </a:graphic>
          </wp:inline>
        </w:drawing>
      </w:r>
    </w:p>
    <w:p w:rsidR="002F1FA2" w:rsidRPr="003843FE" w:rsidRDefault="002F1FA2" w:rsidP="008D24FB">
      <w:pPr>
        <w:jc w:val="both"/>
        <w:rPr>
          <w:rFonts w:asciiTheme="minorHAnsi" w:hAnsiTheme="minorHAnsi"/>
          <w:color w:val="000000" w:themeColor="text1"/>
        </w:rPr>
      </w:pPr>
      <w:r w:rsidRPr="003843FE">
        <w:rPr>
          <w:rFonts w:asciiTheme="minorHAnsi" w:hAnsiTheme="minorHAnsi"/>
          <w:b/>
          <w:noProof/>
          <w:color w:val="000000" w:themeColor="text1"/>
        </w:rPr>
        <w:drawing>
          <wp:inline distT="0" distB="0" distL="0" distR="0" wp14:anchorId="5BD45FD7" wp14:editId="7D6D94DE">
            <wp:extent cx="6061710" cy="331783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ta 2020-05-23 alle 19.50.51.png"/>
                    <pic:cNvPicPr/>
                  </pic:nvPicPr>
                  <pic:blipFill>
                    <a:blip r:embed="rId107">
                      <a:extLst>
                        <a:ext uri="{28A0092B-C50C-407E-A947-70E740481C1C}">
                          <a14:useLocalDpi xmlns:a14="http://schemas.microsoft.com/office/drawing/2010/main" val="0"/>
                        </a:ext>
                      </a:extLst>
                    </a:blip>
                    <a:stretch>
                      <a:fillRect/>
                    </a:stretch>
                  </pic:blipFill>
                  <pic:spPr>
                    <a:xfrm>
                      <a:off x="0" y="0"/>
                      <a:ext cx="6070838" cy="3322826"/>
                    </a:xfrm>
                    <a:prstGeom prst="rect">
                      <a:avLst/>
                    </a:prstGeom>
                  </pic:spPr>
                </pic:pic>
              </a:graphicData>
            </a:graphic>
          </wp:inline>
        </w:drawing>
      </w:r>
    </w:p>
    <w:p w:rsidR="007E0EB3" w:rsidRPr="00144EDD" w:rsidRDefault="007E0EB3" w:rsidP="007E0EB3">
      <w:pPr>
        <w:rPr>
          <w:rStyle w:val="Hyperlink"/>
          <w:rFonts w:asciiTheme="minorHAnsi" w:eastAsiaTheme="majorEastAsia" w:hAnsiTheme="minorHAnsi"/>
          <w:color w:val="000000" w:themeColor="text1"/>
          <w:sz w:val="18"/>
          <w:szCs w:val="18"/>
          <w:u w:val="none"/>
        </w:rPr>
      </w:pPr>
      <w:r w:rsidRPr="00144EDD">
        <w:rPr>
          <w:rFonts w:asciiTheme="minorHAnsi" w:hAnsiTheme="minorHAnsi"/>
          <w:color w:val="000000" w:themeColor="text1"/>
          <w:sz w:val="18"/>
          <w:szCs w:val="18"/>
        </w:rPr>
        <w:t xml:space="preserve">Tratta da </w:t>
      </w:r>
      <w:hyperlink r:id="rId108" w:history="1">
        <w:r w:rsidRPr="00144EDD">
          <w:rPr>
            <w:rStyle w:val="Hyperlink"/>
            <w:rFonts w:asciiTheme="minorHAnsi" w:eastAsiaTheme="majorEastAsia" w:hAnsiTheme="minorHAnsi"/>
            <w:color w:val="000000" w:themeColor="text1"/>
            <w:sz w:val="18"/>
            <w:szCs w:val="18"/>
            <w:u w:val="none"/>
          </w:rPr>
          <w:t>https://link.springer.com/content/pdf/10.1007%2F978-981-15-1045-8_2.pdf</w:t>
        </w:r>
      </w:hyperlink>
    </w:p>
    <w:p w:rsidR="007E0EB3" w:rsidRPr="003843FE" w:rsidRDefault="007E0EB3" w:rsidP="008D24FB">
      <w:pPr>
        <w:jc w:val="both"/>
        <w:rPr>
          <w:rFonts w:asciiTheme="minorHAnsi" w:hAnsiTheme="minorHAnsi"/>
          <w:color w:val="000000" w:themeColor="text1"/>
        </w:rPr>
      </w:pPr>
    </w:p>
    <w:p w:rsidR="00571807" w:rsidRDefault="001F37CA" w:rsidP="008D24FB">
      <w:pPr>
        <w:jc w:val="both"/>
        <w:rPr>
          <w:rFonts w:asciiTheme="minorHAnsi" w:hAnsiTheme="minorHAnsi"/>
          <w:color w:val="000000" w:themeColor="text1"/>
          <w:sz w:val="20"/>
          <w:szCs w:val="20"/>
        </w:rPr>
      </w:pPr>
      <w:r w:rsidRPr="00571807">
        <w:rPr>
          <w:rFonts w:asciiTheme="minorHAnsi" w:hAnsiTheme="minorHAnsi"/>
          <w:color w:val="000000" w:themeColor="text1"/>
          <w:sz w:val="20"/>
          <w:szCs w:val="20"/>
        </w:rPr>
        <w:t>Nei pazienti deceduti di SARS e in modelli animali, l’esteso danno polmonare è stato associato ad elevate cariche virali iniziali, un aumento dell'accumulo di monociti / macrofagi infiammatori nei polmoni e livelli elevati di citochine proinfiammatorie sieriche (cioè IL-1, IL-6, IL -8, CXCL-10 e MCP1)</w:t>
      </w:r>
      <w:r w:rsidR="00B54415" w:rsidRPr="00571807">
        <w:rPr>
          <w:rFonts w:asciiTheme="minorHAnsi" w:hAnsiTheme="minorHAnsi"/>
          <w:color w:val="000000" w:themeColor="text1"/>
          <w:sz w:val="20"/>
          <w:szCs w:val="20"/>
        </w:rPr>
        <w:t xml:space="preserve">, </w:t>
      </w:r>
      <w:r w:rsidRPr="00571807">
        <w:rPr>
          <w:rFonts w:asciiTheme="minorHAnsi" w:hAnsiTheme="minorHAnsi"/>
          <w:color w:val="000000" w:themeColor="text1"/>
          <w:sz w:val="20"/>
          <w:szCs w:val="20"/>
        </w:rPr>
        <w:t xml:space="preserve">situazione che come già visto è stata riscontrata anche nei casi gravi di COVID-19. </w:t>
      </w:r>
    </w:p>
    <w:p w:rsidR="00571807" w:rsidRDefault="00571807" w:rsidP="008D24FB">
      <w:pPr>
        <w:jc w:val="both"/>
        <w:rPr>
          <w:rFonts w:asciiTheme="minorHAnsi" w:hAnsiTheme="minorHAnsi"/>
          <w:color w:val="000000" w:themeColor="text1"/>
          <w:sz w:val="20"/>
          <w:szCs w:val="20"/>
        </w:rPr>
      </w:pPr>
    </w:p>
    <w:p w:rsidR="00571807" w:rsidRPr="00571807" w:rsidRDefault="00E8694C" w:rsidP="00144EDD">
      <w:pPr>
        <w:shd w:val="clear" w:color="auto" w:fill="FBF9E1"/>
        <w:jc w:val="both"/>
        <w:rPr>
          <w:rFonts w:asciiTheme="minorHAnsi" w:hAnsiTheme="minorHAnsi"/>
          <w:b/>
          <w:bCs/>
          <w:color w:val="000000" w:themeColor="text1"/>
          <w:sz w:val="20"/>
          <w:szCs w:val="20"/>
        </w:rPr>
      </w:pPr>
      <w:r w:rsidRPr="00571807">
        <w:rPr>
          <w:rFonts w:asciiTheme="minorHAnsi" w:hAnsiTheme="minorHAnsi"/>
          <w:b/>
          <w:bCs/>
          <w:color w:val="000000" w:themeColor="text1"/>
          <w:sz w:val="20"/>
          <w:szCs w:val="20"/>
        </w:rPr>
        <w:t xml:space="preserve">Lo sviluppo della malattia respiratoria acuta coincide con la sieroconversione IgG antivirale nell'80% dei pazienti. </w:t>
      </w:r>
    </w:p>
    <w:p w:rsidR="00571807" w:rsidRDefault="00E8694C" w:rsidP="008D24FB">
      <w:pPr>
        <w:jc w:val="both"/>
        <w:rPr>
          <w:rFonts w:asciiTheme="minorHAnsi" w:hAnsiTheme="minorHAnsi"/>
          <w:color w:val="000000" w:themeColor="text1"/>
          <w:sz w:val="20"/>
          <w:szCs w:val="20"/>
        </w:rPr>
      </w:pPr>
      <w:r w:rsidRPr="00571807">
        <w:rPr>
          <w:rFonts w:asciiTheme="minorHAnsi" w:hAnsiTheme="minorHAnsi"/>
          <w:color w:val="000000" w:themeColor="text1"/>
          <w:sz w:val="20"/>
          <w:szCs w:val="20"/>
        </w:rPr>
        <w:t xml:space="preserve">Inoltre, è stato riscontrato che i pazienti che hanno sviluppato più rapidamente l'anticorpo anti-S neutralizzante avevano maggiori probabilità di morire per la malattia; ci sono voluti in media solo 14,7 giorni per i pazienti deceduti per raggiungere i loro livelli di picco di attività </w:t>
      </w:r>
      <w:r w:rsidR="007C1332" w:rsidRPr="00571807">
        <w:rPr>
          <w:rFonts w:asciiTheme="minorHAnsi" w:hAnsiTheme="minorHAnsi"/>
          <w:color w:val="000000" w:themeColor="text1"/>
          <w:sz w:val="20"/>
          <w:szCs w:val="20"/>
        </w:rPr>
        <w:t xml:space="preserve">degli </w:t>
      </w:r>
      <w:r w:rsidRPr="00571807">
        <w:rPr>
          <w:rFonts w:asciiTheme="minorHAnsi" w:hAnsiTheme="minorHAnsi"/>
          <w:color w:val="000000" w:themeColor="text1"/>
          <w:sz w:val="20"/>
          <w:szCs w:val="20"/>
        </w:rPr>
        <w:t>anticorp</w:t>
      </w:r>
      <w:r w:rsidR="007C1332" w:rsidRPr="00571807">
        <w:rPr>
          <w:rFonts w:asciiTheme="minorHAnsi" w:hAnsiTheme="minorHAnsi"/>
          <w:color w:val="000000" w:themeColor="text1"/>
          <w:sz w:val="20"/>
          <w:szCs w:val="20"/>
        </w:rPr>
        <w:t xml:space="preserve">i </w:t>
      </w:r>
      <w:r w:rsidRPr="00571807">
        <w:rPr>
          <w:rFonts w:asciiTheme="minorHAnsi" w:hAnsiTheme="minorHAnsi"/>
          <w:color w:val="000000" w:themeColor="text1"/>
          <w:sz w:val="20"/>
          <w:szCs w:val="20"/>
        </w:rPr>
        <w:t xml:space="preserve">neutralizzanti, rispetto a 20 giorni per i pazienti guariti. </w:t>
      </w:r>
    </w:p>
    <w:p w:rsidR="00571807" w:rsidRDefault="001F37CA" w:rsidP="008D24FB">
      <w:pPr>
        <w:jc w:val="both"/>
        <w:rPr>
          <w:rFonts w:asciiTheme="minorHAnsi" w:hAnsiTheme="minorHAnsi"/>
          <w:color w:val="000000" w:themeColor="text1"/>
          <w:sz w:val="20"/>
          <w:szCs w:val="20"/>
        </w:rPr>
      </w:pPr>
      <w:r w:rsidRPr="00571807">
        <w:rPr>
          <w:rFonts w:asciiTheme="minorHAnsi" w:hAnsiTheme="minorHAnsi"/>
          <w:color w:val="000000" w:themeColor="text1"/>
          <w:sz w:val="20"/>
          <w:szCs w:val="20"/>
        </w:rPr>
        <w:t xml:space="preserve">Inoltre, </w:t>
      </w:r>
      <w:r w:rsidRPr="00571807">
        <w:rPr>
          <w:rFonts w:asciiTheme="minorHAnsi" w:hAnsiTheme="minorHAnsi"/>
          <w:b/>
          <w:bCs/>
          <w:color w:val="000000" w:themeColor="text1"/>
          <w:sz w:val="20"/>
          <w:szCs w:val="20"/>
        </w:rPr>
        <w:t>sono stati rilevati livelli significativamente più alti di anticorpi anti-Spike nei sieri dei pazienti deceduti</w:t>
      </w:r>
      <w:r w:rsidRPr="00571807">
        <w:rPr>
          <w:rFonts w:asciiTheme="minorHAnsi" w:hAnsiTheme="minorHAnsi"/>
          <w:color w:val="000000" w:themeColor="text1"/>
          <w:sz w:val="20"/>
          <w:szCs w:val="20"/>
        </w:rPr>
        <w:t xml:space="preserve"> (n = 6) durante l'infezione rispetto ai sieri dei pazienti guariti (n = 8). </w:t>
      </w:r>
    </w:p>
    <w:p w:rsidR="00571807" w:rsidRDefault="00571807" w:rsidP="008D24FB">
      <w:pPr>
        <w:jc w:val="both"/>
        <w:rPr>
          <w:rFonts w:asciiTheme="minorHAnsi" w:hAnsiTheme="minorHAnsi"/>
          <w:color w:val="000000" w:themeColor="text1"/>
          <w:sz w:val="20"/>
          <w:szCs w:val="20"/>
        </w:rPr>
      </w:pPr>
    </w:p>
    <w:p w:rsidR="001F37CA" w:rsidRDefault="001F37CA" w:rsidP="00144EDD">
      <w:pPr>
        <w:shd w:val="clear" w:color="auto" w:fill="FBF9E1"/>
        <w:jc w:val="both"/>
        <w:rPr>
          <w:rFonts w:asciiTheme="minorHAnsi" w:hAnsiTheme="minorHAnsi"/>
          <w:i/>
          <w:iCs/>
          <w:color w:val="000000" w:themeColor="text1"/>
          <w:sz w:val="20"/>
          <w:szCs w:val="20"/>
        </w:rPr>
      </w:pPr>
      <w:r w:rsidRPr="00144EDD">
        <w:rPr>
          <w:rFonts w:asciiTheme="minorHAnsi" w:hAnsiTheme="minorHAnsi"/>
          <w:i/>
          <w:iCs/>
          <w:color w:val="000000" w:themeColor="text1"/>
          <w:sz w:val="20"/>
          <w:szCs w:val="20"/>
        </w:rPr>
        <w:t xml:space="preserve">Considerando questi risultati </w:t>
      </w:r>
      <w:r w:rsidRPr="00144EDD">
        <w:rPr>
          <w:rFonts w:asciiTheme="minorHAnsi" w:hAnsiTheme="minorHAnsi"/>
          <w:b/>
          <w:bCs/>
          <w:i/>
          <w:iCs/>
          <w:color w:val="000000" w:themeColor="text1"/>
          <w:sz w:val="20"/>
          <w:szCs w:val="20"/>
        </w:rPr>
        <w:t>è plausibile che le IgG anti-Spike abbiano promosso la produzione di citochine proinfiammatorie, portando al</w:t>
      </w:r>
      <w:r w:rsidR="00B54415" w:rsidRPr="00144EDD">
        <w:rPr>
          <w:rFonts w:asciiTheme="minorHAnsi" w:hAnsiTheme="minorHAnsi"/>
          <w:b/>
          <w:bCs/>
          <w:i/>
          <w:iCs/>
          <w:color w:val="000000" w:themeColor="text1"/>
          <w:sz w:val="20"/>
          <w:szCs w:val="20"/>
        </w:rPr>
        <w:t>la</w:t>
      </w:r>
      <w:r w:rsidRPr="00144EDD">
        <w:rPr>
          <w:rFonts w:asciiTheme="minorHAnsi" w:hAnsiTheme="minorHAnsi"/>
          <w:b/>
          <w:bCs/>
          <w:i/>
          <w:iCs/>
          <w:color w:val="000000" w:themeColor="text1"/>
          <w:sz w:val="20"/>
          <w:szCs w:val="20"/>
        </w:rPr>
        <w:t xml:space="preserve"> </w:t>
      </w:r>
      <w:r w:rsidR="00B54415" w:rsidRPr="00144EDD">
        <w:rPr>
          <w:rFonts w:asciiTheme="minorHAnsi" w:hAnsiTheme="minorHAnsi"/>
          <w:b/>
          <w:bCs/>
          <w:i/>
          <w:iCs/>
          <w:color w:val="000000" w:themeColor="text1"/>
          <w:sz w:val="20"/>
          <w:szCs w:val="20"/>
        </w:rPr>
        <w:t xml:space="preserve">sindrome da tempesta di citochine </w:t>
      </w:r>
      <w:r w:rsidRPr="00144EDD">
        <w:rPr>
          <w:rFonts w:asciiTheme="minorHAnsi" w:hAnsiTheme="minorHAnsi"/>
          <w:b/>
          <w:bCs/>
          <w:i/>
          <w:iCs/>
          <w:color w:val="000000" w:themeColor="text1"/>
          <w:sz w:val="20"/>
          <w:szCs w:val="20"/>
        </w:rPr>
        <w:t xml:space="preserve">attraverso </w:t>
      </w:r>
      <w:r w:rsidR="007C1332" w:rsidRPr="00144EDD">
        <w:rPr>
          <w:rFonts w:asciiTheme="minorHAnsi" w:hAnsiTheme="minorHAnsi"/>
          <w:b/>
          <w:bCs/>
          <w:i/>
          <w:iCs/>
          <w:color w:val="000000" w:themeColor="text1"/>
          <w:sz w:val="20"/>
          <w:szCs w:val="20"/>
        </w:rPr>
        <w:t xml:space="preserve">i recettori </w:t>
      </w:r>
      <w:r w:rsidRPr="00144EDD">
        <w:rPr>
          <w:rFonts w:asciiTheme="minorHAnsi" w:hAnsiTheme="minorHAnsi"/>
          <w:b/>
          <w:bCs/>
          <w:i/>
          <w:iCs/>
          <w:color w:val="000000" w:themeColor="text1"/>
          <w:sz w:val="20"/>
          <w:szCs w:val="20"/>
        </w:rPr>
        <w:t>FcγRI e / o FcγRIIA</w:t>
      </w:r>
      <w:r w:rsidRPr="00144EDD">
        <w:rPr>
          <w:rFonts w:asciiTheme="minorHAnsi" w:hAnsiTheme="minorHAnsi"/>
          <w:i/>
          <w:iCs/>
          <w:color w:val="000000" w:themeColor="text1"/>
          <w:sz w:val="20"/>
          <w:szCs w:val="20"/>
        </w:rPr>
        <w:t>.</w:t>
      </w:r>
      <w:r w:rsidR="00B54415" w:rsidRPr="00144EDD">
        <w:rPr>
          <w:rFonts w:asciiTheme="minorHAnsi" w:hAnsiTheme="minorHAnsi"/>
          <w:i/>
          <w:iCs/>
          <w:color w:val="000000" w:themeColor="text1"/>
          <w:sz w:val="20"/>
          <w:szCs w:val="20"/>
        </w:rPr>
        <w:t xml:space="preserve"> </w:t>
      </w:r>
      <w:r w:rsidR="00B54415" w:rsidRPr="00144EDD">
        <w:rPr>
          <w:rStyle w:val="FootnoteReference"/>
          <w:rFonts w:asciiTheme="minorHAnsi" w:hAnsiTheme="minorHAnsi"/>
          <w:i/>
          <w:iCs/>
          <w:color w:val="000000" w:themeColor="text1"/>
          <w:sz w:val="20"/>
          <w:szCs w:val="20"/>
        </w:rPr>
        <w:footnoteReference w:id="88"/>
      </w:r>
    </w:p>
    <w:p w:rsidR="002B455A" w:rsidRPr="00571807" w:rsidRDefault="002B455A" w:rsidP="008D24FB">
      <w:pPr>
        <w:jc w:val="both"/>
        <w:rPr>
          <w:rFonts w:asciiTheme="minorHAnsi" w:hAnsiTheme="minorHAnsi"/>
          <w:color w:val="000000" w:themeColor="text1"/>
          <w:sz w:val="20"/>
          <w:szCs w:val="20"/>
        </w:rPr>
      </w:pPr>
    </w:p>
    <w:p w:rsidR="007C1332" w:rsidRPr="003843FE" w:rsidRDefault="007C1332" w:rsidP="00B45530">
      <w:pPr>
        <w:jc w:val="center"/>
        <w:rPr>
          <w:rFonts w:asciiTheme="minorHAnsi" w:hAnsiTheme="minorHAnsi"/>
          <w:color w:val="000000" w:themeColor="text1"/>
        </w:rPr>
      </w:pPr>
      <w:r w:rsidRPr="003843FE">
        <w:rPr>
          <w:rFonts w:asciiTheme="minorHAnsi" w:hAnsiTheme="minorHAnsi"/>
          <w:color w:val="000000" w:themeColor="text1"/>
        </w:rPr>
        <w:fldChar w:fldCharType="begin"/>
      </w:r>
      <w:r w:rsidRPr="003843FE">
        <w:rPr>
          <w:rFonts w:asciiTheme="minorHAnsi" w:hAnsiTheme="minorHAnsi"/>
          <w:color w:val="000000" w:themeColor="text1"/>
        </w:rPr>
        <w:instrText xml:space="preserve"> INCLUDEPICTURE "https://media.springernature.com/lw685/springer-static/image/art%3A10.1007%2Fs12250-020-00207-4/MediaObjects/12250_2020_207_Fig1_HTML.png" \* MERGEFORMATINET </w:instrText>
      </w:r>
      <w:r w:rsidRPr="003843FE">
        <w:rPr>
          <w:rFonts w:asciiTheme="minorHAnsi" w:hAnsiTheme="minorHAnsi"/>
          <w:color w:val="000000" w:themeColor="text1"/>
        </w:rPr>
        <w:fldChar w:fldCharType="separate"/>
      </w:r>
      <w:r w:rsidRPr="003843FE">
        <w:rPr>
          <w:rFonts w:asciiTheme="minorHAnsi" w:hAnsiTheme="minorHAnsi"/>
          <w:noProof/>
          <w:color w:val="000000" w:themeColor="text1"/>
        </w:rPr>
        <w:drawing>
          <wp:inline distT="0" distB="0" distL="0" distR="0">
            <wp:extent cx="4256116" cy="2531930"/>
            <wp:effectExtent l="0" t="0" r="0" b="0"/>
            <wp:docPr id="33" name="Immagine 3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03268" cy="2559980"/>
                    </a:xfrm>
                    <a:prstGeom prst="rect">
                      <a:avLst/>
                    </a:prstGeom>
                    <a:noFill/>
                    <a:ln>
                      <a:noFill/>
                    </a:ln>
                  </pic:spPr>
                </pic:pic>
              </a:graphicData>
            </a:graphic>
          </wp:inline>
        </w:drawing>
      </w:r>
      <w:r w:rsidRPr="003843FE">
        <w:rPr>
          <w:rFonts w:asciiTheme="minorHAnsi" w:hAnsiTheme="minorHAnsi"/>
          <w:color w:val="000000" w:themeColor="text1"/>
        </w:rPr>
        <w:fldChar w:fldCharType="end"/>
      </w:r>
    </w:p>
    <w:p w:rsidR="007C1332" w:rsidRPr="003843FE" w:rsidRDefault="007C1332" w:rsidP="007C1332">
      <w:pPr>
        <w:rPr>
          <w:rFonts w:asciiTheme="minorHAnsi" w:hAnsiTheme="minorHAnsi"/>
          <w:color w:val="000000" w:themeColor="text1"/>
        </w:rPr>
      </w:pPr>
    </w:p>
    <w:p w:rsidR="007C1332" w:rsidRPr="00666EA7" w:rsidRDefault="007C1332" w:rsidP="007E0EB3">
      <w:pPr>
        <w:jc w:val="both"/>
        <w:rPr>
          <w:rFonts w:asciiTheme="minorHAnsi" w:hAnsiTheme="minorHAnsi" w:cstheme="minorHAnsi"/>
          <w:color w:val="000000" w:themeColor="text1"/>
          <w:sz w:val="16"/>
          <w:szCs w:val="16"/>
        </w:rPr>
      </w:pPr>
      <w:r w:rsidRPr="00666EA7">
        <w:rPr>
          <w:rFonts w:asciiTheme="minorHAnsi" w:hAnsiTheme="minorHAnsi" w:cstheme="minorHAnsi"/>
          <w:color w:val="000000" w:themeColor="text1"/>
          <w:sz w:val="16"/>
          <w:szCs w:val="16"/>
        </w:rPr>
        <w:t xml:space="preserve">Tratta da </w:t>
      </w:r>
      <w:hyperlink r:id="rId110" w:history="1">
        <w:r w:rsidRPr="00666EA7">
          <w:rPr>
            <w:rStyle w:val="Hyperlink"/>
            <w:rFonts w:asciiTheme="minorHAnsi" w:hAnsiTheme="minorHAnsi" w:cstheme="minorHAnsi"/>
            <w:color w:val="000000" w:themeColor="text1"/>
            <w:sz w:val="16"/>
            <w:szCs w:val="16"/>
            <w:u w:val="none"/>
          </w:rPr>
          <w:t>https://link.springer.com/article/10.1007/s12250-020-00207-4</w:t>
        </w:r>
      </w:hyperlink>
    </w:p>
    <w:p w:rsidR="00D47B97" w:rsidRPr="003843FE" w:rsidRDefault="007C1332" w:rsidP="007E0EB3">
      <w:pPr>
        <w:jc w:val="both"/>
        <w:rPr>
          <w:rFonts w:asciiTheme="minorHAnsi" w:hAnsiTheme="minorHAnsi" w:cstheme="minorHAnsi"/>
          <w:color w:val="000000" w:themeColor="text1"/>
          <w:sz w:val="16"/>
          <w:szCs w:val="16"/>
          <w:shd w:val="clear" w:color="auto" w:fill="FCFCFC"/>
        </w:rPr>
      </w:pPr>
      <w:r w:rsidRPr="003843FE">
        <w:rPr>
          <w:rFonts w:asciiTheme="minorHAnsi" w:hAnsiTheme="minorHAnsi" w:cstheme="minorHAnsi"/>
          <w:b/>
          <w:color w:val="000000" w:themeColor="text1"/>
          <w:sz w:val="16"/>
          <w:szCs w:val="16"/>
        </w:rPr>
        <w:t>Possibili meccanismi di risposta infiammatoria mediata da SARS-CoV-2</w:t>
      </w:r>
      <w:r w:rsidRPr="003843FE">
        <w:rPr>
          <w:rFonts w:asciiTheme="minorHAnsi" w:hAnsiTheme="minorHAnsi" w:cstheme="minorHAnsi"/>
          <w:color w:val="000000" w:themeColor="text1"/>
          <w:sz w:val="16"/>
          <w:szCs w:val="16"/>
        </w:rPr>
        <w:t xml:space="preserve">. Sulla base di studi precedenti sul SARS-CoV, separiamo le risposte infiammatorie nell'infezione di SARS-CoV-2 in risposte primarie e secondarie. Le risposte infiammatorie primarie si verificano presto dopo l'infezione virale, prima della comparsa di anticorpi neutralizzanti (NAb). Queste risposte sono principalmente guidate dalla replicazione virale attiva, dalla sottoregolazione dell’ACE2 e la dispersione mediati dal virus e dalle risposte anti-virali dell'ospite. Le risposte infiammatorie secondarie iniziano con la generazione dell’immunità adattativa e </w:t>
      </w:r>
      <w:r w:rsidR="00B45530" w:rsidRPr="003843FE">
        <w:rPr>
          <w:rFonts w:asciiTheme="minorHAnsi" w:hAnsiTheme="minorHAnsi" w:cstheme="minorHAnsi"/>
          <w:color w:val="000000" w:themeColor="text1"/>
          <w:sz w:val="16"/>
          <w:szCs w:val="16"/>
        </w:rPr>
        <w:t xml:space="preserve">di </w:t>
      </w:r>
      <w:r w:rsidRPr="003843FE">
        <w:rPr>
          <w:rFonts w:asciiTheme="minorHAnsi" w:hAnsiTheme="minorHAnsi" w:cstheme="minorHAnsi"/>
          <w:color w:val="000000" w:themeColor="text1"/>
          <w:sz w:val="16"/>
          <w:szCs w:val="16"/>
        </w:rPr>
        <w:t>NAb. Il complesso virus-NAb può anche innescare risposte infiammatorie mediate da FcR e lesioni polmonari acute</w:t>
      </w:r>
      <w:r w:rsidR="00B45530" w:rsidRPr="003843FE">
        <w:rPr>
          <w:rFonts w:asciiTheme="minorHAnsi" w:hAnsiTheme="minorHAnsi" w:cstheme="minorHAnsi"/>
          <w:color w:val="000000" w:themeColor="text1"/>
          <w:sz w:val="16"/>
          <w:szCs w:val="16"/>
        </w:rPr>
        <w:t xml:space="preserve"> (ADE). </w:t>
      </w:r>
      <w:r w:rsidR="00B45530" w:rsidRPr="003843FE">
        <w:rPr>
          <w:rFonts w:asciiTheme="minorHAnsi" w:hAnsiTheme="minorHAnsi" w:cstheme="minorHAnsi"/>
          <w:color w:val="000000" w:themeColor="text1"/>
          <w:sz w:val="16"/>
          <w:szCs w:val="16"/>
          <w:shd w:val="clear" w:color="auto" w:fill="FCFCFC"/>
        </w:rPr>
        <w:t xml:space="preserve">ADCC: antibody-dependent cell-mediated cytotoxicity </w:t>
      </w:r>
    </w:p>
    <w:p w:rsidR="007E0EB3" w:rsidRDefault="007E0EB3" w:rsidP="007E0EB3">
      <w:pPr>
        <w:jc w:val="both"/>
        <w:rPr>
          <w:rFonts w:asciiTheme="minorHAnsi" w:hAnsiTheme="minorHAnsi"/>
          <w:color w:val="000000" w:themeColor="text1"/>
          <w:sz w:val="16"/>
          <w:szCs w:val="16"/>
        </w:rPr>
      </w:pPr>
    </w:p>
    <w:p w:rsidR="00144EDD" w:rsidRDefault="00144EDD" w:rsidP="007E0EB3">
      <w:pPr>
        <w:jc w:val="both"/>
        <w:rPr>
          <w:rFonts w:asciiTheme="minorHAnsi" w:hAnsiTheme="minorHAnsi"/>
          <w:color w:val="000000" w:themeColor="text1"/>
          <w:sz w:val="16"/>
          <w:szCs w:val="16"/>
        </w:rPr>
      </w:pPr>
    </w:p>
    <w:p w:rsidR="00144EDD" w:rsidRDefault="00144EDD" w:rsidP="007E0EB3">
      <w:pPr>
        <w:jc w:val="both"/>
        <w:rPr>
          <w:rFonts w:asciiTheme="minorHAnsi" w:hAnsiTheme="minorHAnsi"/>
          <w:color w:val="000000" w:themeColor="text1"/>
          <w:sz w:val="16"/>
          <w:szCs w:val="16"/>
        </w:rPr>
      </w:pPr>
    </w:p>
    <w:p w:rsidR="00144EDD" w:rsidRDefault="0052743C" w:rsidP="007E0EB3">
      <w:pPr>
        <w:jc w:val="both"/>
        <w:rPr>
          <w:rFonts w:asciiTheme="minorHAnsi" w:hAnsiTheme="minorHAnsi"/>
          <w:color w:val="000000" w:themeColor="text1"/>
          <w:sz w:val="16"/>
          <w:szCs w:val="16"/>
        </w:rPr>
      </w:pPr>
      <w:r w:rsidRPr="0052743C">
        <w:rPr>
          <w:rFonts w:asciiTheme="minorHAnsi" w:hAnsiTheme="minorHAnsi"/>
          <w:noProof/>
          <w:color w:val="000000" w:themeColor="text1"/>
          <w:sz w:val="16"/>
          <w:szCs w:val="16"/>
        </w:rPr>
        <w:pict>
          <v:rect id="_x0000_i1026" alt="" style="width:451.3pt;height:.05pt;mso-width-percent:0;mso-height-percent:0;mso-width-percent:0;mso-height-percent:0" o:hralign="center" o:hrstd="t" o:hr="t" fillcolor="#a0a0a0" stroked="f"/>
        </w:pict>
      </w:r>
    </w:p>
    <w:p w:rsidR="00144EDD" w:rsidRDefault="00144EDD" w:rsidP="007E0EB3">
      <w:pPr>
        <w:jc w:val="both"/>
        <w:rPr>
          <w:rFonts w:asciiTheme="minorHAnsi" w:hAnsiTheme="minorHAnsi"/>
          <w:color w:val="000000" w:themeColor="text1"/>
          <w:sz w:val="16"/>
          <w:szCs w:val="16"/>
        </w:rPr>
      </w:pPr>
    </w:p>
    <w:p w:rsidR="00144EDD" w:rsidRDefault="00144EDD" w:rsidP="007E0EB3">
      <w:pPr>
        <w:jc w:val="both"/>
        <w:rPr>
          <w:rFonts w:asciiTheme="minorHAnsi" w:hAnsiTheme="minorHAnsi"/>
          <w:color w:val="000000" w:themeColor="text1"/>
          <w:sz w:val="16"/>
          <w:szCs w:val="16"/>
        </w:rPr>
      </w:pPr>
    </w:p>
    <w:p w:rsidR="00144EDD" w:rsidRDefault="00144EDD" w:rsidP="007E0EB3">
      <w:pPr>
        <w:jc w:val="both"/>
        <w:rPr>
          <w:rFonts w:asciiTheme="minorHAnsi" w:hAnsiTheme="minorHAnsi"/>
          <w:color w:val="000000" w:themeColor="text1"/>
          <w:sz w:val="16"/>
          <w:szCs w:val="16"/>
        </w:rPr>
      </w:pPr>
    </w:p>
    <w:p w:rsidR="00A833D2" w:rsidRDefault="00A833D2" w:rsidP="00666EA7">
      <w:pPr>
        <w:pStyle w:val="Heading3"/>
        <w:spacing w:before="0" w:beforeAutospacing="0" w:after="0" w:afterAutospacing="0"/>
        <w:jc w:val="center"/>
        <w:rPr>
          <w:rFonts w:asciiTheme="minorHAnsi" w:hAnsiTheme="minorHAnsi"/>
          <w:color w:val="000000" w:themeColor="text1"/>
          <w:sz w:val="22"/>
          <w:szCs w:val="22"/>
        </w:rPr>
      </w:pPr>
      <w:bookmarkStart w:id="60" w:name="_Toc43342392"/>
    </w:p>
    <w:p w:rsidR="00A833D2" w:rsidRDefault="00A833D2" w:rsidP="00666EA7">
      <w:pPr>
        <w:pStyle w:val="Heading3"/>
        <w:spacing w:before="0" w:beforeAutospacing="0" w:after="0" w:afterAutospacing="0"/>
        <w:jc w:val="center"/>
        <w:rPr>
          <w:rFonts w:asciiTheme="minorHAnsi" w:hAnsiTheme="minorHAnsi"/>
          <w:color w:val="000000" w:themeColor="text1"/>
          <w:sz w:val="22"/>
          <w:szCs w:val="22"/>
        </w:rPr>
      </w:pPr>
    </w:p>
    <w:p w:rsidR="00322F67" w:rsidRDefault="00144EDD" w:rsidP="00666EA7">
      <w:pPr>
        <w:pStyle w:val="Heading3"/>
        <w:spacing w:before="0" w:beforeAutospacing="0" w:after="0" w:afterAutospacing="0"/>
        <w:jc w:val="center"/>
        <w:rPr>
          <w:rFonts w:asciiTheme="minorHAnsi" w:hAnsiTheme="minorHAnsi"/>
          <w:color w:val="000000" w:themeColor="text1"/>
          <w:sz w:val="22"/>
          <w:szCs w:val="22"/>
        </w:rPr>
      </w:pPr>
      <w:r w:rsidRPr="003843FE">
        <w:rPr>
          <w:rFonts w:asciiTheme="minorHAnsi" w:hAnsiTheme="minorHAnsi"/>
          <w:color w:val="000000" w:themeColor="text1"/>
          <w:sz w:val="22"/>
          <w:szCs w:val="22"/>
        </w:rPr>
        <w:t xml:space="preserve">L’IMMUNOPATOLOGIA DEI VACCINI ANTI-SARS E L’ADE DA SARS-COV-2 </w:t>
      </w:r>
      <w:r w:rsidR="00AA4519" w:rsidRPr="003843FE">
        <w:rPr>
          <w:rStyle w:val="FootnoteReference"/>
          <w:rFonts w:asciiTheme="minorHAnsi" w:hAnsiTheme="minorHAnsi"/>
          <w:color w:val="000000" w:themeColor="text1"/>
          <w:sz w:val="22"/>
          <w:szCs w:val="22"/>
        </w:rPr>
        <w:footnoteReference w:id="89"/>
      </w:r>
      <w:bookmarkEnd w:id="60"/>
    </w:p>
    <w:p w:rsidR="002911D4" w:rsidRPr="003843FE" w:rsidRDefault="002911D4" w:rsidP="00666EA7">
      <w:pPr>
        <w:pStyle w:val="Heading3"/>
        <w:spacing w:before="0" w:beforeAutospacing="0" w:after="0" w:afterAutospacing="0"/>
        <w:jc w:val="center"/>
        <w:rPr>
          <w:rFonts w:asciiTheme="minorHAnsi" w:hAnsiTheme="minorHAnsi"/>
          <w:color w:val="000000" w:themeColor="text1"/>
          <w:sz w:val="22"/>
          <w:szCs w:val="22"/>
        </w:rPr>
      </w:pPr>
    </w:p>
    <w:p w:rsidR="00322F67" w:rsidRDefault="00322F67" w:rsidP="00322F67">
      <w:pPr>
        <w:pStyle w:val="Heading3"/>
        <w:spacing w:before="0" w:beforeAutospacing="0" w:after="0" w:afterAutospacing="0"/>
        <w:rPr>
          <w:rFonts w:asciiTheme="minorHAnsi" w:hAnsiTheme="minorHAnsi"/>
          <w:color w:val="000000" w:themeColor="text1"/>
          <w:sz w:val="22"/>
          <w:szCs w:val="22"/>
        </w:rPr>
      </w:pPr>
    </w:p>
    <w:p w:rsidR="00A833D2" w:rsidRDefault="00A833D2" w:rsidP="00322F67">
      <w:pPr>
        <w:pStyle w:val="Heading3"/>
        <w:spacing w:before="0" w:beforeAutospacing="0" w:after="0" w:afterAutospacing="0"/>
        <w:rPr>
          <w:rFonts w:asciiTheme="minorHAnsi" w:hAnsiTheme="minorHAnsi"/>
          <w:color w:val="000000" w:themeColor="text1"/>
          <w:sz w:val="22"/>
          <w:szCs w:val="22"/>
        </w:rPr>
      </w:pPr>
    </w:p>
    <w:p w:rsidR="00A833D2" w:rsidRDefault="00A833D2" w:rsidP="00322F67">
      <w:pPr>
        <w:pStyle w:val="Heading3"/>
        <w:spacing w:before="0" w:beforeAutospacing="0" w:after="0" w:afterAutospacing="0"/>
        <w:rPr>
          <w:rFonts w:asciiTheme="minorHAnsi" w:hAnsiTheme="minorHAnsi"/>
          <w:color w:val="000000" w:themeColor="text1"/>
          <w:sz w:val="22"/>
          <w:szCs w:val="22"/>
        </w:rPr>
      </w:pPr>
    </w:p>
    <w:p w:rsidR="00322F67" w:rsidRDefault="00322F67" w:rsidP="002911D4">
      <w:pPr>
        <w:pStyle w:val="Heading4"/>
        <w:shd w:val="clear" w:color="auto" w:fill="E2EFD9" w:themeFill="accent6" w:themeFillTint="33"/>
        <w:jc w:val="center"/>
        <w:rPr>
          <w:rFonts w:asciiTheme="minorHAnsi" w:hAnsiTheme="minorHAnsi" w:cstheme="minorHAnsi"/>
          <w:b/>
          <w:bCs/>
          <w:i w:val="0"/>
          <w:iCs w:val="0"/>
          <w:color w:val="C00000"/>
        </w:rPr>
      </w:pPr>
      <w:r w:rsidRPr="00144EDD">
        <w:rPr>
          <w:rFonts w:asciiTheme="minorHAnsi" w:hAnsiTheme="minorHAnsi" w:cstheme="minorHAnsi"/>
          <w:b/>
          <w:bCs/>
          <w:i w:val="0"/>
          <w:iCs w:val="0"/>
          <w:color w:val="C00000"/>
        </w:rPr>
        <w:lastRenderedPageBreak/>
        <w:t>Immunopatologia da vaccino</w:t>
      </w:r>
    </w:p>
    <w:p w:rsidR="00A833D2" w:rsidRDefault="00A833D2" w:rsidP="00322F67">
      <w:pPr>
        <w:jc w:val="both"/>
        <w:rPr>
          <w:rFonts w:asciiTheme="minorHAnsi" w:hAnsiTheme="minorHAnsi"/>
          <w:color w:val="000000" w:themeColor="text1"/>
          <w:sz w:val="20"/>
          <w:szCs w:val="20"/>
        </w:rPr>
      </w:pPr>
    </w:p>
    <w:p w:rsidR="00666EA7" w:rsidRDefault="009B4AD5" w:rsidP="00322F67">
      <w:pPr>
        <w:jc w:val="both"/>
        <w:rPr>
          <w:rFonts w:asciiTheme="minorHAnsi" w:hAnsiTheme="minorHAnsi"/>
          <w:color w:val="000000" w:themeColor="text1"/>
          <w:sz w:val="20"/>
          <w:szCs w:val="20"/>
        </w:rPr>
      </w:pPr>
      <w:r w:rsidRPr="00666EA7">
        <w:rPr>
          <w:rFonts w:asciiTheme="minorHAnsi" w:hAnsiTheme="minorHAnsi"/>
          <w:color w:val="000000" w:themeColor="text1"/>
          <w:sz w:val="20"/>
          <w:szCs w:val="20"/>
        </w:rPr>
        <w:t xml:space="preserve">Durante i test dei primi vaccini SARS-CoV sperimentali, in seguito alla vaccinazione e al challenge test (reinfezione), alcuni animali sperimentali hanno sviluppato istopatologia polmonare o epatica caratterizzata da una significativa infiltrazione tissutale di linfociti, monociti ed eosinofili </w:t>
      </w:r>
      <w:r w:rsidRPr="00666EA7">
        <w:rPr>
          <w:rStyle w:val="FootnoteReference"/>
          <w:rFonts w:asciiTheme="minorHAnsi" w:hAnsiTheme="minorHAnsi"/>
          <w:color w:val="000000" w:themeColor="text1"/>
          <w:sz w:val="20"/>
          <w:szCs w:val="20"/>
        </w:rPr>
        <w:footnoteReference w:id="90"/>
      </w:r>
      <w:r w:rsidRPr="00666EA7">
        <w:rPr>
          <w:rFonts w:asciiTheme="minorHAnsi" w:hAnsiTheme="minorHAnsi"/>
          <w:color w:val="000000" w:themeColor="text1"/>
          <w:sz w:val="20"/>
          <w:szCs w:val="20"/>
        </w:rPr>
        <w:t xml:space="preserve">. </w:t>
      </w:r>
    </w:p>
    <w:p w:rsidR="00666EA7" w:rsidRDefault="00666EA7" w:rsidP="00322F67">
      <w:pPr>
        <w:jc w:val="both"/>
        <w:rPr>
          <w:rFonts w:asciiTheme="minorHAnsi" w:hAnsiTheme="minorHAnsi"/>
          <w:color w:val="000000" w:themeColor="text1"/>
          <w:sz w:val="20"/>
          <w:szCs w:val="20"/>
        </w:rPr>
      </w:pPr>
    </w:p>
    <w:p w:rsidR="00666EA7" w:rsidRDefault="00B371AE" w:rsidP="00322F67">
      <w:pPr>
        <w:jc w:val="both"/>
        <w:rPr>
          <w:rFonts w:asciiTheme="minorHAnsi" w:hAnsiTheme="minorHAnsi"/>
          <w:color w:val="000000" w:themeColor="text1"/>
          <w:sz w:val="20"/>
          <w:szCs w:val="20"/>
        </w:rPr>
      </w:pPr>
      <w:r w:rsidRPr="00666EA7">
        <w:rPr>
          <w:rFonts w:asciiTheme="minorHAnsi" w:hAnsiTheme="minorHAnsi"/>
          <w:color w:val="000000" w:themeColor="text1"/>
          <w:sz w:val="20"/>
          <w:szCs w:val="20"/>
        </w:rPr>
        <w:t xml:space="preserve">Un elemento chiave dell'immunopatologia eosinofila è la comparsa di </w:t>
      </w:r>
      <w:r w:rsidRPr="00666EA7">
        <w:rPr>
          <w:rFonts w:asciiTheme="minorHAnsi" w:hAnsiTheme="minorHAnsi"/>
          <w:b/>
          <w:bCs/>
          <w:color w:val="000000" w:themeColor="text1"/>
          <w:sz w:val="20"/>
          <w:szCs w:val="20"/>
        </w:rPr>
        <w:t>infiltrati infiammatori costituiti da cellule mononucleari, in particolare eosinofili,</w:t>
      </w:r>
      <w:r w:rsidRPr="00666EA7">
        <w:rPr>
          <w:rFonts w:asciiTheme="minorHAnsi" w:hAnsiTheme="minorHAnsi"/>
          <w:color w:val="000000" w:themeColor="text1"/>
          <w:sz w:val="20"/>
          <w:szCs w:val="20"/>
        </w:rPr>
        <w:t xml:space="preserve"> in sezioni istopatologiche dei polmoni o fegati di animali sperimentali vaccinati, a seguito del challenge test con virus infettivi. </w:t>
      </w:r>
    </w:p>
    <w:p w:rsidR="00666EA7" w:rsidRDefault="00666EA7" w:rsidP="00322F67">
      <w:pPr>
        <w:jc w:val="both"/>
        <w:rPr>
          <w:rFonts w:asciiTheme="minorHAnsi" w:hAnsiTheme="minorHAnsi"/>
          <w:color w:val="000000" w:themeColor="text1"/>
          <w:sz w:val="20"/>
          <w:szCs w:val="20"/>
        </w:rPr>
      </w:pPr>
    </w:p>
    <w:p w:rsidR="00666EA7" w:rsidRDefault="00B371AE" w:rsidP="00322F67">
      <w:pPr>
        <w:jc w:val="both"/>
        <w:rPr>
          <w:rFonts w:asciiTheme="minorHAnsi" w:hAnsiTheme="minorHAnsi"/>
          <w:color w:val="000000" w:themeColor="text1"/>
          <w:sz w:val="20"/>
          <w:szCs w:val="20"/>
        </w:rPr>
      </w:pPr>
      <w:r w:rsidRPr="00666EA7">
        <w:rPr>
          <w:rFonts w:asciiTheme="minorHAnsi" w:hAnsiTheme="minorHAnsi"/>
          <w:color w:val="000000" w:themeColor="text1"/>
          <w:sz w:val="20"/>
          <w:szCs w:val="20"/>
        </w:rPr>
        <w:t xml:space="preserve">L'importanza degli eosinofili polmonari ha portato alcuni ricercatori a concludere che il potenziamento immunitario </w:t>
      </w:r>
      <w:r w:rsidR="004B75FD" w:rsidRPr="00666EA7">
        <w:rPr>
          <w:rFonts w:asciiTheme="minorHAnsi" w:hAnsiTheme="minorHAnsi"/>
          <w:color w:val="000000" w:themeColor="text1"/>
          <w:sz w:val="20"/>
          <w:szCs w:val="20"/>
        </w:rPr>
        <w:t xml:space="preserve">(ADE) </w:t>
      </w:r>
      <w:r w:rsidRPr="00666EA7">
        <w:rPr>
          <w:rFonts w:asciiTheme="minorHAnsi" w:hAnsiTheme="minorHAnsi"/>
          <w:color w:val="000000" w:themeColor="text1"/>
          <w:sz w:val="20"/>
          <w:szCs w:val="20"/>
        </w:rPr>
        <w:t xml:space="preserve">si verifica attraverso l'immunità di tipo Th2 </w:t>
      </w:r>
      <w:r w:rsidR="00B5341A" w:rsidRPr="00666EA7">
        <w:rPr>
          <w:rFonts w:asciiTheme="minorHAnsi" w:hAnsiTheme="minorHAnsi"/>
          <w:color w:val="000000" w:themeColor="text1"/>
          <w:sz w:val="20"/>
          <w:szCs w:val="20"/>
        </w:rPr>
        <w:t xml:space="preserve">suggerendo un’ipersensibilità ai componenti del vaccino </w:t>
      </w:r>
      <w:r w:rsidRPr="00666EA7">
        <w:rPr>
          <w:rStyle w:val="FootnoteReference"/>
          <w:rFonts w:asciiTheme="minorHAnsi" w:hAnsiTheme="minorHAnsi"/>
          <w:color w:val="000000" w:themeColor="text1"/>
          <w:sz w:val="20"/>
          <w:szCs w:val="20"/>
        </w:rPr>
        <w:footnoteReference w:id="91"/>
      </w:r>
      <w:r w:rsidRPr="00666EA7">
        <w:rPr>
          <w:rFonts w:asciiTheme="minorHAnsi" w:hAnsiTheme="minorHAnsi"/>
          <w:color w:val="000000" w:themeColor="text1"/>
          <w:sz w:val="20"/>
          <w:szCs w:val="20"/>
        </w:rPr>
        <w:t xml:space="preserve">. </w:t>
      </w:r>
    </w:p>
    <w:p w:rsidR="00B371AE" w:rsidRDefault="00B371AE" w:rsidP="00322F67">
      <w:pPr>
        <w:jc w:val="both"/>
        <w:rPr>
          <w:rFonts w:asciiTheme="minorHAnsi" w:hAnsiTheme="minorHAnsi"/>
          <w:color w:val="000000" w:themeColor="text1"/>
          <w:sz w:val="20"/>
          <w:szCs w:val="20"/>
        </w:rPr>
      </w:pPr>
      <w:r w:rsidRPr="00666EA7">
        <w:rPr>
          <w:rFonts w:asciiTheme="minorHAnsi" w:hAnsiTheme="minorHAnsi"/>
          <w:color w:val="000000" w:themeColor="text1"/>
          <w:sz w:val="20"/>
          <w:szCs w:val="20"/>
        </w:rPr>
        <w:t>In effetti, un documento intitolato "</w:t>
      </w:r>
      <w:r w:rsidRPr="00666EA7">
        <w:rPr>
          <w:rFonts w:asciiTheme="minorHAnsi" w:hAnsiTheme="minorHAnsi"/>
          <w:i/>
          <w:iCs/>
          <w:color w:val="000000" w:themeColor="text1"/>
          <w:sz w:val="20"/>
          <w:szCs w:val="20"/>
        </w:rPr>
        <w:t>Considerazioni di consenso sulla valutazione del rischio di potenziamento della malattia con i vaccini COVID-19: esito di una coalizione per la preparazione epidemica dall'alleanza CEPI</w:t>
      </w:r>
      <w:r w:rsidRPr="00666EA7">
        <w:rPr>
          <w:rFonts w:asciiTheme="minorHAnsi" w:hAnsiTheme="minorHAnsi"/>
          <w:color w:val="000000" w:themeColor="text1"/>
          <w:sz w:val="20"/>
          <w:szCs w:val="20"/>
        </w:rPr>
        <w:t xml:space="preserve">” </w:t>
      </w:r>
      <w:r w:rsidRPr="00666EA7">
        <w:rPr>
          <w:rStyle w:val="FootnoteReference"/>
          <w:rFonts w:asciiTheme="minorHAnsi" w:hAnsiTheme="minorHAnsi"/>
          <w:color w:val="000000" w:themeColor="text1"/>
          <w:sz w:val="20"/>
          <w:szCs w:val="20"/>
        </w:rPr>
        <w:footnoteReference w:id="92"/>
      </w:r>
      <w:r w:rsidRPr="00666EA7">
        <w:rPr>
          <w:rFonts w:asciiTheme="minorHAnsi" w:hAnsiTheme="minorHAnsi"/>
          <w:color w:val="000000" w:themeColor="text1"/>
          <w:sz w:val="20"/>
          <w:szCs w:val="20"/>
        </w:rPr>
        <w:t xml:space="preserve"> ha messo in dubbio l'uso di alluminio e altri adiuvanti che potrebbero promuovere le risposte Th2.</w:t>
      </w:r>
    </w:p>
    <w:p w:rsidR="00743535" w:rsidRPr="00666EA7" w:rsidRDefault="00743535" w:rsidP="00322F67">
      <w:pPr>
        <w:jc w:val="both"/>
        <w:rPr>
          <w:rFonts w:asciiTheme="minorHAnsi" w:hAnsiTheme="minorHAnsi"/>
          <w:color w:val="000000" w:themeColor="text1"/>
          <w:sz w:val="20"/>
          <w:szCs w:val="20"/>
        </w:rPr>
      </w:pPr>
    </w:p>
    <w:p w:rsidR="00743535" w:rsidRDefault="00B371AE" w:rsidP="00071767">
      <w:pPr>
        <w:jc w:val="both"/>
        <w:rPr>
          <w:rFonts w:asciiTheme="minorHAnsi" w:hAnsiTheme="minorHAnsi"/>
          <w:color w:val="000000" w:themeColor="text1"/>
          <w:sz w:val="20"/>
          <w:szCs w:val="20"/>
        </w:rPr>
      </w:pPr>
      <w:r w:rsidRPr="00666EA7">
        <w:rPr>
          <w:rFonts w:asciiTheme="minorHAnsi" w:hAnsiTheme="minorHAnsi"/>
          <w:color w:val="000000" w:themeColor="text1"/>
          <w:sz w:val="20"/>
          <w:szCs w:val="20"/>
        </w:rPr>
        <w:t xml:space="preserve">Tuttavia, parte della letteratura pubblicata </w:t>
      </w:r>
      <w:r w:rsidR="004B75FD" w:rsidRPr="00666EA7">
        <w:rPr>
          <w:rFonts w:asciiTheme="minorHAnsi" w:hAnsiTheme="minorHAnsi"/>
          <w:color w:val="000000" w:themeColor="text1"/>
          <w:sz w:val="20"/>
          <w:szCs w:val="20"/>
        </w:rPr>
        <w:t xml:space="preserve">mette in discussione </w:t>
      </w:r>
      <w:r w:rsidRPr="00666EA7">
        <w:rPr>
          <w:rFonts w:asciiTheme="minorHAnsi" w:hAnsiTheme="minorHAnsi"/>
          <w:color w:val="000000" w:themeColor="text1"/>
          <w:sz w:val="20"/>
          <w:szCs w:val="20"/>
        </w:rPr>
        <w:t>il ruolo primario delle cellule Th2 nel promuovere direttamente il potenziamento immunitario</w:t>
      </w:r>
      <w:r w:rsidR="00C06B26" w:rsidRPr="00666EA7">
        <w:rPr>
          <w:rFonts w:asciiTheme="minorHAnsi" w:hAnsiTheme="minorHAnsi"/>
          <w:color w:val="000000" w:themeColor="text1"/>
          <w:sz w:val="20"/>
          <w:szCs w:val="20"/>
        </w:rPr>
        <w:t xml:space="preserve">. </w:t>
      </w:r>
    </w:p>
    <w:p w:rsidR="00144EDD" w:rsidRDefault="00144EDD" w:rsidP="00071767">
      <w:pPr>
        <w:jc w:val="both"/>
        <w:rPr>
          <w:rFonts w:asciiTheme="minorHAnsi" w:hAnsiTheme="minorHAnsi"/>
          <w:color w:val="000000" w:themeColor="text1"/>
          <w:sz w:val="20"/>
          <w:szCs w:val="20"/>
        </w:rPr>
      </w:pPr>
    </w:p>
    <w:p w:rsidR="00144EDD" w:rsidRDefault="004B75FD" w:rsidP="00071767">
      <w:pPr>
        <w:jc w:val="both"/>
        <w:rPr>
          <w:rFonts w:asciiTheme="minorHAnsi" w:hAnsiTheme="minorHAnsi"/>
          <w:color w:val="000000" w:themeColor="text1"/>
          <w:sz w:val="20"/>
          <w:szCs w:val="20"/>
        </w:rPr>
      </w:pPr>
      <w:r w:rsidRPr="00666EA7">
        <w:rPr>
          <w:rFonts w:asciiTheme="minorHAnsi" w:hAnsiTheme="minorHAnsi"/>
          <w:color w:val="000000" w:themeColor="text1"/>
          <w:sz w:val="20"/>
          <w:szCs w:val="20"/>
        </w:rPr>
        <w:t xml:space="preserve">Si è visto infatti che </w:t>
      </w:r>
      <w:r w:rsidRPr="00743535">
        <w:rPr>
          <w:rFonts w:asciiTheme="minorHAnsi" w:hAnsiTheme="minorHAnsi"/>
          <w:b/>
          <w:bCs/>
          <w:color w:val="000000" w:themeColor="text1"/>
          <w:sz w:val="20"/>
          <w:szCs w:val="20"/>
        </w:rPr>
        <w:t xml:space="preserve">l’ADE si verifica principalmente in seguito all'uso di vaccini </w:t>
      </w:r>
      <w:r w:rsidR="0071004C" w:rsidRPr="00743535">
        <w:rPr>
          <w:rFonts w:asciiTheme="minorHAnsi" w:hAnsiTheme="minorHAnsi"/>
          <w:b/>
          <w:bCs/>
          <w:color w:val="000000" w:themeColor="text1"/>
          <w:sz w:val="20"/>
          <w:szCs w:val="20"/>
        </w:rPr>
        <w:t>con vettori virali</w:t>
      </w:r>
      <w:r w:rsidR="0071004C" w:rsidRPr="00666EA7">
        <w:rPr>
          <w:rFonts w:asciiTheme="minorHAnsi" w:hAnsiTheme="minorHAnsi"/>
          <w:color w:val="000000" w:themeColor="text1"/>
          <w:sz w:val="20"/>
          <w:szCs w:val="20"/>
        </w:rPr>
        <w:t xml:space="preserve"> </w:t>
      </w:r>
      <w:r w:rsidRPr="00666EA7">
        <w:rPr>
          <w:rFonts w:asciiTheme="minorHAnsi" w:hAnsiTheme="minorHAnsi"/>
          <w:color w:val="000000" w:themeColor="text1"/>
          <w:sz w:val="20"/>
          <w:szCs w:val="20"/>
        </w:rPr>
        <w:t xml:space="preserve">che esprimono </w:t>
      </w:r>
      <w:r w:rsidR="0071004C" w:rsidRPr="00666EA7">
        <w:rPr>
          <w:rFonts w:asciiTheme="minorHAnsi" w:hAnsiTheme="minorHAnsi"/>
          <w:color w:val="000000" w:themeColor="text1"/>
          <w:sz w:val="20"/>
          <w:szCs w:val="20"/>
        </w:rPr>
        <w:t xml:space="preserve">gli </w:t>
      </w:r>
      <w:r w:rsidRPr="00666EA7">
        <w:rPr>
          <w:rFonts w:asciiTheme="minorHAnsi" w:hAnsiTheme="minorHAnsi"/>
          <w:color w:val="000000" w:themeColor="text1"/>
          <w:sz w:val="20"/>
          <w:szCs w:val="20"/>
        </w:rPr>
        <w:t>antigeni d</w:t>
      </w:r>
      <w:r w:rsidR="0071004C" w:rsidRPr="00666EA7">
        <w:rPr>
          <w:rFonts w:asciiTheme="minorHAnsi" w:hAnsiTheme="minorHAnsi"/>
          <w:color w:val="000000" w:themeColor="text1"/>
          <w:sz w:val="20"/>
          <w:szCs w:val="20"/>
        </w:rPr>
        <w:t>e</w:t>
      </w:r>
      <w:r w:rsidRPr="00666EA7">
        <w:rPr>
          <w:rFonts w:asciiTheme="minorHAnsi" w:hAnsiTheme="minorHAnsi"/>
          <w:color w:val="000000" w:themeColor="text1"/>
          <w:sz w:val="20"/>
          <w:szCs w:val="20"/>
        </w:rPr>
        <w:t>i coronavirus</w:t>
      </w:r>
      <w:r w:rsidR="0071004C" w:rsidRPr="00666EA7">
        <w:rPr>
          <w:rFonts w:asciiTheme="minorHAnsi" w:hAnsiTheme="minorHAnsi"/>
          <w:color w:val="000000" w:themeColor="text1"/>
          <w:sz w:val="20"/>
          <w:szCs w:val="20"/>
        </w:rPr>
        <w:t>.</w:t>
      </w:r>
    </w:p>
    <w:p w:rsidR="00743535" w:rsidRDefault="004B75FD" w:rsidP="00071767">
      <w:pPr>
        <w:jc w:val="both"/>
        <w:rPr>
          <w:rFonts w:asciiTheme="minorHAnsi" w:hAnsiTheme="minorHAnsi"/>
          <w:color w:val="000000" w:themeColor="text1"/>
          <w:sz w:val="20"/>
          <w:szCs w:val="20"/>
        </w:rPr>
      </w:pPr>
      <w:r w:rsidRPr="00666EA7">
        <w:rPr>
          <w:rFonts w:asciiTheme="minorHAnsi" w:hAnsiTheme="minorHAnsi"/>
          <w:color w:val="000000" w:themeColor="text1"/>
          <w:sz w:val="20"/>
          <w:szCs w:val="20"/>
        </w:rPr>
        <w:t xml:space="preserve">In almeno uno studio, è stato notato che i topi che mostravano un </w:t>
      </w:r>
      <w:r w:rsidR="0071004C" w:rsidRPr="00666EA7">
        <w:rPr>
          <w:rFonts w:asciiTheme="minorHAnsi" w:hAnsiTheme="minorHAnsi"/>
          <w:color w:val="000000" w:themeColor="text1"/>
          <w:sz w:val="20"/>
          <w:szCs w:val="20"/>
        </w:rPr>
        <w:t xml:space="preserve">potenziamento </w:t>
      </w:r>
      <w:r w:rsidRPr="00666EA7">
        <w:rPr>
          <w:rFonts w:asciiTheme="minorHAnsi" w:hAnsiTheme="minorHAnsi"/>
          <w:color w:val="000000" w:themeColor="text1"/>
          <w:sz w:val="20"/>
          <w:szCs w:val="20"/>
        </w:rPr>
        <w:t xml:space="preserve">immunitario in seguito </w:t>
      </w:r>
      <w:r w:rsidR="0071004C" w:rsidRPr="00666EA7">
        <w:rPr>
          <w:rFonts w:asciiTheme="minorHAnsi" w:hAnsiTheme="minorHAnsi"/>
          <w:color w:val="000000" w:themeColor="text1"/>
          <w:sz w:val="20"/>
          <w:szCs w:val="20"/>
        </w:rPr>
        <w:t>al challenge test con il</w:t>
      </w:r>
      <w:r w:rsidRPr="00666EA7">
        <w:rPr>
          <w:rFonts w:asciiTheme="minorHAnsi" w:hAnsiTheme="minorHAnsi"/>
          <w:color w:val="000000" w:themeColor="text1"/>
          <w:sz w:val="20"/>
          <w:szCs w:val="20"/>
        </w:rPr>
        <w:t xml:space="preserve"> virus </w:t>
      </w:r>
      <w:r w:rsidR="0071004C" w:rsidRPr="00666EA7">
        <w:rPr>
          <w:rFonts w:asciiTheme="minorHAnsi" w:hAnsiTheme="minorHAnsi"/>
          <w:color w:val="000000" w:themeColor="text1"/>
          <w:sz w:val="20"/>
          <w:szCs w:val="20"/>
        </w:rPr>
        <w:t xml:space="preserve">della </w:t>
      </w:r>
      <w:r w:rsidRPr="00666EA7">
        <w:rPr>
          <w:rFonts w:asciiTheme="minorHAnsi" w:hAnsiTheme="minorHAnsi"/>
          <w:color w:val="000000" w:themeColor="text1"/>
          <w:sz w:val="20"/>
          <w:szCs w:val="20"/>
        </w:rPr>
        <w:t>SARS sovraregolavano le citochine Th1 e sottoregolavano le citochine anti-infiammatorie come l'IL-10, nonostante esibissero infiltrati eosinofili</w:t>
      </w:r>
      <w:r w:rsidR="00071767" w:rsidRPr="00666EA7">
        <w:rPr>
          <w:rFonts w:asciiTheme="minorHAnsi" w:hAnsiTheme="minorHAnsi"/>
          <w:color w:val="000000" w:themeColor="text1"/>
          <w:sz w:val="20"/>
          <w:szCs w:val="20"/>
        </w:rPr>
        <w:t>.</w:t>
      </w:r>
      <w:r w:rsidR="0071004C" w:rsidRPr="00666EA7">
        <w:rPr>
          <w:rFonts w:asciiTheme="minorHAnsi" w:hAnsiTheme="minorHAnsi"/>
          <w:color w:val="000000" w:themeColor="text1"/>
          <w:sz w:val="20"/>
          <w:szCs w:val="20"/>
        </w:rPr>
        <w:t xml:space="preserve"> </w:t>
      </w:r>
      <w:r w:rsidR="0071004C" w:rsidRPr="00666EA7">
        <w:rPr>
          <w:rStyle w:val="FootnoteReference"/>
          <w:rFonts w:asciiTheme="minorHAnsi" w:hAnsiTheme="minorHAnsi"/>
          <w:color w:val="000000" w:themeColor="text1"/>
          <w:sz w:val="20"/>
          <w:szCs w:val="20"/>
        </w:rPr>
        <w:footnoteReference w:id="93"/>
      </w:r>
      <w:r w:rsidR="00071767" w:rsidRPr="00666EA7">
        <w:rPr>
          <w:rFonts w:asciiTheme="minorHAnsi" w:hAnsiTheme="minorHAnsi"/>
          <w:color w:val="000000" w:themeColor="text1"/>
          <w:sz w:val="20"/>
          <w:szCs w:val="20"/>
        </w:rPr>
        <w:t xml:space="preserve"> </w:t>
      </w:r>
    </w:p>
    <w:p w:rsidR="00743535" w:rsidRDefault="00743535" w:rsidP="00071767">
      <w:pPr>
        <w:jc w:val="both"/>
        <w:rPr>
          <w:rFonts w:asciiTheme="minorHAnsi" w:hAnsiTheme="minorHAnsi"/>
          <w:color w:val="000000" w:themeColor="text1"/>
          <w:sz w:val="20"/>
          <w:szCs w:val="20"/>
        </w:rPr>
      </w:pPr>
    </w:p>
    <w:p w:rsidR="00642A30" w:rsidRDefault="00071767" w:rsidP="00071767">
      <w:pPr>
        <w:jc w:val="both"/>
        <w:rPr>
          <w:rFonts w:asciiTheme="minorHAnsi" w:hAnsiTheme="minorHAnsi"/>
          <w:color w:val="000000" w:themeColor="text1"/>
          <w:sz w:val="20"/>
          <w:szCs w:val="20"/>
        </w:rPr>
      </w:pPr>
      <w:r w:rsidRPr="00666EA7">
        <w:rPr>
          <w:rFonts w:asciiTheme="minorHAnsi" w:hAnsiTheme="minorHAnsi"/>
          <w:color w:val="000000" w:themeColor="text1"/>
          <w:sz w:val="20"/>
          <w:szCs w:val="20"/>
        </w:rPr>
        <w:t xml:space="preserve">Nuove informazioni hanno messo in luce un </w:t>
      </w:r>
      <w:r w:rsidRPr="00743535">
        <w:rPr>
          <w:rFonts w:asciiTheme="minorHAnsi" w:hAnsiTheme="minorHAnsi"/>
          <w:color w:val="000000" w:themeColor="text1"/>
          <w:sz w:val="20"/>
          <w:szCs w:val="20"/>
        </w:rPr>
        <w:t>ruolo critico dei Th17</w:t>
      </w:r>
      <w:r w:rsidRPr="00666EA7">
        <w:rPr>
          <w:rFonts w:asciiTheme="minorHAnsi" w:hAnsiTheme="minorHAnsi"/>
          <w:color w:val="000000" w:themeColor="text1"/>
          <w:sz w:val="20"/>
          <w:szCs w:val="20"/>
        </w:rPr>
        <w:t xml:space="preserve"> per le risposte infiammatorie dell'ospite nella patogenesi della polmonite ed edema da COVID</w:t>
      </w:r>
      <w:r w:rsidR="00592AAE">
        <w:rPr>
          <w:rFonts w:asciiTheme="minorHAnsi" w:hAnsiTheme="minorHAnsi"/>
          <w:color w:val="000000" w:themeColor="text1"/>
          <w:sz w:val="20"/>
          <w:szCs w:val="20"/>
        </w:rPr>
        <w:t>-</w:t>
      </w:r>
      <w:r w:rsidRPr="00666EA7">
        <w:rPr>
          <w:rFonts w:asciiTheme="minorHAnsi" w:hAnsiTheme="minorHAnsi"/>
          <w:color w:val="000000" w:themeColor="text1"/>
          <w:sz w:val="20"/>
          <w:szCs w:val="20"/>
        </w:rPr>
        <w:t>19</w:t>
      </w:r>
      <w:r w:rsidR="00300D23" w:rsidRPr="00666EA7">
        <w:rPr>
          <w:rFonts w:asciiTheme="minorHAnsi" w:hAnsiTheme="minorHAnsi"/>
          <w:color w:val="000000" w:themeColor="text1"/>
          <w:sz w:val="20"/>
          <w:szCs w:val="20"/>
        </w:rPr>
        <w:t xml:space="preserve">. </w:t>
      </w:r>
    </w:p>
    <w:p w:rsidR="002911D4" w:rsidRPr="00666EA7" w:rsidRDefault="002911D4" w:rsidP="00071767">
      <w:pPr>
        <w:jc w:val="both"/>
        <w:rPr>
          <w:rFonts w:asciiTheme="minorHAnsi" w:hAnsiTheme="minorHAnsi"/>
          <w:color w:val="000000" w:themeColor="text1"/>
          <w:sz w:val="20"/>
          <w:szCs w:val="20"/>
        </w:rPr>
      </w:pPr>
    </w:p>
    <w:p w:rsidR="00BC5E79" w:rsidRDefault="00071767" w:rsidP="002911D4">
      <w:pPr>
        <w:shd w:val="clear" w:color="auto" w:fill="FBF9E1"/>
        <w:jc w:val="both"/>
        <w:rPr>
          <w:rFonts w:asciiTheme="minorHAnsi" w:hAnsiTheme="minorHAnsi"/>
          <w:color w:val="000000" w:themeColor="text1"/>
          <w:sz w:val="20"/>
          <w:szCs w:val="20"/>
        </w:rPr>
      </w:pPr>
      <w:r w:rsidRPr="00666EA7">
        <w:rPr>
          <w:rFonts w:asciiTheme="minorHAnsi" w:hAnsiTheme="minorHAnsi"/>
          <w:color w:val="000000" w:themeColor="text1"/>
          <w:sz w:val="20"/>
          <w:szCs w:val="20"/>
        </w:rPr>
        <w:lastRenderedPageBreak/>
        <w:t xml:space="preserve">In </w:t>
      </w:r>
      <w:r w:rsidR="00300D23" w:rsidRPr="00666EA7">
        <w:rPr>
          <w:rFonts w:asciiTheme="minorHAnsi" w:hAnsiTheme="minorHAnsi"/>
          <w:color w:val="000000" w:themeColor="text1"/>
          <w:sz w:val="20"/>
          <w:szCs w:val="20"/>
        </w:rPr>
        <w:t>particolare</w:t>
      </w:r>
      <w:r w:rsidRPr="00743535">
        <w:rPr>
          <w:rFonts w:asciiTheme="minorHAnsi" w:hAnsiTheme="minorHAnsi"/>
          <w:color w:val="000000" w:themeColor="text1"/>
          <w:sz w:val="20"/>
          <w:szCs w:val="20"/>
        </w:rPr>
        <w:t xml:space="preserve">, </w:t>
      </w:r>
      <w:r w:rsidRPr="00743535">
        <w:rPr>
          <w:rFonts w:asciiTheme="minorHAnsi" w:hAnsiTheme="minorHAnsi"/>
          <w:b/>
          <w:bCs/>
          <w:color w:val="000000" w:themeColor="text1"/>
          <w:sz w:val="20"/>
          <w:szCs w:val="20"/>
        </w:rPr>
        <w:t>l’IL-17 può indurre risposte eosinofile polmonari e malattie allergiche</w:t>
      </w:r>
      <w:r w:rsidRPr="00666EA7">
        <w:rPr>
          <w:rFonts w:asciiTheme="minorHAnsi" w:hAnsiTheme="minorHAnsi"/>
          <w:color w:val="000000" w:themeColor="text1"/>
          <w:sz w:val="20"/>
          <w:szCs w:val="20"/>
        </w:rPr>
        <w:t xml:space="preserve">, promuovendo la produzione di eosinofili dal midollo osseo e </w:t>
      </w:r>
      <w:r w:rsidR="00300D23" w:rsidRPr="00666EA7">
        <w:rPr>
          <w:rFonts w:asciiTheme="minorHAnsi" w:hAnsiTheme="minorHAnsi"/>
          <w:color w:val="000000" w:themeColor="text1"/>
          <w:sz w:val="20"/>
          <w:szCs w:val="20"/>
        </w:rPr>
        <w:t xml:space="preserve">il </w:t>
      </w:r>
      <w:r w:rsidRPr="00666EA7">
        <w:rPr>
          <w:rFonts w:asciiTheme="minorHAnsi" w:hAnsiTheme="minorHAnsi"/>
          <w:color w:val="000000" w:themeColor="text1"/>
          <w:sz w:val="20"/>
          <w:szCs w:val="20"/>
        </w:rPr>
        <w:t xml:space="preserve">reclutamento e </w:t>
      </w:r>
      <w:r w:rsidR="00300D23" w:rsidRPr="00666EA7">
        <w:rPr>
          <w:rFonts w:asciiTheme="minorHAnsi" w:hAnsiTheme="minorHAnsi"/>
          <w:color w:val="000000" w:themeColor="text1"/>
          <w:sz w:val="20"/>
          <w:szCs w:val="20"/>
        </w:rPr>
        <w:t xml:space="preserve">lo </w:t>
      </w:r>
      <w:r w:rsidRPr="00666EA7">
        <w:rPr>
          <w:rFonts w:asciiTheme="minorHAnsi" w:hAnsiTheme="minorHAnsi"/>
          <w:color w:val="000000" w:themeColor="text1"/>
          <w:sz w:val="20"/>
          <w:szCs w:val="20"/>
        </w:rPr>
        <w:t>stravaso nei polmoni</w:t>
      </w:r>
      <w:r w:rsidR="00300D23" w:rsidRPr="00666EA7">
        <w:rPr>
          <w:rFonts w:asciiTheme="minorHAnsi" w:hAnsiTheme="minorHAnsi"/>
          <w:color w:val="000000" w:themeColor="text1"/>
          <w:sz w:val="20"/>
          <w:szCs w:val="20"/>
        </w:rPr>
        <w:t xml:space="preserve">. </w:t>
      </w:r>
      <w:r w:rsidR="00300D23" w:rsidRPr="00666EA7">
        <w:rPr>
          <w:rStyle w:val="FootnoteReference"/>
          <w:rFonts w:asciiTheme="minorHAnsi" w:hAnsiTheme="minorHAnsi"/>
          <w:color w:val="000000" w:themeColor="text1"/>
          <w:sz w:val="20"/>
          <w:szCs w:val="20"/>
        </w:rPr>
        <w:footnoteReference w:id="94"/>
      </w:r>
      <w:r w:rsidRPr="00666EA7">
        <w:rPr>
          <w:rFonts w:asciiTheme="minorHAnsi" w:hAnsiTheme="minorHAnsi"/>
          <w:color w:val="000000" w:themeColor="text1"/>
          <w:sz w:val="20"/>
          <w:szCs w:val="20"/>
        </w:rPr>
        <w:t xml:space="preserve"> </w:t>
      </w:r>
    </w:p>
    <w:p w:rsidR="000E43D1" w:rsidRDefault="00071767" w:rsidP="002911D4">
      <w:pPr>
        <w:shd w:val="clear" w:color="auto" w:fill="FBF9E1"/>
        <w:jc w:val="both"/>
        <w:rPr>
          <w:rFonts w:asciiTheme="minorHAnsi" w:hAnsiTheme="minorHAnsi"/>
          <w:color w:val="000000" w:themeColor="text1"/>
          <w:sz w:val="20"/>
          <w:szCs w:val="20"/>
        </w:rPr>
      </w:pPr>
      <w:r w:rsidRPr="00743535">
        <w:rPr>
          <w:rFonts w:asciiTheme="minorHAnsi" w:hAnsiTheme="minorHAnsi"/>
          <w:b/>
          <w:bCs/>
          <w:color w:val="000000" w:themeColor="text1"/>
          <w:sz w:val="20"/>
          <w:szCs w:val="20"/>
        </w:rPr>
        <w:t>Le cellule Th17 si differenziano in parte attraverso le azioni d</w:t>
      </w:r>
      <w:r w:rsidR="00300D23" w:rsidRPr="00743535">
        <w:rPr>
          <w:rFonts w:asciiTheme="minorHAnsi" w:hAnsiTheme="minorHAnsi"/>
          <w:b/>
          <w:bCs/>
          <w:color w:val="000000" w:themeColor="text1"/>
          <w:sz w:val="20"/>
          <w:szCs w:val="20"/>
        </w:rPr>
        <w:t>ell’</w:t>
      </w:r>
      <w:r w:rsidRPr="00743535">
        <w:rPr>
          <w:rFonts w:asciiTheme="minorHAnsi" w:hAnsiTheme="minorHAnsi"/>
          <w:b/>
          <w:bCs/>
          <w:color w:val="000000" w:themeColor="text1"/>
          <w:sz w:val="20"/>
          <w:szCs w:val="20"/>
        </w:rPr>
        <w:t>IL-6</w:t>
      </w:r>
      <w:r w:rsidR="00300D23" w:rsidRPr="00666EA7">
        <w:rPr>
          <w:rFonts w:asciiTheme="minorHAnsi" w:hAnsiTheme="minorHAnsi"/>
          <w:color w:val="000000" w:themeColor="text1"/>
          <w:sz w:val="20"/>
          <w:szCs w:val="20"/>
        </w:rPr>
        <w:t>,</w:t>
      </w:r>
      <w:r w:rsidRPr="00666EA7">
        <w:rPr>
          <w:rFonts w:asciiTheme="minorHAnsi" w:hAnsiTheme="minorHAnsi"/>
          <w:color w:val="000000" w:themeColor="text1"/>
          <w:sz w:val="20"/>
          <w:szCs w:val="20"/>
        </w:rPr>
        <w:t xml:space="preserve"> </w:t>
      </w:r>
      <w:r w:rsidR="00300D23" w:rsidRPr="00666EA7">
        <w:rPr>
          <w:rFonts w:asciiTheme="minorHAnsi" w:hAnsiTheme="minorHAnsi"/>
          <w:color w:val="000000" w:themeColor="text1"/>
          <w:sz w:val="20"/>
          <w:szCs w:val="20"/>
        </w:rPr>
        <w:t xml:space="preserve">che </w:t>
      </w:r>
      <w:r w:rsidRPr="00666EA7">
        <w:rPr>
          <w:rFonts w:asciiTheme="minorHAnsi" w:hAnsiTheme="minorHAnsi"/>
          <w:color w:val="000000" w:themeColor="text1"/>
          <w:sz w:val="20"/>
          <w:szCs w:val="20"/>
        </w:rPr>
        <w:t xml:space="preserve">ha dimostrato di avere un ruolo importante nella patologia polmonare associata all'infezione da SARS </w:t>
      </w:r>
      <w:r w:rsidR="00300D23" w:rsidRPr="00666EA7">
        <w:rPr>
          <w:rStyle w:val="FootnoteReference"/>
          <w:rFonts w:asciiTheme="minorHAnsi" w:hAnsiTheme="minorHAnsi"/>
          <w:color w:val="000000" w:themeColor="text1"/>
          <w:sz w:val="20"/>
          <w:szCs w:val="20"/>
        </w:rPr>
        <w:footnoteReference w:id="95"/>
      </w:r>
    </w:p>
    <w:p w:rsidR="002911D4" w:rsidRPr="00666EA7" w:rsidRDefault="002911D4" w:rsidP="002911D4">
      <w:pPr>
        <w:jc w:val="both"/>
        <w:rPr>
          <w:rFonts w:asciiTheme="minorHAnsi" w:hAnsiTheme="minorHAnsi"/>
          <w:color w:val="000000" w:themeColor="text1"/>
          <w:sz w:val="20"/>
          <w:szCs w:val="20"/>
        </w:rPr>
      </w:pPr>
    </w:p>
    <w:p w:rsidR="00300D23" w:rsidRPr="003843FE" w:rsidRDefault="00300D23" w:rsidP="00300D23">
      <w:pPr>
        <w:jc w:val="center"/>
        <w:rPr>
          <w:rFonts w:asciiTheme="minorHAnsi" w:hAnsiTheme="minorHAnsi"/>
          <w:color w:val="000000" w:themeColor="text1"/>
        </w:rPr>
      </w:pPr>
      <w:r w:rsidRPr="003843FE">
        <w:rPr>
          <w:rFonts w:asciiTheme="minorHAnsi" w:hAnsiTheme="minorHAnsi"/>
          <w:color w:val="000000" w:themeColor="text1"/>
        </w:rPr>
        <w:fldChar w:fldCharType="begin"/>
      </w:r>
      <w:r w:rsidRPr="003843FE">
        <w:rPr>
          <w:rFonts w:asciiTheme="minorHAnsi" w:hAnsiTheme="minorHAnsi"/>
          <w:color w:val="000000" w:themeColor="text1"/>
        </w:rPr>
        <w:instrText xml:space="preserve"> INCLUDEPICTURE "https://ars.els-cdn.com/content/image/1-s2.0-S1286457920300721-gr1_lrg.jpg" \* MERGEFORMATINET </w:instrText>
      </w:r>
      <w:r w:rsidRPr="003843FE">
        <w:rPr>
          <w:rFonts w:asciiTheme="minorHAnsi" w:hAnsiTheme="minorHAnsi"/>
          <w:color w:val="000000" w:themeColor="text1"/>
        </w:rPr>
        <w:fldChar w:fldCharType="separate"/>
      </w:r>
      <w:r w:rsidRPr="003843FE">
        <w:rPr>
          <w:rFonts w:asciiTheme="minorHAnsi" w:hAnsiTheme="minorHAnsi"/>
          <w:noProof/>
          <w:color w:val="000000" w:themeColor="text1"/>
        </w:rPr>
        <w:drawing>
          <wp:inline distT="0" distB="0" distL="0" distR="0">
            <wp:extent cx="2576946" cy="1606845"/>
            <wp:effectExtent l="0" t="0" r="1270" b="6350"/>
            <wp:docPr id="30" name="Immagine 30" descr="https://ars.els-cdn.com/content/image/1-s2.0-S1286457920300721-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s.els-cdn.com/content/image/1-s2.0-S1286457920300721-gr1_lrg.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11275" cy="1628251"/>
                    </a:xfrm>
                    <a:prstGeom prst="rect">
                      <a:avLst/>
                    </a:prstGeom>
                    <a:noFill/>
                    <a:ln>
                      <a:noFill/>
                    </a:ln>
                  </pic:spPr>
                </pic:pic>
              </a:graphicData>
            </a:graphic>
          </wp:inline>
        </w:drawing>
      </w:r>
      <w:r w:rsidRPr="003843FE">
        <w:rPr>
          <w:rFonts w:asciiTheme="minorHAnsi" w:hAnsiTheme="minorHAnsi"/>
          <w:color w:val="000000" w:themeColor="text1"/>
        </w:rPr>
        <w:fldChar w:fldCharType="end"/>
      </w:r>
    </w:p>
    <w:p w:rsidR="00300D23" w:rsidRPr="002911D4" w:rsidRDefault="00300D23" w:rsidP="002911D4">
      <w:pPr>
        <w:shd w:val="clear" w:color="auto" w:fill="F2F2F2" w:themeFill="background1" w:themeFillShade="F2"/>
        <w:rPr>
          <w:rFonts w:asciiTheme="minorHAnsi" w:hAnsiTheme="minorHAnsi"/>
          <w:color w:val="000000" w:themeColor="text1"/>
          <w:sz w:val="18"/>
          <w:szCs w:val="18"/>
        </w:rPr>
      </w:pPr>
      <w:r w:rsidRPr="002911D4">
        <w:rPr>
          <w:rFonts w:asciiTheme="minorHAnsi" w:hAnsiTheme="minorHAnsi"/>
          <w:color w:val="000000" w:themeColor="text1"/>
          <w:sz w:val="18"/>
          <w:szCs w:val="18"/>
        </w:rPr>
        <w:t xml:space="preserve">Tratto da </w:t>
      </w:r>
      <w:hyperlink r:id="rId112" w:anchor="bbib16" w:history="1">
        <w:r w:rsidRPr="002911D4">
          <w:rPr>
            <w:rStyle w:val="Hyperlink"/>
            <w:rFonts w:asciiTheme="minorHAnsi" w:eastAsiaTheme="majorEastAsia" w:hAnsiTheme="minorHAnsi"/>
            <w:color w:val="000000" w:themeColor="text1"/>
            <w:sz w:val="18"/>
            <w:szCs w:val="18"/>
            <w:u w:val="none"/>
          </w:rPr>
          <w:t>https://www.sciencedirect.com/science/article/pii/S1286457920300721?via%3Dihub#bbib16</w:t>
        </w:r>
      </w:hyperlink>
    </w:p>
    <w:p w:rsidR="00300D23" w:rsidRPr="002911D4" w:rsidRDefault="00300D23" w:rsidP="002911D4">
      <w:pPr>
        <w:shd w:val="clear" w:color="auto" w:fill="F2F2F2" w:themeFill="background1" w:themeFillShade="F2"/>
        <w:jc w:val="both"/>
        <w:rPr>
          <w:rFonts w:asciiTheme="minorHAnsi" w:hAnsiTheme="minorHAnsi"/>
          <w:color w:val="000000" w:themeColor="text1"/>
          <w:sz w:val="18"/>
          <w:szCs w:val="18"/>
        </w:rPr>
      </w:pPr>
      <w:r w:rsidRPr="002911D4">
        <w:rPr>
          <w:rFonts w:asciiTheme="minorHAnsi" w:hAnsiTheme="minorHAnsi"/>
          <w:color w:val="000000" w:themeColor="text1"/>
          <w:sz w:val="18"/>
          <w:szCs w:val="18"/>
        </w:rPr>
        <w:t>Meccanismi di immunopatologia eosinofila collegati a vaccini con coronavirus virale vettoriale.</w:t>
      </w:r>
    </w:p>
    <w:p w:rsidR="00300D23" w:rsidRPr="003843FE" w:rsidRDefault="00300D23" w:rsidP="00071767">
      <w:pPr>
        <w:jc w:val="both"/>
        <w:rPr>
          <w:rFonts w:asciiTheme="minorHAnsi" w:hAnsiTheme="minorHAnsi"/>
          <w:b/>
          <w:color w:val="000000" w:themeColor="text1"/>
        </w:rPr>
      </w:pPr>
    </w:p>
    <w:p w:rsidR="00743535" w:rsidRDefault="00841CD9" w:rsidP="00841CD9">
      <w:pPr>
        <w:jc w:val="both"/>
        <w:rPr>
          <w:rFonts w:asciiTheme="minorHAnsi" w:hAnsiTheme="minorHAnsi"/>
          <w:color w:val="000000" w:themeColor="text1"/>
          <w:sz w:val="20"/>
          <w:szCs w:val="20"/>
        </w:rPr>
      </w:pPr>
      <w:r w:rsidRPr="00743535">
        <w:rPr>
          <w:rFonts w:asciiTheme="minorHAnsi" w:hAnsiTheme="minorHAnsi"/>
          <w:color w:val="000000" w:themeColor="text1"/>
          <w:sz w:val="20"/>
          <w:szCs w:val="20"/>
        </w:rPr>
        <w:t xml:space="preserve">Nonostante il fatto che </w:t>
      </w:r>
      <w:r w:rsidR="00642A30" w:rsidRPr="00743535">
        <w:rPr>
          <w:rFonts w:asciiTheme="minorHAnsi" w:hAnsiTheme="minorHAnsi"/>
          <w:color w:val="000000" w:themeColor="text1"/>
          <w:sz w:val="20"/>
          <w:szCs w:val="20"/>
        </w:rPr>
        <w:t xml:space="preserve">il </w:t>
      </w:r>
      <w:r w:rsidRPr="00743535">
        <w:rPr>
          <w:rFonts w:asciiTheme="minorHAnsi" w:hAnsiTheme="minorHAnsi"/>
          <w:color w:val="000000" w:themeColor="text1"/>
          <w:sz w:val="20"/>
          <w:szCs w:val="20"/>
        </w:rPr>
        <w:t xml:space="preserve">COVID-19 comporti una grave disfunzione polmonare, non è ancora chiarito completamente il contributo della tempesta di citochine, del potenziamento dovuto ai Th17 o dell'eosinofilia polmonare sulla mortalità allo stadio terminale. </w:t>
      </w:r>
    </w:p>
    <w:p w:rsidR="00743535" w:rsidRDefault="00743535" w:rsidP="00841CD9">
      <w:pPr>
        <w:jc w:val="both"/>
        <w:rPr>
          <w:rFonts w:asciiTheme="minorHAnsi" w:hAnsiTheme="minorHAnsi"/>
          <w:color w:val="000000" w:themeColor="text1"/>
          <w:sz w:val="20"/>
          <w:szCs w:val="20"/>
        </w:rPr>
      </w:pPr>
    </w:p>
    <w:p w:rsidR="004F6988" w:rsidRDefault="00841CD9" w:rsidP="00841CD9">
      <w:pPr>
        <w:jc w:val="both"/>
        <w:rPr>
          <w:rFonts w:asciiTheme="minorHAnsi" w:hAnsiTheme="minorHAnsi"/>
          <w:color w:val="000000" w:themeColor="text1"/>
          <w:sz w:val="20"/>
          <w:szCs w:val="20"/>
        </w:rPr>
      </w:pPr>
      <w:r w:rsidRPr="00743535">
        <w:rPr>
          <w:rFonts w:asciiTheme="minorHAnsi" w:hAnsiTheme="minorHAnsi"/>
          <w:color w:val="000000" w:themeColor="text1"/>
          <w:sz w:val="20"/>
          <w:szCs w:val="20"/>
        </w:rPr>
        <w:t xml:space="preserve">Infatti, </w:t>
      </w:r>
      <w:r w:rsidR="00642A30" w:rsidRPr="00743535">
        <w:rPr>
          <w:rFonts w:asciiTheme="minorHAnsi" w:hAnsiTheme="minorHAnsi"/>
          <w:b/>
          <w:bCs/>
          <w:color w:val="000000" w:themeColor="text1"/>
          <w:sz w:val="20"/>
          <w:szCs w:val="20"/>
        </w:rPr>
        <w:t xml:space="preserve">nuove </w:t>
      </w:r>
      <w:r w:rsidRPr="00743535">
        <w:rPr>
          <w:rFonts w:asciiTheme="minorHAnsi" w:hAnsiTheme="minorHAnsi"/>
          <w:b/>
          <w:bCs/>
          <w:color w:val="000000" w:themeColor="text1"/>
          <w:sz w:val="20"/>
          <w:szCs w:val="20"/>
        </w:rPr>
        <w:t>evidenz</w:t>
      </w:r>
      <w:r w:rsidR="00642A30" w:rsidRPr="00743535">
        <w:rPr>
          <w:rFonts w:asciiTheme="minorHAnsi" w:hAnsiTheme="minorHAnsi"/>
          <w:b/>
          <w:bCs/>
          <w:color w:val="000000" w:themeColor="text1"/>
          <w:sz w:val="20"/>
          <w:szCs w:val="20"/>
        </w:rPr>
        <w:t>e suggeriscono</w:t>
      </w:r>
      <w:r w:rsidRPr="00743535">
        <w:rPr>
          <w:rFonts w:asciiTheme="minorHAnsi" w:hAnsiTheme="minorHAnsi"/>
          <w:b/>
          <w:bCs/>
          <w:color w:val="000000" w:themeColor="text1"/>
          <w:sz w:val="20"/>
          <w:szCs w:val="20"/>
        </w:rPr>
        <w:t xml:space="preserve"> che la grave morbilità e mortalità associate al COVID-19 potrebbero essere maggiormente dovute alla disfunzione cardiaca </w:t>
      </w:r>
      <w:r w:rsidR="00642A30" w:rsidRPr="00743535">
        <w:rPr>
          <w:rFonts w:asciiTheme="minorHAnsi" w:hAnsiTheme="minorHAnsi"/>
          <w:b/>
          <w:bCs/>
          <w:color w:val="000000" w:themeColor="text1"/>
          <w:sz w:val="20"/>
          <w:szCs w:val="20"/>
        </w:rPr>
        <w:t xml:space="preserve">più </w:t>
      </w:r>
      <w:r w:rsidRPr="00743535">
        <w:rPr>
          <w:rFonts w:asciiTheme="minorHAnsi" w:hAnsiTheme="minorHAnsi"/>
          <w:b/>
          <w:bCs/>
          <w:color w:val="000000" w:themeColor="text1"/>
          <w:sz w:val="20"/>
          <w:szCs w:val="20"/>
        </w:rPr>
        <w:t xml:space="preserve">che </w:t>
      </w:r>
      <w:r w:rsidR="004F6988" w:rsidRPr="00743535">
        <w:rPr>
          <w:rFonts w:asciiTheme="minorHAnsi" w:hAnsiTheme="minorHAnsi"/>
          <w:b/>
          <w:bCs/>
          <w:color w:val="000000" w:themeColor="text1"/>
          <w:sz w:val="20"/>
          <w:szCs w:val="20"/>
        </w:rPr>
        <w:t>al</w:t>
      </w:r>
      <w:r w:rsidRPr="00743535">
        <w:rPr>
          <w:rFonts w:asciiTheme="minorHAnsi" w:hAnsiTheme="minorHAnsi"/>
          <w:b/>
          <w:bCs/>
          <w:color w:val="000000" w:themeColor="text1"/>
          <w:sz w:val="20"/>
          <w:szCs w:val="20"/>
        </w:rPr>
        <w:t>l'insufficienza polmonare</w:t>
      </w:r>
      <w:r w:rsidR="00DF4E7C" w:rsidRPr="00743535">
        <w:rPr>
          <w:rFonts w:asciiTheme="minorHAnsi" w:hAnsiTheme="minorHAnsi"/>
          <w:b/>
          <w:bCs/>
          <w:color w:val="000000" w:themeColor="text1"/>
          <w:sz w:val="20"/>
          <w:szCs w:val="20"/>
        </w:rPr>
        <w:t>,</w:t>
      </w:r>
      <w:r w:rsidR="00DF4E7C" w:rsidRPr="00743535">
        <w:rPr>
          <w:rFonts w:asciiTheme="minorHAnsi" w:hAnsiTheme="minorHAnsi"/>
          <w:color w:val="000000" w:themeColor="text1"/>
          <w:sz w:val="20"/>
          <w:szCs w:val="20"/>
        </w:rPr>
        <w:t xml:space="preserve"> in quanto l</w:t>
      </w:r>
      <w:r w:rsidRPr="00743535">
        <w:rPr>
          <w:rFonts w:asciiTheme="minorHAnsi" w:hAnsiTheme="minorHAnsi"/>
          <w:color w:val="000000" w:themeColor="text1"/>
          <w:sz w:val="20"/>
          <w:szCs w:val="20"/>
        </w:rPr>
        <w:t xml:space="preserve">'insufficienza cardiaca grave potrebbe essere la causa principale dell'insufficienza respiratoria e di altri organi portando a gravi patologie potenzialmente letali. </w:t>
      </w:r>
    </w:p>
    <w:p w:rsidR="00743535" w:rsidRPr="00743535" w:rsidRDefault="00743535" w:rsidP="00841CD9">
      <w:pPr>
        <w:jc w:val="both"/>
        <w:rPr>
          <w:rFonts w:asciiTheme="minorHAnsi" w:hAnsiTheme="minorHAnsi"/>
          <w:color w:val="000000" w:themeColor="text1"/>
          <w:sz w:val="20"/>
          <w:szCs w:val="20"/>
        </w:rPr>
      </w:pPr>
    </w:p>
    <w:p w:rsidR="00841CD9" w:rsidRDefault="00841CD9" w:rsidP="00841CD9">
      <w:pPr>
        <w:jc w:val="both"/>
        <w:rPr>
          <w:rFonts w:asciiTheme="minorHAnsi" w:hAnsiTheme="minorHAnsi"/>
          <w:color w:val="000000" w:themeColor="text1"/>
          <w:sz w:val="20"/>
          <w:szCs w:val="20"/>
        </w:rPr>
      </w:pPr>
      <w:r w:rsidRPr="00743535">
        <w:rPr>
          <w:rFonts w:asciiTheme="minorHAnsi" w:hAnsiTheme="minorHAnsi"/>
          <w:color w:val="000000" w:themeColor="text1"/>
          <w:sz w:val="20"/>
          <w:szCs w:val="20"/>
        </w:rPr>
        <w:t xml:space="preserve">A questo proposito, anche l'insufficienza cardiaca da miocardite e la cardiomiopatia è stata collegata alle cellule T che producono IL-17 e alle citochine che promuovono IL-17 </w:t>
      </w:r>
      <w:r w:rsidR="00806800" w:rsidRPr="00743535">
        <w:rPr>
          <w:rStyle w:val="FootnoteReference"/>
          <w:rFonts w:asciiTheme="minorHAnsi" w:hAnsiTheme="minorHAnsi"/>
          <w:color w:val="000000" w:themeColor="text1"/>
          <w:sz w:val="20"/>
          <w:szCs w:val="20"/>
        </w:rPr>
        <w:footnoteReference w:id="96"/>
      </w:r>
    </w:p>
    <w:p w:rsidR="00743535" w:rsidRPr="00743535" w:rsidRDefault="00743535" w:rsidP="00841CD9">
      <w:pPr>
        <w:jc w:val="both"/>
        <w:rPr>
          <w:rFonts w:asciiTheme="minorHAnsi" w:hAnsiTheme="minorHAnsi"/>
          <w:color w:val="000000" w:themeColor="text1"/>
          <w:sz w:val="20"/>
          <w:szCs w:val="20"/>
        </w:rPr>
      </w:pPr>
    </w:p>
    <w:p w:rsidR="00C55DF2" w:rsidRPr="00743535" w:rsidRDefault="00DF4E7C" w:rsidP="00841CD9">
      <w:pPr>
        <w:jc w:val="both"/>
        <w:rPr>
          <w:rFonts w:asciiTheme="minorHAnsi" w:hAnsiTheme="minorHAnsi"/>
          <w:color w:val="000000" w:themeColor="text1"/>
          <w:sz w:val="20"/>
          <w:szCs w:val="20"/>
        </w:rPr>
      </w:pPr>
      <w:r w:rsidRPr="00743535">
        <w:rPr>
          <w:rFonts w:asciiTheme="minorHAnsi" w:hAnsiTheme="minorHAnsi"/>
          <w:color w:val="000000" w:themeColor="text1"/>
          <w:sz w:val="20"/>
          <w:szCs w:val="20"/>
        </w:rPr>
        <w:t xml:space="preserve">Inoltre </w:t>
      </w:r>
      <w:r w:rsidR="00806800" w:rsidRPr="00743535">
        <w:rPr>
          <w:rFonts w:asciiTheme="minorHAnsi" w:hAnsiTheme="minorHAnsi"/>
          <w:b/>
          <w:bCs/>
          <w:color w:val="000000" w:themeColor="text1"/>
          <w:sz w:val="20"/>
          <w:szCs w:val="20"/>
        </w:rPr>
        <w:t>è</w:t>
      </w:r>
      <w:r w:rsidRPr="00743535">
        <w:rPr>
          <w:rFonts w:asciiTheme="minorHAnsi" w:hAnsiTheme="minorHAnsi"/>
          <w:b/>
          <w:bCs/>
          <w:color w:val="000000" w:themeColor="text1"/>
          <w:sz w:val="20"/>
          <w:szCs w:val="20"/>
        </w:rPr>
        <w:t xml:space="preserve"> noto che le piastrine, oltre alla loro funzione comune nella regolazione della trombosi e dell'emostasi, contribuiscono anche all'infiammazione dei tessuti che influisce sull'immunità adattativa</w:t>
      </w:r>
      <w:r w:rsidRPr="00743535">
        <w:rPr>
          <w:rFonts w:asciiTheme="minorHAnsi" w:hAnsiTheme="minorHAnsi"/>
          <w:color w:val="000000" w:themeColor="text1"/>
          <w:sz w:val="20"/>
          <w:szCs w:val="20"/>
        </w:rPr>
        <w:t xml:space="preserve">. </w:t>
      </w:r>
    </w:p>
    <w:p w:rsidR="00DF4E7C" w:rsidRPr="00743535" w:rsidRDefault="00DF4E7C" w:rsidP="00841CD9">
      <w:pPr>
        <w:jc w:val="both"/>
        <w:rPr>
          <w:rFonts w:asciiTheme="minorHAnsi" w:hAnsiTheme="minorHAnsi"/>
          <w:color w:val="000000" w:themeColor="text1"/>
          <w:sz w:val="20"/>
          <w:szCs w:val="20"/>
        </w:rPr>
      </w:pPr>
      <w:r w:rsidRPr="00743535">
        <w:rPr>
          <w:rFonts w:asciiTheme="minorHAnsi" w:hAnsiTheme="minorHAnsi"/>
          <w:color w:val="000000" w:themeColor="text1"/>
          <w:sz w:val="20"/>
          <w:szCs w:val="20"/>
        </w:rPr>
        <w:t xml:space="preserve">Le piastrine </w:t>
      </w:r>
      <w:r w:rsidR="00C55DF2" w:rsidRPr="00743535">
        <w:rPr>
          <w:rFonts w:asciiTheme="minorHAnsi" w:hAnsiTheme="minorHAnsi"/>
          <w:color w:val="000000" w:themeColor="text1"/>
          <w:sz w:val="20"/>
          <w:szCs w:val="20"/>
        </w:rPr>
        <w:t>dispongono</w:t>
      </w:r>
      <w:r w:rsidRPr="00743535">
        <w:rPr>
          <w:rFonts w:asciiTheme="minorHAnsi" w:hAnsiTheme="minorHAnsi"/>
          <w:color w:val="000000" w:themeColor="text1"/>
          <w:sz w:val="20"/>
          <w:szCs w:val="20"/>
        </w:rPr>
        <w:t xml:space="preserve"> di mediatori pro-infiammatori e regolatori conservati nei loro granuli α e granuli densi, che vengono rapidamente rilasciati nei siti di infiammazione o lesione dei tessuti</w:t>
      </w:r>
      <w:r w:rsidR="00806800" w:rsidRPr="00743535">
        <w:rPr>
          <w:rFonts w:asciiTheme="minorHAnsi" w:hAnsiTheme="minorHAnsi"/>
          <w:color w:val="000000" w:themeColor="text1"/>
          <w:sz w:val="20"/>
          <w:szCs w:val="20"/>
        </w:rPr>
        <w:t xml:space="preserve"> e i fattori derivati dalle piastrine sono altamente efficaci nel modulare direttamente o indirettamente la funzione di vari sottogruppi di cellule T, in particolare </w:t>
      </w:r>
      <w:r w:rsidR="00806800" w:rsidRPr="00743535">
        <w:rPr>
          <w:rFonts w:asciiTheme="minorHAnsi" w:hAnsiTheme="minorHAnsi"/>
          <w:color w:val="000000" w:themeColor="text1"/>
          <w:sz w:val="20"/>
          <w:szCs w:val="20"/>
        </w:rPr>
        <w:lastRenderedPageBreak/>
        <w:t xml:space="preserve">la differenziazione delle cellule Th17 nella fase iniziale dell’infiammazione e la formazione di aggregati piastrine-cellule T nella fase di risoluzione dell’infiammazione. </w:t>
      </w:r>
      <w:r w:rsidR="00806800" w:rsidRPr="00743535">
        <w:rPr>
          <w:rStyle w:val="FootnoteReference"/>
          <w:rFonts w:asciiTheme="minorHAnsi" w:hAnsiTheme="minorHAnsi"/>
          <w:color w:val="000000" w:themeColor="text1"/>
          <w:sz w:val="20"/>
          <w:szCs w:val="20"/>
        </w:rPr>
        <w:footnoteReference w:id="97"/>
      </w:r>
    </w:p>
    <w:p w:rsidR="00322F67" w:rsidRDefault="00322F67" w:rsidP="00535EFC">
      <w:pPr>
        <w:jc w:val="both"/>
        <w:rPr>
          <w:rFonts w:asciiTheme="minorHAnsi" w:hAnsiTheme="minorHAnsi"/>
          <w:color w:val="000000" w:themeColor="text1"/>
          <w:sz w:val="22"/>
          <w:szCs w:val="22"/>
        </w:rPr>
      </w:pPr>
    </w:p>
    <w:p w:rsidR="002911D4" w:rsidRPr="003843FE" w:rsidRDefault="002911D4" w:rsidP="00535EFC">
      <w:pPr>
        <w:jc w:val="both"/>
        <w:rPr>
          <w:rFonts w:asciiTheme="minorHAnsi" w:hAnsiTheme="minorHAnsi"/>
          <w:color w:val="000000" w:themeColor="text1"/>
          <w:sz w:val="22"/>
          <w:szCs w:val="22"/>
        </w:rPr>
      </w:pPr>
    </w:p>
    <w:p w:rsidR="00322F67" w:rsidRPr="00743535" w:rsidRDefault="00322F67" w:rsidP="002911D4">
      <w:pPr>
        <w:pStyle w:val="Heading4"/>
        <w:shd w:val="clear" w:color="auto" w:fill="E2EFD9" w:themeFill="accent6" w:themeFillTint="33"/>
        <w:jc w:val="center"/>
        <w:rPr>
          <w:rFonts w:asciiTheme="minorHAnsi" w:hAnsiTheme="minorHAnsi" w:cstheme="minorHAnsi"/>
          <w:b/>
          <w:bCs/>
          <w:i w:val="0"/>
          <w:iCs w:val="0"/>
          <w:color w:val="C00000"/>
        </w:rPr>
      </w:pPr>
      <w:r w:rsidRPr="00A833D2">
        <w:rPr>
          <w:rFonts w:asciiTheme="minorHAnsi" w:hAnsiTheme="minorHAnsi" w:cstheme="minorHAnsi"/>
          <w:b/>
          <w:bCs/>
          <w:i w:val="0"/>
          <w:iCs w:val="0"/>
          <w:color w:val="C00000"/>
        </w:rPr>
        <w:t>ADE da SARS-Cov</w:t>
      </w:r>
      <w:r w:rsidRPr="00743535">
        <w:rPr>
          <w:rFonts w:asciiTheme="minorHAnsi" w:hAnsiTheme="minorHAnsi" w:cstheme="minorHAnsi"/>
          <w:b/>
          <w:bCs/>
          <w:i w:val="0"/>
          <w:iCs w:val="0"/>
          <w:color w:val="C00000"/>
        </w:rPr>
        <w:t>-2</w:t>
      </w:r>
    </w:p>
    <w:p w:rsidR="00743535" w:rsidRPr="00743535" w:rsidRDefault="00743535" w:rsidP="00743535"/>
    <w:p w:rsidR="00743535" w:rsidRDefault="00322F67" w:rsidP="00535EFC">
      <w:pPr>
        <w:jc w:val="both"/>
        <w:rPr>
          <w:rFonts w:asciiTheme="minorHAnsi" w:hAnsiTheme="minorHAnsi"/>
          <w:color w:val="000000" w:themeColor="text1"/>
          <w:sz w:val="20"/>
          <w:szCs w:val="20"/>
        </w:rPr>
      </w:pPr>
      <w:r w:rsidRPr="009075A1">
        <w:rPr>
          <w:rFonts w:asciiTheme="minorHAnsi" w:hAnsiTheme="minorHAnsi"/>
          <w:b/>
          <w:bCs/>
          <w:color w:val="000000" w:themeColor="text1"/>
          <w:sz w:val="20"/>
          <w:szCs w:val="20"/>
        </w:rPr>
        <w:t>L'A</w:t>
      </w:r>
      <w:r w:rsidR="004F6988" w:rsidRPr="009075A1">
        <w:rPr>
          <w:rFonts w:asciiTheme="minorHAnsi" w:hAnsiTheme="minorHAnsi"/>
          <w:b/>
          <w:bCs/>
          <w:color w:val="000000" w:themeColor="text1"/>
          <w:sz w:val="20"/>
          <w:szCs w:val="20"/>
        </w:rPr>
        <w:t>D</w:t>
      </w:r>
      <w:r w:rsidRPr="009075A1">
        <w:rPr>
          <w:rFonts w:asciiTheme="minorHAnsi" w:hAnsiTheme="minorHAnsi"/>
          <w:b/>
          <w:bCs/>
          <w:color w:val="000000" w:themeColor="text1"/>
          <w:sz w:val="20"/>
          <w:szCs w:val="20"/>
        </w:rPr>
        <w:t>E modula la risposta immunitaria e può provocare infiammazione prolungata, linfopenia e / o tempesta di citochine, le quali una o tutte sono state documentate in casi gravi e decessi</w:t>
      </w:r>
      <w:r w:rsidR="00887AC2" w:rsidRPr="009075A1">
        <w:rPr>
          <w:rFonts w:asciiTheme="minorHAnsi" w:hAnsiTheme="minorHAnsi"/>
          <w:b/>
          <w:bCs/>
          <w:color w:val="000000" w:themeColor="text1"/>
          <w:sz w:val="20"/>
          <w:szCs w:val="20"/>
        </w:rPr>
        <w:t xml:space="preserve"> da SARS-Cov-2</w:t>
      </w:r>
      <w:r w:rsidRPr="00743535">
        <w:rPr>
          <w:rFonts w:asciiTheme="minorHAnsi" w:hAnsiTheme="minorHAnsi"/>
          <w:color w:val="000000" w:themeColor="text1"/>
          <w:sz w:val="20"/>
          <w:szCs w:val="20"/>
        </w:rPr>
        <w:t xml:space="preserve">. </w:t>
      </w:r>
    </w:p>
    <w:p w:rsidR="00322F67" w:rsidRDefault="00322F67" w:rsidP="00535EFC">
      <w:pPr>
        <w:jc w:val="both"/>
        <w:rPr>
          <w:rFonts w:asciiTheme="minorHAnsi" w:hAnsiTheme="minorHAnsi"/>
          <w:color w:val="000000" w:themeColor="text1"/>
          <w:sz w:val="20"/>
          <w:szCs w:val="20"/>
        </w:rPr>
      </w:pPr>
      <w:r w:rsidRPr="00743535">
        <w:rPr>
          <w:rFonts w:asciiTheme="minorHAnsi" w:hAnsiTheme="minorHAnsi"/>
          <w:color w:val="000000" w:themeColor="text1"/>
          <w:sz w:val="20"/>
          <w:szCs w:val="20"/>
        </w:rPr>
        <w:t>L'A</w:t>
      </w:r>
      <w:r w:rsidR="004F6988" w:rsidRPr="00743535">
        <w:rPr>
          <w:rFonts w:asciiTheme="minorHAnsi" w:hAnsiTheme="minorHAnsi"/>
          <w:color w:val="000000" w:themeColor="text1"/>
          <w:sz w:val="20"/>
          <w:szCs w:val="20"/>
        </w:rPr>
        <w:t>D</w:t>
      </w:r>
      <w:r w:rsidRPr="00743535">
        <w:rPr>
          <w:rFonts w:asciiTheme="minorHAnsi" w:hAnsiTheme="minorHAnsi"/>
          <w:color w:val="000000" w:themeColor="text1"/>
          <w:sz w:val="20"/>
          <w:szCs w:val="20"/>
        </w:rPr>
        <w:t xml:space="preserve">E richiede anche una precedente esposizione a epitopi antigenici simili, presumibilmente circolanti nei virus locali, rendendola una </w:t>
      </w:r>
      <w:r w:rsidRPr="009075A1">
        <w:rPr>
          <w:rFonts w:asciiTheme="minorHAnsi" w:hAnsiTheme="minorHAnsi"/>
          <w:b/>
          <w:bCs/>
          <w:color w:val="000000" w:themeColor="text1"/>
          <w:sz w:val="20"/>
          <w:szCs w:val="20"/>
        </w:rPr>
        <w:t>possibile spiegazione per la limitazione geografica osservata di casi gravi e decessi</w:t>
      </w:r>
      <w:r w:rsidRPr="00743535">
        <w:rPr>
          <w:rFonts w:asciiTheme="minorHAnsi" w:hAnsiTheme="minorHAnsi"/>
          <w:color w:val="000000" w:themeColor="text1"/>
          <w:sz w:val="20"/>
          <w:szCs w:val="20"/>
        </w:rPr>
        <w:t>.</w:t>
      </w:r>
      <w:r w:rsidRPr="00743535">
        <w:rPr>
          <w:rStyle w:val="FootnoteReference"/>
          <w:rFonts w:asciiTheme="minorHAnsi" w:hAnsiTheme="minorHAnsi"/>
          <w:color w:val="000000" w:themeColor="text1"/>
          <w:sz w:val="20"/>
          <w:szCs w:val="20"/>
        </w:rPr>
        <w:footnoteReference w:id="98"/>
      </w:r>
    </w:p>
    <w:p w:rsidR="009075A1" w:rsidRDefault="009075A1" w:rsidP="00535EFC">
      <w:pPr>
        <w:jc w:val="both"/>
        <w:rPr>
          <w:rFonts w:asciiTheme="minorHAnsi" w:hAnsiTheme="minorHAnsi"/>
          <w:color w:val="000000" w:themeColor="text1"/>
          <w:sz w:val="20"/>
          <w:szCs w:val="20"/>
        </w:rPr>
      </w:pPr>
    </w:p>
    <w:p w:rsidR="002911D4" w:rsidRDefault="002911D4"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709" w:right="1127"/>
        <w:jc w:val="both"/>
        <w:rPr>
          <w:rFonts w:asciiTheme="minorHAnsi" w:hAnsiTheme="minorHAnsi"/>
          <w:i/>
          <w:iCs/>
          <w:color w:val="000000" w:themeColor="text1"/>
          <w:sz w:val="20"/>
          <w:szCs w:val="20"/>
        </w:rPr>
      </w:pPr>
    </w:p>
    <w:p w:rsidR="00307231" w:rsidRDefault="002911D4"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709" w:right="1127"/>
        <w:jc w:val="both"/>
        <w:rPr>
          <w:rFonts w:asciiTheme="minorHAnsi" w:hAnsiTheme="minorHAnsi"/>
          <w:i/>
          <w:iCs/>
          <w:color w:val="000000" w:themeColor="text1"/>
          <w:sz w:val="20"/>
          <w:szCs w:val="20"/>
        </w:rPr>
      </w:pPr>
      <w:r w:rsidRPr="002911D4">
        <w:rPr>
          <w:rFonts w:asciiTheme="minorHAnsi" w:hAnsiTheme="minorHAnsi"/>
          <w:i/>
          <w:iCs/>
          <w:color w:val="000000" w:themeColor="text1"/>
          <w:sz w:val="20"/>
          <w:szCs w:val="20"/>
        </w:rPr>
        <w:t>È</w:t>
      </w:r>
      <w:r w:rsidR="006A27DB" w:rsidRPr="002911D4">
        <w:rPr>
          <w:rFonts w:asciiTheme="minorHAnsi" w:hAnsiTheme="minorHAnsi"/>
          <w:i/>
          <w:iCs/>
          <w:color w:val="000000" w:themeColor="text1"/>
          <w:sz w:val="20"/>
          <w:szCs w:val="20"/>
        </w:rPr>
        <w:t xml:space="preserve"> stato dimostrato che anticorpi IgG anti-coronavirus preesistenti che reagiscono in modo crociato con SARS-CoV-2, </w:t>
      </w:r>
      <w:r w:rsidR="006A27DB" w:rsidRPr="002911D4">
        <w:rPr>
          <w:rFonts w:asciiTheme="minorHAnsi" w:hAnsiTheme="minorHAnsi"/>
          <w:b/>
          <w:bCs/>
          <w:i/>
          <w:iCs/>
          <w:color w:val="000000" w:themeColor="text1"/>
          <w:sz w:val="20"/>
          <w:szCs w:val="20"/>
        </w:rPr>
        <w:t>compresi quelli contro i ceppi di coronavirus comuni e meno patogeni</w:t>
      </w:r>
      <w:r w:rsidR="006A27DB" w:rsidRPr="002911D4">
        <w:rPr>
          <w:rFonts w:asciiTheme="minorHAnsi" w:hAnsiTheme="minorHAnsi"/>
          <w:i/>
          <w:iCs/>
          <w:color w:val="000000" w:themeColor="text1"/>
          <w:sz w:val="20"/>
          <w:szCs w:val="20"/>
        </w:rPr>
        <w:t xml:space="preserve">, può aumentare il rischio di ADE e la complicazione della malattia </w:t>
      </w:r>
      <w:r w:rsidR="006A27DB" w:rsidRPr="002911D4">
        <w:rPr>
          <w:rStyle w:val="FootnoteReference"/>
          <w:rFonts w:asciiTheme="minorHAnsi" w:hAnsiTheme="minorHAnsi"/>
          <w:i/>
          <w:iCs/>
          <w:color w:val="000000" w:themeColor="text1"/>
          <w:sz w:val="20"/>
          <w:szCs w:val="20"/>
        </w:rPr>
        <w:footnoteReference w:id="99"/>
      </w:r>
      <w:r w:rsidR="006A27DB" w:rsidRPr="002911D4">
        <w:rPr>
          <w:rFonts w:asciiTheme="minorHAnsi" w:hAnsiTheme="minorHAnsi"/>
          <w:i/>
          <w:iCs/>
          <w:color w:val="000000" w:themeColor="text1"/>
          <w:sz w:val="20"/>
          <w:szCs w:val="20"/>
        </w:rPr>
        <w:t xml:space="preserve">. </w:t>
      </w:r>
    </w:p>
    <w:p w:rsidR="002911D4" w:rsidRPr="002911D4" w:rsidRDefault="002911D4" w:rsidP="002911D4">
      <w:pPr>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ind w:left="709" w:right="1127"/>
        <w:jc w:val="both"/>
        <w:rPr>
          <w:rFonts w:asciiTheme="minorHAnsi" w:hAnsiTheme="minorHAnsi"/>
          <w:i/>
          <w:iCs/>
          <w:color w:val="000000" w:themeColor="text1"/>
          <w:sz w:val="20"/>
          <w:szCs w:val="20"/>
        </w:rPr>
      </w:pPr>
    </w:p>
    <w:p w:rsidR="008D39D0" w:rsidRDefault="008D39D0" w:rsidP="00535EFC">
      <w:pPr>
        <w:jc w:val="both"/>
        <w:rPr>
          <w:rFonts w:asciiTheme="minorHAnsi" w:hAnsiTheme="minorHAnsi"/>
          <w:color w:val="000000" w:themeColor="text1"/>
          <w:sz w:val="20"/>
          <w:szCs w:val="20"/>
        </w:rPr>
      </w:pPr>
    </w:p>
    <w:p w:rsidR="00322F67" w:rsidRDefault="008D39D0" w:rsidP="008D39D0">
      <w:pPr>
        <w:jc w:val="both"/>
        <w:rPr>
          <w:rFonts w:asciiTheme="minorHAnsi" w:hAnsiTheme="minorHAnsi"/>
          <w:color w:val="000000" w:themeColor="text1"/>
          <w:sz w:val="20"/>
          <w:szCs w:val="20"/>
        </w:rPr>
      </w:pPr>
      <w:r>
        <w:rPr>
          <w:rFonts w:asciiTheme="minorHAnsi" w:hAnsiTheme="minorHAnsi"/>
          <w:color w:val="000000" w:themeColor="text1"/>
          <w:sz w:val="20"/>
          <w:szCs w:val="20"/>
        </w:rPr>
        <w:t>Per quanto rigu</w:t>
      </w:r>
      <w:r w:rsidR="0065555A">
        <w:rPr>
          <w:rFonts w:asciiTheme="minorHAnsi" w:hAnsiTheme="minorHAnsi"/>
          <w:color w:val="000000" w:themeColor="text1"/>
          <w:sz w:val="20"/>
          <w:szCs w:val="20"/>
        </w:rPr>
        <w:t>a</w:t>
      </w:r>
      <w:r>
        <w:rPr>
          <w:rFonts w:asciiTheme="minorHAnsi" w:hAnsiTheme="minorHAnsi"/>
          <w:color w:val="000000" w:themeColor="text1"/>
          <w:sz w:val="20"/>
          <w:szCs w:val="20"/>
        </w:rPr>
        <w:t>rda l’andamento con l’età è stato dimostrato che</w:t>
      </w:r>
      <w:r w:rsidR="00BE16E6" w:rsidRPr="00743535">
        <w:rPr>
          <w:rFonts w:asciiTheme="minorHAnsi" w:hAnsiTheme="minorHAnsi"/>
          <w:color w:val="000000" w:themeColor="text1"/>
          <w:sz w:val="20"/>
          <w:szCs w:val="20"/>
        </w:rPr>
        <w:t xml:space="preserve"> </w:t>
      </w:r>
      <w:r w:rsidR="00BE16E6" w:rsidRPr="009075A1">
        <w:rPr>
          <w:rFonts w:asciiTheme="minorHAnsi" w:hAnsiTheme="minorHAnsi"/>
          <w:b/>
          <w:bCs/>
          <w:color w:val="000000" w:themeColor="text1"/>
          <w:sz w:val="20"/>
          <w:szCs w:val="20"/>
        </w:rPr>
        <w:t>le IgG anti-CoV aumentano con l'età</w:t>
      </w:r>
      <w:r w:rsidR="000C47F1">
        <w:rPr>
          <w:rFonts w:asciiTheme="minorHAnsi" w:hAnsiTheme="minorHAnsi"/>
          <w:b/>
          <w:bCs/>
          <w:color w:val="000000" w:themeColor="text1"/>
          <w:sz w:val="20"/>
          <w:szCs w:val="20"/>
        </w:rPr>
        <w:t xml:space="preserve"> nell’infanzia</w:t>
      </w:r>
      <w:r w:rsidR="00BE16E6" w:rsidRPr="00743535">
        <w:rPr>
          <w:rFonts w:asciiTheme="minorHAnsi" w:hAnsiTheme="minorHAnsi"/>
          <w:color w:val="000000" w:themeColor="text1"/>
          <w:sz w:val="20"/>
          <w:szCs w:val="20"/>
        </w:rPr>
        <w:t xml:space="preserve">, con titoli elevati ~ </w:t>
      </w:r>
      <w:r w:rsidR="00BE16E6" w:rsidRPr="00BC5E79">
        <w:rPr>
          <w:rFonts w:asciiTheme="minorHAnsi" w:hAnsiTheme="minorHAnsi"/>
          <w:b/>
          <w:bCs/>
          <w:color w:val="000000" w:themeColor="text1"/>
          <w:sz w:val="20"/>
          <w:szCs w:val="20"/>
        </w:rPr>
        <w:t xml:space="preserve">75% nei bambini &gt; </w:t>
      </w:r>
      <w:r w:rsidR="000C47F1" w:rsidRPr="00BC5E79">
        <w:rPr>
          <w:rFonts w:asciiTheme="minorHAnsi" w:hAnsiTheme="minorHAnsi"/>
          <w:b/>
          <w:bCs/>
          <w:color w:val="000000" w:themeColor="text1"/>
          <w:sz w:val="20"/>
          <w:szCs w:val="20"/>
        </w:rPr>
        <w:t>4</w:t>
      </w:r>
      <w:r w:rsidR="00BE16E6" w:rsidRPr="00BC5E79">
        <w:rPr>
          <w:rFonts w:asciiTheme="minorHAnsi" w:hAnsiTheme="minorHAnsi"/>
          <w:b/>
          <w:bCs/>
          <w:color w:val="000000" w:themeColor="text1"/>
          <w:sz w:val="20"/>
          <w:szCs w:val="20"/>
        </w:rPr>
        <w:t xml:space="preserve"> anni</w:t>
      </w:r>
      <w:r w:rsidR="00BE16E6" w:rsidRPr="00743535">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e </w:t>
      </w:r>
      <w:r w:rsidRPr="00BC5E79">
        <w:rPr>
          <w:rFonts w:asciiTheme="minorHAnsi" w:hAnsiTheme="minorHAnsi"/>
          <w:b/>
          <w:bCs/>
          <w:color w:val="000000" w:themeColor="text1"/>
          <w:sz w:val="20"/>
          <w:szCs w:val="20"/>
        </w:rPr>
        <w:t>le IgM sono presenti solo nei bambini</w:t>
      </w:r>
      <w:r>
        <w:rPr>
          <w:rFonts w:asciiTheme="minorHAnsi" w:hAnsiTheme="minorHAnsi"/>
          <w:color w:val="000000" w:themeColor="text1"/>
          <w:sz w:val="20"/>
          <w:szCs w:val="20"/>
        </w:rPr>
        <w:t>, a conferma che per tutti i coronavirus la prima infezione ha luogo nella prima infanzia (età &lt;14 anni). I</w:t>
      </w:r>
      <w:r w:rsidR="00BE16E6" w:rsidRPr="00743535">
        <w:rPr>
          <w:rFonts w:asciiTheme="minorHAnsi" w:hAnsiTheme="minorHAnsi"/>
          <w:color w:val="000000" w:themeColor="text1"/>
          <w:sz w:val="20"/>
          <w:szCs w:val="20"/>
        </w:rPr>
        <w:t xml:space="preserve">noltre il repertorio di IgG anti-CoV nei bambini consiste in </w:t>
      </w:r>
      <w:r w:rsidR="00BE16E6" w:rsidRPr="00BC5E79">
        <w:rPr>
          <w:rFonts w:asciiTheme="minorHAnsi" w:hAnsiTheme="minorHAnsi"/>
          <w:b/>
          <w:bCs/>
          <w:color w:val="000000" w:themeColor="text1"/>
          <w:sz w:val="20"/>
          <w:szCs w:val="20"/>
        </w:rPr>
        <w:t>IgG ad affinità prevalentemente bassa</w:t>
      </w:r>
      <w:r w:rsidR="00BE16E6" w:rsidRPr="00743535">
        <w:rPr>
          <w:rFonts w:asciiTheme="minorHAnsi" w:hAnsiTheme="minorHAnsi"/>
          <w:color w:val="000000" w:themeColor="text1"/>
          <w:sz w:val="20"/>
          <w:szCs w:val="20"/>
        </w:rPr>
        <w:t>, che maturerà con IgG anti-CoV ad alta affinità solo dopo ripetute infezioni.</w:t>
      </w:r>
      <w:r w:rsidR="000C47F1">
        <w:rPr>
          <w:rFonts w:asciiTheme="minorHAnsi" w:hAnsiTheme="minorHAnsi"/>
          <w:color w:val="000000" w:themeColor="text1"/>
          <w:sz w:val="20"/>
          <w:szCs w:val="20"/>
        </w:rPr>
        <w:t xml:space="preserve"> </w:t>
      </w:r>
    </w:p>
    <w:p w:rsidR="008D39D0" w:rsidRDefault="008D39D0" w:rsidP="008D39D0">
      <w:pPr>
        <w:jc w:val="both"/>
      </w:pPr>
      <w:r w:rsidRPr="00BC5E79">
        <w:rPr>
          <w:rFonts w:asciiTheme="minorHAnsi" w:hAnsiTheme="minorHAnsi"/>
          <w:b/>
          <w:bCs/>
          <w:color w:val="000000" w:themeColor="text1"/>
          <w:sz w:val="20"/>
          <w:szCs w:val="20"/>
        </w:rPr>
        <w:t>Negli adulti la positività per le IgG per i vari coronavirus umani testati era di circa l’80%</w:t>
      </w:r>
      <w:r>
        <w:rPr>
          <w:rFonts w:asciiTheme="minorHAnsi" w:hAnsiTheme="minorHAnsi"/>
          <w:color w:val="000000" w:themeColor="text1"/>
          <w:sz w:val="20"/>
          <w:szCs w:val="20"/>
        </w:rPr>
        <w:t xml:space="preserve"> (</w:t>
      </w:r>
      <w:r w:rsidRPr="008D39D0">
        <w:rPr>
          <w:rFonts w:asciiTheme="minorHAnsi" w:hAnsiTheme="minorHAnsi" w:cstheme="minorHAnsi"/>
          <w:color w:val="000000"/>
          <w:sz w:val="20"/>
          <w:szCs w:val="20"/>
          <w:shd w:val="clear" w:color="auto" w:fill="FFFFFF"/>
        </w:rPr>
        <w:t>87.5% 229E, 76.39% OC43, 71.88% HKU1, and 75.52% NL63</w:t>
      </w:r>
      <w:r>
        <w:rPr>
          <w:rFonts w:asciiTheme="minorHAnsi" w:hAnsiTheme="minorHAnsi" w:cstheme="minorHAnsi"/>
          <w:color w:val="000000"/>
          <w:sz w:val="20"/>
          <w:szCs w:val="20"/>
          <w:shd w:val="clear" w:color="auto" w:fill="FFFFFF"/>
        </w:rPr>
        <w:t xml:space="preserve">) </w:t>
      </w:r>
      <w:r w:rsidRPr="00743535">
        <w:rPr>
          <w:rStyle w:val="FootnoteReference"/>
          <w:rFonts w:asciiTheme="minorHAnsi" w:hAnsiTheme="minorHAnsi"/>
          <w:color w:val="000000" w:themeColor="text1"/>
          <w:sz w:val="20"/>
          <w:szCs w:val="20"/>
        </w:rPr>
        <w:footnoteReference w:id="100"/>
      </w:r>
    </w:p>
    <w:p w:rsidR="000C47F1" w:rsidRDefault="000C47F1" w:rsidP="00535EFC">
      <w:pPr>
        <w:jc w:val="both"/>
        <w:rPr>
          <w:rFonts w:asciiTheme="minorHAnsi" w:hAnsiTheme="minorHAnsi"/>
          <w:color w:val="000000" w:themeColor="text1"/>
          <w:sz w:val="20"/>
          <w:szCs w:val="20"/>
        </w:rPr>
      </w:pPr>
    </w:p>
    <w:p w:rsidR="002911D4" w:rsidRDefault="00BE16E6" w:rsidP="002911D4">
      <w:pPr>
        <w:ind w:right="-7"/>
        <w:jc w:val="both"/>
        <w:rPr>
          <w:rFonts w:asciiTheme="minorHAnsi" w:hAnsiTheme="minorHAnsi"/>
          <w:color w:val="000000" w:themeColor="text1"/>
          <w:sz w:val="20"/>
          <w:szCs w:val="20"/>
        </w:rPr>
      </w:pPr>
      <w:r w:rsidRPr="002911D4">
        <w:rPr>
          <w:rFonts w:asciiTheme="minorHAnsi" w:hAnsiTheme="minorHAnsi"/>
          <w:color w:val="000000" w:themeColor="text1"/>
          <w:sz w:val="20"/>
          <w:szCs w:val="20"/>
        </w:rPr>
        <w:t xml:space="preserve">Paradossalmente, questi risultati suggeriscono che livelli più bassi di anticorpi IgG anti-SARS-CoV-2 potrebbero, in alcuni casi, spiegare la ridotta gravità di COVID-19 in soggetti di età ≤20 anni. </w:t>
      </w:r>
    </w:p>
    <w:p w:rsidR="00307231" w:rsidRPr="002911D4" w:rsidRDefault="00BE16E6" w:rsidP="002911D4">
      <w:pPr>
        <w:ind w:right="-7"/>
        <w:jc w:val="both"/>
        <w:rPr>
          <w:rFonts w:asciiTheme="minorHAnsi" w:hAnsiTheme="minorHAnsi"/>
          <w:color w:val="000000" w:themeColor="text1"/>
          <w:sz w:val="20"/>
          <w:szCs w:val="20"/>
        </w:rPr>
      </w:pPr>
      <w:r w:rsidRPr="002911D4">
        <w:rPr>
          <w:rFonts w:asciiTheme="minorHAnsi" w:hAnsiTheme="minorHAnsi"/>
          <w:color w:val="000000" w:themeColor="text1"/>
          <w:sz w:val="20"/>
          <w:szCs w:val="20"/>
        </w:rPr>
        <w:t xml:space="preserve">La </w:t>
      </w:r>
      <w:r w:rsidR="009649D8" w:rsidRPr="002911D4">
        <w:rPr>
          <w:rFonts w:asciiTheme="minorHAnsi" w:hAnsiTheme="minorHAnsi"/>
          <w:color w:val="000000" w:themeColor="text1"/>
          <w:sz w:val="20"/>
          <w:szCs w:val="20"/>
        </w:rPr>
        <w:t>potenziale</w:t>
      </w:r>
      <w:r w:rsidRPr="002911D4">
        <w:rPr>
          <w:rFonts w:asciiTheme="minorHAnsi" w:hAnsiTheme="minorHAnsi"/>
          <w:color w:val="000000" w:themeColor="text1"/>
          <w:sz w:val="20"/>
          <w:szCs w:val="20"/>
        </w:rPr>
        <w:t xml:space="preserve"> mancanza</w:t>
      </w:r>
      <w:r w:rsidR="009649D8" w:rsidRPr="002911D4">
        <w:rPr>
          <w:rFonts w:asciiTheme="minorHAnsi" w:hAnsiTheme="minorHAnsi"/>
          <w:color w:val="000000" w:themeColor="text1"/>
          <w:sz w:val="20"/>
          <w:szCs w:val="20"/>
        </w:rPr>
        <w:t xml:space="preserve"> </w:t>
      </w:r>
      <w:r w:rsidRPr="002911D4">
        <w:rPr>
          <w:rFonts w:asciiTheme="minorHAnsi" w:hAnsiTheme="minorHAnsi"/>
          <w:color w:val="000000" w:themeColor="text1"/>
          <w:sz w:val="20"/>
          <w:szCs w:val="20"/>
        </w:rPr>
        <w:t>di anticorpi</w:t>
      </w:r>
      <w:r w:rsidR="00BC5E79" w:rsidRPr="002911D4">
        <w:rPr>
          <w:rFonts w:asciiTheme="minorHAnsi" w:hAnsiTheme="minorHAnsi"/>
          <w:color w:val="000000" w:themeColor="text1"/>
          <w:sz w:val="20"/>
          <w:szCs w:val="20"/>
        </w:rPr>
        <w:t xml:space="preserve"> anti-SARS-CoV </w:t>
      </w:r>
      <w:r w:rsidRPr="002911D4">
        <w:rPr>
          <w:rFonts w:asciiTheme="minorHAnsi" w:hAnsiTheme="minorHAnsi"/>
          <w:color w:val="000000" w:themeColor="text1"/>
          <w:sz w:val="20"/>
          <w:szCs w:val="20"/>
        </w:rPr>
        <w:t>ad alta affinità, cross-reattivi, con l'assenza di ADE</w:t>
      </w:r>
      <w:r w:rsidR="00831D11" w:rsidRPr="002911D4">
        <w:rPr>
          <w:rFonts w:asciiTheme="minorHAnsi" w:hAnsiTheme="minorHAnsi"/>
          <w:color w:val="000000" w:themeColor="text1"/>
          <w:sz w:val="20"/>
          <w:szCs w:val="20"/>
        </w:rPr>
        <w:t xml:space="preserve"> associata</w:t>
      </w:r>
      <w:r w:rsidRPr="002911D4">
        <w:rPr>
          <w:rFonts w:asciiTheme="minorHAnsi" w:hAnsiTheme="minorHAnsi"/>
          <w:color w:val="000000" w:themeColor="text1"/>
          <w:sz w:val="20"/>
          <w:szCs w:val="20"/>
        </w:rPr>
        <w:t xml:space="preserve">, possono contribuire a ridurre le cariche virali poiché un minor numero di cellule ospiti viene infettato e produce virus. </w:t>
      </w:r>
    </w:p>
    <w:p w:rsidR="00307231" w:rsidRDefault="00307231" w:rsidP="002911D4">
      <w:pPr>
        <w:ind w:right="-7"/>
        <w:jc w:val="both"/>
        <w:rPr>
          <w:rFonts w:asciiTheme="minorHAnsi" w:hAnsiTheme="minorHAnsi"/>
          <w:color w:val="000000" w:themeColor="text1"/>
          <w:sz w:val="20"/>
          <w:szCs w:val="20"/>
        </w:rPr>
      </w:pPr>
    </w:p>
    <w:p w:rsidR="00BC5E79" w:rsidRDefault="00BE16E6" w:rsidP="00535EFC">
      <w:pPr>
        <w:jc w:val="both"/>
        <w:rPr>
          <w:rFonts w:asciiTheme="minorHAnsi" w:hAnsiTheme="minorHAnsi"/>
          <w:color w:val="000000" w:themeColor="text1"/>
          <w:sz w:val="20"/>
          <w:szCs w:val="20"/>
        </w:rPr>
      </w:pPr>
      <w:r w:rsidRPr="00743535">
        <w:rPr>
          <w:rFonts w:asciiTheme="minorHAnsi" w:hAnsiTheme="minorHAnsi"/>
          <w:color w:val="000000" w:themeColor="text1"/>
          <w:sz w:val="20"/>
          <w:szCs w:val="20"/>
        </w:rPr>
        <w:t>In secondo luogo, durante la risposta immunitaria si può verificare lo sviluppo di anticorpi IgG con commutazione di classe ad alta affinità</w:t>
      </w:r>
      <w:r w:rsidR="009649D8" w:rsidRPr="00743535">
        <w:rPr>
          <w:rFonts w:asciiTheme="minorHAnsi" w:hAnsiTheme="minorHAnsi"/>
          <w:color w:val="000000" w:themeColor="text1"/>
          <w:sz w:val="20"/>
          <w:szCs w:val="20"/>
        </w:rPr>
        <w:t xml:space="preserve"> </w:t>
      </w:r>
      <w:r w:rsidR="00BC5E79">
        <w:rPr>
          <w:rFonts w:asciiTheme="minorHAnsi" w:hAnsiTheme="minorHAnsi"/>
          <w:color w:val="000000" w:themeColor="text1"/>
          <w:sz w:val="20"/>
          <w:szCs w:val="20"/>
        </w:rPr>
        <w:t xml:space="preserve">dopo </w:t>
      </w:r>
      <w:r w:rsidRPr="00743535">
        <w:rPr>
          <w:rFonts w:asciiTheme="minorHAnsi" w:hAnsiTheme="minorHAnsi"/>
          <w:color w:val="000000" w:themeColor="text1"/>
          <w:sz w:val="20"/>
          <w:szCs w:val="20"/>
        </w:rPr>
        <w:t xml:space="preserve">circa 7-14 giorni e può aumentare dopo più cicli di esposizione antigenica con </w:t>
      </w:r>
      <w:r w:rsidR="009649D8" w:rsidRPr="00743535">
        <w:rPr>
          <w:rFonts w:asciiTheme="minorHAnsi" w:hAnsiTheme="minorHAnsi"/>
          <w:color w:val="000000" w:themeColor="text1"/>
          <w:sz w:val="20"/>
          <w:szCs w:val="20"/>
        </w:rPr>
        <w:t xml:space="preserve">i richiami vaccinali </w:t>
      </w:r>
      <w:r w:rsidRPr="00743535">
        <w:rPr>
          <w:rFonts w:asciiTheme="minorHAnsi" w:hAnsiTheme="minorHAnsi"/>
          <w:color w:val="000000" w:themeColor="text1"/>
          <w:sz w:val="20"/>
          <w:szCs w:val="20"/>
        </w:rPr>
        <w:t xml:space="preserve">o </w:t>
      </w:r>
      <w:r w:rsidR="009649D8" w:rsidRPr="00743535">
        <w:rPr>
          <w:rFonts w:asciiTheme="minorHAnsi" w:hAnsiTheme="minorHAnsi"/>
          <w:color w:val="000000" w:themeColor="text1"/>
          <w:sz w:val="20"/>
          <w:szCs w:val="20"/>
        </w:rPr>
        <w:t xml:space="preserve">per </w:t>
      </w:r>
      <w:r w:rsidRPr="00743535">
        <w:rPr>
          <w:rFonts w:asciiTheme="minorHAnsi" w:hAnsiTheme="minorHAnsi"/>
          <w:color w:val="000000" w:themeColor="text1"/>
          <w:sz w:val="20"/>
          <w:szCs w:val="20"/>
        </w:rPr>
        <w:t xml:space="preserve">infezione ricorrente. </w:t>
      </w:r>
    </w:p>
    <w:p w:rsidR="00BC5E79" w:rsidRDefault="00BC5E79" w:rsidP="00535EFC">
      <w:pPr>
        <w:jc w:val="both"/>
        <w:rPr>
          <w:rFonts w:asciiTheme="minorHAnsi" w:hAnsiTheme="minorHAnsi"/>
          <w:color w:val="000000" w:themeColor="text1"/>
          <w:sz w:val="20"/>
          <w:szCs w:val="20"/>
        </w:rPr>
      </w:pPr>
    </w:p>
    <w:p w:rsidR="00BE16E6" w:rsidRDefault="009649D8" w:rsidP="00535EFC">
      <w:pPr>
        <w:jc w:val="both"/>
        <w:rPr>
          <w:rFonts w:asciiTheme="minorHAnsi" w:hAnsiTheme="minorHAnsi"/>
          <w:color w:val="000000" w:themeColor="text1"/>
          <w:sz w:val="20"/>
          <w:szCs w:val="20"/>
          <w:shd w:val="clear" w:color="auto" w:fill="FFFFFF"/>
        </w:rPr>
      </w:pPr>
      <w:r w:rsidRPr="00743535">
        <w:rPr>
          <w:rFonts w:asciiTheme="minorHAnsi" w:hAnsiTheme="minorHAnsi"/>
          <w:color w:val="000000" w:themeColor="text1"/>
          <w:sz w:val="20"/>
          <w:szCs w:val="20"/>
        </w:rPr>
        <w:t xml:space="preserve">Ne segue che </w:t>
      </w:r>
      <w:r w:rsidR="00BE16E6" w:rsidRPr="00BC5E79">
        <w:rPr>
          <w:rFonts w:asciiTheme="minorHAnsi" w:hAnsiTheme="minorHAnsi"/>
          <w:b/>
          <w:bCs/>
          <w:color w:val="000000" w:themeColor="text1"/>
          <w:sz w:val="20"/>
          <w:szCs w:val="20"/>
        </w:rPr>
        <w:t xml:space="preserve">l'equilibrio tra neutralizzazione e ADE </w:t>
      </w:r>
      <w:r w:rsidRPr="00BC5E79">
        <w:rPr>
          <w:rFonts w:asciiTheme="minorHAnsi" w:hAnsiTheme="minorHAnsi"/>
          <w:b/>
          <w:bCs/>
          <w:color w:val="000000" w:themeColor="text1"/>
          <w:sz w:val="20"/>
          <w:szCs w:val="20"/>
        </w:rPr>
        <w:t>indotte</w:t>
      </w:r>
      <w:r w:rsidR="00BE16E6" w:rsidRPr="00BC5E79">
        <w:rPr>
          <w:rFonts w:asciiTheme="minorHAnsi" w:hAnsiTheme="minorHAnsi"/>
          <w:b/>
          <w:bCs/>
          <w:color w:val="000000" w:themeColor="text1"/>
          <w:sz w:val="20"/>
          <w:szCs w:val="20"/>
        </w:rPr>
        <w:t xml:space="preserve"> </w:t>
      </w:r>
      <w:r w:rsidRPr="00BC5E79">
        <w:rPr>
          <w:rFonts w:asciiTheme="minorHAnsi" w:hAnsiTheme="minorHAnsi"/>
          <w:b/>
          <w:bCs/>
          <w:color w:val="000000" w:themeColor="text1"/>
          <w:sz w:val="20"/>
          <w:szCs w:val="20"/>
        </w:rPr>
        <w:t>dal</w:t>
      </w:r>
      <w:r w:rsidR="00BE16E6" w:rsidRPr="00BC5E79">
        <w:rPr>
          <w:rFonts w:asciiTheme="minorHAnsi" w:hAnsiTheme="minorHAnsi"/>
          <w:b/>
          <w:bCs/>
          <w:color w:val="000000" w:themeColor="text1"/>
          <w:sz w:val="20"/>
          <w:szCs w:val="20"/>
        </w:rPr>
        <w:t xml:space="preserve">le IgG </w:t>
      </w:r>
      <w:r w:rsidRPr="00BC5E79">
        <w:rPr>
          <w:rFonts w:asciiTheme="minorHAnsi" w:hAnsiTheme="minorHAnsi"/>
          <w:b/>
          <w:bCs/>
          <w:color w:val="000000" w:themeColor="text1"/>
          <w:sz w:val="20"/>
          <w:szCs w:val="20"/>
        </w:rPr>
        <w:t>contro</w:t>
      </w:r>
      <w:r w:rsidR="00BE16E6" w:rsidRPr="00BC5E79">
        <w:rPr>
          <w:rFonts w:asciiTheme="minorHAnsi" w:hAnsiTheme="minorHAnsi"/>
          <w:b/>
          <w:bCs/>
          <w:color w:val="000000" w:themeColor="text1"/>
          <w:sz w:val="20"/>
          <w:szCs w:val="20"/>
        </w:rPr>
        <w:t xml:space="preserve"> </w:t>
      </w:r>
      <w:r w:rsidR="00BC5E79" w:rsidRPr="00BC5E79">
        <w:rPr>
          <w:rFonts w:asciiTheme="minorHAnsi" w:hAnsiTheme="minorHAnsi"/>
          <w:b/>
          <w:bCs/>
          <w:color w:val="000000" w:themeColor="text1"/>
          <w:sz w:val="20"/>
          <w:szCs w:val="20"/>
        </w:rPr>
        <w:t xml:space="preserve">il </w:t>
      </w:r>
      <w:r w:rsidR="00BE16E6" w:rsidRPr="00BC5E79">
        <w:rPr>
          <w:rFonts w:asciiTheme="minorHAnsi" w:hAnsiTheme="minorHAnsi"/>
          <w:b/>
          <w:bCs/>
          <w:color w:val="000000" w:themeColor="text1"/>
          <w:sz w:val="20"/>
          <w:szCs w:val="20"/>
        </w:rPr>
        <w:t>SARS-CoV-</w:t>
      </w:r>
      <w:r w:rsidRPr="00BC5E79">
        <w:rPr>
          <w:rFonts w:asciiTheme="minorHAnsi" w:hAnsiTheme="minorHAnsi"/>
          <w:b/>
          <w:bCs/>
          <w:color w:val="000000" w:themeColor="text1"/>
          <w:sz w:val="20"/>
          <w:szCs w:val="20"/>
        </w:rPr>
        <w:t xml:space="preserve">2 </w:t>
      </w:r>
      <w:r w:rsidR="00BE16E6" w:rsidRPr="00BC5E79">
        <w:rPr>
          <w:rFonts w:asciiTheme="minorHAnsi" w:hAnsiTheme="minorHAnsi"/>
          <w:b/>
          <w:bCs/>
          <w:color w:val="000000" w:themeColor="text1"/>
          <w:sz w:val="20"/>
          <w:szCs w:val="20"/>
        </w:rPr>
        <w:t>differisc</w:t>
      </w:r>
      <w:r w:rsidRPr="00BC5E79">
        <w:rPr>
          <w:rFonts w:asciiTheme="minorHAnsi" w:hAnsiTheme="minorHAnsi"/>
          <w:b/>
          <w:bCs/>
          <w:color w:val="000000" w:themeColor="text1"/>
          <w:sz w:val="20"/>
          <w:szCs w:val="20"/>
        </w:rPr>
        <w:t>e</w:t>
      </w:r>
      <w:r w:rsidR="00BE16E6" w:rsidRPr="00BC5E79">
        <w:rPr>
          <w:rFonts w:asciiTheme="minorHAnsi" w:hAnsiTheme="minorHAnsi"/>
          <w:b/>
          <w:bCs/>
          <w:color w:val="000000" w:themeColor="text1"/>
          <w:sz w:val="20"/>
          <w:szCs w:val="20"/>
        </w:rPr>
        <w:t xml:space="preserve"> nei bambini e negli adulti</w:t>
      </w:r>
      <w:r w:rsidRPr="00743535">
        <w:rPr>
          <w:rFonts w:asciiTheme="minorHAnsi" w:hAnsiTheme="minorHAnsi"/>
          <w:color w:val="000000" w:themeColor="text1"/>
          <w:sz w:val="20"/>
          <w:szCs w:val="20"/>
        </w:rPr>
        <w:t xml:space="preserve">, </w:t>
      </w:r>
      <w:r w:rsidR="00831D11" w:rsidRPr="00743535">
        <w:rPr>
          <w:rFonts w:asciiTheme="minorHAnsi" w:hAnsiTheme="minorHAnsi"/>
          <w:color w:val="000000" w:themeColor="text1"/>
          <w:sz w:val="20"/>
          <w:szCs w:val="20"/>
        </w:rPr>
        <w:t>e nei bambini è favorita la neutralizzazione</w:t>
      </w:r>
      <w:r w:rsidR="00052CBE" w:rsidRPr="00743535">
        <w:rPr>
          <w:rFonts w:asciiTheme="minorHAnsi" w:hAnsiTheme="minorHAnsi"/>
          <w:color w:val="000000" w:themeColor="text1"/>
          <w:sz w:val="20"/>
          <w:szCs w:val="20"/>
        </w:rPr>
        <w:t xml:space="preserve">, probabilmente a causa della produzione di </w:t>
      </w:r>
      <w:r w:rsidR="00B25782" w:rsidRPr="00743535">
        <w:rPr>
          <w:rFonts w:asciiTheme="minorHAnsi" w:hAnsiTheme="minorHAnsi"/>
          <w:color w:val="000000" w:themeColor="text1"/>
          <w:sz w:val="20"/>
          <w:szCs w:val="20"/>
        </w:rPr>
        <w:t xml:space="preserve">un diverso profilo di </w:t>
      </w:r>
      <w:r w:rsidR="00052CBE" w:rsidRPr="00743535">
        <w:rPr>
          <w:rFonts w:asciiTheme="minorHAnsi" w:hAnsiTheme="minorHAnsi"/>
          <w:color w:val="000000" w:themeColor="text1"/>
          <w:sz w:val="20"/>
          <w:szCs w:val="20"/>
        </w:rPr>
        <w:t>citochine</w:t>
      </w:r>
      <w:r w:rsidR="009F1355" w:rsidRPr="00743535">
        <w:rPr>
          <w:rFonts w:asciiTheme="minorHAnsi" w:hAnsiTheme="minorHAnsi"/>
          <w:color w:val="000000" w:themeColor="text1"/>
          <w:sz w:val="20"/>
          <w:szCs w:val="20"/>
        </w:rPr>
        <w:t xml:space="preserve"> </w:t>
      </w:r>
      <w:r w:rsidR="00052CBE" w:rsidRPr="00743535">
        <w:rPr>
          <w:rFonts w:asciiTheme="minorHAnsi" w:hAnsiTheme="minorHAnsi"/>
          <w:color w:val="000000" w:themeColor="text1"/>
          <w:sz w:val="20"/>
          <w:szCs w:val="20"/>
        </w:rPr>
        <w:t>in risposta all’infezione</w:t>
      </w:r>
      <w:r w:rsidR="00052CBE" w:rsidRPr="00743535">
        <w:rPr>
          <w:rFonts w:asciiTheme="minorHAnsi" w:hAnsiTheme="minorHAnsi"/>
          <w:color w:val="000000" w:themeColor="text1"/>
          <w:sz w:val="20"/>
          <w:szCs w:val="20"/>
          <w:shd w:val="clear" w:color="auto" w:fill="FFFFFF"/>
        </w:rPr>
        <w:t xml:space="preserve">. </w:t>
      </w:r>
      <w:r w:rsidR="009F1355" w:rsidRPr="00743535">
        <w:rPr>
          <w:rStyle w:val="FootnoteReference"/>
          <w:rFonts w:asciiTheme="minorHAnsi" w:hAnsiTheme="minorHAnsi"/>
          <w:color w:val="000000" w:themeColor="text1"/>
          <w:sz w:val="20"/>
          <w:szCs w:val="20"/>
        </w:rPr>
        <w:footnoteReference w:id="101"/>
      </w:r>
      <w:r w:rsidR="0031539A" w:rsidRPr="00743535">
        <w:rPr>
          <w:rFonts w:asciiTheme="minorHAnsi" w:hAnsiTheme="minorHAnsi"/>
          <w:color w:val="000000" w:themeColor="text1"/>
          <w:sz w:val="20"/>
          <w:szCs w:val="20"/>
          <w:shd w:val="clear" w:color="auto" w:fill="FFFFFF"/>
        </w:rPr>
        <w:t xml:space="preserve"> (vedi </w:t>
      </w:r>
      <w:r w:rsidR="00CC2C53" w:rsidRPr="00743535">
        <w:rPr>
          <w:rFonts w:asciiTheme="minorHAnsi" w:hAnsiTheme="minorHAnsi"/>
          <w:color w:val="000000" w:themeColor="text1"/>
          <w:sz w:val="20"/>
          <w:szCs w:val="20"/>
          <w:shd w:val="clear" w:color="auto" w:fill="FFFFFF"/>
        </w:rPr>
        <w:t>RISPOSTA IMMUNITARIA, ETA’ E DIFFERENZA DI GENERE: età pediatrica)</w:t>
      </w:r>
    </w:p>
    <w:p w:rsidR="00A833D2" w:rsidRDefault="00A833D2" w:rsidP="00535EFC">
      <w:pPr>
        <w:jc w:val="both"/>
        <w:rPr>
          <w:rFonts w:asciiTheme="minorHAnsi" w:hAnsiTheme="minorHAnsi"/>
          <w:color w:val="000000" w:themeColor="text1"/>
          <w:sz w:val="20"/>
          <w:szCs w:val="20"/>
          <w:shd w:val="clear" w:color="auto" w:fill="FFFFFF"/>
        </w:rPr>
      </w:pPr>
    </w:p>
    <w:p w:rsidR="002911D4" w:rsidRPr="003843FE" w:rsidRDefault="002911D4" w:rsidP="00535EFC">
      <w:pPr>
        <w:jc w:val="both"/>
        <w:rPr>
          <w:rFonts w:asciiTheme="minorHAnsi" w:hAnsiTheme="minorHAnsi"/>
          <w:color w:val="000000" w:themeColor="text1"/>
          <w:sz w:val="22"/>
          <w:szCs w:val="22"/>
        </w:rPr>
      </w:pPr>
    </w:p>
    <w:p w:rsidR="00270AE5" w:rsidRDefault="00270AE5" w:rsidP="00743535">
      <w:pPr>
        <w:jc w:val="center"/>
      </w:pPr>
      <w:r>
        <w:fldChar w:fldCharType="begin"/>
      </w:r>
      <w:r>
        <w:instrText xml:space="preserve"> INCLUDEPICTURE "https://static.cambridge.org/binary/version/id/urn:cambridge.org:id:binary:20200522134613473-0403:S2059866120000394:S2059866120000394_fig1.png?pub-status=live" \* MERGEFORMATINET </w:instrText>
      </w:r>
      <w:r>
        <w:fldChar w:fldCharType="separate"/>
      </w:r>
      <w:r>
        <w:rPr>
          <w:noProof/>
        </w:rPr>
        <w:drawing>
          <wp:inline distT="0" distB="0" distL="0" distR="0">
            <wp:extent cx="6052574" cy="3829539"/>
            <wp:effectExtent l="0" t="0" r="5715" b="6350"/>
            <wp:docPr id="58" name="Immagine 58" descr="Fig. 1. Antibody-dependent enhancement (ADE). (A) Mechanism – normal viral fusion occurs with binding of the coronavirus spike protein to its receptor, the angiotensin-converting enzyme 2 protein (ACE2). This induces a conformational change in the S protein, exposing a membrane fusion domain, resulting in viral fusion and mRNA release into the cell. With ADE, antibody binding to the S-protein both facilitates cell binding via the FcRγ and induces a conformational change in the spike protein exposing the fusion domain. A similar process can occur if the IgG binds complement, with the C3b:IgG:virus complex being taken up via the C3b receptor. (B) The ADE-associated spike glycoprotein peptide sequences S579-603 from SARS [Reference Wang12] are also conserved in SARS-CoV-2 strains (bold) and the closely related bat CoV strain (RaTG). There is less sequence homology in MERS and the common human CoV strains (HKU1, OC43, 229 E). Sequence homologies analyzed with the Clustal Omega method using Unipro UGENE v33.0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1. Antibody-dependent enhancement (ADE). (A) Mechanism – normal viral fusion occurs with binding of the coronavirus spike protein to its receptor, the angiotensin-converting enzyme 2 protein (ACE2). This induces a conformational change in the S protein, exposing a membrane fusion domain, resulting in viral fusion and mRNA release into the cell. With ADE, antibody binding to the S-protein both facilitates cell binding via the FcRγ and induces a conformational change in the spike protein exposing the fusion domain. A similar process can occur if the IgG binds complement, with the C3b:IgG:virus complex being taken up via the C3b receptor. (B) The ADE-associated spike glycoprotein peptide sequences S579-603 from SARS [Reference Wang12] are also conserved in SARS-CoV-2 strains (bold) and the closely related bat CoV strain (RaTG). There is less sequence homology in MERS and the common human CoV strains (HKU1, OC43, 229 E). Sequence homologies analyzed with the Clustal Omega method using Unipro UGENE v33.0 software."/>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b="38578"/>
                    <a:stretch/>
                  </pic:blipFill>
                  <pic:spPr bwMode="auto">
                    <a:xfrm>
                      <a:off x="0" y="0"/>
                      <a:ext cx="6219589" cy="393521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2911D4" w:rsidRDefault="002911D4" w:rsidP="00743535">
      <w:pPr>
        <w:jc w:val="center"/>
      </w:pPr>
    </w:p>
    <w:p w:rsidR="00270AE5" w:rsidRPr="002911D4" w:rsidRDefault="009F1355" w:rsidP="002911D4">
      <w:pPr>
        <w:shd w:val="clear" w:color="auto" w:fill="F2F2F2" w:themeFill="background1" w:themeFillShade="F2"/>
        <w:jc w:val="both"/>
        <w:rPr>
          <w:rFonts w:asciiTheme="minorHAnsi" w:hAnsiTheme="minorHAnsi"/>
          <w:sz w:val="18"/>
          <w:szCs w:val="18"/>
        </w:rPr>
      </w:pPr>
      <w:r w:rsidRPr="002911D4">
        <w:rPr>
          <w:rFonts w:asciiTheme="minorHAnsi" w:hAnsiTheme="minorHAnsi" w:cstheme="minorHAnsi"/>
          <w:color w:val="000000" w:themeColor="text1"/>
          <w:sz w:val="18"/>
          <w:szCs w:val="18"/>
        </w:rPr>
        <w:t xml:space="preserve">Tratta da </w:t>
      </w:r>
      <w:r w:rsidR="00270AE5" w:rsidRPr="002911D4">
        <w:rPr>
          <w:rFonts w:asciiTheme="minorHAnsi" w:hAnsiTheme="minorHAnsi"/>
          <w:color w:val="000000" w:themeColor="text1"/>
          <w:sz w:val="18"/>
          <w:szCs w:val="18"/>
        </w:rPr>
        <w:t xml:space="preserve">https://doi.org/10.1017/cts.2020.39 </w:t>
      </w:r>
    </w:p>
    <w:p w:rsidR="009F1355" w:rsidRDefault="00270AE5" w:rsidP="002911D4">
      <w:pPr>
        <w:shd w:val="clear" w:color="auto" w:fill="F2F2F2" w:themeFill="background1" w:themeFillShade="F2"/>
        <w:jc w:val="both"/>
        <w:rPr>
          <w:rFonts w:asciiTheme="minorHAnsi" w:hAnsiTheme="minorHAnsi" w:cstheme="minorHAnsi"/>
          <w:color w:val="000000" w:themeColor="text1"/>
          <w:sz w:val="18"/>
          <w:szCs w:val="18"/>
        </w:rPr>
      </w:pPr>
      <w:r w:rsidRPr="002911D4">
        <w:rPr>
          <w:rFonts w:asciiTheme="minorHAnsi" w:hAnsiTheme="minorHAnsi" w:cstheme="minorHAnsi"/>
          <w:b/>
          <w:bCs/>
          <w:color w:val="000000" w:themeColor="text1"/>
          <w:sz w:val="18"/>
          <w:szCs w:val="18"/>
        </w:rPr>
        <w:t xml:space="preserve">Potenziamento dipendente dall’anticorpo: Meccanismo. </w:t>
      </w:r>
      <w:r w:rsidR="009F1355" w:rsidRPr="002911D4">
        <w:rPr>
          <w:rFonts w:asciiTheme="minorHAnsi" w:hAnsiTheme="minorHAnsi" w:cstheme="minorHAnsi"/>
          <w:color w:val="000000" w:themeColor="text1"/>
          <w:sz w:val="18"/>
          <w:szCs w:val="18"/>
        </w:rPr>
        <w:t xml:space="preserve">La normale fusione virale si verifica con il legame della proteina spike del coronavirus al suo recettore, la proteina dell'enzima </w:t>
      </w:r>
      <w:r w:rsidR="0089530A" w:rsidRPr="002911D4">
        <w:rPr>
          <w:rFonts w:asciiTheme="minorHAnsi" w:hAnsiTheme="minorHAnsi" w:cstheme="minorHAnsi"/>
          <w:color w:val="000000" w:themeColor="text1"/>
          <w:sz w:val="18"/>
          <w:szCs w:val="18"/>
        </w:rPr>
        <w:t xml:space="preserve">2 </w:t>
      </w:r>
      <w:r w:rsidR="009F1355" w:rsidRPr="002911D4">
        <w:rPr>
          <w:rFonts w:asciiTheme="minorHAnsi" w:hAnsiTheme="minorHAnsi" w:cstheme="minorHAnsi"/>
          <w:color w:val="000000" w:themeColor="text1"/>
          <w:sz w:val="18"/>
          <w:szCs w:val="18"/>
        </w:rPr>
        <w:t xml:space="preserve">che converte l'angiotensina (ACE2). Ciò induce un cambiamento conformazionale nella proteina S, esponendo un dominio di fusione della membrana, con conseguente fusione virale e rilascio di mRNA nella cellula. </w:t>
      </w:r>
      <w:r w:rsidR="0089530A" w:rsidRPr="002911D4">
        <w:rPr>
          <w:rFonts w:asciiTheme="minorHAnsi" w:hAnsiTheme="minorHAnsi" w:cstheme="minorHAnsi"/>
          <w:color w:val="000000" w:themeColor="text1"/>
          <w:sz w:val="18"/>
          <w:szCs w:val="18"/>
        </w:rPr>
        <w:t>Nell’</w:t>
      </w:r>
      <w:r w:rsidR="009F1355" w:rsidRPr="002911D4">
        <w:rPr>
          <w:rFonts w:asciiTheme="minorHAnsi" w:hAnsiTheme="minorHAnsi" w:cstheme="minorHAnsi"/>
          <w:color w:val="000000" w:themeColor="text1"/>
          <w:sz w:val="18"/>
          <w:szCs w:val="18"/>
        </w:rPr>
        <w:t xml:space="preserve">ADE, il legame anticorpale con la proteina S facilita il legame cellulare tramite la FCR e induce un cambiamento conformazionale nella proteina </w:t>
      </w:r>
      <w:r w:rsidR="0089530A" w:rsidRPr="002911D4">
        <w:rPr>
          <w:rFonts w:asciiTheme="minorHAnsi" w:hAnsiTheme="minorHAnsi" w:cstheme="minorHAnsi"/>
          <w:color w:val="000000" w:themeColor="text1"/>
          <w:sz w:val="18"/>
          <w:szCs w:val="18"/>
        </w:rPr>
        <w:t xml:space="preserve">spike </w:t>
      </w:r>
      <w:r w:rsidR="009F1355" w:rsidRPr="002911D4">
        <w:rPr>
          <w:rFonts w:asciiTheme="minorHAnsi" w:hAnsiTheme="minorHAnsi" w:cstheme="minorHAnsi"/>
          <w:color w:val="000000" w:themeColor="text1"/>
          <w:sz w:val="18"/>
          <w:szCs w:val="18"/>
        </w:rPr>
        <w:t>che espone il dominio di fusione. Un processo simile può verificarsi se le IgG si legano al complemento, con il complesso virus</w:t>
      </w:r>
      <w:r w:rsidR="0089530A" w:rsidRPr="002911D4">
        <w:rPr>
          <w:rFonts w:asciiTheme="minorHAnsi" w:hAnsiTheme="minorHAnsi" w:cstheme="minorHAnsi"/>
          <w:color w:val="000000" w:themeColor="text1"/>
          <w:sz w:val="18"/>
          <w:szCs w:val="18"/>
        </w:rPr>
        <w:t>:</w:t>
      </w:r>
      <w:r w:rsidR="009F1355" w:rsidRPr="002911D4">
        <w:rPr>
          <w:rFonts w:asciiTheme="minorHAnsi" w:hAnsiTheme="minorHAnsi" w:cstheme="minorHAnsi"/>
          <w:color w:val="000000" w:themeColor="text1"/>
          <w:sz w:val="18"/>
          <w:szCs w:val="18"/>
        </w:rPr>
        <w:t xml:space="preserve">C3b: IgG </w:t>
      </w:r>
      <w:r w:rsidR="0089530A" w:rsidRPr="002911D4">
        <w:rPr>
          <w:rFonts w:asciiTheme="minorHAnsi" w:hAnsiTheme="minorHAnsi" w:cstheme="minorHAnsi"/>
          <w:color w:val="000000" w:themeColor="text1"/>
          <w:sz w:val="18"/>
          <w:szCs w:val="18"/>
        </w:rPr>
        <w:t>captato attraverso</w:t>
      </w:r>
      <w:r w:rsidR="009F1355" w:rsidRPr="002911D4">
        <w:rPr>
          <w:rFonts w:asciiTheme="minorHAnsi" w:hAnsiTheme="minorHAnsi" w:cstheme="minorHAnsi"/>
          <w:color w:val="000000" w:themeColor="text1"/>
          <w:sz w:val="18"/>
          <w:szCs w:val="18"/>
        </w:rPr>
        <w:t xml:space="preserve"> </w:t>
      </w:r>
      <w:r w:rsidR="0089530A" w:rsidRPr="002911D4">
        <w:rPr>
          <w:rFonts w:asciiTheme="minorHAnsi" w:hAnsiTheme="minorHAnsi" w:cstheme="minorHAnsi"/>
          <w:color w:val="000000" w:themeColor="text1"/>
          <w:sz w:val="18"/>
          <w:szCs w:val="18"/>
        </w:rPr>
        <w:t>i</w:t>
      </w:r>
      <w:r w:rsidR="009F1355" w:rsidRPr="002911D4">
        <w:rPr>
          <w:rFonts w:asciiTheme="minorHAnsi" w:hAnsiTheme="minorHAnsi" w:cstheme="minorHAnsi"/>
          <w:color w:val="000000" w:themeColor="text1"/>
          <w:sz w:val="18"/>
          <w:szCs w:val="18"/>
        </w:rPr>
        <w:t>l recettore C3b.</w:t>
      </w:r>
      <w:r w:rsidRPr="002911D4">
        <w:rPr>
          <w:rFonts w:asciiTheme="minorHAnsi" w:hAnsiTheme="minorHAnsi" w:cstheme="minorHAnsi"/>
          <w:color w:val="000000" w:themeColor="text1"/>
          <w:sz w:val="18"/>
          <w:szCs w:val="18"/>
        </w:rPr>
        <w:t xml:space="preserve"> </w:t>
      </w:r>
    </w:p>
    <w:p w:rsidR="002911D4" w:rsidRDefault="002911D4" w:rsidP="002911D4">
      <w:pPr>
        <w:shd w:val="clear" w:color="auto" w:fill="F2F2F2" w:themeFill="background1" w:themeFillShade="F2"/>
        <w:jc w:val="both"/>
        <w:rPr>
          <w:rFonts w:asciiTheme="minorHAnsi" w:hAnsiTheme="minorHAnsi" w:cstheme="minorHAnsi"/>
          <w:color w:val="000000" w:themeColor="text1"/>
          <w:sz w:val="18"/>
          <w:szCs w:val="18"/>
        </w:rPr>
      </w:pPr>
    </w:p>
    <w:p w:rsidR="002911D4" w:rsidRPr="002911D4" w:rsidRDefault="002911D4" w:rsidP="002911D4">
      <w:pPr>
        <w:jc w:val="both"/>
        <w:rPr>
          <w:rFonts w:asciiTheme="minorHAnsi" w:hAnsiTheme="minorHAnsi" w:cstheme="minorHAnsi"/>
          <w:color w:val="000000" w:themeColor="text1"/>
          <w:sz w:val="18"/>
          <w:szCs w:val="18"/>
        </w:rPr>
      </w:pPr>
    </w:p>
    <w:p w:rsidR="002911D4" w:rsidRDefault="002911D4" w:rsidP="002911D4">
      <w:pPr>
        <w:pStyle w:val="Heading3"/>
        <w:jc w:val="center"/>
        <w:rPr>
          <w:rStyle w:val="Heading4Char"/>
          <w:rFonts w:asciiTheme="minorHAnsi" w:hAnsiTheme="minorHAnsi" w:cstheme="minorHAnsi"/>
          <w:i w:val="0"/>
          <w:iCs w:val="0"/>
          <w:color w:val="C00000"/>
          <w:sz w:val="22"/>
          <w:szCs w:val="22"/>
        </w:rPr>
      </w:pPr>
      <w:bookmarkStart w:id="61" w:name="_Toc43342393"/>
    </w:p>
    <w:p w:rsidR="008C1775" w:rsidRPr="00A833D2" w:rsidRDefault="00EA4BDB" w:rsidP="002911D4">
      <w:pPr>
        <w:pStyle w:val="Heading3"/>
        <w:shd w:val="clear" w:color="auto" w:fill="E2EFD9" w:themeFill="accent6" w:themeFillTint="33"/>
        <w:spacing w:before="0" w:beforeAutospacing="0" w:after="0" w:afterAutospacing="0"/>
        <w:jc w:val="center"/>
        <w:rPr>
          <w:rFonts w:asciiTheme="minorHAnsi" w:hAnsiTheme="minorHAnsi"/>
          <w:i/>
          <w:iCs/>
          <w:color w:val="C00000"/>
          <w:sz w:val="24"/>
          <w:szCs w:val="24"/>
        </w:rPr>
      </w:pPr>
      <w:r w:rsidRPr="00A833D2">
        <w:rPr>
          <w:rStyle w:val="Heading4Char"/>
          <w:rFonts w:asciiTheme="minorHAnsi" w:hAnsiTheme="minorHAnsi" w:cstheme="minorHAnsi"/>
          <w:i w:val="0"/>
          <w:iCs w:val="0"/>
          <w:color w:val="C00000"/>
          <w:shd w:val="clear" w:color="auto" w:fill="E2EFD9" w:themeFill="accent6" w:themeFillTint="33"/>
        </w:rPr>
        <w:lastRenderedPageBreak/>
        <w:t>L’ADE da vaccino antinfluenzale</w:t>
      </w:r>
      <w:r w:rsidRPr="00A833D2">
        <w:rPr>
          <w:rFonts w:asciiTheme="minorHAnsi" w:hAnsiTheme="minorHAnsi"/>
          <w:i/>
          <w:iCs/>
          <w:color w:val="C00000"/>
          <w:sz w:val="24"/>
          <w:szCs w:val="24"/>
        </w:rPr>
        <w:t xml:space="preserve"> </w:t>
      </w:r>
      <w:r w:rsidRPr="00A833D2">
        <w:rPr>
          <w:rStyle w:val="FootnoteReference"/>
          <w:rFonts w:asciiTheme="minorHAnsi" w:hAnsiTheme="minorHAnsi"/>
          <w:i/>
          <w:iCs/>
          <w:color w:val="C00000"/>
          <w:sz w:val="24"/>
          <w:szCs w:val="24"/>
        </w:rPr>
        <w:footnoteReference w:id="102"/>
      </w:r>
      <w:bookmarkEnd w:id="61"/>
    </w:p>
    <w:p w:rsidR="002911D4" w:rsidRPr="00A833D2" w:rsidRDefault="002911D4" w:rsidP="00DA03A9">
      <w:pPr>
        <w:pStyle w:val="NormalWeb"/>
        <w:shd w:val="clear" w:color="auto" w:fill="FFFFFF"/>
        <w:spacing w:before="0" w:beforeAutospacing="0" w:after="0" w:afterAutospacing="0"/>
        <w:jc w:val="both"/>
        <w:rPr>
          <w:rFonts w:asciiTheme="minorHAnsi" w:hAnsiTheme="minorHAnsi" w:cstheme="minorHAnsi"/>
          <w:color w:val="000000" w:themeColor="text1"/>
        </w:rPr>
      </w:pPr>
    </w:p>
    <w:p w:rsidR="002911D4" w:rsidRDefault="002911D4" w:rsidP="00DA03A9">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p>
    <w:p w:rsidR="00DA03A9" w:rsidRPr="00BC5E79" w:rsidRDefault="00E76BA7" w:rsidP="00DA03A9">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r w:rsidRPr="00BC5E79">
        <w:rPr>
          <w:rFonts w:asciiTheme="minorHAnsi" w:hAnsiTheme="minorHAnsi" w:cstheme="minorHAnsi"/>
          <w:color w:val="000000" w:themeColor="text1"/>
          <w:sz w:val="20"/>
          <w:szCs w:val="20"/>
        </w:rPr>
        <w:t xml:space="preserve">La </w:t>
      </w:r>
      <w:r w:rsidR="00DA03A9" w:rsidRPr="00BC5E79">
        <w:rPr>
          <w:rFonts w:asciiTheme="minorHAnsi" w:hAnsiTheme="minorHAnsi" w:cstheme="minorHAnsi"/>
          <w:color w:val="000000" w:themeColor="text1"/>
          <w:sz w:val="20"/>
          <w:szCs w:val="20"/>
        </w:rPr>
        <w:t xml:space="preserve">vaccinazione antinfluenzale è proposta per la prevenzione </w:t>
      </w:r>
      <w:r w:rsidRPr="00BC5E79">
        <w:rPr>
          <w:rFonts w:asciiTheme="minorHAnsi" w:hAnsiTheme="minorHAnsi" w:cstheme="minorHAnsi"/>
          <w:color w:val="000000" w:themeColor="text1"/>
          <w:sz w:val="20"/>
          <w:szCs w:val="20"/>
        </w:rPr>
        <w:t xml:space="preserve">dell’infezione stagionale e, poiché </w:t>
      </w:r>
      <w:r w:rsidRPr="002911D4">
        <w:rPr>
          <w:rFonts w:asciiTheme="minorHAnsi" w:hAnsiTheme="minorHAnsi" w:cstheme="minorHAnsi"/>
          <w:color w:val="000000" w:themeColor="text1"/>
          <w:sz w:val="20"/>
          <w:szCs w:val="20"/>
          <w:shd w:val="clear" w:color="auto" w:fill="FBF9E1"/>
        </w:rPr>
        <w:t>è attualmente raccomandata in previsione della prossima epidemia da SARS-Cov-2 per migliorare la gestione del COVID-19</w:t>
      </w:r>
      <w:r w:rsidRPr="00BC5E79">
        <w:rPr>
          <w:rFonts w:asciiTheme="minorHAnsi" w:hAnsiTheme="minorHAnsi" w:cstheme="minorHAnsi"/>
          <w:color w:val="000000" w:themeColor="text1"/>
          <w:sz w:val="20"/>
          <w:szCs w:val="20"/>
        </w:rPr>
        <w:t xml:space="preserve"> (si ritiene che la prevenzione dell’influenza permetterà di evitare il sovraccarico delle unità di terapia intensiva quando ci sarà il picco epidemico per COVI-19) è opportuno esaminarne i rischi associati allo sviluppo di ADE.</w:t>
      </w:r>
    </w:p>
    <w:p w:rsidR="00E76BA7" w:rsidRPr="00BC5E79" w:rsidRDefault="00E76BA7" w:rsidP="00DA03A9">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p>
    <w:p w:rsidR="00BC5E79" w:rsidRDefault="00E76BA7" w:rsidP="00DA03A9">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r w:rsidRPr="00BC5E79">
        <w:rPr>
          <w:rFonts w:asciiTheme="minorHAnsi" w:hAnsiTheme="minorHAnsi" w:cstheme="minorHAnsi"/>
          <w:color w:val="000000" w:themeColor="text1"/>
          <w:sz w:val="20"/>
          <w:szCs w:val="20"/>
        </w:rPr>
        <w:t xml:space="preserve">La </w:t>
      </w:r>
      <w:r w:rsidR="00EA4BDB" w:rsidRPr="00BC5E79">
        <w:rPr>
          <w:rFonts w:asciiTheme="minorHAnsi" w:hAnsiTheme="minorHAnsi" w:cstheme="minorHAnsi"/>
          <w:color w:val="000000" w:themeColor="text1"/>
          <w:sz w:val="20"/>
          <w:szCs w:val="20"/>
        </w:rPr>
        <w:t xml:space="preserve">malattia respiratoria potenziata associata al vaccino (VAERD) è stata descritta in diverse infezioni respiratorie nell'uomo e negli  animali. </w:t>
      </w:r>
    </w:p>
    <w:p w:rsidR="00844C6D" w:rsidRDefault="00844C6D" w:rsidP="00DA03A9">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p>
    <w:p w:rsidR="002911D4" w:rsidRDefault="00EA4BDB" w:rsidP="00DA03A9">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r w:rsidRPr="00844C6D">
        <w:rPr>
          <w:rFonts w:asciiTheme="minorHAnsi" w:hAnsiTheme="minorHAnsi" w:cstheme="minorHAnsi"/>
          <w:b/>
          <w:bCs/>
          <w:color w:val="000000" w:themeColor="text1"/>
          <w:sz w:val="20"/>
          <w:szCs w:val="20"/>
        </w:rPr>
        <w:t xml:space="preserve">Bambini sieronegativi che hanno ricevuto il </w:t>
      </w:r>
      <w:r w:rsidRPr="00A833D2">
        <w:rPr>
          <w:rFonts w:asciiTheme="minorHAnsi" w:hAnsiTheme="minorHAnsi" w:cstheme="minorHAnsi"/>
          <w:b/>
          <w:bCs/>
          <w:color w:val="000000" w:themeColor="text1"/>
          <w:sz w:val="20"/>
          <w:szCs w:val="20"/>
          <w:shd w:val="clear" w:color="auto" w:fill="FBF9E1"/>
        </w:rPr>
        <w:t xml:space="preserve">vaccino contro il virus respiratorio sinciziale (RSV) inattivato con formaldeide, seguito dall'esposizione a RSV wild-type (selvatico) hanno manifestato un </w:t>
      </w:r>
      <w:r w:rsidR="008846C9" w:rsidRPr="00A833D2">
        <w:rPr>
          <w:rFonts w:asciiTheme="minorHAnsi" w:hAnsiTheme="minorHAnsi" w:cstheme="minorHAnsi"/>
          <w:b/>
          <w:bCs/>
          <w:color w:val="000000" w:themeColor="text1"/>
          <w:sz w:val="20"/>
          <w:szCs w:val="20"/>
          <w:shd w:val="clear" w:color="auto" w:fill="FBF9E1"/>
        </w:rPr>
        <w:t xml:space="preserve">peggioramento anche fatale della </w:t>
      </w:r>
      <w:r w:rsidRPr="00A833D2">
        <w:rPr>
          <w:rFonts w:asciiTheme="minorHAnsi" w:hAnsiTheme="minorHAnsi" w:cstheme="minorHAnsi"/>
          <w:b/>
          <w:bCs/>
          <w:color w:val="000000" w:themeColor="text1"/>
          <w:sz w:val="20"/>
          <w:szCs w:val="20"/>
          <w:shd w:val="clear" w:color="auto" w:fill="FBF9E1"/>
        </w:rPr>
        <w:t>malattia respiratoria</w:t>
      </w:r>
      <w:r w:rsidR="008846C9" w:rsidRPr="00A833D2">
        <w:rPr>
          <w:rFonts w:asciiTheme="minorHAnsi" w:hAnsiTheme="minorHAnsi" w:cstheme="minorHAnsi"/>
          <w:color w:val="000000" w:themeColor="text1"/>
          <w:sz w:val="20"/>
          <w:szCs w:val="20"/>
          <w:shd w:val="clear" w:color="auto" w:fill="FBF9E1"/>
        </w:rPr>
        <w:t xml:space="preserve"> </w:t>
      </w:r>
      <w:r w:rsidR="008846C9" w:rsidRPr="00BC5E79">
        <w:rPr>
          <w:rFonts w:asciiTheme="minorHAnsi" w:hAnsiTheme="minorHAnsi" w:cstheme="minorHAnsi"/>
          <w:color w:val="000000" w:themeColor="text1"/>
          <w:sz w:val="20"/>
          <w:szCs w:val="20"/>
        </w:rPr>
        <w:t xml:space="preserve">(dagli studi effettuati per comprendere il meccanismo dell’ADE </w:t>
      </w:r>
      <w:r w:rsidR="00BC5E79" w:rsidRPr="00BC5E79">
        <w:rPr>
          <w:rFonts w:asciiTheme="minorHAnsi" w:hAnsiTheme="minorHAnsi" w:cstheme="minorHAnsi"/>
          <w:color w:val="000000" w:themeColor="text1"/>
          <w:sz w:val="20"/>
          <w:szCs w:val="20"/>
        </w:rPr>
        <w:t>è</w:t>
      </w:r>
      <w:r w:rsidR="008846C9" w:rsidRPr="00BC5E79">
        <w:rPr>
          <w:rFonts w:asciiTheme="minorHAnsi" w:hAnsiTheme="minorHAnsi" w:cstheme="minorHAnsi"/>
          <w:color w:val="000000" w:themeColor="text1"/>
          <w:sz w:val="20"/>
          <w:szCs w:val="20"/>
        </w:rPr>
        <w:t xml:space="preserve"> stato dimostrato che è mediato da complessi immunitari e annullato nei topi carenti di complemento C3 e B</w:t>
      </w:r>
      <w:r w:rsidR="00BC5E79">
        <w:rPr>
          <w:rFonts w:asciiTheme="minorHAnsi" w:hAnsiTheme="minorHAnsi" w:cstheme="minorHAnsi"/>
          <w:color w:val="000000" w:themeColor="text1"/>
          <w:sz w:val="20"/>
          <w:szCs w:val="20"/>
        </w:rPr>
        <w:t xml:space="preserve">, </w:t>
      </w:r>
      <w:r w:rsidR="008846C9" w:rsidRPr="00BC5E79">
        <w:rPr>
          <w:rFonts w:asciiTheme="minorHAnsi" w:hAnsiTheme="minorHAnsi" w:cstheme="minorHAnsi"/>
          <w:color w:val="000000" w:themeColor="text1"/>
          <w:sz w:val="20"/>
          <w:szCs w:val="20"/>
        </w:rPr>
        <w:t>e sono state fornite prove di attivazione del complemento nelle</w:t>
      </w:r>
      <w:r w:rsidR="008846C9" w:rsidRPr="003843FE">
        <w:rPr>
          <w:rFonts w:asciiTheme="minorHAnsi" w:hAnsiTheme="minorHAnsi" w:cstheme="minorHAnsi"/>
          <w:color w:val="000000" w:themeColor="text1"/>
          <w:sz w:val="22"/>
          <w:szCs w:val="22"/>
        </w:rPr>
        <w:t xml:space="preserve"> </w:t>
      </w:r>
      <w:r w:rsidR="008846C9" w:rsidRPr="00BC5E79">
        <w:rPr>
          <w:rFonts w:asciiTheme="minorHAnsi" w:hAnsiTheme="minorHAnsi" w:cstheme="minorHAnsi"/>
          <w:color w:val="000000" w:themeColor="text1"/>
          <w:sz w:val="20"/>
          <w:szCs w:val="20"/>
        </w:rPr>
        <w:t>sezioni polmonari post mortem nei bambini decedut</w:t>
      </w:r>
      <w:r w:rsidR="00AA3C97" w:rsidRPr="00BC5E79">
        <w:rPr>
          <w:rFonts w:asciiTheme="minorHAnsi" w:hAnsiTheme="minorHAnsi" w:cstheme="minorHAnsi"/>
          <w:color w:val="000000" w:themeColor="text1"/>
          <w:sz w:val="20"/>
          <w:szCs w:val="20"/>
        </w:rPr>
        <w:t>i</w:t>
      </w:r>
      <w:r w:rsidR="008846C9" w:rsidRPr="00BC5E79">
        <w:rPr>
          <w:rFonts w:asciiTheme="minorHAnsi" w:hAnsiTheme="minorHAnsi" w:cstheme="minorHAnsi"/>
          <w:color w:val="000000" w:themeColor="text1"/>
          <w:sz w:val="20"/>
          <w:szCs w:val="20"/>
        </w:rPr>
        <w:t xml:space="preserve"> per il potenziamento della malattia da RSV)</w:t>
      </w:r>
      <w:r w:rsidRPr="00BC5E79">
        <w:rPr>
          <w:rFonts w:asciiTheme="minorHAnsi" w:hAnsiTheme="minorHAnsi" w:cstheme="minorHAnsi"/>
          <w:color w:val="000000" w:themeColor="text1"/>
          <w:sz w:val="20"/>
          <w:szCs w:val="20"/>
        </w:rPr>
        <w:t>.</w:t>
      </w:r>
      <w:r w:rsidR="008846C9" w:rsidRPr="00BC5E79">
        <w:rPr>
          <w:rFonts w:asciiTheme="minorHAnsi" w:hAnsiTheme="minorHAnsi" w:cstheme="minorHAnsi"/>
          <w:color w:val="000000" w:themeColor="text1"/>
          <w:sz w:val="20"/>
          <w:szCs w:val="20"/>
        </w:rPr>
        <w:t xml:space="preserve"> </w:t>
      </w:r>
      <w:r w:rsidR="008846C9" w:rsidRPr="00BC5E79">
        <w:rPr>
          <w:rStyle w:val="FootnoteReference"/>
          <w:rFonts w:asciiTheme="minorHAnsi" w:hAnsiTheme="minorHAnsi" w:cstheme="minorHAnsi"/>
          <w:color w:val="000000" w:themeColor="text1"/>
          <w:sz w:val="20"/>
          <w:szCs w:val="20"/>
        </w:rPr>
        <w:footnoteReference w:id="103"/>
      </w:r>
      <w:r w:rsidRPr="00BC5E79">
        <w:rPr>
          <w:rFonts w:asciiTheme="minorHAnsi" w:hAnsiTheme="minorHAnsi" w:cstheme="minorHAnsi"/>
          <w:color w:val="000000" w:themeColor="text1"/>
          <w:sz w:val="20"/>
          <w:szCs w:val="20"/>
        </w:rPr>
        <w:t xml:space="preserve"> </w:t>
      </w:r>
    </w:p>
    <w:p w:rsidR="002911D4" w:rsidRDefault="002911D4" w:rsidP="00DA03A9">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p>
    <w:p w:rsidR="00EA4BDB" w:rsidRPr="00BC5E79" w:rsidRDefault="00EA4BDB" w:rsidP="00DA03A9">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r w:rsidRPr="00BC5E79">
        <w:rPr>
          <w:rFonts w:asciiTheme="minorHAnsi" w:hAnsiTheme="minorHAnsi" w:cstheme="minorHAnsi"/>
          <w:color w:val="000000" w:themeColor="text1"/>
          <w:sz w:val="20"/>
          <w:szCs w:val="20"/>
        </w:rPr>
        <w:t xml:space="preserve">Allo stesso modo, </w:t>
      </w:r>
      <w:r w:rsidRPr="00844C6D">
        <w:rPr>
          <w:rFonts w:asciiTheme="minorHAnsi" w:hAnsiTheme="minorHAnsi" w:cstheme="minorHAnsi"/>
          <w:b/>
          <w:bCs/>
          <w:color w:val="000000" w:themeColor="text1"/>
          <w:sz w:val="20"/>
          <w:szCs w:val="20"/>
        </w:rPr>
        <w:t xml:space="preserve">il </w:t>
      </w:r>
      <w:r w:rsidRPr="00A833D2">
        <w:rPr>
          <w:rFonts w:asciiTheme="minorHAnsi" w:hAnsiTheme="minorHAnsi" w:cstheme="minorHAnsi"/>
          <w:b/>
          <w:bCs/>
          <w:color w:val="000000" w:themeColor="text1"/>
          <w:sz w:val="20"/>
          <w:szCs w:val="20"/>
          <w:shd w:val="clear" w:color="auto" w:fill="FBF9E1"/>
        </w:rPr>
        <w:t xml:space="preserve">morbillo atipico con </w:t>
      </w:r>
      <w:r w:rsidR="008846C9" w:rsidRPr="00A833D2">
        <w:rPr>
          <w:rFonts w:asciiTheme="minorHAnsi" w:hAnsiTheme="minorHAnsi" w:cstheme="minorHAnsi"/>
          <w:b/>
          <w:bCs/>
          <w:color w:val="000000" w:themeColor="text1"/>
          <w:sz w:val="20"/>
          <w:szCs w:val="20"/>
          <w:shd w:val="clear" w:color="auto" w:fill="FBF9E1"/>
        </w:rPr>
        <w:t xml:space="preserve">complicazione </w:t>
      </w:r>
      <w:r w:rsidRPr="00A833D2">
        <w:rPr>
          <w:rFonts w:asciiTheme="minorHAnsi" w:hAnsiTheme="minorHAnsi" w:cstheme="minorHAnsi"/>
          <w:b/>
          <w:bCs/>
          <w:color w:val="000000" w:themeColor="text1"/>
          <w:sz w:val="20"/>
          <w:szCs w:val="20"/>
          <w:shd w:val="clear" w:color="auto" w:fill="FBF9E1"/>
        </w:rPr>
        <w:t>grave è stato riportato nei bambini vaccinati con vaccini inattivati con formal</w:t>
      </w:r>
      <w:r w:rsidR="008846C9" w:rsidRPr="00A833D2">
        <w:rPr>
          <w:rFonts w:asciiTheme="minorHAnsi" w:hAnsiTheme="minorHAnsi" w:cstheme="minorHAnsi"/>
          <w:b/>
          <w:bCs/>
          <w:color w:val="000000" w:themeColor="text1"/>
          <w:sz w:val="20"/>
          <w:szCs w:val="20"/>
          <w:shd w:val="clear" w:color="auto" w:fill="FBF9E1"/>
        </w:rPr>
        <w:t>deide</w:t>
      </w:r>
      <w:r w:rsidR="008846C9" w:rsidRPr="00A833D2">
        <w:rPr>
          <w:rFonts w:asciiTheme="minorHAnsi" w:hAnsiTheme="minorHAnsi" w:cstheme="minorHAnsi"/>
          <w:color w:val="000000" w:themeColor="text1"/>
          <w:sz w:val="20"/>
          <w:szCs w:val="20"/>
          <w:shd w:val="clear" w:color="auto" w:fill="FBF9E1"/>
        </w:rPr>
        <w:t xml:space="preserve"> </w:t>
      </w:r>
      <w:r w:rsidR="008846C9" w:rsidRPr="00BC5E79">
        <w:rPr>
          <w:rStyle w:val="FootnoteReference"/>
          <w:rFonts w:asciiTheme="minorHAnsi" w:hAnsiTheme="minorHAnsi" w:cstheme="minorHAnsi"/>
          <w:color w:val="000000" w:themeColor="text1"/>
          <w:sz w:val="20"/>
          <w:szCs w:val="20"/>
        </w:rPr>
        <w:footnoteReference w:id="104"/>
      </w:r>
      <w:r w:rsidRPr="00BC5E79">
        <w:rPr>
          <w:rFonts w:asciiTheme="minorHAnsi" w:hAnsiTheme="minorHAnsi" w:cstheme="minorHAnsi"/>
          <w:color w:val="000000" w:themeColor="text1"/>
          <w:sz w:val="20"/>
          <w:szCs w:val="20"/>
        </w:rPr>
        <w:t xml:space="preserve">. I meccanismi sottostanti </w:t>
      </w:r>
      <w:r w:rsidR="00AA3C97" w:rsidRPr="00BC5E79">
        <w:rPr>
          <w:rFonts w:asciiTheme="minorHAnsi" w:hAnsiTheme="minorHAnsi" w:cstheme="minorHAnsi"/>
          <w:color w:val="000000" w:themeColor="text1"/>
          <w:sz w:val="20"/>
          <w:szCs w:val="20"/>
        </w:rPr>
        <w:t>i</w:t>
      </w:r>
      <w:r w:rsidRPr="00BC5E79">
        <w:rPr>
          <w:rFonts w:asciiTheme="minorHAnsi" w:hAnsiTheme="minorHAnsi" w:cstheme="minorHAnsi"/>
          <w:color w:val="000000" w:themeColor="text1"/>
          <w:sz w:val="20"/>
          <w:szCs w:val="20"/>
        </w:rPr>
        <w:t xml:space="preserve">l VAERD dopo </w:t>
      </w:r>
      <w:r w:rsidR="008846C9" w:rsidRPr="00BC5E79">
        <w:rPr>
          <w:rFonts w:asciiTheme="minorHAnsi" w:hAnsiTheme="minorHAnsi" w:cstheme="minorHAnsi"/>
          <w:color w:val="000000" w:themeColor="text1"/>
          <w:sz w:val="20"/>
          <w:szCs w:val="20"/>
        </w:rPr>
        <w:t xml:space="preserve">le </w:t>
      </w:r>
      <w:r w:rsidRPr="00BC5E79">
        <w:rPr>
          <w:rFonts w:asciiTheme="minorHAnsi" w:hAnsiTheme="minorHAnsi" w:cstheme="minorHAnsi"/>
          <w:color w:val="000000" w:themeColor="text1"/>
          <w:sz w:val="20"/>
          <w:szCs w:val="20"/>
        </w:rPr>
        <w:t xml:space="preserve">infezioni respiratorie non è completamente compreso e può variare con la malattia e / o le modalità </w:t>
      </w:r>
      <w:r w:rsidR="008846C9" w:rsidRPr="00BC5E79">
        <w:rPr>
          <w:rFonts w:asciiTheme="minorHAnsi" w:hAnsiTheme="minorHAnsi" w:cstheme="minorHAnsi"/>
          <w:color w:val="000000" w:themeColor="text1"/>
          <w:sz w:val="20"/>
          <w:szCs w:val="20"/>
        </w:rPr>
        <w:t>con cui viene preparato i</w:t>
      </w:r>
      <w:r w:rsidRPr="00BC5E79">
        <w:rPr>
          <w:rFonts w:asciiTheme="minorHAnsi" w:hAnsiTheme="minorHAnsi" w:cstheme="minorHAnsi"/>
          <w:color w:val="000000" w:themeColor="text1"/>
          <w:sz w:val="20"/>
          <w:szCs w:val="20"/>
        </w:rPr>
        <w:t>l vaccino</w:t>
      </w:r>
      <w:r w:rsidR="008846C9" w:rsidRPr="00BC5E79">
        <w:rPr>
          <w:rFonts w:asciiTheme="minorHAnsi" w:hAnsiTheme="minorHAnsi" w:cstheme="minorHAnsi"/>
          <w:color w:val="000000" w:themeColor="text1"/>
          <w:sz w:val="20"/>
          <w:szCs w:val="20"/>
        </w:rPr>
        <w:t>.</w:t>
      </w:r>
    </w:p>
    <w:p w:rsidR="00AA3C97" w:rsidRPr="00BC5E79" w:rsidRDefault="00AA3C97" w:rsidP="00DA03A9">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p>
    <w:p w:rsidR="00EA4BDB" w:rsidRPr="00BC5E79" w:rsidRDefault="00DA03A9" w:rsidP="00DA03A9">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r w:rsidRPr="00BC5E79">
        <w:rPr>
          <w:rFonts w:asciiTheme="minorHAnsi" w:hAnsiTheme="minorHAnsi" w:cstheme="minorHAnsi"/>
          <w:color w:val="000000" w:themeColor="text1"/>
          <w:sz w:val="20"/>
          <w:szCs w:val="20"/>
        </w:rPr>
        <w:t>In uno studio</w:t>
      </w:r>
      <w:r w:rsidR="00EA4BDB" w:rsidRPr="00BC5E79">
        <w:rPr>
          <w:rFonts w:asciiTheme="minorHAnsi" w:hAnsiTheme="minorHAnsi" w:cstheme="minorHAnsi"/>
          <w:color w:val="000000" w:themeColor="text1"/>
          <w:sz w:val="20"/>
          <w:szCs w:val="20"/>
        </w:rPr>
        <w:t xml:space="preserve"> </w:t>
      </w:r>
      <w:r w:rsidRPr="00BC5E79">
        <w:rPr>
          <w:rFonts w:asciiTheme="minorHAnsi" w:hAnsiTheme="minorHAnsi" w:cstheme="minorHAnsi"/>
          <w:color w:val="000000" w:themeColor="text1"/>
          <w:sz w:val="20"/>
          <w:szCs w:val="20"/>
        </w:rPr>
        <w:t xml:space="preserve">svolto per </w:t>
      </w:r>
      <w:r w:rsidR="00E76BA7" w:rsidRPr="00BC5E79">
        <w:rPr>
          <w:rFonts w:asciiTheme="minorHAnsi" w:hAnsiTheme="minorHAnsi" w:cstheme="minorHAnsi"/>
          <w:color w:val="000000" w:themeColor="text1"/>
          <w:sz w:val="20"/>
          <w:szCs w:val="20"/>
        </w:rPr>
        <w:t>valutare</w:t>
      </w:r>
      <w:r w:rsidRPr="00BC5E79">
        <w:rPr>
          <w:rFonts w:asciiTheme="minorHAnsi" w:hAnsiTheme="minorHAnsi" w:cstheme="minorHAnsi"/>
          <w:color w:val="000000" w:themeColor="text1"/>
          <w:sz w:val="20"/>
          <w:szCs w:val="20"/>
        </w:rPr>
        <w:t xml:space="preserve"> il VAERD associato all'infezione influenzale nei casi in cui il ceppo vaccinale non corrisponde al ceppo infettante è stato utilizzato </w:t>
      </w:r>
      <w:r w:rsidR="00EA4BDB" w:rsidRPr="00BC5E79">
        <w:rPr>
          <w:rFonts w:asciiTheme="minorHAnsi" w:hAnsiTheme="minorHAnsi" w:cstheme="minorHAnsi"/>
          <w:color w:val="000000" w:themeColor="text1"/>
          <w:sz w:val="20"/>
          <w:szCs w:val="20"/>
        </w:rPr>
        <w:t xml:space="preserve">un modello </w:t>
      </w:r>
      <w:r w:rsidRPr="00BC5E79">
        <w:rPr>
          <w:rFonts w:asciiTheme="minorHAnsi" w:hAnsiTheme="minorHAnsi" w:cstheme="minorHAnsi"/>
          <w:color w:val="000000" w:themeColor="text1"/>
          <w:sz w:val="20"/>
          <w:szCs w:val="20"/>
        </w:rPr>
        <w:t>animale suino, in quanto p</w:t>
      </w:r>
      <w:r w:rsidR="00EA4BDB" w:rsidRPr="00BC5E79">
        <w:rPr>
          <w:rFonts w:asciiTheme="minorHAnsi" w:hAnsiTheme="minorHAnsi" w:cstheme="minorHAnsi"/>
          <w:color w:val="000000" w:themeColor="text1"/>
          <w:sz w:val="20"/>
          <w:szCs w:val="20"/>
        </w:rPr>
        <w:t xml:space="preserve">recedenti lavori </w:t>
      </w:r>
      <w:r w:rsidRPr="00BC5E79">
        <w:rPr>
          <w:rFonts w:asciiTheme="minorHAnsi" w:hAnsiTheme="minorHAnsi" w:cstheme="minorHAnsi"/>
          <w:color w:val="000000" w:themeColor="text1"/>
          <w:sz w:val="20"/>
          <w:szCs w:val="20"/>
        </w:rPr>
        <w:t>dello stesso</w:t>
      </w:r>
      <w:r w:rsidR="00EA4BDB" w:rsidRPr="00BC5E79">
        <w:rPr>
          <w:rFonts w:asciiTheme="minorHAnsi" w:hAnsiTheme="minorHAnsi" w:cstheme="minorHAnsi"/>
          <w:color w:val="000000" w:themeColor="text1"/>
          <w:sz w:val="20"/>
          <w:szCs w:val="20"/>
        </w:rPr>
        <w:t xml:space="preserve"> gruppo </w:t>
      </w:r>
      <w:r w:rsidRPr="00BC5E79">
        <w:rPr>
          <w:rFonts w:asciiTheme="minorHAnsi" w:hAnsiTheme="minorHAnsi" w:cstheme="minorHAnsi"/>
          <w:color w:val="000000" w:themeColor="text1"/>
          <w:sz w:val="20"/>
          <w:szCs w:val="20"/>
        </w:rPr>
        <w:t>di ricerca avevano di</w:t>
      </w:r>
      <w:r w:rsidR="00EA4BDB" w:rsidRPr="00BC5E79">
        <w:rPr>
          <w:rFonts w:asciiTheme="minorHAnsi" w:hAnsiTheme="minorHAnsi" w:cstheme="minorHAnsi"/>
          <w:color w:val="000000" w:themeColor="text1"/>
          <w:sz w:val="20"/>
          <w:szCs w:val="20"/>
        </w:rPr>
        <w:t xml:space="preserve">mostrato che </w:t>
      </w:r>
      <w:r w:rsidR="00EA4BDB" w:rsidRPr="00A833D2">
        <w:rPr>
          <w:rFonts w:asciiTheme="minorHAnsi" w:hAnsiTheme="minorHAnsi" w:cstheme="minorHAnsi"/>
          <w:b/>
          <w:bCs/>
          <w:color w:val="000000" w:themeColor="text1"/>
          <w:sz w:val="20"/>
          <w:szCs w:val="20"/>
          <w:shd w:val="clear" w:color="auto" w:fill="FBF9E1"/>
        </w:rPr>
        <w:t xml:space="preserve">i suini vaccinati con un vaccino virale inattivato contenente un </w:t>
      </w:r>
      <w:r w:rsidRPr="00A833D2">
        <w:rPr>
          <w:rFonts w:asciiTheme="minorHAnsi" w:hAnsiTheme="minorHAnsi" w:cstheme="minorHAnsi"/>
          <w:b/>
          <w:bCs/>
          <w:color w:val="000000" w:themeColor="text1"/>
          <w:sz w:val="20"/>
          <w:szCs w:val="20"/>
          <w:shd w:val="clear" w:color="auto" w:fill="FBF9E1"/>
        </w:rPr>
        <w:t xml:space="preserve">virus </w:t>
      </w:r>
      <w:r w:rsidR="00EA4BDB" w:rsidRPr="00A833D2">
        <w:rPr>
          <w:rFonts w:asciiTheme="minorHAnsi" w:hAnsiTheme="minorHAnsi" w:cstheme="minorHAnsi"/>
          <w:b/>
          <w:bCs/>
          <w:color w:val="000000" w:themeColor="text1"/>
          <w:sz w:val="20"/>
          <w:szCs w:val="20"/>
          <w:shd w:val="clear" w:color="auto" w:fill="FBF9E1"/>
        </w:rPr>
        <w:t xml:space="preserve">H1N2 simile </w:t>
      </w:r>
      <w:r w:rsidRPr="00A833D2">
        <w:rPr>
          <w:rFonts w:asciiTheme="minorHAnsi" w:hAnsiTheme="minorHAnsi" w:cstheme="minorHAnsi"/>
          <w:b/>
          <w:bCs/>
          <w:color w:val="000000" w:themeColor="text1"/>
          <w:sz w:val="20"/>
          <w:szCs w:val="20"/>
          <w:shd w:val="clear" w:color="auto" w:fill="FBF9E1"/>
        </w:rPr>
        <w:t>a quello del</w:t>
      </w:r>
      <w:r w:rsidR="00EA4BDB" w:rsidRPr="00A833D2">
        <w:rPr>
          <w:rFonts w:asciiTheme="minorHAnsi" w:hAnsiTheme="minorHAnsi" w:cstheme="minorHAnsi"/>
          <w:b/>
          <w:bCs/>
          <w:color w:val="000000" w:themeColor="text1"/>
          <w:sz w:val="20"/>
          <w:szCs w:val="20"/>
          <w:shd w:val="clear" w:color="auto" w:fill="FBF9E1"/>
        </w:rPr>
        <w:t xml:space="preserve">l'uomo (WIV-H1N2) non solo non erano protetti dall'infezione da virus H1N1 suino ma avevano anche una polmonite </w:t>
      </w:r>
      <w:r w:rsidRPr="00A833D2">
        <w:rPr>
          <w:rFonts w:asciiTheme="minorHAnsi" w:hAnsiTheme="minorHAnsi" w:cstheme="minorHAnsi"/>
          <w:b/>
          <w:bCs/>
          <w:color w:val="000000" w:themeColor="text1"/>
          <w:sz w:val="20"/>
          <w:szCs w:val="20"/>
          <w:shd w:val="clear" w:color="auto" w:fill="FBF9E1"/>
        </w:rPr>
        <w:t>più grave</w:t>
      </w:r>
      <w:r w:rsidR="00EA4BDB" w:rsidRPr="00A833D2">
        <w:rPr>
          <w:rFonts w:asciiTheme="minorHAnsi" w:hAnsiTheme="minorHAnsi" w:cstheme="minorHAnsi"/>
          <w:b/>
          <w:bCs/>
          <w:color w:val="000000" w:themeColor="text1"/>
          <w:sz w:val="20"/>
          <w:szCs w:val="20"/>
          <w:shd w:val="clear" w:color="auto" w:fill="FBF9E1"/>
        </w:rPr>
        <w:t xml:space="preserve"> dopo l'infezione</w:t>
      </w:r>
      <w:r w:rsidR="00EA4BDB" w:rsidRPr="00BC5E79">
        <w:rPr>
          <w:rFonts w:asciiTheme="minorHAnsi" w:hAnsiTheme="minorHAnsi" w:cstheme="minorHAnsi"/>
          <w:color w:val="000000" w:themeColor="text1"/>
          <w:sz w:val="20"/>
          <w:szCs w:val="20"/>
        </w:rPr>
        <w:t>.</w:t>
      </w:r>
    </w:p>
    <w:p w:rsidR="00844C6D" w:rsidRDefault="00EA4BDB" w:rsidP="00EA4BDB">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r w:rsidRPr="00BC5E79">
        <w:rPr>
          <w:rFonts w:asciiTheme="minorHAnsi" w:hAnsiTheme="minorHAnsi" w:cstheme="minorHAnsi"/>
          <w:color w:val="000000" w:themeColor="text1"/>
          <w:sz w:val="20"/>
          <w:szCs w:val="20"/>
        </w:rPr>
        <w:t xml:space="preserve">Gli autori hanno analizzato i sieri post-vaccinazione </w:t>
      </w:r>
      <w:r w:rsidR="00DA03A9" w:rsidRPr="00BC5E79">
        <w:rPr>
          <w:rFonts w:asciiTheme="minorHAnsi" w:hAnsiTheme="minorHAnsi" w:cstheme="minorHAnsi"/>
          <w:color w:val="000000" w:themeColor="text1"/>
          <w:sz w:val="20"/>
          <w:szCs w:val="20"/>
        </w:rPr>
        <w:t xml:space="preserve">da </w:t>
      </w:r>
      <w:r w:rsidRPr="00BC5E79">
        <w:rPr>
          <w:rFonts w:asciiTheme="minorHAnsi" w:hAnsiTheme="minorHAnsi" w:cstheme="minorHAnsi"/>
          <w:color w:val="000000" w:themeColor="text1"/>
          <w:sz w:val="20"/>
          <w:szCs w:val="20"/>
        </w:rPr>
        <w:t xml:space="preserve">WIV-H1N2 e hanno dimostrato che questi anticorpi </w:t>
      </w:r>
      <w:r w:rsidR="00DA03A9" w:rsidRPr="00BC5E79">
        <w:rPr>
          <w:rFonts w:asciiTheme="minorHAnsi" w:hAnsiTheme="minorHAnsi" w:cstheme="minorHAnsi"/>
          <w:color w:val="000000" w:themeColor="text1"/>
          <w:sz w:val="20"/>
          <w:szCs w:val="20"/>
        </w:rPr>
        <w:t>avevano</w:t>
      </w:r>
      <w:r w:rsidRPr="00BC5E79">
        <w:rPr>
          <w:rFonts w:asciiTheme="minorHAnsi" w:hAnsiTheme="minorHAnsi" w:cstheme="minorHAnsi"/>
          <w:color w:val="000000" w:themeColor="text1"/>
          <w:sz w:val="20"/>
          <w:szCs w:val="20"/>
        </w:rPr>
        <w:t xml:space="preserve"> potenziato l'infezione da pH1N1 delle cellule MDCK </w:t>
      </w:r>
      <w:r w:rsidR="00DA03A9" w:rsidRPr="00BC5E79">
        <w:rPr>
          <w:rFonts w:asciiTheme="minorHAnsi" w:hAnsiTheme="minorHAnsi" w:cstheme="minorHAnsi"/>
          <w:color w:val="000000" w:themeColor="text1"/>
          <w:sz w:val="20"/>
          <w:szCs w:val="20"/>
        </w:rPr>
        <w:t xml:space="preserve">mediante il </w:t>
      </w:r>
      <w:r w:rsidRPr="00BC5E79">
        <w:rPr>
          <w:rFonts w:asciiTheme="minorHAnsi" w:hAnsiTheme="minorHAnsi" w:cstheme="minorHAnsi"/>
          <w:color w:val="000000" w:themeColor="text1"/>
          <w:sz w:val="20"/>
          <w:szCs w:val="20"/>
        </w:rPr>
        <w:t>riconosci</w:t>
      </w:r>
      <w:r w:rsidR="00DA03A9" w:rsidRPr="00BC5E79">
        <w:rPr>
          <w:rFonts w:asciiTheme="minorHAnsi" w:hAnsiTheme="minorHAnsi" w:cstheme="minorHAnsi"/>
          <w:color w:val="000000" w:themeColor="text1"/>
          <w:sz w:val="20"/>
          <w:szCs w:val="20"/>
        </w:rPr>
        <w:t>mento di</w:t>
      </w:r>
      <w:r w:rsidRPr="00BC5E79">
        <w:rPr>
          <w:rFonts w:asciiTheme="minorHAnsi" w:hAnsiTheme="minorHAnsi" w:cstheme="minorHAnsi"/>
          <w:color w:val="000000" w:themeColor="text1"/>
          <w:sz w:val="20"/>
          <w:szCs w:val="20"/>
        </w:rPr>
        <w:t xml:space="preserve"> un epitopo dell'emoagglutinina 2 (HA2). </w:t>
      </w:r>
    </w:p>
    <w:p w:rsidR="00EA4BDB" w:rsidRPr="00BC5E79" w:rsidRDefault="00EA4BDB" w:rsidP="00EA4BDB">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r w:rsidRPr="00BC5E79">
        <w:rPr>
          <w:rFonts w:asciiTheme="minorHAnsi" w:hAnsiTheme="minorHAnsi" w:cstheme="minorHAnsi"/>
          <w:color w:val="000000" w:themeColor="text1"/>
          <w:sz w:val="20"/>
          <w:szCs w:val="20"/>
        </w:rPr>
        <w:t xml:space="preserve">Questi anticorpi non </w:t>
      </w:r>
      <w:r w:rsidR="00DA03A9" w:rsidRPr="00BC5E79">
        <w:rPr>
          <w:rFonts w:asciiTheme="minorHAnsi" w:hAnsiTheme="minorHAnsi" w:cstheme="minorHAnsi"/>
          <w:color w:val="000000" w:themeColor="text1"/>
          <w:sz w:val="20"/>
          <w:szCs w:val="20"/>
        </w:rPr>
        <w:t xml:space="preserve">erano in grado di </w:t>
      </w:r>
      <w:r w:rsidRPr="00BC5E79">
        <w:rPr>
          <w:rFonts w:asciiTheme="minorHAnsi" w:hAnsiTheme="minorHAnsi" w:cstheme="minorHAnsi"/>
          <w:color w:val="000000" w:themeColor="text1"/>
          <w:sz w:val="20"/>
          <w:szCs w:val="20"/>
        </w:rPr>
        <w:t>blocca</w:t>
      </w:r>
      <w:r w:rsidR="00DA03A9" w:rsidRPr="00BC5E79">
        <w:rPr>
          <w:rFonts w:asciiTheme="minorHAnsi" w:hAnsiTheme="minorHAnsi" w:cstheme="minorHAnsi"/>
          <w:color w:val="000000" w:themeColor="text1"/>
          <w:sz w:val="20"/>
          <w:szCs w:val="20"/>
        </w:rPr>
        <w:t>re</w:t>
      </w:r>
      <w:r w:rsidRPr="00BC5E79">
        <w:rPr>
          <w:rFonts w:asciiTheme="minorHAnsi" w:hAnsiTheme="minorHAnsi" w:cstheme="minorHAnsi"/>
          <w:color w:val="000000" w:themeColor="text1"/>
          <w:sz w:val="20"/>
          <w:szCs w:val="20"/>
        </w:rPr>
        <w:t xml:space="preserve"> il legame </w:t>
      </w:r>
      <w:r w:rsidR="00DA03A9" w:rsidRPr="00BC5E79">
        <w:rPr>
          <w:rFonts w:asciiTheme="minorHAnsi" w:hAnsiTheme="minorHAnsi" w:cstheme="minorHAnsi"/>
          <w:color w:val="000000" w:themeColor="text1"/>
          <w:sz w:val="20"/>
          <w:szCs w:val="20"/>
        </w:rPr>
        <w:t xml:space="preserve">del virus </w:t>
      </w:r>
      <w:r w:rsidRPr="00BC5E79">
        <w:rPr>
          <w:rFonts w:asciiTheme="minorHAnsi" w:hAnsiTheme="minorHAnsi" w:cstheme="minorHAnsi"/>
          <w:color w:val="000000" w:themeColor="text1"/>
          <w:sz w:val="20"/>
          <w:szCs w:val="20"/>
        </w:rPr>
        <w:t>con i recettori ma</w:t>
      </w:r>
      <w:r w:rsidR="00DA03A9" w:rsidRPr="00BC5E79">
        <w:rPr>
          <w:rFonts w:asciiTheme="minorHAnsi" w:hAnsiTheme="minorHAnsi" w:cstheme="minorHAnsi"/>
          <w:color w:val="000000" w:themeColor="text1"/>
          <w:sz w:val="20"/>
          <w:szCs w:val="20"/>
        </w:rPr>
        <w:t xml:space="preserve"> addirittura </w:t>
      </w:r>
      <w:r w:rsidR="00DA03A9" w:rsidRPr="00844C6D">
        <w:rPr>
          <w:rFonts w:asciiTheme="minorHAnsi" w:hAnsiTheme="minorHAnsi" w:cstheme="minorHAnsi"/>
          <w:b/>
          <w:bCs/>
          <w:color w:val="000000" w:themeColor="text1"/>
          <w:sz w:val="20"/>
          <w:szCs w:val="20"/>
        </w:rPr>
        <w:t>favorivano</w:t>
      </w:r>
      <w:r w:rsidRPr="00844C6D">
        <w:rPr>
          <w:rFonts w:asciiTheme="minorHAnsi" w:hAnsiTheme="minorHAnsi" w:cstheme="minorHAnsi"/>
          <w:b/>
          <w:bCs/>
          <w:color w:val="000000" w:themeColor="text1"/>
          <w:sz w:val="20"/>
          <w:szCs w:val="20"/>
        </w:rPr>
        <w:t xml:space="preserve"> la fusione della membrana cellulare</w:t>
      </w:r>
      <w:r w:rsidR="00DA03A9" w:rsidRPr="00844C6D">
        <w:rPr>
          <w:rFonts w:asciiTheme="minorHAnsi" w:hAnsiTheme="minorHAnsi" w:cstheme="minorHAnsi"/>
          <w:b/>
          <w:bCs/>
          <w:color w:val="000000" w:themeColor="text1"/>
          <w:sz w:val="20"/>
          <w:szCs w:val="20"/>
        </w:rPr>
        <w:t xml:space="preserve"> con il </w:t>
      </w:r>
      <w:r w:rsidRPr="00844C6D">
        <w:rPr>
          <w:rFonts w:asciiTheme="minorHAnsi" w:hAnsiTheme="minorHAnsi" w:cstheme="minorHAnsi"/>
          <w:b/>
          <w:bCs/>
          <w:color w:val="000000" w:themeColor="text1"/>
          <w:sz w:val="20"/>
          <w:szCs w:val="20"/>
        </w:rPr>
        <w:t>pH1N2 dal 250 al 300% rispetto ai controlli negativi</w:t>
      </w:r>
      <w:r w:rsidRPr="00BC5E79">
        <w:rPr>
          <w:rFonts w:asciiTheme="minorHAnsi" w:hAnsiTheme="minorHAnsi" w:cstheme="minorHAnsi"/>
          <w:color w:val="000000" w:themeColor="text1"/>
          <w:sz w:val="20"/>
          <w:szCs w:val="20"/>
        </w:rPr>
        <w:t xml:space="preserve">. La loro analisi ha mostrato una </w:t>
      </w:r>
      <w:r w:rsidRPr="00844C6D">
        <w:rPr>
          <w:rFonts w:asciiTheme="minorHAnsi" w:hAnsiTheme="minorHAnsi" w:cstheme="minorHAnsi"/>
          <w:b/>
          <w:bCs/>
          <w:color w:val="000000" w:themeColor="text1"/>
          <w:sz w:val="20"/>
          <w:szCs w:val="20"/>
        </w:rPr>
        <w:t>correlazione positiva tra la percentuale di fusione virale e la percentuale di lesioni polmonari macroscopiche nei suini vaccinati con WIV-H1N2</w:t>
      </w:r>
      <w:r w:rsidRPr="00BC5E79">
        <w:rPr>
          <w:rFonts w:asciiTheme="minorHAnsi" w:hAnsiTheme="minorHAnsi" w:cstheme="minorHAnsi"/>
          <w:color w:val="000000" w:themeColor="text1"/>
          <w:sz w:val="20"/>
          <w:szCs w:val="20"/>
        </w:rPr>
        <w:t>.</w:t>
      </w:r>
    </w:p>
    <w:p w:rsidR="00AA3C97" w:rsidRPr="00BC5E79" w:rsidRDefault="00AA3C97" w:rsidP="00EA4BDB">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p>
    <w:p w:rsidR="00AA3C97" w:rsidRPr="00BC5E79" w:rsidRDefault="00E76BA7" w:rsidP="00CD7F77">
      <w:pPr>
        <w:jc w:val="both"/>
        <w:rPr>
          <w:rFonts w:asciiTheme="minorHAnsi" w:hAnsiTheme="minorHAnsi"/>
          <w:color w:val="000000" w:themeColor="text1"/>
          <w:sz w:val="20"/>
          <w:szCs w:val="20"/>
          <w:shd w:val="clear" w:color="auto" w:fill="FFFFFF"/>
        </w:rPr>
      </w:pPr>
      <w:r w:rsidRPr="00BC5E79">
        <w:rPr>
          <w:rFonts w:asciiTheme="minorHAnsi" w:hAnsiTheme="minorHAnsi" w:cstheme="minorHAnsi"/>
          <w:color w:val="000000" w:themeColor="text1"/>
          <w:sz w:val="20"/>
          <w:szCs w:val="20"/>
        </w:rPr>
        <w:t xml:space="preserve">Questi dati </w:t>
      </w:r>
      <w:r w:rsidRPr="00844C6D">
        <w:rPr>
          <w:rFonts w:asciiTheme="minorHAnsi" w:hAnsiTheme="minorHAnsi" w:cstheme="minorHAnsi"/>
          <w:b/>
          <w:bCs/>
          <w:color w:val="000000" w:themeColor="text1"/>
          <w:sz w:val="20"/>
          <w:szCs w:val="20"/>
        </w:rPr>
        <w:t xml:space="preserve">confermano quanto già </w:t>
      </w:r>
      <w:r w:rsidR="00CD7F77" w:rsidRPr="00844C6D">
        <w:rPr>
          <w:rFonts w:asciiTheme="minorHAnsi" w:hAnsiTheme="minorHAnsi" w:cstheme="minorHAnsi"/>
          <w:b/>
          <w:bCs/>
          <w:color w:val="000000" w:themeColor="text1"/>
          <w:sz w:val="20"/>
          <w:szCs w:val="20"/>
        </w:rPr>
        <w:t>riscontrato</w:t>
      </w:r>
      <w:r w:rsidRPr="00844C6D">
        <w:rPr>
          <w:rFonts w:asciiTheme="minorHAnsi" w:hAnsiTheme="minorHAnsi" w:cstheme="minorHAnsi"/>
          <w:b/>
          <w:bCs/>
          <w:color w:val="000000" w:themeColor="text1"/>
          <w:sz w:val="20"/>
          <w:szCs w:val="20"/>
        </w:rPr>
        <w:t xml:space="preserve"> </w:t>
      </w:r>
      <w:r w:rsidR="00CD7F77" w:rsidRPr="00844C6D">
        <w:rPr>
          <w:rFonts w:asciiTheme="minorHAnsi" w:hAnsiTheme="minorHAnsi" w:cstheme="minorHAnsi"/>
          <w:b/>
          <w:bCs/>
          <w:color w:val="000000" w:themeColor="text1"/>
          <w:sz w:val="20"/>
          <w:szCs w:val="20"/>
        </w:rPr>
        <w:t xml:space="preserve">in </w:t>
      </w:r>
      <w:r w:rsidRPr="00844C6D">
        <w:rPr>
          <w:rFonts w:asciiTheme="minorHAnsi" w:hAnsiTheme="minorHAnsi" w:cstheme="minorHAnsi"/>
          <w:b/>
          <w:bCs/>
          <w:color w:val="000000" w:themeColor="text1"/>
          <w:sz w:val="20"/>
          <w:szCs w:val="20"/>
        </w:rPr>
        <w:t xml:space="preserve">uno </w:t>
      </w:r>
      <w:r w:rsidRPr="00A833D2">
        <w:rPr>
          <w:rFonts w:asciiTheme="minorHAnsi" w:hAnsiTheme="minorHAnsi" w:cstheme="minorHAnsi"/>
          <w:b/>
          <w:bCs/>
          <w:color w:val="000000" w:themeColor="text1"/>
          <w:sz w:val="20"/>
          <w:szCs w:val="20"/>
          <w:shd w:val="clear" w:color="auto" w:fill="FBF9E1"/>
        </w:rPr>
        <w:t>studio dell’ISS condotto nel 2018</w:t>
      </w:r>
      <w:r w:rsidRPr="00BC5E79">
        <w:rPr>
          <w:rFonts w:asciiTheme="minorHAnsi" w:hAnsiTheme="minorHAnsi" w:cstheme="minorHAnsi"/>
          <w:color w:val="000000" w:themeColor="text1"/>
          <w:sz w:val="20"/>
          <w:szCs w:val="20"/>
        </w:rPr>
        <w:t xml:space="preserve"> </w:t>
      </w:r>
      <w:r w:rsidRPr="00BC5E79">
        <w:rPr>
          <w:rStyle w:val="FootnoteReference"/>
          <w:rFonts w:asciiTheme="minorHAnsi" w:hAnsiTheme="minorHAnsi" w:cstheme="minorHAnsi"/>
          <w:color w:val="000000" w:themeColor="text1"/>
          <w:sz w:val="20"/>
          <w:szCs w:val="20"/>
        </w:rPr>
        <w:footnoteReference w:id="105"/>
      </w:r>
      <w:r w:rsidRPr="00BC5E79">
        <w:rPr>
          <w:rFonts w:asciiTheme="minorHAnsi" w:hAnsiTheme="minorHAnsi"/>
          <w:color w:val="000000" w:themeColor="text1"/>
          <w:sz w:val="20"/>
          <w:szCs w:val="20"/>
          <w:shd w:val="clear" w:color="auto" w:fill="FFFFFF"/>
        </w:rPr>
        <w:t xml:space="preserve"> nel quale è stata analizzata una coorte di 64854 soggetti anziani, a cui è stato somministrato il vaccino antinfluenzale nella stagione 2016-17 nel </w:t>
      </w:r>
      <w:r w:rsidRPr="00BC5E79">
        <w:rPr>
          <w:rFonts w:asciiTheme="minorHAnsi" w:hAnsiTheme="minorHAnsi"/>
          <w:color w:val="000000" w:themeColor="text1"/>
          <w:sz w:val="20"/>
          <w:szCs w:val="20"/>
          <w:shd w:val="clear" w:color="auto" w:fill="FFFFFF"/>
        </w:rPr>
        <w:lastRenderedPageBreak/>
        <w:t>53,0% dei soggetti. La frequenza della vaccinazione aumenta</w:t>
      </w:r>
      <w:r w:rsidR="00CD7F77" w:rsidRPr="00BC5E79">
        <w:rPr>
          <w:rFonts w:asciiTheme="minorHAnsi" w:hAnsiTheme="minorHAnsi"/>
          <w:color w:val="000000" w:themeColor="text1"/>
          <w:sz w:val="20"/>
          <w:szCs w:val="20"/>
          <w:shd w:val="clear" w:color="auto" w:fill="FFFFFF"/>
        </w:rPr>
        <w:t>va</w:t>
      </w:r>
      <w:r w:rsidRPr="00BC5E79">
        <w:rPr>
          <w:rFonts w:asciiTheme="minorHAnsi" w:hAnsiTheme="minorHAnsi"/>
          <w:color w:val="000000" w:themeColor="text1"/>
          <w:sz w:val="20"/>
          <w:szCs w:val="20"/>
          <w:shd w:val="clear" w:color="auto" w:fill="FFFFFF"/>
        </w:rPr>
        <w:t xml:space="preserve"> con l’aumentare dell’età, da meno del 40% in soggetti da 65-69 anni a quasi il 70% in quelli ≥80 anni, ed era più probabile tra le donne che tra gli uomini. La co-morbilità era, in media, più alta tra i soggetti vaccinati rispetto agli altri (quindi anziani con più patologie a rischio erano più propensi ad aderire alla raccomandazione medica). </w:t>
      </w:r>
    </w:p>
    <w:p w:rsidR="00E76BA7" w:rsidRDefault="00CD7F77" w:rsidP="00CD7F77">
      <w:pPr>
        <w:jc w:val="both"/>
        <w:rPr>
          <w:rFonts w:asciiTheme="minorHAnsi" w:hAnsiTheme="minorHAnsi"/>
          <w:color w:val="000000" w:themeColor="text1"/>
          <w:sz w:val="20"/>
          <w:szCs w:val="20"/>
          <w:shd w:val="clear" w:color="auto" w:fill="FFFFFF"/>
        </w:rPr>
      </w:pPr>
      <w:r w:rsidRPr="00BC5E79">
        <w:rPr>
          <w:rFonts w:asciiTheme="minorHAnsi" w:hAnsiTheme="minorHAnsi"/>
          <w:color w:val="000000" w:themeColor="text1"/>
          <w:sz w:val="20"/>
          <w:szCs w:val="20"/>
          <w:shd w:val="clear" w:color="auto" w:fill="FFFFFF"/>
        </w:rPr>
        <w:t>Gli anziani</w:t>
      </w:r>
      <w:r w:rsidR="00E76BA7" w:rsidRPr="00BC5E79">
        <w:rPr>
          <w:rFonts w:asciiTheme="minorHAnsi" w:hAnsiTheme="minorHAnsi"/>
          <w:color w:val="000000" w:themeColor="text1"/>
          <w:sz w:val="20"/>
          <w:szCs w:val="20"/>
          <w:shd w:val="clear" w:color="auto" w:fill="FFFFFF"/>
        </w:rPr>
        <w:t xml:space="preserve"> che sono stati vaccinati contro </w:t>
      </w:r>
      <w:r w:rsidR="00844C6D">
        <w:rPr>
          <w:rFonts w:asciiTheme="minorHAnsi" w:hAnsiTheme="minorHAnsi"/>
          <w:color w:val="000000" w:themeColor="text1"/>
          <w:sz w:val="20"/>
          <w:szCs w:val="20"/>
          <w:shd w:val="clear" w:color="auto" w:fill="FFFFFF"/>
        </w:rPr>
        <w:t>il</w:t>
      </w:r>
      <w:r w:rsidR="00E76BA7" w:rsidRPr="00BC5E79">
        <w:rPr>
          <w:rFonts w:asciiTheme="minorHAnsi" w:hAnsiTheme="minorHAnsi"/>
          <w:color w:val="000000" w:themeColor="text1"/>
          <w:sz w:val="20"/>
          <w:szCs w:val="20"/>
          <w:shd w:val="clear" w:color="auto" w:fill="FFFFFF"/>
        </w:rPr>
        <w:t xml:space="preserve"> pneumococco sono stati vaccinati </w:t>
      </w:r>
      <w:r w:rsidRPr="00BC5E79">
        <w:rPr>
          <w:rFonts w:asciiTheme="minorHAnsi" w:hAnsiTheme="minorHAnsi"/>
          <w:color w:val="000000" w:themeColor="text1"/>
          <w:sz w:val="20"/>
          <w:szCs w:val="20"/>
          <w:shd w:val="clear" w:color="auto" w:fill="FFFFFF"/>
        </w:rPr>
        <w:t xml:space="preserve">anche </w:t>
      </w:r>
      <w:r w:rsidR="00E76BA7" w:rsidRPr="00BC5E79">
        <w:rPr>
          <w:rFonts w:asciiTheme="minorHAnsi" w:hAnsiTheme="minorHAnsi"/>
          <w:color w:val="000000" w:themeColor="text1"/>
          <w:sz w:val="20"/>
          <w:szCs w:val="20"/>
          <w:shd w:val="clear" w:color="auto" w:fill="FFFFFF"/>
        </w:rPr>
        <w:t>contro l’influenza molto più frequentemente rispetto agli altri.</w:t>
      </w:r>
    </w:p>
    <w:p w:rsidR="00844C6D" w:rsidRPr="00BC5E79" w:rsidRDefault="00844C6D" w:rsidP="00CD7F77">
      <w:pPr>
        <w:jc w:val="both"/>
        <w:rPr>
          <w:rFonts w:asciiTheme="minorHAnsi" w:hAnsiTheme="minorHAnsi"/>
          <w:color w:val="000000" w:themeColor="text1"/>
          <w:sz w:val="20"/>
          <w:szCs w:val="20"/>
          <w:shd w:val="clear" w:color="auto" w:fill="FFFFFF"/>
        </w:rPr>
      </w:pPr>
    </w:p>
    <w:p w:rsidR="00CD7F77" w:rsidRPr="00BC5E79" w:rsidRDefault="00CD7F77" w:rsidP="000E43D1">
      <w:pPr>
        <w:pStyle w:val="NormalWeb"/>
        <w:shd w:val="clear" w:color="auto" w:fill="FFFFFF"/>
        <w:spacing w:before="0" w:beforeAutospacing="0" w:after="0" w:afterAutospacing="0"/>
        <w:jc w:val="both"/>
        <w:rPr>
          <w:rFonts w:asciiTheme="minorHAnsi" w:hAnsiTheme="minorHAnsi"/>
          <w:color w:val="000000" w:themeColor="text1"/>
          <w:sz w:val="20"/>
          <w:szCs w:val="20"/>
        </w:rPr>
      </w:pPr>
      <w:r w:rsidRPr="00BC5E79">
        <w:rPr>
          <w:rFonts w:asciiTheme="minorHAnsi" w:hAnsiTheme="minorHAnsi"/>
          <w:color w:val="000000" w:themeColor="text1"/>
          <w:sz w:val="20"/>
          <w:szCs w:val="20"/>
        </w:rPr>
        <w:t xml:space="preserve">Come si può notare da quanto riportato nella tabella sottostante, l’efficacia della vaccinazione è stata praticamente nulla, con addirittura un </w:t>
      </w:r>
      <w:r w:rsidRPr="002911D4">
        <w:rPr>
          <w:rFonts w:asciiTheme="minorHAnsi" w:hAnsiTheme="minorHAnsi"/>
          <w:b/>
          <w:bCs/>
          <w:color w:val="000000" w:themeColor="text1"/>
          <w:sz w:val="20"/>
          <w:szCs w:val="20"/>
          <w:shd w:val="clear" w:color="auto" w:fill="FBF9E1"/>
        </w:rPr>
        <w:t>aumento statisticamente significativo di ricoveri e decessi rispetto ai non vaccinati tra il gruppo dei vaccinati che hanno ricevuto il vaccino tetravalente</w:t>
      </w:r>
      <w:r w:rsidRPr="00BC5E79">
        <w:rPr>
          <w:rFonts w:asciiTheme="minorHAnsi" w:hAnsiTheme="minorHAnsi"/>
          <w:color w:val="000000" w:themeColor="text1"/>
          <w:sz w:val="20"/>
          <w:szCs w:val="20"/>
        </w:rPr>
        <w:t xml:space="preserve">. Infatti, la vaccinazione tetravalente è quella che presenta il rischio più alto, con un aumento medio del 47% (da 0% a ben 215%)  di ricoveri per complicanze (influenza e polmoniti) e del 12% di decessi (dal 3% al 54%). </w:t>
      </w:r>
    </w:p>
    <w:p w:rsidR="000E43D1" w:rsidRPr="00BC5E79" w:rsidRDefault="000E43D1" w:rsidP="000E43D1">
      <w:pPr>
        <w:pStyle w:val="NormalWeb"/>
        <w:shd w:val="clear" w:color="auto" w:fill="FFFFFF"/>
        <w:spacing w:before="0" w:beforeAutospacing="0" w:after="0" w:afterAutospacing="0"/>
        <w:jc w:val="both"/>
        <w:rPr>
          <w:rFonts w:asciiTheme="minorHAnsi" w:hAnsiTheme="minorHAnsi"/>
          <w:color w:val="000000" w:themeColor="text1"/>
          <w:sz w:val="20"/>
          <w:szCs w:val="20"/>
        </w:rPr>
      </w:pPr>
    </w:p>
    <w:p w:rsidR="00CD7F77" w:rsidRPr="003843FE" w:rsidRDefault="00CD7F77" w:rsidP="00CD7F77">
      <w:pPr>
        <w:rPr>
          <w:rFonts w:asciiTheme="minorHAnsi" w:hAnsiTheme="minorHAnsi"/>
          <w:color w:val="000000" w:themeColor="text1"/>
        </w:rPr>
      </w:pPr>
      <w:r w:rsidRPr="003843FE">
        <w:rPr>
          <w:rFonts w:asciiTheme="minorHAnsi" w:hAnsiTheme="minorHAnsi"/>
          <w:color w:val="000000" w:themeColor="text1"/>
        </w:rPr>
        <w:fldChar w:fldCharType="begin"/>
      </w:r>
      <w:r w:rsidRPr="003843FE">
        <w:rPr>
          <w:rFonts w:asciiTheme="minorHAnsi" w:hAnsiTheme="minorHAnsi"/>
          <w:color w:val="000000" w:themeColor="text1"/>
        </w:rPr>
        <w:instrText xml:space="preserve"> INCLUDEPICTURE "https://cdn.onb.it/2018/11/schema-5.jpg" \* MERGEFORMATINET </w:instrText>
      </w:r>
      <w:r w:rsidRPr="003843FE">
        <w:rPr>
          <w:rFonts w:asciiTheme="minorHAnsi" w:hAnsiTheme="minorHAnsi"/>
          <w:color w:val="000000" w:themeColor="text1"/>
        </w:rPr>
        <w:fldChar w:fldCharType="separate"/>
      </w:r>
      <w:r w:rsidRPr="003843FE">
        <w:rPr>
          <w:rFonts w:asciiTheme="minorHAnsi" w:hAnsiTheme="minorHAnsi"/>
          <w:noProof/>
          <w:color w:val="000000" w:themeColor="text1"/>
        </w:rPr>
        <w:drawing>
          <wp:inline distT="0" distB="0" distL="0" distR="0">
            <wp:extent cx="6116320" cy="1289685"/>
            <wp:effectExtent l="0" t="0" r="5080" b="5715"/>
            <wp:docPr id="27" name="Immagine 27" descr="https://cdn.onb.it/2018/11/schem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onb.it/2018/11/schema-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16320" cy="1289685"/>
                    </a:xfrm>
                    <a:prstGeom prst="rect">
                      <a:avLst/>
                    </a:prstGeom>
                    <a:noFill/>
                    <a:ln>
                      <a:noFill/>
                    </a:ln>
                  </pic:spPr>
                </pic:pic>
              </a:graphicData>
            </a:graphic>
          </wp:inline>
        </w:drawing>
      </w:r>
      <w:r w:rsidRPr="003843FE">
        <w:rPr>
          <w:rFonts w:asciiTheme="minorHAnsi" w:hAnsiTheme="minorHAnsi"/>
          <w:color w:val="000000" w:themeColor="text1"/>
        </w:rPr>
        <w:fldChar w:fldCharType="end"/>
      </w:r>
    </w:p>
    <w:p w:rsidR="00CD7F77" w:rsidRPr="003843FE" w:rsidRDefault="00CD7F77" w:rsidP="000E43D1">
      <w:pPr>
        <w:rPr>
          <w:rFonts w:asciiTheme="minorHAnsi" w:hAnsiTheme="minorHAnsi" w:cstheme="minorHAnsi"/>
          <w:color w:val="000000" w:themeColor="text1"/>
          <w:sz w:val="16"/>
          <w:szCs w:val="16"/>
        </w:rPr>
      </w:pPr>
      <w:r w:rsidRPr="003843FE">
        <w:rPr>
          <w:rFonts w:asciiTheme="minorHAnsi" w:hAnsiTheme="minorHAnsi"/>
          <w:color w:val="000000" w:themeColor="text1"/>
          <w:sz w:val="16"/>
          <w:szCs w:val="16"/>
        </w:rPr>
        <w:t xml:space="preserve">Tratta da </w:t>
      </w:r>
      <w:hyperlink r:id="rId115" w:history="1">
        <w:r w:rsidRPr="003843FE">
          <w:rPr>
            <w:rFonts w:asciiTheme="minorHAnsi" w:hAnsiTheme="minorHAnsi" w:cstheme="minorHAnsi"/>
            <w:color w:val="000000" w:themeColor="text1"/>
            <w:sz w:val="16"/>
            <w:szCs w:val="16"/>
          </w:rPr>
          <w:t>http://old.iss.it/binary/publ/cont/ANN_18_01_13.pdf</w:t>
        </w:r>
      </w:hyperlink>
    </w:p>
    <w:p w:rsidR="000E43D1" w:rsidRPr="003843FE" w:rsidRDefault="000E43D1" w:rsidP="000E43D1">
      <w:pPr>
        <w:pStyle w:val="NormalWeb"/>
        <w:shd w:val="clear" w:color="auto" w:fill="FFFFFF"/>
        <w:spacing w:before="0" w:beforeAutospacing="0" w:after="0" w:afterAutospacing="0"/>
        <w:jc w:val="both"/>
        <w:rPr>
          <w:rFonts w:asciiTheme="minorHAnsi" w:hAnsiTheme="minorHAnsi"/>
          <w:color w:val="000000" w:themeColor="text1"/>
        </w:rPr>
      </w:pPr>
    </w:p>
    <w:p w:rsidR="000E43D1" w:rsidRDefault="000E43D1" w:rsidP="000E43D1">
      <w:pPr>
        <w:pStyle w:val="NormalWeb"/>
        <w:shd w:val="clear" w:color="auto" w:fill="FFFFFF"/>
        <w:spacing w:before="0" w:beforeAutospacing="0" w:after="0" w:afterAutospacing="0"/>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Un limite importante di questo studio è di aver considerato come cause di morte solo l’influenza e la polmonite, senza dare riferimenti riguardo il numero totale di morti e per quali altre cause. Non ci sono dati relativi all’incidenza di reazioni avverse postvaccinali.</w:t>
      </w:r>
    </w:p>
    <w:p w:rsidR="000E43D1" w:rsidRPr="00844C6D" w:rsidRDefault="000E43D1" w:rsidP="000E43D1">
      <w:pPr>
        <w:pStyle w:val="NormalWeb"/>
        <w:shd w:val="clear" w:color="auto" w:fill="FFFFFF"/>
        <w:spacing w:before="0" w:beforeAutospacing="0" w:after="0" w:afterAutospacing="0"/>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Ne segue che sulla base di questi dati il vaccino antinfluenzale, e in particolare il </w:t>
      </w:r>
      <w:r w:rsidRPr="00844C6D">
        <w:rPr>
          <w:rStyle w:val="Strong"/>
          <w:rFonts w:asciiTheme="minorHAnsi" w:hAnsiTheme="minorHAnsi"/>
          <w:b w:val="0"/>
          <w:color w:val="000000" w:themeColor="text1"/>
          <w:sz w:val="20"/>
          <w:szCs w:val="20"/>
        </w:rPr>
        <w:t>tetravalente</w:t>
      </w:r>
      <w:r w:rsidRPr="00844C6D">
        <w:rPr>
          <w:rFonts w:asciiTheme="minorHAnsi" w:hAnsiTheme="minorHAnsi"/>
          <w:b/>
          <w:color w:val="000000" w:themeColor="text1"/>
          <w:sz w:val="20"/>
          <w:szCs w:val="20"/>
        </w:rPr>
        <w:t>,</w:t>
      </w:r>
      <w:r w:rsidRPr="00844C6D">
        <w:rPr>
          <w:rFonts w:asciiTheme="minorHAnsi" w:hAnsiTheme="minorHAnsi"/>
          <w:color w:val="000000" w:themeColor="text1"/>
          <w:sz w:val="20"/>
          <w:szCs w:val="20"/>
        </w:rPr>
        <w:t xml:space="preserve"> oltre a non essere efficace, presenta addirittura un’associazione statisticamente significativa e rilevante con il rischio di ricoveri e di decessi.</w:t>
      </w:r>
    </w:p>
    <w:p w:rsidR="00887AC2" w:rsidRPr="00844C6D" w:rsidRDefault="00887AC2" w:rsidP="000E43D1">
      <w:pPr>
        <w:pStyle w:val="NormalWeb"/>
        <w:shd w:val="clear" w:color="auto" w:fill="FFFFFF"/>
        <w:spacing w:before="0" w:beforeAutospacing="0" w:after="0" w:afterAutospacing="0"/>
        <w:jc w:val="both"/>
        <w:rPr>
          <w:rFonts w:asciiTheme="minorHAnsi" w:hAnsiTheme="minorHAnsi"/>
          <w:color w:val="000000" w:themeColor="text1"/>
          <w:sz w:val="20"/>
          <w:szCs w:val="20"/>
        </w:rPr>
      </w:pPr>
    </w:p>
    <w:p w:rsidR="000E43D1" w:rsidRDefault="000E43D1" w:rsidP="000E43D1">
      <w:pPr>
        <w:pStyle w:val="NormalWeb"/>
        <w:shd w:val="clear" w:color="auto" w:fill="FFFFFF"/>
        <w:spacing w:before="0" w:beforeAutospacing="0" w:after="0" w:afterAutospacing="0"/>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 xml:space="preserve">In Italia l’influenza A (H3N2) è stata riscontrata nell’88% dei campioni positivi raccolti nella stagione 2016-17 e in questa popolazione virale </w:t>
      </w:r>
      <w:r w:rsidRPr="00844C6D">
        <w:rPr>
          <w:rFonts w:asciiTheme="minorHAnsi" w:hAnsiTheme="minorHAnsi"/>
          <w:b/>
          <w:bCs/>
          <w:color w:val="000000" w:themeColor="text1"/>
          <w:sz w:val="20"/>
          <w:szCs w:val="20"/>
        </w:rPr>
        <w:t>sono stati identificati diversi cluster caratterizzati da sostituzioni amminoacidiche nell’emoagglutinina HA</w:t>
      </w:r>
      <w:r w:rsidRPr="00844C6D">
        <w:rPr>
          <w:rFonts w:asciiTheme="minorHAnsi" w:hAnsiTheme="minorHAnsi"/>
          <w:color w:val="000000" w:themeColor="text1"/>
          <w:sz w:val="20"/>
          <w:szCs w:val="20"/>
        </w:rPr>
        <w:t xml:space="preserve">, in particolare le sostituzioni N121K, T135K e I140M, che si ritiene siano responsabili del calo dell’efficacia del vaccino per la stagione 2016-17 osservata tra alcune popolazioni anziane nord-europee, ma che possono senz’altro aver portato alla formazione di anticorpi cross-reattivi non neutralizzanti e quindi aver scatenato l’ADE da vaccino. </w:t>
      </w:r>
    </w:p>
    <w:p w:rsidR="00844C6D" w:rsidRPr="00844C6D" w:rsidRDefault="00844C6D" w:rsidP="000E43D1">
      <w:pPr>
        <w:pStyle w:val="NormalWeb"/>
        <w:shd w:val="clear" w:color="auto" w:fill="FFFFFF"/>
        <w:spacing w:before="0" w:beforeAutospacing="0" w:after="0" w:afterAutospacing="0"/>
        <w:jc w:val="both"/>
        <w:rPr>
          <w:rFonts w:asciiTheme="minorHAnsi" w:hAnsiTheme="minorHAnsi"/>
          <w:color w:val="000000" w:themeColor="text1"/>
          <w:sz w:val="20"/>
          <w:szCs w:val="20"/>
        </w:rPr>
      </w:pPr>
    </w:p>
    <w:p w:rsidR="002911D4" w:rsidRDefault="002911D4" w:rsidP="002911D4">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spacing w:before="0" w:beforeAutospacing="0" w:after="0" w:afterAutospacing="0"/>
        <w:ind w:left="709" w:right="985"/>
        <w:jc w:val="both"/>
        <w:rPr>
          <w:rFonts w:asciiTheme="minorHAnsi" w:hAnsiTheme="minorHAnsi"/>
          <w:i/>
          <w:iCs/>
          <w:color w:val="000000" w:themeColor="text1"/>
          <w:sz w:val="20"/>
          <w:szCs w:val="20"/>
        </w:rPr>
      </w:pPr>
    </w:p>
    <w:p w:rsidR="000E43D1" w:rsidRDefault="000E43D1" w:rsidP="002911D4">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spacing w:before="0" w:beforeAutospacing="0" w:after="0" w:afterAutospacing="0"/>
        <w:ind w:left="709" w:right="985"/>
        <w:jc w:val="both"/>
        <w:rPr>
          <w:rFonts w:asciiTheme="minorHAnsi" w:hAnsiTheme="minorHAnsi"/>
          <w:i/>
          <w:iCs/>
          <w:color w:val="000000" w:themeColor="text1"/>
          <w:sz w:val="20"/>
          <w:szCs w:val="20"/>
        </w:rPr>
      </w:pPr>
      <w:r w:rsidRPr="002911D4">
        <w:rPr>
          <w:rFonts w:asciiTheme="minorHAnsi" w:hAnsiTheme="minorHAnsi"/>
          <w:i/>
          <w:iCs/>
          <w:color w:val="000000" w:themeColor="text1"/>
          <w:sz w:val="20"/>
          <w:szCs w:val="20"/>
        </w:rPr>
        <w:t xml:space="preserve">Ciò significa che nella prossima stagione c’è il rischio che gli anziani che verranno vaccinati con il vaccino antinfluenzale, non solo non saranno protetti contro l’infezione ma saranno potenzialmente suscettibili di sviluppare le complicazioni respiratorie anche fatali. </w:t>
      </w:r>
    </w:p>
    <w:p w:rsidR="002911D4" w:rsidRPr="002911D4" w:rsidRDefault="002911D4" w:rsidP="002911D4">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spacing w:before="0" w:beforeAutospacing="0" w:after="0" w:afterAutospacing="0"/>
        <w:ind w:left="709" w:right="985"/>
        <w:jc w:val="both"/>
        <w:rPr>
          <w:rFonts w:asciiTheme="minorHAnsi" w:hAnsiTheme="minorHAnsi"/>
          <w:i/>
          <w:iCs/>
          <w:color w:val="000000" w:themeColor="text1"/>
          <w:sz w:val="20"/>
          <w:szCs w:val="20"/>
        </w:rPr>
      </w:pPr>
    </w:p>
    <w:p w:rsidR="00A318B6" w:rsidRPr="00844C6D" w:rsidRDefault="00A318B6" w:rsidP="000E43D1">
      <w:pPr>
        <w:pStyle w:val="NormalWeb"/>
        <w:shd w:val="clear" w:color="auto" w:fill="FFFFFF"/>
        <w:spacing w:before="0" w:beforeAutospacing="0" w:after="0" w:afterAutospacing="0"/>
        <w:jc w:val="both"/>
        <w:rPr>
          <w:rFonts w:asciiTheme="minorHAnsi" w:hAnsiTheme="minorHAnsi"/>
          <w:color w:val="000000" w:themeColor="text1"/>
          <w:sz w:val="20"/>
          <w:szCs w:val="20"/>
        </w:rPr>
      </w:pPr>
    </w:p>
    <w:p w:rsidR="002911D4" w:rsidRDefault="00A318B6" w:rsidP="000E43D1">
      <w:pPr>
        <w:pStyle w:val="NormalWeb"/>
        <w:shd w:val="clear" w:color="auto" w:fill="FFFFFF"/>
        <w:spacing w:before="0" w:beforeAutospacing="0" w:after="0" w:afterAutospacing="0"/>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 xml:space="preserve">A questa evidenza va aggiunto </w:t>
      </w:r>
      <w:r w:rsidR="00D15E23" w:rsidRPr="00844C6D">
        <w:rPr>
          <w:rFonts w:asciiTheme="minorHAnsi" w:hAnsiTheme="minorHAnsi"/>
          <w:color w:val="000000" w:themeColor="text1"/>
          <w:sz w:val="20"/>
          <w:szCs w:val="20"/>
        </w:rPr>
        <w:t xml:space="preserve">quanto emerso da un recente studio, svolto sui militari del Dipartimento della Difesa americana, di confronto tra una popolazione vaccinata </w:t>
      </w:r>
      <w:r w:rsidR="008A72FD" w:rsidRPr="00844C6D">
        <w:rPr>
          <w:rFonts w:asciiTheme="minorHAnsi" w:hAnsiTheme="minorHAnsi"/>
          <w:color w:val="000000" w:themeColor="text1"/>
          <w:sz w:val="20"/>
          <w:szCs w:val="20"/>
        </w:rPr>
        <w:t xml:space="preserve">(6541 persone) </w:t>
      </w:r>
      <w:r w:rsidR="00D15E23" w:rsidRPr="00844C6D">
        <w:rPr>
          <w:rFonts w:asciiTheme="minorHAnsi" w:hAnsiTheme="minorHAnsi"/>
          <w:color w:val="000000" w:themeColor="text1"/>
          <w:sz w:val="20"/>
          <w:szCs w:val="20"/>
        </w:rPr>
        <w:t xml:space="preserve">e non vaccinata </w:t>
      </w:r>
      <w:r w:rsidR="008A72FD" w:rsidRPr="00844C6D">
        <w:rPr>
          <w:rFonts w:asciiTheme="minorHAnsi" w:hAnsiTheme="minorHAnsi"/>
          <w:color w:val="000000" w:themeColor="text1"/>
          <w:sz w:val="20"/>
          <w:szCs w:val="20"/>
        </w:rPr>
        <w:t xml:space="preserve">(2928 persone) </w:t>
      </w:r>
      <w:r w:rsidR="00D15E23" w:rsidRPr="00844C6D">
        <w:rPr>
          <w:rFonts w:asciiTheme="minorHAnsi" w:hAnsiTheme="minorHAnsi"/>
          <w:color w:val="000000" w:themeColor="text1"/>
          <w:sz w:val="20"/>
          <w:szCs w:val="20"/>
        </w:rPr>
        <w:t xml:space="preserve">con </w:t>
      </w:r>
      <w:r w:rsidRPr="00844C6D">
        <w:rPr>
          <w:rFonts w:asciiTheme="minorHAnsi" w:hAnsiTheme="minorHAnsi"/>
          <w:color w:val="000000" w:themeColor="text1"/>
          <w:sz w:val="20"/>
          <w:szCs w:val="20"/>
        </w:rPr>
        <w:t>il vaccino antinfluenzale</w:t>
      </w:r>
      <w:r w:rsidR="008A72FD" w:rsidRPr="00844C6D">
        <w:rPr>
          <w:rFonts w:asciiTheme="minorHAnsi" w:hAnsiTheme="minorHAnsi"/>
          <w:color w:val="000000" w:themeColor="text1"/>
          <w:sz w:val="20"/>
          <w:szCs w:val="20"/>
        </w:rPr>
        <w:t>,</w:t>
      </w:r>
      <w:r w:rsidRPr="00844C6D">
        <w:rPr>
          <w:rFonts w:asciiTheme="minorHAnsi" w:hAnsiTheme="minorHAnsi"/>
          <w:color w:val="000000" w:themeColor="text1"/>
          <w:sz w:val="20"/>
          <w:szCs w:val="20"/>
        </w:rPr>
        <w:t xml:space="preserve"> </w:t>
      </w:r>
      <w:r w:rsidR="008A72FD" w:rsidRPr="00844C6D">
        <w:rPr>
          <w:rFonts w:asciiTheme="minorHAnsi" w:hAnsiTheme="minorHAnsi"/>
          <w:color w:val="000000" w:themeColor="text1"/>
          <w:sz w:val="20"/>
          <w:szCs w:val="20"/>
        </w:rPr>
        <w:t>in cui</w:t>
      </w:r>
      <w:r w:rsidR="00D15E23" w:rsidRPr="00844C6D">
        <w:rPr>
          <w:rFonts w:asciiTheme="minorHAnsi" w:hAnsiTheme="minorHAnsi"/>
          <w:color w:val="000000" w:themeColor="text1"/>
          <w:sz w:val="20"/>
          <w:szCs w:val="20"/>
        </w:rPr>
        <w:t xml:space="preserve"> è stato dimostrato che </w:t>
      </w:r>
      <w:r w:rsidR="00D15E23" w:rsidRPr="00844C6D">
        <w:rPr>
          <w:rFonts w:asciiTheme="minorHAnsi" w:hAnsiTheme="minorHAnsi"/>
          <w:b/>
          <w:bCs/>
          <w:color w:val="000000" w:themeColor="text1"/>
          <w:sz w:val="20"/>
          <w:szCs w:val="20"/>
        </w:rPr>
        <w:t xml:space="preserve">la vaccinazione </w:t>
      </w:r>
      <w:r w:rsidRPr="00844C6D">
        <w:rPr>
          <w:rFonts w:asciiTheme="minorHAnsi" w:hAnsiTheme="minorHAnsi" w:cs="Garamond"/>
          <w:b/>
          <w:bCs/>
          <w:color w:val="000000" w:themeColor="text1"/>
          <w:spacing w:val="-1"/>
          <w:sz w:val="20"/>
          <w:szCs w:val="20"/>
        </w:rPr>
        <w:t>aumenta</w:t>
      </w:r>
      <w:r w:rsidR="00D15E23" w:rsidRPr="00844C6D">
        <w:rPr>
          <w:rFonts w:asciiTheme="minorHAnsi" w:hAnsiTheme="minorHAnsi" w:cs="Garamond"/>
          <w:b/>
          <w:bCs/>
          <w:color w:val="000000" w:themeColor="text1"/>
          <w:spacing w:val="-1"/>
          <w:sz w:val="20"/>
          <w:szCs w:val="20"/>
        </w:rPr>
        <w:t>va</w:t>
      </w:r>
      <w:r w:rsidRPr="00844C6D">
        <w:rPr>
          <w:rFonts w:asciiTheme="minorHAnsi" w:hAnsiTheme="minorHAnsi" w:cs="Garamond"/>
          <w:b/>
          <w:bCs/>
          <w:color w:val="000000" w:themeColor="text1"/>
          <w:spacing w:val="12"/>
          <w:sz w:val="20"/>
          <w:szCs w:val="20"/>
        </w:rPr>
        <w:t xml:space="preserve"> </w:t>
      </w:r>
      <w:r w:rsidR="00D15E23" w:rsidRPr="00844C6D">
        <w:rPr>
          <w:rFonts w:asciiTheme="minorHAnsi" w:hAnsiTheme="minorHAnsi" w:cs="Garamond"/>
          <w:b/>
          <w:bCs/>
          <w:color w:val="000000" w:themeColor="text1"/>
          <w:spacing w:val="-1"/>
          <w:sz w:val="20"/>
          <w:szCs w:val="20"/>
        </w:rPr>
        <w:t xml:space="preserve">il rischio </w:t>
      </w:r>
      <w:r w:rsidRPr="00844C6D">
        <w:rPr>
          <w:rFonts w:asciiTheme="minorHAnsi" w:hAnsiTheme="minorHAnsi" w:cs="Garamond"/>
          <w:b/>
          <w:bCs/>
          <w:color w:val="000000" w:themeColor="text1"/>
          <w:sz w:val="20"/>
          <w:szCs w:val="20"/>
        </w:rPr>
        <w:t>del</w:t>
      </w:r>
      <w:r w:rsidRPr="00844C6D">
        <w:rPr>
          <w:rFonts w:asciiTheme="minorHAnsi" w:hAnsiTheme="minorHAnsi" w:cs="Garamond"/>
          <w:b/>
          <w:bCs/>
          <w:color w:val="000000" w:themeColor="text1"/>
          <w:spacing w:val="13"/>
          <w:sz w:val="20"/>
          <w:szCs w:val="20"/>
        </w:rPr>
        <w:t xml:space="preserve"> </w:t>
      </w:r>
      <w:r w:rsidRPr="00844C6D">
        <w:rPr>
          <w:rFonts w:asciiTheme="minorHAnsi" w:hAnsiTheme="minorHAnsi" w:cs="Garamond"/>
          <w:b/>
          <w:bCs/>
          <w:color w:val="000000" w:themeColor="text1"/>
          <w:sz w:val="20"/>
          <w:szCs w:val="20"/>
        </w:rPr>
        <w:t>36%</w:t>
      </w:r>
      <w:r w:rsidRPr="00844C6D">
        <w:rPr>
          <w:rFonts w:asciiTheme="minorHAnsi" w:hAnsiTheme="minorHAnsi" w:cs="Garamond"/>
          <w:b/>
          <w:bCs/>
          <w:color w:val="000000" w:themeColor="text1"/>
          <w:spacing w:val="61"/>
          <w:sz w:val="20"/>
          <w:szCs w:val="20"/>
        </w:rPr>
        <w:t xml:space="preserve"> </w:t>
      </w:r>
      <w:r w:rsidRPr="00844C6D">
        <w:rPr>
          <w:rFonts w:asciiTheme="minorHAnsi" w:hAnsiTheme="minorHAnsi"/>
          <w:b/>
          <w:bCs/>
          <w:color w:val="000000" w:themeColor="text1"/>
          <w:spacing w:val="-1"/>
          <w:sz w:val="20"/>
          <w:szCs w:val="20"/>
        </w:rPr>
        <w:t>della</w:t>
      </w:r>
      <w:r w:rsidRPr="00844C6D">
        <w:rPr>
          <w:rFonts w:asciiTheme="minorHAnsi" w:hAnsiTheme="minorHAnsi"/>
          <w:b/>
          <w:bCs/>
          <w:color w:val="000000" w:themeColor="text1"/>
          <w:spacing w:val="-3"/>
          <w:sz w:val="20"/>
          <w:szCs w:val="20"/>
        </w:rPr>
        <w:t xml:space="preserve"> </w:t>
      </w:r>
      <w:r w:rsidRPr="00844C6D">
        <w:rPr>
          <w:rFonts w:asciiTheme="minorHAnsi" w:hAnsiTheme="minorHAnsi"/>
          <w:b/>
          <w:bCs/>
          <w:color w:val="000000" w:themeColor="text1"/>
          <w:spacing w:val="-1"/>
          <w:sz w:val="20"/>
          <w:szCs w:val="20"/>
        </w:rPr>
        <w:t>co-infezione</w:t>
      </w:r>
      <w:r w:rsidRPr="00844C6D">
        <w:rPr>
          <w:rFonts w:asciiTheme="minorHAnsi" w:hAnsiTheme="minorHAnsi"/>
          <w:b/>
          <w:bCs/>
          <w:color w:val="000000" w:themeColor="text1"/>
          <w:sz w:val="20"/>
          <w:szCs w:val="20"/>
        </w:rPr>
        <w:t xml:space="preserve"> </w:t>
      </w:r>
      <w:r w:rsidRPr="00844C6D">
        <w:rPr>
          <w:rFonts w:asciiTheme="minorHAnsi" w:hAnsiTheme="minorHAnsi"/>
          <w:b/>
          <w:bCs/>
          <w:color w:val="000000" w:themeColor="text1"/>
          <w:spacing w:val="-2"/>
          <w:sz w:val="20"/>
          <w:szCs w:val="20"/>
        </w:rPr>
        <w:t>proprio</w:t>
      </w:r>
      <w:r w:rsidRPr="00844C6D">
        <w:rPr>
          <w:rFonts w:asciiTheme="minorHAnsi" w:hAnsiTheme="minorHAnsi"/>
          <w:b/>
          <w:bCs/>
          <w:color w:val="000000" w:themeColor="text1"/>
          <w:spacing w:val="-3"/>
          <w:sz w:val="20"/>
          <w:szCs w:val="20"/>
        </w:rPr>
        <w:t xml:space="preserve"> </w:t>
      </w:r>
      <w:r w:rsidRPr="00844C6D">
        <w:rPr>
          <w:rFonts w:asciiTheme="minorHAnsi" w:hAnsiTheme="minorHAnsi"/>
          <w:b/>
          <w:bCs/>
          <w:color w:val="000000" w:themeColor="text1"/>
          <w:sz w:val="20"/>
          <w:szCs w:val="20"/>
        </w:rPr>
        <w:t>da</w:t>
      </w:r>
      <w:r w:rsidRPr="00844C6D">
        <w:rPr>
          <w:rFonts w:asciiTheme="minorHAnsi" w:hAnsiTheme="minorHAnsi"/>
          <w:b/>
          <w:bCs/>
          <w:color w:val="000000" w:themeColor="text1"/>
          <w:spacing w:val="-3"/>
          <w:sz w:val="20"/>
          <w:szCs w:val="20"/>
        </w:rPr>
        <w:t xml:space="preserve"> </w:t>
      </w:r>
      <w:r w:rsidRPr="00844C6D">
        <w:rPr>
          <w:rFonts w:asciiTheme="minorHAnsi" w:hAnsiTheme="minorHAnsi"/>
          <w:b/>
          <w:bCs/>
          <w:color w:val="000000" w:themeColor="text1"/>
          <w:spacing w:val="-1"/>
          <w:sz w:val="20"/>
          <w:szCs w:val="20"/>
        </w:rPr>
        <w:t>coronavirus</w:t>
      </w:r>
      <w:r w:rsidRPr="00844C6D">
        <w:rPr>
          <w:rFonts w:asciiTheme="minorHAnsi" w:hAnsiTheme="minorHAnsi"/>
          <w:color w:val="000000" w:themeColor="text1"/>
          <w:sz w:val="20"/>
          <w:szCs w:val="20"/>
        </w:rPr>
        <w:t xml:space="preserve">. </w:t>
      </w:r>
      <w:r w:rsidRPr="00844C6D">
        <w:rPr>
          <w:rStyle w:val="FootnoteReference"/>
          <w:rFonts w:asciiTheme="minorHAnsi" w:hAnsiTheme="minorHAnsi"/>
          <w:color w:val="000000" w:themeColor="text1"/>
          <w:sz w:val="20"/>
          <w:szCs w:val="20"/>
        </w:rPr>
        <w:footnoteReference w:id="106"/>
      </w:r>
      <w:r w:rsidRPr="00844C6D">
        <w:rPr>
          <w:rFonts w:asciiTheme="minorHAnsi" w:hAnsiTheme="minorHAnsi"/>
          <w:color w:val="000000" w:themeColor="text1"/>
          <w:sz w:val="20"/>
          <w:szCs w:val="20"/>
        </w:rPr>
        <w:t xml:space="preserve"> </w:t>
      </w:r>
    </w:p>
    <w:p w:rsidR="00AA4519" w:rsidRDefault="008A72FD" w:rsidP="000E43D1">
      <w:pPr>
        <w:pStyle w:val="NormalWeb"/>
        <w:shd w:val="clear" w:color="auto" w:fill="FFFFFF"/>
        <w:spacing w:before="0" w:beforeAutospacing="0" w:after="0" w:afterAutospacing="0"/>
        <w:jc w:val="both"/>
        <w:rPr>
          <w:rFonts w:asciiTheme="minorHAnsi" w:hAnsiTheme="minorHAnsi"/>
          <w:color w:val="000000" w:themeColor="text1"/>
          <w:spacing w:val="-1"/>
          <w:sz w:val="20"/>
          <w:szCs w:val="20"/>
        </w:rPr>
      </w:pPr>
      <w:r w:rsidRPr="00844C6D">
        <w:rPr>
          <w:rFonts w:asciiTheme="minorHAnsi" w:hAnsiTheme="minorHAnsi" w:cs="Garamond"/>
          <w:color w:val="000000" w:themeColor="text1"/>
          <w:spacing w:val="-1"/>
          <w:sz w:val="20"/>
          <w:szCs w:val="20"/>
        </w:rPr>
        <w:t xml:space="preserve">Questo fenomeno, noto come </w:t>
      </w:r>
      <w:r w:rsidRPr="002911D4">
        <w:rPr>
          <w:rFonts w:asciiTheme="minorHAnsi" w:hAnsiTheme="minorHAnsi" w:cs="Garamond"/>
          <w:b/>
          <w:bCs/>
          <w:color w:val="000000" w:themeColor="text1"/>
          <w:spacing w:val="-1"/>
          <w:sz w:val="20"/>
          <w:szCs w:val="20"/>
          <w:shd w:val="clear" w:color="auto" w:fill="FBF9E1"/>
        </w:rPr>
        <w:t>interferenza virale</w:t>
      </w:r>
      <w:r w:rsidRPr="00844C6D">
        <w:rPr>
          <w:rFonts w:asciiTheme="minorHAnsi" w:hAnsiTheme="minorHAnsi" w:cs="Garamond"/>
          <w:color w:val="000000" w:themeColor="text1"/>
          <w:spacing w:val="-1"/>
          <w:sz w:val="20"/>
          <w:szCs w:val="20"/>
        </w:rPr>
        <w:t>, può essere spiegato in base alle</w:t>
      </w:r>
      <w:r w:rsidR="00A318B6" w:rsidRPr="00844C6D">
        <w:rPr>
          <w:rFonts w:asciiTheme="minorHAnsi" w:hAnsiTheme="minorHAnsi"/>
          <w:color w:val="000000" w:themeColor="text1"/>
          <w:sz w:val="20"/>
          <w:szCs w:val="20"/>
        </w:rPr>
        <w:t xml:space="preserve"> </w:t>
      </w:r>
      <w:r w:rsidR="00A318B6" w:rsidRPr="00844C6D">
        <w:rPr>
          <w:rFonts w:asciiTheme="minorHAnsi" w:hAnsiTheme="minorHAnsi"/>
          <w:color w:val="000000" w:themeColor="text1"/>
          <w:spacing w:val="-1"/>
          <w:sz w:val="20"/>
          <w:szCs w:val="20"/>
        </w:rPr>
        <w:t>similarità</w:t>
      </w:r>
      <w:r w:rsidR="00A318B6" w:rsidRPr="00844C6D">
        <w:rPr>
          <w:rFonts w:asciiTheme="minorHAnsi" w:hAnsiTheme="minorHAnsi"/>
          <w:color w:val="000000" w:themeColor="text1"/>
          <w:spacing w:val="-3"/>
          <w:sz w:val="20"/>
          <w:szCs w:val="20"/>
        </w:rPr>
        <w:t xml:space="preserve"> </w:t>
      </w:r>
      <w:r w:rsidR="00A318B6" w:rsidRPr="00844C6D">
        <w:rPr>
          <w:rFonts w:asciiTheme="minorHAnsi" w:hAnsiTheme="minorHAnsi"/>
          <w:color w:val="000000" w:themeColor="text1"/>
          <w:spacing w:val="-1"/>
          <w:sz w:val="20"/>
          <w:szCs w:val="20"/>
        </w:rPr>
        <w:t>tra</w:t>
      </w:r>
      <w:r w:rsidR="00A318B6" w:rsidRPr="00844C6D">
        <w:rPr>
          <w:rFonts w:asciiTheme="minorHAnsi" w:hAnsiTheme="minorHAnsi"/>
          <w:color w:val="000000" w:themeColor="text1"/>
          <w:spacing w:val="-3"/>
          <w:sz w:val="20"/>
          <w:szCs w:val="20"/>
        </w:rPr>
        <w:t xml:space="preserve"> </w:t>
      </w:r>
      <w:r w:rsidR="00A318B6" w:rsidRPr="00844C6D">
        <w:rPr>
          <w:rFonts w:asciiTheme="minorHAnsi" w:hAnsiTheme="minorHAnsi"/>
          <w:color w:val="000000" w:themeColor="text1"/>
          <w:spacing w:val="-1"/>
          <w:sz w:val="20"/>
          <w:szCs w:val="20"/>
        </w:rPr>
        <w:t>le</w:t>
      </w:r>
      <w:r w:rsidR="00A318B6" w:rsidRPr="00844C6D">
        <w:rPr>
          <w:rFonts w:asciiTheme="minorHAnsi" w:hAnsiTheme="minorHAnsi"/>
          <w:color w:val="000000" w:themeColor="text1"/>
          <w:sz w:val="20"/>
          <w:szCs w:val="20"/>
        </w:rPr>
        <w:t xml:space="preserve"> </w:t>
      </w:r>
      <w:r w:rsidR="00A318B6" w:rsidRPr="00844C6D">
        <w:rPr>
          <w:rFonts w:asciiTheme="minorHAnsi" w:hAnsiTheme="minorHAnsi"/>
          <w:color w:val="000000" w:themeColor="text1"/>
          <w:spacing w:val="-2"/>
          <w:sz w:val="20"/>
          <w:szCs w:val="20"/>
        </w:rPr>
        <w:t>proteine</w:t>
      </w:r>
      <w:r w:rsidR="00A318B6" w:rsidRPr="00844C6D">
        <w:rPr>
          <w:rFonts w:asciiTheme="minorHAnsi" w:hAnsiTheme="minorHAnsi"/>
          <w:color w:val="000000" w:themeColor="text1"/>
          <w:spacing w:val="-1"/>
          <w:sz w:val="20"/>
          <w:szCs w:val="20"/>
        </w:rPr>
        <w:t xml:space="preserve"> </w:t>
      </w:r>
      <w:r w:rsidR="00A318B6" w:rsidRPr="00844C6D">
        <w:rPr>
          <w:rFonts w:asciiTheme="minorHAnsi" w:hAnsiTheme="minorHAnsi"/>
          <w:color w:val="000000" w:themeColor="text1"/>
          <w:sz w:val="20"/>
          <w:szCs w:val="20"/>
        </w:rPr>
        <w:t>espresse</w:t>
      </w:r>
      <w:r w:rsidR="00A318B6" w:rsidRPr="00844C6D">
        <w:rPr>
          <w:rFonts w:asciiTheme="minorHAnsi" w:hAnsiTheme="minorHAnsi"/>
          <w:color w:val="000000" w:themeColor="text1"/>
          <w:spacing w:val="-5"/>
          <w:sz w:val="20"/>
          <w:szCs w:val="20"/>
        </w:rPr>
        <w:t xml:space="preserve"> </w:t>
      </w:r>
      <w:r w:rsidR="00D15E23" w:rsidRPr="00844C6D">
        <w:rPr>
          <w:rFonts w:asciiTheme="minorHAnsi" w:hAnsiTheme="minorHAnsi"/>
          <w:color w:val="000000" w:themeColor="text1"/>
          <w:spacing w:val="-5"/>
          <w:sz w:val="20"/>
          <w:szCs w:val="20"/>
        </w:rPr>
        <w:t xml:space="preserve">dai coronavirus, incluso il </w:t>
      </w:r>
      <w:r w:rsidR="00A318B6" w:rsidRPr="00844C6D">
        <w:rPr>
          <w:rFonts w:asciiTheme="minorHAnsi" w:hAnsiTheme="minorHAnsi"/>
          <w:color w:val="000000" w:themeColor="text1"/>
          <w:sz w:val="20"/>
          <w:szCs w:val="20"/>
        </w:rPr>
        <w:t>SAR</w:t>
      </w:r>
      <w:r w:rsidR="00D15E23" w:rsidRPr="00844C6D">
        <w:rPr>
          <w:rFonts w:asciiTheme="minorHAnsi" w:hAnsiTheme="minorHAnsi"/>
          <w:color w:val="000000" w:themeColor="text1"/>
          <w:sz w:val="20"/>
          <w:szCs w:val="20"/>
        </w:rPr>
        <w:t>S</w:t>
      </w:r>
      <w:r w:rsidR="00A318B6" w:rsidRPr="00844C6D">
        <w:rPr>
          <w:rFonts w:asciiTheme="minorHAnsi" w:hAnsiTheme="minorHAnsi"/>
          <w:color w:val="000000" w:themeColor="text1"/>
          <w:sz w:val="20"/>
          <w:szCs w:val="20"/>
        </w:rPr>
        <w:t>-Cov-2</w:t>
      </w:r>
      <w:r w:rsidR="00D15E23" w:rsidRPr="00844C6D">
        <w:rPr>
          <w:rFonts w:asciiTheme="minorHAnsi" w:hAnsiTheme="minorHAnsi"/>
          <w:color w:val="000000" w:themeColor="text1"/>
          <w:sz w:val="20"/>
          <w:szCs w:val="20"/>
        </w:rPr>
        <w:t xml:space="preserve">, </w:t>
      </w:r>
      <w:r w:rsidR="00A318B6" w:rsidRPr="00844C6D">
        <w:rPr>
          <w:rFonts w:asciiTheme="minorHAnsi" w:hAnsiTheme="minorHAnsi" w:cs="Garamond"/>
          <w:color w:val="000000" w:themeColor="text1"/>
          <w:sz w:val="20"/>
          <w:szCs w:val="20"/>
        </w:rPr>
        <w:t>e</w:t>
      </w:r>
      <w:r w:rsidR="00A318B6" w:rsidRPr="00844C6D">
        <w:rPr>
          <w:rFonts w:asciiTheme="minorHAnsi" w:hAnsiTheme="minorHAnsi" w:cs="Garamond"/>
          <w:color w:val="000000" w:themeColor="text1"/>
          <w:spacing w:val="-4"/>
          <w:sz w:val="20"/>
          <w:szCs w:val="20"/>
        </w:rPr>
        <w:t xml:space="preserve"> </w:t>
      </w:r>
      <w:r w:rsidR="00A318B6" w:rsidRPr="00844C6D">
        <w:rPr>
          <w:rFonts w:asciiTheme="minorHAnsi" w:hAnsiTheme="minorHAnsi" w:cs="Garamond"/>
          <w:color w:val="000000" w:themeColor="text1"/>
          <w:spacing w:val="-1"/>
          <w:sz w:val="20"/>
          <w:szCs w:val="20"/>
        </w:rPr>
        <w:t>dal</w:t>
      </w:r>
      <w:r w:rsidR="00A318B6" w:rsidRPr="00844C6D">
        <w:rPr>
          <w:rFonts w:asciiTheme="minorHAnsi" w:hAnsiTheme="minorHAnsi" w:cs="Garamond"/>
          <w:color w:val="000000" w:themeColor="text1"/>
          <w:spacing w:val="-6"/>
          <w:sz w:val="20"/>
          <w:szCs w:val="20"/>
        </w:rPr>
        <w:t xml:space="preserve"> </w:t>
      </w:r>
      <w:r w:rsidR="00A318B6" w:rsidRPr="00844C6D">
        <w:rPr>
          <w:rFonts w:asciiTheme="minorHAnsi" w:hAnsiTheme="minorHAnsi" w:cs="Garamond"/>
          <w:color w:val="000000" w:themeColor="text1"/>
          <w:spacing w:val="-1"/>
          <w:sz w:val="20"/>
          <w:szCs w:val="20"/>
        </w:rPr>
        <w:t>virus</w:t>
      </w:r>
      <w:r w:rsidR="00A318B6" w:rsidRPr="00844C6D">
        <w:rPr>
          <w:rFonts w:asciiTheme="minorHAnsi" w:hAnsiTheme="minorHAnsi" w:cs="Garamond"/>
          <w:color w:val="000000" w:themeColor="text1"/>
          <w:spacing w:val="-4"/>
          <w:sz w:val="20"/>
          <w:szCs w:val="20"/>
        </w:rPr>
        <w:t xml:space="preserve"> </w:t>
      </w:r>
      <w:r w:rsidR="00A318B6" w:rsidRPr="00844C6D">
        <w:rPr>
          <w:rFonts w:asciiTheme="minorHAnsi" w:hAnsiTheme="minorHAnsi" w:cs="Garamond"/>
          <w:color w:val="000000" w:themeColor="text1"/>
          <w:spacing w:val="-1"/>
          <w:sz w:val="20"/>
          <w:szCs w:val="20"/>
        </w:rPr>
        <w:t>dell’influenza:</w:t>
      </w:r>
      <w:r w:rsidR="00A318B6" w:rsidRPr="00844C6D">
        <w:rPr>
          <w:rFonts w:asciiTheme="minorHAnsi" w:hAnsiTheme="minorHAnsi" w:cs="Garamond"/>
          <w:color w:val="000000" w:themeColor="text1"/>
          <w:spacing w:val="-4"/>
          <w:sz w:val="20"/>
          <w:szCs w:val="20"/>
        </w:rPr>
        <w:t xml:space="preserve"> </w:t>
      </w:r>
      <w:r w:rsidR="00A318B6" w:rsidRPr="00844C6D">
        <w:rPr>
          <w:rFonts w:asciiTheme="minorHAnsi" w:hAnsiTheme="minorHAnsi" w:cs="Garamond"/>
          <w:color w:val="000000" w:themeColor="text1"/>
          <w:sz w:val="20"/>
          <w:szCs w:val="20"/>
        </w:rPr>
        <w:t>è</w:t>
      </w:r>
      <w:r w:rsidR="00A318B6" w:rsidRPr="00844C6D">
        <w:rPr>
          <w:rFonts w:asciiTheme="minorHAnsi" w:hAnsiTheme="minorHAnsi" w:cs="Garamond"/>
          <w:color w:val="000000" w:themeColor="text1"/>
          <w:spacing w:val="-4"/>
          <w:sz w:val="20"/>
          <w:szCs w:val="20"/>
        </w:rPr>
        <w:t xml:space="preserve"> </w:t>
      </w:r>
      <w:r w:rsidR="00A318B6" w:rsidRPr="00844C6D">
        <w:rPr>
          <w:rFonts w:asciiTheme="minorHAnsi" w:hAnsiTheme="minorHAnsi" w:cs="Garamond"/>
          <w:color w:val="000000" w:themeColor="text1"/>
          <w:spacing w:val="-1"/>
          <w:sz w:val="20"/>
          <w:szCs w:val="20"/>
        </w:rPr>
        <w:t>noto</w:t>
      </w:r>
      <w:r w:rsidR="00A318B6" w:rsidRPr="00844C6D">
        <w:rPr>
          <w:rFonts w:asciiTheme="minorHAnsi" w:hAnsiTheme="minorHAnsi" w:cs="Garamond"/>
          <w:color w:val="000000" w:themeColor="text1"/>
          <w:spacing w:val="-7"/>
          <w:sz w:val="20"/>
          <w:szCs w:val="20"/>
        </w:rPr>
        <w:t xml:space="preserve"> </w:t>
      </w:r>
      <w:r w:rsidR="00D15E23" w:rsidRPr="00844C6D">
        <w:rPr>
          <w:rFonts w:asciiTheme="minorHAnsi" w:hAnsiTheme="minorHAnsi" w:cs="Garamond"/>
          <w:color w:val="000000" w:themeColor="text1"/>
          <w:spacing w:val="-7"/>
          <w:sz w:val="20"/>
          <w:szCs w:val="20"/>
        </w:rPr>
        <w:t xml:space="preserve">infatti </w:t>
      </w:r>
      <w:r w:rsidR="00A318B6" w:rsidRPr="00844C6D">
        <w:rPr>
          <w:rFonts w:asciiTheme="minorHAnsi" w:hAnsiTheme="minorHAnsi" w:cs="Garamond"/>
          <w:color w:val="000000" w:themeColor="text1"/>
          <w:spacing w:val="-1"/>
          <w:sz w:val="20"/>
          <w:szCs w:val="20"/>
        </w:rPr>
        <w:t>che</w:t>
      </w:r>
      <w:r w:rsidR="00A318B6" w:rsidRPr="00844C6D">
        <w:rPr>
          <w:rFonts w:asciiTheme="minorHAnsi" w:hAnsiTheme="minorHAnsi" w:cs="Garamond"/>
          <w:color w:val="000000" w:themeColor="text1"/>
          <w:spacing w:val="-4"/>
          <w:sz w:val="20"/>
          <w:szCs w:val="20"/>
        </w:rPr>
        <w:t xml:space="preserve"> </w:t>
      </w:r>
      <w:r w:rsidR="00A318B6" w:rsidRPr="00844C6D">
        <w:rPr>
          <w:rFonts w:asciiTheme="minorHAnsi" w:hAnsiTheme="minorHAnsi" w:cs="Garamond"/>
          <w:b/>
          <w:bCs/>
          <w:color w:val="000000" w:themeColor="text1"/>
          <w:spacing w:val="-1"/>
          <w:sz w:val="20"/>
          <w:szCs w:val="20"/>
        </w:rPr>
        <w:t>la</w:t>
      </w:r>
      <w:r w:rsidR="00A318B6" w:rsidRPr="00844C6D">
        <w:rPr>
          <w:rFonts w:asciiTheme="minorHAnsi" w:hAnsiTheme="minorHAnsi" w:cs="Garamond"/>
          <w:b/>
          <w:bCs/>
          <w:color w:val="000000" w:themeColor="text1"/>
          <w:spacing w:val="-2"/>
          <w:sz w:val="20"/>
          <w:szCs w:val="20"/>
        </w:rPr>
        <w:t xml:space="preserve"> </w:t>
      </w:r>
      <w:r w:rsidR="00A318B6" w:rsidRPr="00844C6D">
        <w:rPr>
          <w:rFonts w:asciiTheme="minorHAnsi" w:hAnsiTheme="minorHAnsi" w:cs="Garamond"/>
          <w:b/>
          <w:bCs/>
          <w:color w:val="000000" w:themeColor="text1"/>
          <w:spacing w:val="-1"/>
          <w:sz w:val="20"/>
          <w:szCs w:val="20"/>
        </w:rPr>
        <w:t>proteina</w:t>
      </w:r>
      <w:r w:rsidR="00D15E23" w:rsidRPr="00844C6D">
        <w:rPr>
          <w:rFonts w:asciiTheme="minorHAnsi" w:hAnsiTheme="minorHAnsi" w:cs="Garamond"/>
          <w:b/>
          <w:bCs/>
          <w:color w:val="000000" w:themeColor="text1"/>
          <w:spacing w:val="77"/>
          <w:sz w:val="20"/>
          <w:szCs w:val="20"/>
        </w:rPr>
        <w:t xml:space="preserve"> </w:t>
      </w:r>
      <w:r w:rsidR="00A318B6" w:rsidRPr="00844C6D">
        <w:rPr>
          <w:rFonts w:asciiTheme="minorHAnsi" w:hAnsiTheme="minorHAnsi"/>
          <w:b/>
          <w:bCs/>
          <w:color w:val="000000" w:themeColor="text1"/>
          <w:spacing w:val="-1"/>
          <w:sz w:val="20"/>
          <w:szCs w:val="20"/>
        </w:rPr>
        <w:t>hemagglutinin-esterasi</w:t>
      </w:r>
      <w:r w:rsidR="00A318B6" w:rsidRPr="00844C6D">
        <w:rPr>
          <w:rFonts w:asciiTheme="minorHAnsi" w:hAnsiTheme="minorHAnsi"/>
          <w:b/>
          <w:bCs/>
          <w:color w:val="000000" w:themeColor="text1"/>
          <w:spacing w:val="16"/>
          <w:sz w:val="20"/>
          <w:szCs w:val="20"/>
        </w:rPr>
        <w:t xml:space="preserve"> </w:t>
      </w:r>
      <w:r w:rsidR="00A318B6" w:rsidRPr="00844C6D">
        <w:rPr>
          <w:rFonts w:asciiTheme="minorHAnsi" w:hAnsiTheme="minorHAnsi"/>
          <w:b/>
          <w:bCs/>
          <w:color w:val="000000" w:themeColor="text1"/>
          <w:sz w:val="20"/>
          <w:szCs w:val="20"/>
        </w:rPr>
        <w:t>è</w:t>
      </w:r>
      <w:r w:rsidR="00A318B6" w:rsidRPr="00844C6D">
        <w:rPr>
          <w:rFonts w:asciiTheme="minorHAnsi" w:hAnsiTheme="minorHAnsi"/>
          <w:b/>
          <w:bCs/>
          <w:color w:val="000000" w:themeColor="text1"/>
          <w:spacing w:val="19"/>
          <w:sz w:val="20"/>
          <w:szCs w:val="20"/>
        </w:rPr>
        <w:t xml:space="preserve"> </w:t>
      </w:r>
      <w:r w:rsidR="00A318B6" w:rsidRPr="00844C6D">
        <w:rPr>
          <w:rFonts w:asciiTheme="minorHAnsi" w:hAnsiTheme="minorHAnsi"/>
          <w:b/>
          <w:bCs/>
          <w:color w:val="000000" w:themeColor="text1"/>
          <w:spacing w:val="-1"/>
          <w:sz w:val="20"/>
          <w:szCs w:val="20"/>
        </w:rPr>
        <w:t>simile</w:t>
      </w:r>
      <w:r w:rsidR="00A318B6" w:rsidRPr="00844C6D">
        <w:rPr>
          <w:rFonts w:asciiTheme="minorHAnsi" w:hAnsiTheme="minorHAnsi"/>
          <w:b/>
          <w:bCs/>
          <w:color w:val="000000" w:themeColor="text1"/>
          <w:spacing w:val="18"/>
          <w:sz w:val="20"/>
          <w:szCs w:val="20"/>
        </w:rPr>
        <w:t xml:space="preserve"> </w:t>
      </w:r>
      <w:r w:rsidR="00A318B6" w:rsidRPr="00844C6D">
        <w:rPr>
          <w:rFonts w:asciiTheme="minorHAnsi" w:hAnsiTheme="minorHAnsi"/>
          <w:b/>
          <w:bCs/>
          <w:color w:val="000000" w:themeColor="text1"/>
          <w:spacing w:val="-1"/>
          <w:sz w:val="20"/>
          <w:szCs w:val="20"/>
        </w:rPr>
        <w:t>nei</w:t>
      </w:r>
      <w:r w:rsidR="00A318B6" w:rsidRPr="00844C6D">
        <w:rPr>
          <w:rFonts w:asciiTheme="minorHAnsi" w:hAnsiTheme="minorHAnsi"/>
          <w:b/>
          <w:bCs/>
          <w:color w:val="000000" w:themeColor="text1"/>
          <w:spacing w:val="17"/>
          <w:sz w:val="20"/>
          <w:szCs w:val="20"/>
        </w:rPr>
        <w:t xml:space="preserve"> </w:t>
      </w:r>
      <w:r w:rsidR="00A318B6" w:rsidRPr="00844C6D">
        <w:rPr>
          <w:rFonts w:asciiTheme="minorHAnsi" w:hAnsiTheme="minorHAnsi"/>
          <w:b/>
          <w:bCs/>
          <w:color w:val="000000" w:themeColor="text1"/>
          <w:sz w:val="20"/>
          <w:szCs w:val="20"/>
        </w:rPr>
        <w:t>due</w:t>
      </w:r>
      <w:r w:rsidR="00A318B6" w:rsidRPr="00844C6D">
        <w:rPr>
          <w:rFonts w:asciiTheme="minorHAnsi" w:hAnsiTheme="minorHAnsi"/>
          <w:b/>
          <w:bCs/>
          <w:color w:val="000000" w:themeColor="text1"/>
          <w:spacing w:val="19"/>
          <w:sz w:val="20"/>
          <w:szCs w:val="20"/>
        </w:rPr>
        <w:t xml:space="preserve"> </w:t>
      </w:r>
      <w:r w:rsidR="00A318B6" w:rsidRPr="00844C6D">
        <w:rPr>
          <w:rFonts w:asciiTheme="minorHAnsi" w:hAnsiTheme="minorHAnsi"/>
          <w:b/>
          <w:bCs/>
          <w:color w:val="000000" w:themeColor="text1"/>
          <w:spacing w:val="-1"/>
          <w:sz w:val="20"/>
          <w:szCs w:val="20"/>
        </w:rPr>
        <w:t>virus</w:t>
      </w:r>
      <w:r w:rsidR="00A318B6" w:rsidRPr="00844C6D">
        <w:rPr>
          <w:rFonts w:asciiTheme="minorHAnsi" w:hAnsiTheme="minorHAnsi"/>
          <w:color w:val="000000" w:themeColor="text1"/>
          <w:spacing w:val="18"/>
          <w:sz w:val="20"/>
          <w:szCs w:val="20"/>
        </w:rPr>
        <w:t xml:space="preserve"> </w:t>
      </w:r>
      <w:r w:rsidR="00A318B6" w:rsidRPr="00844C6D">
        <w:rPr>
          <w:rFonts w:asciiTheme="minorHAnsi" w:hAnsiTheme="minorHAnsi"/>
          <w:color w:val="000000" w:themeColor="text1"/>
          <w:sz w:val="20"/>
          <w:szCs w:val="20"/>
        </w:rPr>
        <w:t>e</w:t>
      </w:r>
      <w:r w:rsidR="00A318B6" w:rsidRPr="00844C6D">
        <w:rPr>
          <w:rFonts w:asciiTheme="minorHAnsi" w:hAnsiTheme="minorHAnsi"/>
          <w:color w:val="000000" w:themeColor="text1"/>
          <w:spacing w:val="19"/>
          <w:sz w:val="20"/>
          <w:szCs w:val="20"/>
        </w:rPr>
        <w:t xml:space="preserve"> </w:t>
      </w:r>
      <w:r w:rsidR="00A318B6" w:rsidRPr="00844C6D">
        <w:rPr>
          <w:rFonts w:asciiTheme="minorHAnsi" w:hAnsiTheme="minorHAnsi"/>
          <w:color w:val="000000" w:themeColor="text1"/>
          <w:spacing w:val="-1"/>
          <w:sz w:val="20"/>
          <w:szCs w:val="20"/>
        </w:rPr>
        <w:t>che</w:t>
      </w:r>
      <w:r w:rsidR="00A318B6" w:rsidRPr="00844C6D">
        <w:rPr>
          <w:rFonts w:asciiTheme="minorHAnsi" w:hAnsiTheme="minorHAnsi"/>
          <w:color w:val="000000" w:themeColor="text1"/>
          <w:spacing w:val="18"/>
          <w:sz w:val="20"/>
          <w:szCs w:val="20"/>
        </w:rPr>
        <w:t xml:space="preserve"> </w:t>
      </w:r>
      <w:r w:rsidR="00A318B6" w:rsidRPr="00844C6D">
        <w:rPr>
          <w:rFonts w:asciiTheme="minorHAnsi" w:hAnsiTheme="minorHAnsi"/>
          <w:color w:val="000000" w:themeColor="text1"/>
          <w:spacing w:val="-1"/>
          <w:sz w:val="20"/>
          <w:szCs w:val="20"/>
        </w:rPr>
        <w:t>la</w:t>
      </w:r>
      <w:r w:rsidR="00A318B6" w:rsidRPr="00844C6D">
        <w:rPr>
          <w:rFonts w:asciiTheme="minorHAnsi" w:hAnsiTheme="minorHAnsi"/>
          <w:color w:val="000000" w:themeColor="text1"/>
          <w:spacing w:val="16"/>
          <w:sz w:val="20"/>
          <w:szCs w:val="20"/>
        </w:rPr>
        <w:t xml:space="preserve"> </w:t>
      </w:r>
      <w:r w:rsidR="00A318B6" w:rsidRPr="00844C6D">
        <w:rPr>
          <w:rFonts w:asciiTheme="minorHAnsi" w:hAnsiTheme="minorHAnsi"/>
          <w:color w:val="000000" w:themeColor="text1"/>
          <w:spacing w:val="-1"/>
          <w:sz w:val="20"/>
          <w:szCs w:val="20"/>
        </w:rPr>
        <w:t>proteina</w:t>
      </w:r>
      <w:r w:rsidR="00A318B6" w:rsidRPr="00844C6D">
        <w:rPr>
          <w:rFonts w:asciiTheme="minorHAnsi" w:hAnsiTheme="minorHAnsi"/>
          <w:color w:val="000000" w:themeColor="text1"/>
          <w:spacing w:val="16"/>
          <w:sz w:val="20"/>
          <w:szCs w:val="20"/>
        </w:rPr>
        <w:t xml:space="preserve"> </w:t>
      </w:r>
      <w:r w:rsidR="00A318B6" w:rsidRPr="00844C6D">
        <w:rPr>
          <w:rFonts w:asciiTheme="minorHAnsi" w:hAnsiTheme="minorHAnsi"/>
          <w:color w:val="000000" w:themeColor="text1"/>
          <w:sz w:val="20"/>
          <w:szCs w:val="20"/>
        </w:rPr>
        <w:t>spike</w:t>
      </w:r>
      <w:r w:rsidR="00A318B6" w:rsidRPr="00844C6D">
        <w:rPr>
          <w:rFonts w:asciiTheme="minorHAnsi" w:hAnsiTheme="minorHAnsi"/>
          <w:color w:val="000000" w:themeColor="text1"/>
          <w:spacing w:val="18"/>
          <w:sz w:val="20"/>
          <w:szCs w:val="20"/>
        </w:rPr>
        <w:t xml:space="preserve"> </w:t>
      </w:r>
      <w:r w:rsidR="00A318B6" w:rsidRPr="00844C6D">
        <w:rPr>
          <w:rFonts w:asciiTheme="minorHAnsi" w:hAnsiTheme="minorHAnsi"/>
          <w:color w:val="000000" w:themeColor="text1"/>
          <w:sz w:val="20"/>
          <w:szCs w:val="20"/>
        </w:rPr>
        <w:t>dei</w:t>
      </w:r>
      <w:r w:rsidR="00A318B6" w:rsidRPr="00844C6D">
        <w:rPr>
          <w:rFonts w:asciiTheme="minorHAnsi" w:hAnsiTheme="minorHAnsi"/>
          <w:color w:val="000000" w:themeColor="text1"/>
          <w:spacing w:val="17"/>
          <w:sz w:val="20"/>
          <w:szCs w:val="20"/>
        </w:rPr>
        <w:t xml:space="preserve"> </w:t>
      </w:r>
      <w:r w:rsidR="00A318B6" w:rsidRPr="00844C6D">
        <w:rPr>
          <w:rFonts w:asciiTheme="minorHAnsi" w:hAnsiTheme="minorHAnsi"/>
          <w:color w:val="000000" w:themeColor="text1"/>
          <w:sz w:val="20"/>
          <w:szCs w:val="20"/>
        </w:rPr>
        <w:t>coronavirus</w:t>
      </w:r>
      <w:r w:rsidR="00A318B6" w:rsidRPr="00844C6D">
        <w:rPr>
          <w:rFonts w:asciiTheme="minorHAnsi" w:hAnsiTheme="minorHAnsi"/>
          <w:color w:val="000000" w:themeColor="text1"/>
          <w:spacing w:val="67"/>
          <w:w w:val="99"/>
          <w:sz w:val="20"/>
          <w:szCs w:val="20"/>
        </w:rPr>
        <w:t xml:space="preserve"> </w:t>
      </w:r>
      <w:r w:rsidR="00A318B6" w:rsidRPr="00844C6D">
        <w:rPr>
          <w:rFonts w:asciiTheme="minorHAnsi" w:hAnsiTheme="minorHAnsi"/>
          <w:color w:val="000000" w:themeColor="text1"/>
          <w:spacing w:val="-1"/>
          <w:sz w:val="20"/>
          <w:szCs w:val="20"/>
        </w:rPr>
        <w:t>condivide</w:t>
      </w:r>
      <w:r w:rsidR="00A318B6" w:rsidRPr="00844C6D">
        <w:rPr>
          <w:rFonts w:asciiTheme="minorHAnsi" w:hAnsiTheme="minorHAnsi"/>
          <w:color w:val="000000" w:themeColor="text1"/>
          <w:spacing w:val="14"/>
          <w:sz w:val="20"/>
          <w:szCs w:val="20"/>
        </w:rPr>
        <w:t xml:space="preserve"> </w:t>
      </w:r>
      <w:r w:rsidR="00A318B6" w:rsidRPr="00844C6D">
        <w:rPr>
          <w:rFonts w:asciiTheme="minorHAnsi" w:hAnsiTheme="minorHAnsi"/>
          <w:color w:val="000000" w:themeColor="text1"/>
          <w:spacing w:val="-1"/>
          <w:sz w:val="20"/>
          <w:szCs w:val="20"/>
        </w:rPr>
        <w:t>caratteristiche</w:t>
      </w:r>
      <w:r w:rsidR="00A318B6" w:rsidRPr="00844C6D">
        <w:rPr>
          <w:rFonts w:asciiTheme="minorHAnsi" w:hAnsiTheme="minorHAnsi"/>
          <w:color w:val="000000" w:themeColor="text1"/>
          <w:spacing w:val="14"/>
          <w:sz w:val="20"/>
          <w:szCs w:val="20"/>
        </w:rPr>
        <w:t xml:space="preserve"> </w:t>
      </w:r>
      <w:r w:rsidR="00A318B6" w:rsidRPr="00844C6D">
        <w:rPr>
          <w:rFonts w:asciiTheme="minorHAnsi" w:hAnsiTheme="minorHAnsi"/>
          <w:color w:val="000000" w:themeColor="text1"/>
          <w:spacing w:val="-1"/>
          <w:sz w:val="20"/>
          <w:szCs w:val="20"/>
        </w:rPr>
        <w:t>comuni</w:t>
      </w:r>
      <w:r w:rsidR="00A318B6" w:rsidRPr="00844C6D">
        <w:rPr>
          <w:rFonts w:asciiTheme="minorHAnsi" w:hAnsiTheme="minorHAnsi"/>
          <w:color w:val="000000" w:themeColor="text1"/>
          <w:spacing w:val="12"/>
          <w:sz w:val="20"/>
          <w:szCs w:val="20"/>
        </w:rPr>
        <w:t xml:space="preserve"> </w:t>
      </w:r>
      <w:r w:rsidR="00A318B6" w:rsidRPr="00844C6D">
        <w:rPr>
          <w:rFonts w:asciiTheme="minorHAnsi" w:hAnsiTheme="minorHAnsi"/>
          <w:color w:val="000000" w:themeColor="text1"/>
          <w:spacing w:val="-1"/>
          <w:sz w:val="20"/>
          <w:szCs w:val="20"/>
        </w:rPr>
        <w:t>con</w:t>
      </w:r>
      <w:r w:rsidR="00A318B6" w:rsidRPr="00844C6D">
        <w:rPr>
          <w:rFonts w:asciiTheme="minorHAnsi" w:hAnsiTheme="minorHAnsi"/>
          <w:color w:val="000000" w:themeColor="text1"/>
          <w:spacing w:val="15"/>
          <w:sz w:val="20"/>
          <w:szCs w:val="20"/>
        </w:rPr>
        <w:t xml:space="preserve"> </w:t>
      </w:r>
      <w:r w:rsidR="00A318B6" w:rsidRPr="00844C6D">
        <w:rPr>
          <w:rFonts w:asciiTheme="minorHAnsi" w:hAnsiTheme="minorHAnsi"/>
          <w:color w:val="000000" w:themeColor="text1"/>
          <w:spacing w:val="-1"/>
          <w:sz w:val="20"/>
          <w:szCs w:val="20"/>
        </w:rPr>
        <w:t>la</w:t>
      </w:r>
      <w:r w:rsidR="00A318B6" w:rsidRPr="00844C6D">
        <w:rPr>
          <w:rFonts w:asciiTheme="minorHAnsi" w:hAnsiTheme="minorHAnsi"/>
          <w:color w:val="000000" w:themeColor="text1"/>
          <w:spacing w:val="15"/>
          <w:sz w:val="20"/>
          <w:szCs w:val="20"/>
        </w:rPr>
        <w:t xml:space="preserve"> </w:t>
      </w:r>
      <w:r w:rsidR="00A318B6" w:rsidRPr="00844C6D">
        <w:rPr>
          <w:rFonts w:asciiTheme="minorHAnsi" w:hAnsiTheme="minorHAnsi"/>
          <w:color w:val="000000" w:themeColor="text1"/>
          <w:spacing w:val="-1"/>
          <w:sz w:val="20"/>
          <w:szCs w:val="20"/>
        </w:rPr>
        <w:t>proteina</w:t>
      </w:r>
      <w:r w:rsidR="00A318B6" w:rsidRPr="00844C6D">
        <w:rPr>
          <w:rFonts w:asciiTheme="minorHAnsi" w:hAnsiTheme="minorHAnsi"/>
          <w:color w:val="000000" w:themeColor="text1"/>
          <w:spacing w:val="12"/>
          <w:sz w:val="20"/>
          <w:szCs w:val="20"/>
        </w:rPr>
        <w:t xml:space="preserve"> </w:t>
      </w:r>
      <w:r w:rsidR="00A318B6" w:rsidRPr="00844C6D">
        <w:rPr>
          <w:rFonts w:asciiTheme="minorHAnsi" w:hAnsiTheme="minorHAnsi"/>
          <w:color w:val="000000" w:themeColor="text1"/>
          <w:sz w:val="20"/>
          <w:szCs w:val="20"/>
        </w:rPr>
        <w:t>di</w:t>
      </w:r>
      <w:r w:rsidR="00A318B6" w:rsidRPr="00844C6D">
        <w:rPr>
          <w:rFonts w:asciiTheme="minorHAnsi" w:hAnsiTheme="minorHAnsi"/>
          <w:color w:val="000000" w:themeColor="text1"/>
          <w:spacing w:val="16"/>
          <w:sz w:val="20"/>
          <w:szCs w:val="20"/>
        </w:rPr>
        <w:t xml:space="preserve"> </w:t>
      </w:r>
      <w:r w:rsidR="00A318B6" w:rsidRPr="00844C6D">
        <w:rPr>
          <w:rFonts w:asciiTheme="minorHAnsi" w:hAnsiTheme="minorHAnsi"/>
          <w:color w:val="000000" w:themeColor="text1"/>
          <w:spacing w:val="-1"/>
          <w:sz w:val="20"/>
          <w:szCs w:val="20"/>
        </w:rPr>
        <w:t>fusione</w:t>
      </w:r>
      <w:r w:rsidR="00A318B6" w:rsidRPr="00844C6D">
        <w:rPr>
          <w:rFonts w:asciiTheme="minorHAnsi" w:hAnsiTheme="minorHAnsi"/>
          <w:color w:val="000000" w:themeColor="text1"/>
          <w:spacing w:val="14"/>
          <w:sz w:val="20"/>
          <w:szCs w:val="20"/>
        </w:rPr>
        <w:t xml:space="preserve"> </w:t>
      </w:r>
      <w:r w:rsidR="00A318B6" w:rsidRPr="00844C6D">
        <w:rPr>
          <w:rFonts w:asciiTheme="minorHAnsi" w:hAnsiTheme="minorHAnsi"/>
          <w:color w:val="000000" w:themeColor="text1"/>
          <w:spacing w:val="-1"/>
          <w:sz w:val="20"/>
          <w:szCs w:val="20"/>
        </w:rPr>
        <w:t>della</w:t>
      </w:r>
      <w:r w:rsidR="00A318B6" w:rsidRPr="00844C6D">
        <w:rPr>
          <w:rFonts w:asciiTheme="minorHAnsi" w:hAnsiTheme="minorHAnsi"/>
          <w:color w:val="000000" w:themeColor="text1"/>
          <w:spacing w:val="15"/>
          <w:sz w:val="20"/>
          <w:szCs w:val="20"/>
        </w:rPr>
        <w:t xml:space="preserve"> </w:t>
      </w:r>
      <w:r w:rsidR="00A318B6" w:rsidRPr="00844C6D">
        <w:rPr>
          <w:rFonts w:asciiTheme="minorHAnsi" w:hAnsiTheme="minorHAnsi"/>
          <w:color w:val="000000" w:themeColor="text1"/>
          <w:spacing w:val="-2"/>
          <w:sz w:val="20"/>
          <w:szCs w:val="20"/>
        </w:rPr>
        <w:t>membrana</w:t>
      </w:r>
      <w:r w:rsidR="00A318B6" w:rsidRPr="00844C6D">
        <w:rPr>
          <w:rFonts w:asciiTheme="minorHAnsi" w:hAnsiTheme="minorHAnsi"/>
          <w:color w:val="000000" w:themeColor="text1"/>
          <w:spacing w:val="16"/>
          <w:sz w:val="20"/>
          <w:szCs w:val="20"/>
        </w:rPr>
        <w:t xml:space="preserve"> </w:t>
      </w:r>
      <w:r w:rsidR="00A318B6" w:rsidRPr="00844C6D">
        <w:rPr>
          <w:rFonts w:asciiTheme="minorHAnsi" w:hAnsiTheme="minorHAnsi"/>
          <w:color w:val="000000" w:themeColor="text1"/>
          <w:spacing w:val="-1"/>
          <w:sz w:val="20"/>
          <w:szCs w:val="20"/>
        </w:rPr>
        <w:t>virale</w:t>
      </w:r>
      <w:r w:rsidR="00A318B6" w:rsidRPr="00844C6D">
        <w:rPr>
          <w:rFonts w:asciiTheme="minorHAnsi" w:hAnsiTheme="minorHAnsi"/>
          <w:color w:val="000000" w:themeColor="text1"/>
          <w:spacing w:val="19"/>
          <w:sz w:val="20"/>
          <w:szCs w:val="20"/>
        </w:rPr>
        <w:t xml:space="preserve"> </w:t>
      </w:r>
      <w:r w:rsidR="00A318B6" w:rsidRPr="00844C6D">
        <w:rPr>
          <w:rFonts w:asciiTheme="minorHAnsi" w:hAnsiTheme="minorHAnsi"/>
          <w:color w:val="000000" w:themeColor="text1"/>
          <w:sz w:val="20"/>
          <w:szCs w:val="20"/>
        </w:rPr>
        <w:t>di</w:t>
      </w:r>
      <w:r w:rsidR="00A318B6" w:rsidRPr="00844C6D">
        <w:rPr>
          <w:rFonts w:asciiTheme="minorHAnsi" w:hAnsiTheme="minorHAnsi"/>
          <w:color w:val="000000" w:themeColor="text1"/>
          <w:spacing w:val="69"/>
          <w:sz w:val="20"/>
          <w:szCs w:val="20"/>
        </w:rPr>
        <w:t xml:space="preserve"> </w:t>
      </w:r>
      <w:r w:rsidR="00A318B6" w:rsidRPr="00844C6D">
        <w:rPr>
          <w:rFonts w:asciiTheme="minorHAnsi" w:hAnsiTheme="minorHAnsi"/>
          <w:color w:val="000000" w:themeColor="text1"/>
          <w:sz w:val="20"/>
          <w:szCs w:val="20"/>
        </w:rPr>
        <w:t>classe</w:t>
      </w:r>
      <w:r w:rsidR="00A318B6" w:rsidRPr="00844C6D">
        <w:rPr>
          <w:rFonts w:asciiTheme="minorHAnsi" w:hAnsiTheme="minorHAnsi"/>
          <w:color w:val="000000" w:themeColor="text1"/>
          <w:spacing w:val="18"/>
          <w:sz w:val="20"/>
          <w:szCs w:val="20"/>
        </w:rPr>
        <w:t xml:space="preserve"> </w:t>
      </w:r>
      <w:r w:rsidR="00A318B6" w:rsidRPr="00844C6D">
        <w:rPr>
          <w:rFonts w:asciiTheme="minorHAnsi" w:hAnsiTheme="minorHAnsi"/>
          <w:color w:val="000000" w:themeColor="text1"/>
          <w:sz w:val="20"/>
          <w:szCs w:val="20"/>
        </w:rPr>
        <w:t>1</w:t>
      </w:r>
      <w:r w:rsidR="00A318B6" w:rsidRPr="00844C6D">
        <w:rPr>
          <w:rFonts w:asciiTheme="minorHAnsi" w:hAnsiTheme="minorHAnsi"/>
          <w:color w:val="000000" w:themeColor="text1"/>
          <w:spacing w:val="18"/>
          <w:sz w:val="20"/>
          <w:szCs w:val="20"/>
        </w:rPr>
        <w:t xml:space="preserve"> </w:t>
      </w:r>
      <w:r w:rsidR="00A318B6" w:rsidRPr="00844C6D">
        <w:rPr>
          <w:rFonts w:asciiTheme="minorHAnsi" w:hAnsiTheme="minorHAnsi"/>
          <w:color w:val="000000" w:themeColor="text1"/>
          <w:spacing w:val="-2"/>
          <w:sz w:val="20"/>
          <w:szCs w:val="20"/>
        </w:rPr>
        <w:t>dei</w:t>
      </w:r>
      <w:r w:rsidR="00A318B6" w:rsidRPr="00844C6D">
        <w:rPr>
          <w:rFonts w:asciiTheme="minorHAnsi" w:hAnsiTheme="minorHAnsi"/>
          <w:color w:val="000000" w:themeColor="text1"/>
          <w:spacing w:val="17"/>
          <w:sz w:val="20"/>
          <w:szCs w:val="20"/>
        </w:rPr>
        <w:t xml:space="preserve"> </w:t>
      </w:r>
      <w:r w:rsidR="00A318B6" w:rsidRPr="00844C6D">
        <w:rPr>
          <w:rFonts w:asciiTheme="minorHAnsi" w:hAnsiTheme="minorHAnsi"/>
          <w:color w:val="000000" w:themeColor="text1"/>
          <w:spacing w:val="-1"/>
          <w:sz w:val="20"/>
          <w:szCs w:val="20"/>
        </w:rPr>
        <w:t>virus</w:t>
      </w:r>
      <w:r w:rsidR="00A318B6" w:rsidRPr="00844C6D">
        <w:rPr>
          <w:rFonts w:asciiTheme="minorHAnsi" w:hAnsiTheme="minorHAnsi"/>
          <w:color w:val="000000" w:themeColor="text1"/>
          <w:spacing w:val="19"/>
          <w:sz w:val="20"/>
          <w:szCs w:val="20"/>
        </w:rPr>
        <w:t xml:space="preserve"> </w:t>
      </w:r>
      <w:r w:rsidR="00A318B6" w:rsidRPr="00844C6D">
        <w:rPr>
          <w:rFonts w:asciiTheme="minorHAnsi" w:hAnsiTheme="minorHAnsi"/>
          <w:color w:val="000000" w:themeColor="text1"/>
          <w:spacing w:val="-1"/>
          <w:sz w:val="20"/>
          <w:szCs w:val="20"/>
        </w:rPr>
        <w:t>dell'influenza.</w:t>
      </w:r>
      <w:r w:rsidR="00D15E23" w:rsidRPr="00844C6D">
        <w:rPr>
          <w:rFonts w:asciiTheme="minorHAnsi" w:hAnsiTheme="minorHAnsi"/>
          <w:color w:val="000000" w:themeColor="text1"/>
          <w:spacing w:val="-1"/>
          <w:sz w:val="20"/>
          <w:szCs w:val="20"/>
        </w:rPr>
        <w:t xml:space="preserve"> </w:t>
      </w:r>
      <w:r w:rsidR="00AA4519" w:rsidRPr="00844C6D">
        <w:rPr>
          <w:rStyle w:val="FootnoteReference"/>
          <w:rFonts w:asciiTheme="minorHAnsi" w:hAnsiTheme="minorHAnsi"/>
          <w:color w:val="000000" w:themeColor="text1"/>
          <w:spacing w:val="-1"/>
          <w:sz w:val="20"/>
          <w:szCs w:val="20"/>
        </w:rPr>
        <w:footnoteReference w:id="107"/>
      </w:r>
    </w:p>
    <w:p w:rsidR="00844C6D" w:rsidRPr="00844C6D" w:rsidRDefault="00844C6D" w:rsidP="000E43D1">
      <w:pPr>
        <w:pStyle w:val="NormalWeb"/>
        <w:shd w:val="clear" w:color="auto" w:fill="FFFFFF"/>
        <w:spacing w:before="0" w:beforeAutospacing="0" w:after="0" w:afterAutospacing="0"/>
        <w:jc w:val="both"/>
        <w:rPr>
          <w:rFonts w:asciiTheme="minorHAnsi" w:hAnsiTheme="minorHAnsi"/>
          <w:color w:val="000000" w:themeColor="text1"/>
          <w:spacing w:val="-1"/>
          <w:sz w:val="20"/>
          <w:szCs w:val="20"/>
        </w:rPr>
      </w:pPr>
    </w:p>
    <w:p w:rsidR="002911D4" w:rsidRDefault="002911D4" w:rsidP="002911D4">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spacing w:before="0" w:beforeAutospacing="0" w:after="0" w:afterAutospacing="0"/>
        <w:ind w:left="709" w:right="843"/>
        <w:jc w:val="both"/>
        <w:rPr>
          <w:rFonts w:asciiTheme="minorHAnsi" w:hAnsiTheme="minorHAnsi"/>
          <w:i/>
          <w:iCs/>
          <w:color w:val="000000" w:themeColor="text1"/>
          <w:spacing w:val="-1"/>
          <w:sz w:val="20"/>
          <w:szCs w:val="20"/>
        </w:rPr>
      </w:pPr>
    </w:p>
    <w:p w:rsidR="00A318B6" w:rsidRDefault="008A72FD" w:rsidP="002911D4">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spacing w:before="0" w:beforeAutospacing="0" w:after="0" w:afterAutospacing="0"/>
        <w:ind w:left="709" w:right="843"/>
        <w:jc w:val="both"/>
        <w:rPr>
          <w:rFonts w:asciiTheme="minorHAnsi" w:hAnsiTheme="minorHAnsi"/>
          <w:i/>
          <w:iCs/>
          <w:color w:val="000000" w:themeColor="text1"/>
          <w:spacing w:val="-1"/>
          <w:sz w:val="20"/>
          <w:szCs w:val="20"/>
        </w:rPr>
      </w:pPr>
      <w:r w:rsidRPr="002911D4">
        <w:rPr>
          <w:rFonts w:asciiTheme="minorHAnsi" w:hAnsiTheme="minorHAnsi"/>
          <w:i/>
          <w:iCs/>
          <w:color w:val="000000" w:themeColor="text1"/>
          <w:spacing w:val="-1"/>
          <w:sz w:val="20"/>
          <w:szCs w:val="20"/>
        </w:rPr>
        <w:t xml:space="preserve">Quindi </w:t>
      </w:r>
      <w:r w:rsidR="00AA4519" w:rsidRPr="002911D4">
        <w:rPr>
          <w:rFonts w:asciiTheme="minorHAnsi" w:hAnsiTheme="minorHAnsi"/>
          <w:b/>
          <w:bCs/>
          <w:i/>
          <w:iCs/>
          <w:color w:val="000000" w:themeColor="text1"/>
          <w:spacing w:val="-1"/>
          <w:sz w:val="20"/>
          <w:szCs w:val="20"/>
        </w:rPr>
        <w:t xml:space="preserve">la vaccinazione antinfluenzale può portare alla formazione di anticorpi non neutralizzanti e cross-reattivi con i coronavirus e il SARS-Cov-2, che possono aumentare sia il rischio di infezione da SARS-Cov-2 che </w:t>
      </w:r>
      <w:r w:rsidR="00D15E23" w:rsidRPr="002911D4">
        <w:rPr>
          <w:rFonts w:asciiTheme="minorHAnsi" w:hAnsiTheme="minorHAnsi"/>
          <w:b/>
          <w:bCs/>
          <w:i/>
          <w:iCs/>
          <w:color w:val="000000" w:themeColor="text1"/>
          <w:spacing w:val="-1"/>
          <w:sz w:val="20"/>
          <w:szCs w:val="20"/>
        </w:rPr>
        <w:t>l’induzione del potenziamento delle complicazioni respiratorie in caso di vaccinazione antinfluenzale e successiva infezione da SARS-Cov-2</w:t>
      </w:r>
      <w:r w:rsidRPr="002911D4">
        <w:rPr>
          <w:rFonts w:asciiTheme="minorHAnsi" w:hAnsiTheme="minorHAnsi"/>
          <w:i/>
          <w:iCs/>
          <w:color w:val="000000" w:themeColor="text1"/>
          <w:spacing w:val="-1"/>
          <w:sz w:val="20"/>
          <w:szCs w:val="20"/>
        </w:rPr>
        <w:t>.</w:t>
      </w:r>
      <w:r w:rsidR="00D15E23" w:rsidRPr="002911D4">
        <w:rPr>
          <w:rFonts w:asciiTheme="minorHAnsi" w:hAnsiTheme="minorHAnsi"/>
          <w:i/>
          <w:iCs/>
          <w:color w:val="000000" w:themeColor="text1"/>
          <w:spacing w:val="-1"/>
          <w:sz w:val="20"/>
          <w:szCs w:val="20"/>
        </w:rPr>
        <w:t xml:space="preserve"> </w:t>
      </w:r>
    </w:p>
    <w:p w:rsidR="002911D4" w:rsidRPr="002911D4" w:rsidRDefault="002911D4" w:rsidP="002911D4">
      <w:pPr>
        <w:pStyle w:val="NormalWeb"/>
        <w:pBdr>
          <w:top w:val="double" w:sz="4" w:space="1" w:color="4472C4" w:themeColor="accent1"/>
          <w:left w:val="double" w:sz="4" w:space="4" w:color="4472C4" w:themeColor="accent1"/>
          <w:bottom w:val="double" w:sz="4" w:space="1" w:color="4472C4" w:themeColor="accent1"/>
          <w:right w:val="double" w:sz="4" w:space="4" w:color="4472C4" w:themeColor="accent1"/>
        </w:pBdr>
        <w:shd w:val="clear" w:color="auto" w:fill="FBF9E1"/>
        <w:spacing w:before="0" w:beforeAutospacing="0" w:after="0" w:afterAutospacing="0"/>
        <w:ind w:left="709" w:right="843"/>
        <w:jc w:val="both"/>
        <w:rPr>
          <w:rFonts w:asciiTheme="minorHAnsi" w:hAnsiTheme="minorHAnsi"/>
          <w:i/>
          <w:iCs/>
          <w:color w:val="000000" w:themeColor="text1"/>
          <w:sz w:val="20"/>
          <w:szCs w:val="20"/>
        </w:rPr>
      </w:pPr>
    </w:p>
    <w:p w:rsidR="000E43D1" w:rsidRDefault="000E43D1" w:rsidP="000E43D1">
      <w:pPr>
        <w:jc w:val="both"/>
        <w:rPr>
          <w:rFonts w:asciiTheme="minorHAnsi" w:hAnsiTheme="minorHAnsi"/>
          <w:color w:val="000000" w:themeColor="text1"/>
          <w:sz w:val="20"/>
          <w:szCs w:val="20"/>
        </w:rPr>
      </w:pPr>
    </w:p>
    <w:p w:rsidR="00FD5D10" w:rsidRPr="00330DB8" w:rsidRDefault="00FD5D10" w:rsidP="000E43D1">
      <w:pPr>
        <w:jc w:val="both"/>
        <w:rPr>
          <w:rFonts w:asciiTheme="minorHAnsi" w:hAnsiTheme="minorHAnsi"/>
          <w:color w:val="000000" w:themeColor="text1"/>
          <w:sz w:val="20"/>
          <w:szCs w:val="20"/>
        </w:rPr>
      </w:pPr>
    </w:p>
    <w:p w:rsidR="00844C6D" w:rsidRPr="00330DB8" w:rsidRDefault="00844C6D" w:rsidP="00FD5D1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FF3F5"/>
        <w:ind w:right="-7"/>
        <w:jc w:val="both"/>
        <w:rPr>
          <w:rFonts w:asciiTheme="minorHAnsi" w:hAnsiTheme="minorHAnsi"/>
          <w:color w:val="000000" w:themeColor="text1"/>
          <w:sz w:val="20"/>
          <w:szCs w:val="20"/>
        </w:rPr>
      </w:pPr>
    </w:p>
    <w:p w:rsidR="00844C6D" w:rsidRPr="00A833D2" w:rsidRDefault="00844C6D" w:rsidP="00FD5D1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FF3F5"/>
        <w:ind w:right="-7"/>
        <w:jc w:val="center"/>
        <w:rPr>
          <w:rFonts w:asciiTheme="minorHAnsi" w:hAnsiTheme="minorHAnsi" w:cstheme="minorHAnsi"/>
          <w:b/>
          <w:bCs/>
          <w:color w:val="C00000"/>
          <w:sz w:val="20"/>
          <w:szCs w:val="20"/>
        </w:rPr>
      </w:pPr>
      <w:r w:rsidRPr="00A833D2">
        <w:rPr>
          <w:rFonts w:asciiTheme="minorHAnsi" w:hAnsiTheme="minorHAnsi" w:cstheme="minorHAnsi"/>
          <w:b/>
          <w:bCs/>
          <w:color w:val="C00000"/>
          <w:sz w:val="20"/>
          <w:szCs w:val="20"/>
        </w:rPr>
        <w:t>Per un approfondimento si consiglia la lettura del libro</w:t>
      </w:r>
    </w:p>
    <w:p w:rsidR="00844C6D" w:rsidRPr="00A833D2" w:rsidRDefault="00844C6D" w:rsidP="00FD5D1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FF3F5"/>
        <w:ind w:right="-7"/>
        <w:jc w:val="center"/>
        <w:rPr>
          <w:rFonts w:asciiTheme="minorHAnsi" w:hAnsiTheme="minorHAnsi" w:cstheme="minorHAnsi"/>
          <w:b/>
          <w:bCs/>
          <w:color w:val="1C1E21"/>
          <w:sz w:val="20"/>
          <w:szCs w:val="20"/>
          <w:shd w:val="clear" w:color="auto" w:fill="FFFFFF"/>
        </w:rPr>
      </w:pPr>
      <w:r w:rsidRPr="00A833D2">
        <w:rPr>
          <w:rFonts w:asciiTheme="minorHAnsi" w:hAnsiTheme="minorHAnsi" w:cstheme="minorHAnsi"/>
          <w:b/>
          <w:bCs/>
          <w:color w:val="1C1E21"/>
          <w:sz w:val="20"/>
          <w:szCs w:val="20"/>
          <w:shd w:val="clear" w:color="auto" w:fill="FFF3F5"/>
        </w:rPr>
        <w:t>Vaccinazione antinfluenzale: che cosa dicono le prove scientifiche.</w:t>
      </w:r>
    </w:p>
    <w:p w:rsidR="00844C6D" w:rsidRPr="00A833D2" w:rsidRDefault="00844C6D" w:rsidP="00FD5D1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FF3F5"/>
        <w:ind w:right="-7"/>
        <w:jc w:val="both"/>
        <w:rPr>
          <w:rFonts w:asciiTheme="minorHAnsi" w:hAnsiTheme="minorHAnsi" w:cstheme="minorHAnsi"/>
          <w:color w:val="1C1E21"/>
          <w:sz w:val="20"/>
          <w:szCs w:val="20"/>
          <w:shd w:val="clear" w:color="auto" w:fill="FFFFFF"/>
        </w:rPr>
      </w:pPr>
      <w:r w:rsidRPr="00A833D2">
        <w:rPr>
          <w:rFonts w:asciiTheme="minorHAnsi" w:hAnsiTheme="minorHAnsi" w:cstheme="minorHAnsi"/>
          <w:color w:val="1C1E21"/>
          <w:sz w:val="20"/>
          <w:szCs w:val="20"/>
          <w:shd w:val="clear" w:color="auto" w:fill="FFF3F5"/>
        </w:rPr>
        <w:t>Vaccinare in modo indiscriminato anziani, gravide, bambini e sanitari può risultare più dannoso che utile?</w:t>
      </w:r>
    </w:p>
    <w:p w:rsidR="00844C6D" w:rsidRPr="00A833D2" w:rsidRDefault="00844C6D" w:rsidP="00FD5D1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FF3F5"/>
        <w:ind w:right="-7"/>
        <w:jc w:val="center"/>
        <w:rPr>
          <w:rFonts w:asciiTheme="minorHAnsi" w:hAnsiTheme="minorHAnsi" w:cstheme="minorHAnsi"/>
          <w:i/>
          <w:iCs/>
          <w:sz w:val="20"/>
          <w:szCs w:val="20"/>
        </w:rPr>
      </w:pPr>
      <w:r w:rsidRPr="00A833D2">
        <w:rPr>
          <w:rFonts w:asciiTheme="minorHAnsi" w:hAnsiTheme="minorHAnsi" w:cstheme="minorHAnsi"/>
          <w:i/>
          <w:iCs/>
          <w:color w:val="1C1E21"/>
          <w:sz w:val="20"/>
          <w:szCs w:val="20"/>
          <w:shd w:val="clear" w:color="auto" w:fill="FFF3F5"/>
        </w:rPr>
        <w:t>Alberto Donzelli, Daniele Agostini, Paolo Bellavite, Adriano Cattaneo, Piergiorgio Duca, Eugenio Serravalle</w:t>
      </w:r>
    </w:p>
    <w:p w:rsidR="00844C6D" w:rsidRPr="00A833D2" w:rsidRDefault="00844C6D" w:rsidP="00FD5D1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FF3F5"/>
        <w:ind w:right="-7"/>
        <w:jc w:val="both"/>
        <w:rPr>
          <w:rFonts w:asciiTheme="minorHAnsi" w:hAnsiTheme="minorHAnsi" w:cstheme="minorHAnsi"/>
          <w:color w:val="000000" w:themeColor="text1"/>
          <w:sz w:val="20"/>
          <w:szCs w:val="20"/>
        </w:rPr>
      </w:pPr>
    </w:p>
    <w:p w:rsidR="00844C6D" w:rsidRDefault="0052743C" w:rsidP="00FD5D1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FF3F5"/>
        <w:ind w:right="-7"/>
        <w:jc w:val="center"/>
        <w:rPr>
          <w:rStyle w:val="Hyperlink"/>
          <w:rFonts w:asciiTheme="minorHAnsi" w:eastAsiaTheme="majorEastAsia" w:hAnsiTheme="minorHAnsi" w:cstheme="minorHAnsi"/>
          <w:b/>
          <w:bCs/>
          <w:color w:val="385898"/>
          <w:sz w:val="20"/>
          <w:szCs w:val="20"/>
          <w:u w:val="none"/>
          <w:shd w:val="clear" w:color="auto" w:fill="FFFFFF"/>
        </w:rPr>
      </w:pPr>
      <w:hyperlink r:id="rId116" w:tgtFrame="_blank" w:history="1">
        <w:r w:rsidR="00844C6D" w:rsidRPr="00A833D2">
          <w:rPr>
            <w:rStyle w:val="Hyperlink"/>
            <w:rFonts w:asciiTheme="minorHAnsi" w:eastAsiaTheme="majorEastAsia" w:hAnsiTheme="minorHAnsi" w:cstheme="minorHAnsi"/>
            <w:b/>
            <w:bCs/>
            <w:color w:val="385898"/>
            <w:sz w:val="20"/>
            <w:szCs w:val="20"/>
            <w:u w:val="none"/>
            <w:shd w:val="clear" w:color="auto" w:fill="FFF3F5"/>
          </w:rPr>
          <w:t>https://fioritieditore.com/wp-content/…/2020/06/Donzelli.pdf</w:t>
        </w:r>
      </w:hyperlink>
    </w:p>
    <w:p w:rsidR="00FD5D10" w:rsidRDefault="00FD5D10" w:rsidP="00FD5D1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FF3F5"/>
        <w:ind w:right="-7"/>
        <w:jc w:val="center"/>
        <w:rPr>
          <w:rStyle w:val="Hyperlink"/>
          <w:rFonts w:asciiTheme="minorHAnsi" w:eastAsiaTheme="majorEastAsia" w:hAnsiTheme="minorHAnsi" w:cstheme="minorHAnsi"/>
          <w:b/>
          <w:bCs/>
          <w:color w:val="385898"/>
          <w:sz w:val="20"/>
          <w:szCs w:val="20"/>
          <w:u w:val="none"/>
          <w:shd w:val="clear" w:color="auto" w:fill="FFFFFF"/>
        </w:rPr>
      </w:pPr>
    </w:p>
    <w:p w:rsidR="00FD5D10" w:rsidRDefault="00FD5D10" w:rsidP="00FD5D1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rPr>
          <w:rFonts w:asciiTheme="minorHAnsi" w:hAnsiTheme="minorHAnsi"/>
          <w:sz w:val="20"/>
          <w:szCs w:val="20"/>
        </w:rPr>
      </w:pPr>
    </w:p>
    <w:p w:rsidR="00FD5D10" w:rsidRPr="00872820" w:rsidRDefault="00FD5D10" w:rsidP="0087282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jc w:val="both"/>
        <w:rPr>
          <w:rFonts w:asciiTheme="minorHAnsi" w:hAnsiTheme="minorHAnsi"/>
          <w:i/>
          <w:iCs/>
          <w:sz w:val="20"/>
          <w:szCs w:val="20"/>
        </w:rPr>
      </w:pPr>
      <w:r w:rsidRPr="00872820">
        <w:rPr>
          <w:rFonts w:asciiTheme="minorHAnsi" w:hAnsiTheme="minorHAnsi"/>
          <w:i/>
          <w:iCs/>
          <w:sz w:val="20"/>
          <w:szCs w:val="20"/>
        </w:rPr>
        <w:t xml:space="preserve">Altri studi </w:t>
      </w:r>
      <w:r w:rsidR="00872820" w:rsidRPr="00872820">
        <w:rPr>
          <w:rFonts w:asciiTheme="minorHAnsi" w:hAnsiTheme="minorHAnsi"/>
          <w:i/>
          <w:iCs/>
          <w:sz w:val="20"/>
          <w:szCs w:val="20"/>
        </w:rPr>
        <w:t xml:space="preserve">comparativi </w:t>
      </w:r>
      <w:r w:rsidRPr="00872820">
        <w:rPr>
          <w:rFonts w:asciiTheme="minorHAnsi" w:hAnsiTheme="minorHAnsi"/>
          <w:i/>
          <w:iCs/>
          <w:sz w:val="20"/>
          <w:szCs w:val="20"/>
        </w:rPr>
        <w:t>che dimostrano l’aumento di infezioni da virus parainfluenzali nei vaccinati con vaccino antinfluenzale sono revisionati nel seguente articolo divulgativo:</w:t>
      </w:r>
    </w:p>
    <w:p w:rsidR="00FD5D10" w:rsidRPr="00872820" w:rsidRDefault="00FD5D10" w:rsidP="0087282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jc w:val="center"/>
        <w:rPr>
          <w:rFonts w:asciiTheme="minorHAnsi" w:hAnsiTheme="minorHAnsi"/>
          <w:b/>
          <w:bCs/>
          <w:sz w:val="20"/>
          <w:szCs w:val="20"/>
          <w:lang w:val="en-US"/>
        </w:rPr>
      </w:pPr>
      <w:r w:rsidRPr="00872820">
        <w:rPr>
          <w:rFonts w:asciiTheme="minorHAnsi" w:hAnsiTheme="minorHAnsi"/>
          <w:b/>
          <w:bCs/>
          <w:sz w:val="20"/>
          <w:szCs w:val="20"/>
          <w:lang w:val="en-US"/>
        </w:rPr>
        <w:t>Pentagon Study: Flu Shot Raises Risk of Catching Coronavirus</w:t>
      </w:r>
    </w:p>
    <w:p w:rsidR="00FD5D10" w:rsidRPr="00FD5D10" w:rsidRDefault="00FD5D10" w:rsidP="0087282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jc w:val="center"/>
        <w:rPr>
          <w:rFonts w:asciiTheme="minorHAnsi" w:hAnsiTheme="minorHAnsi"/>
          <w:sz w:val="20"/>
          <w:szCs w:val="20"/>
          <w:lang w:val="en-US"/>
        </w:rPr>
      </w:pPr>
      <w:r w:rsidRPr="00FD5D10">
        <w:rPr>
          <w:rFonts w:asciiTheme="minorHAnsi" w:hAnsiTheme="minorHAnsi"/>
          <w:sz w:val="20"/>
          <w:szCs w:val="20"/>
          <w:lang w:val="en-US"/>
        </w:rPr>
        <w:t>June 14, 2020 By Robert F. Kennedy, Jr., Chairman, Children’s Health Defense</w:t>
      </w:r>
    </w:p>
    <w:p w:rsidR="00FD5D10" w:rsidRPr="00110FC0" w:rsidRDefault="0052743C" w:rsidP="0087282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jc w:val="center"/>
        <w:rPr>
          <w:rFonts w:asciiTheme="minorHAnsi" w:hAnsiTheme="minorHAnsi"/>
          <w:sz w:val="20"/>
          <w:szCs w:val="20"/>
          <w:lang w:val="en-US"/>
        </w:rPr>
      </w:pPr>
      <w:hyperlink r:id="rId117" w:history="1">
        <w:r w:rsidR="00FD5D10" w:rsidRPr="00872820">
          <w:rPr>
            <w:rStyle w:val="Hyperlink"/>
            <w:rFonts w:asciiTheme="minorHAnsi" w:hAnsiTheme="minorHAnsi"/>
            <w:sz w:val="20"/>
            <w:szCs w:val="20"/>
            <w:u w:val="none"/>
            <w:lang w:val="en-US"/>
          </w:rPr>
          <w:t>https://operationdisclosure1.blogspot.com/2020/06/pentagon-study-flu-shot-raises-risk-of.html?m=1</w:t>
        </w:r>
      </w:hyperlink>
    </w:p>
    <w:p w:rsidR="00FD5D10" w:rsidRPr="00FD5D10" w:rsidRDefault="00FD5D10" w:rsidP="00FD5D10">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rPr>
          <w:rFonts w:asciiTheme="minorHAnsi" w:hAnsiTheme="minorHAnsi"/>
          <w:sz w:val="20"/>
          <w:szCs w:val="20"/>
          <w:lang w:val="en-US"/>
        </w:rPr>
      </w:pPr>
    </w:p>
    <w:p w:rsidR="00844C6D" w:rsidRPr="00FD5D10" w:rsidRDefault="00844C6D" w:rsidP="00844C6D">
      <w:pPr>
        <w:ind w:left="851" w:right="985"/>
        <w:jc w:val="both"/>
        <w:rPr>
          <w:rFonts w:asciiTheme="minorHAnsi" w:hAnsiTheme="minorHAnsi" w:cstheme="minorHAnsi"/>
          <w:color w:val="000000" w:themeColor="text1"/>
          <w:sz w:val="16"/>
          <w:szCs w:val="16"/>
          <w:lang w:val="en-US"/>
        </w:rPr>
      </w:pPr>
    </w:p>
    <w:p w:rsidR="00A833D2" w:rsidRPr="00FD5D10" w:rsidRDefault="00A833D2" w:rsidP="000C69DF">
      <w:pPr>
        <w:pStyle w:val="Heading3"/>
        <w:rPr>
          <w:rFonts w:asciiTheme="minorHAnsi" w:hAnsiTheme="minorHAnsi" w:cstheme="minorHAnsi"/>
          <w:color w:val="C00000"/>
          <w:sz w:val="22"/>
          <w:szCs w:val="22"/>
          <w:lang w:val="en-US"/>
        </w:rPr>
      </w:pPr>
      <w:bookmarkStart w:id="62" w:name="_Toc43342394"/>
    </w:p>
    <w:p w:rsidR="008C1775" w:rsidRPr="00A833D2" w:rsidRDefault="008C1775" w:rsidP="00A833D2">
      <w:pPr>
        <w:pStyle w:val="Heading3"/>
        <w:shd w:val="clear" w:color="auto" w:fill="E2EFD9" w:themeFill="accent6" w:themeFillTint="33"/>
        <w:jc w:val="center"/>
        <w:rPr>
          <w:rFonts w:asciiTheme="minorHAnsi" w:hAnsiTheme="minorHAnsi" w:cstheme="minorHAnsi"/>
          <w:color w:val="C00000"/>
          <w:sz w:val="24"/>
          <w:szCs w:val="24"/>
        </w:rPr>
      </w:pPr>
      <w:r w:rsidRPr="00A833D2">
        <w:rPr>
          <w:rFonts w:asciiTheme="minorHAnsi" w:hAnsiTheme="minorHAnsi" w:cstheme="minorHAnsi"/>
          <w:color w:val="C00000"/>
          <w:sz w:val="24"/>
          <w:szCs w:val="24"/>
        </w:rPr>
        <w:t>La terapia con infusione endovenosa di immunoglobuline: il meccanismo d’azione</w:t>
      </w:r>
      <w:bookmarkEnd w:id="62"/>
    </w:p>
    <w:p w:rsidR="008C1775" w:rsidRDefault="008C1775" w:rsidP="002B455A">
      <w:pPr>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In questo contesto è utile discutere dell’impiego del siero iperimmune e del meccanismo con cui agisce in caso d’infezione virale.</w:t>
      </w:r>
    </w:p>
    <w:p w:rsidR="00844C6D" w:rsidRPr="00844C6D" w:rsidRDefault="00844C6D" w:rsidP="002B455A">
      <w:pPr>
        <w:jc w:val="both"/>
        <w:rPr>
          <w:rFonts w:asciiTheme="minorHAnsi" w:hAnsiTheme="minorHAnsi"/>
          <w:color w:val="000000" w:themeColor="text1"/>
          <w:sz w:val="20"/>
          <w:szCs w:val="20"/>
        </w:rPr>
      </w:pPr>
    </w:p>
    <w:p w:rsidR="00A86DCF" w:rsidRDefault="008C1775" w:rsidP="00A833D2">
      <w:pPr>
        <w:shd w:val="clear" w:color="auto" w:fill="FFFFFF" w:themeFill="background1"/>
        <w:jc w:val="both"/>
        <w:rPr>
          <w:rFonts w:asciiTheme="minorHAnsi" w:hAnsiTheme="minorHAnsi"/>
          <w:color w:val="000000" w:themeColor="text1"/>
          <w:sz w:val="20"/>
          <w:szCs w:val="20"/>
        </w:rPr>
      </w:pPr>
      <w:r w:rsidRPr="00A833D2">
        <w:rPr>
          <w:rFonts w:asciiTheme="minorHAnsi" w:hAnsiTheme="minorHAnsi"/>
          <w:b/>
          <w:bCs/>
          <w:color w:val="000000" w:themeColor="text1"/>
          <w:sz w:val="20"/>
          <w:szCs w:val="20"/>
          <w:shd w:val="clear" w:color="auto" w:fill="FBF9E1"/>
        </w:rPr>
        <w:t>Le</w:t>
      </w:r>
      <w:r w:rsidRPr="00A833D2">
        <w:rPr>
          <w:rFonts w:asciiTheme="minorHAnsi" w:hAnsiTheme="minorHAnsi"/>
          <w:color w:val="000000" w:themeColor="text1"/>
          <w:sz w:val="20"/>
          <w:szCs w:val="20"/>
          <w:shd w:val="clear" w:color="auto" w:fill="FBF9E1"/>
        </w:rPr>
        <w:t xml:space="preserve"> </w:t>
      </w:r>
      <w:r w:rsidRPr="00A833D2">
        <w:rPr>
          <w:rFonts w:asciiTheme="minorHAnsi" w:hAnsiTheme="minorHAnsi"/>
          <w:b/>
          <w:bCs/>
          <w:color w:val="000000" w:themeColor="text1"/>
          <w:sz w:val="20"/>
          <w:szCs w:val="20"/>
          <w:shd w:val="clear" w:color="auto" w:fill="FBF9E1"/>
        </w:rPr>
        <w:t>immunoglobuline</w:t>
      </w:r>
      <w:r w:rsidR="002B455A" w:rsidRPr="00A833D2">
        <w:rPr>
          <w:rFonts w:asciiTheme="minorHAnsi" w:hAnsiTheme="minorHAnsi"/>
          <w:b/>
          <w:bCs/>
          <w:color w:val="000000" w:themeColor="text1"/>
          <w:sz w:val="20"/>
          <w:szCs w:val="20"/>
          <w:shd w:val="clear" w:color="auto" w:fill="FBF9E1"/>
        </w:rPr>
        <w:t xml:space="preserve"> per uso</w:t>
      </w:r>
      <w:r w:rsidRPr="00A833D2">
        <w:rPr>
          <w:rFonts w:asciiTheme="minorHAnsi" w:hAnsiTheme="minorHAnsi"/>
          <w:b/>
          <w:bCs/>
          <w:color w:val="000000" w:themeColor="text1"/>
          <w:sz w:val="20"/>
          <w:szCs w:val="20"/>
          <w:shd w:val="clear" w:color="auto" w:fill="FBF9E1"/>
        </w:rPr>
        <w:t xml:space="preserve"> endovenos</w:t>
      </w:r>
      <w:r w:rsidR="002B455A" w:rsidRPr="00A833D2">
        <w:rPr>
          <w:rFonts w:asciiTheme="minorHAnsi" w:hAnsiTheme="minorHAnsi"/>
          <w:b/>
          <w:bCs/>
          <w:color w:val="000000" w:themeColor="text1"/>
          <w:sz w:val="20"/>
          <w:szCs w:val="20"/>
          <w:shd w:val="clear" w:color="auto" w:fill="FBF9E1"/>
        </w:rPr>
        <w:t>o</w:t>
      </w:r>
      <w:r w:rsidRPr="00A833D2">
        <w:rPr>
          <w:rFonts w:asciiTheme="minorHAnsi" w:hAnsiTheme="minorHAnsi"/>
          <w:b/>
          <w:bCs/>
          <w:color w:val="000000" w:themeColor="text1"/>
          <w:sz w:val="20"/>
          <w:szCs w:val="20"/>
          <w:shd w:val="clear" w:color="auto" w:fill="FBF9E1"/>
        </w:rPr>
        <w:t xml:space="preserve"> (IVIG - </w:t>
      </w:r>
      <w:r w:rsidRPr="00A833D2">
        <w:rPr>
          <w:rFonts w:asciiTheme="minorHAnsi" w:hAnsiTheme="minorHAnsi" w:cs="Arial"/>
          <w:b/>
          <w:bCs/>
          <w:color w:val="000000" w:themeColor="text1"/>
          <w:sz w:val="20"/>
          <w:szCs w:val="20"/>
          <w:shd w:val="clear" w:color="auto" w:fill="FBF9E1"/>
        </w:rPr>
        <w:t>Intravenous immunoglobulin</w:t>
      </w:r>
      <w:r w:rsidRPr="00A833D2">
        <w:rPr>
          <w:rFonts w:asciiTheme="minorHAnsi" w:hAnsiTheme="minorHAnsi"/>
          <w:b/>
          <w:bCs/>
          <w:color w:val="000000" w:themeColor="text1"/>
          <w:sz w:val="20"/>
          <w:szCs w:val="20"/>
          <w:shd w:val="clear" w:color="auto" w:fill="FBF9E1"/>
        </w:rPr>
        <w:t>)</w:t>
      </w:r>
      <w:r w:rsidRPr="00A86DCF">
        <w:rPr>
          <w:rFonts w:asciiTheme="minorHAnsi" w:hAnsiTheme="minorHAnsi"/>
          <w:b/>
          <w:bCs/>
          <w:color w:val="000000" w:themeColor="text1"/>
          <w:sz w:val="20"/>
          <w:szCs w:val="20"/>
        </w:rPr>
        <w:t xml:space="preserve"> sono un prodotto </w:t>
      </w:r>
      <w:r w:rsidR="002B455A" w:rsidRPr="00A86DCF">
        <w:rPr>
          <w:rFonts w:asciiTheme="minorHAnsi" w:hAnsiTheme="minorHAnsi"/>
          <w:b/>
          <w:bCs/>
          <w:color w:val="000000" w:themeColor="text1"/>
          <w:sz w:val="20"/>
          <w:szCs w:val="20"/>
        </w:rPr>
        <w:t>ematico</w:t>
      </w:r>
      <w:r w:rsidRPr="00A86DCF">
        <w:rPr>
          <w:rFonts w:asciiTheme="minorHAnsi" w:hAnsiTheme="minorHAnsi"/>
          <w:b/>
          <w:bCs/>
          <w:color w:val="000000" w:themeColor="text1"/>
          <w:sz w:val="20"/>
          <w:szCs w:val="20"/>
        </w:rPr>
        <w:t xml:space="preserve"> costituito da frazioni di IgG aggregate ottenute da circa 3000 a 60.000 campioni di plasma da donatori di sangue</w:t>
      </w:r>
      <w:r w:rsidRPr="00844C6D">
        <w:rPr>
          <w:rFonts w:asciiTheme="minorHAnsi" w:hAnsiTheme="minorHAnsi"/>
          <w:color w:val="000000" w:themeColor="text1"/>
          <w:sz w:val="20"/>
          <w:szCs w:val="20"/>
        </w:rPr>
        <w:t>.</w:t>
      </w:r>
      <w:r w:rsidR="00813A20" w:rsidRPr="00844C6D">
        <w:rPr>
          <w:rFonts w:asciiTheme="minorHAnsi" w:hAnsiTheme="minorHAnsi"/>
          <w:color w:val="000000" w:themeColor="text1"/>
          <w:sz w:val="20"/>
          <w:szCs w:val="20"/>
        </w:rPr>
        <w:t xml:space="preserve"> </w:t>
      </w:r>
      <w:r w:rsidRPr="00844C6D">
        <w:rPr>
          <w:rFonts w:asciiTheme="minorHAnsi" w:hAnsiTheme="minorHAnsi"/>
          <w:color w:val="000000" w:themeColor="text1"/>
          <w:sz w:val="20"/>
          <w:szCs w:val="20"/>
        </w:rPr>
        <w:t xml:space="preserve"> </w:t>
      </w:r>
    </w:p>
    <w:p w:rsidR="00A86DCF" w:rsidRDefault="008C1775" w:rsidP="00A833D2">
      <w:pPr>
        <w:shd w:val="clear" w:color="auto" w:fill="FFFFFF" w:themeFill="background1"/>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 xml:space="preserve">Dalla sua scoperta 60 anni fa, </w:t>
      </w:r>
      <w:r w:rsidR="002B455A" w:rsidRPr="00844C6D">
        <w:rPr>
          <w:rFonts w:asciiTheme="minorHAnsi" w:hAnsiTheme="minorHAnsi"/>
          <w:color w:val="000000" w:themeColor="text1"/>
          <w:sz w:val="20"/>
          <w:szCs w:val="20"/>
        </w:rPr>
        <w:t xml:space="preserve">le </w:t>
      </w:r>
      <w:r w:rsidRPr="00844C6D">
        <w:rPr>
          <w:rFonts w:asciiTheme="minorHAnsi" w:hAnsiTheme="minorHAnsi"/>
          <w:color w:val="000000" w:themeColor="text1"/>
          <w:sz w:val="20"/>
          <w:szCs w:val="20"/>
        </w:rPr>
        <w:t xml:space="preserve">IVIG </w:t>
      </w:r>
      <w:r w:rsidR="002B455A" w:rsidRPr="00844C6D">
        <w:rPr>
          <w:rFonts w:asciiTheme="minorHAnsi" w:hAnsiTheme="minorHAnsi"/>
          <w:color w:val="000000" w:themeColor="text1"/>
          <w:sz w:val="20"/>
          <w:szCs w:val="20"/>
        </w:rPr>
        <w:t>sono</w:t>
      </w:r>
      <w:r w:rsidRPr="00844C6D">
        <w:rPr>
          <w:rFonts w:asciiTheme="minorHAnsi" w:hAnsiTheme="minorHAnsi"/>
          <w:color w:val="000000" w:themeColor="text1"/>
          <w:sz w:val="20"/>
          <w:szCs w:val="20"/>
        </w:rPr>
        <w:t xml:space="preserve"> stat</w:t>
      </w:r>
      <w:r w:rsidR="00795633" w:rsidRPr="00844C6D">
        <w:rPr>
          <w:rFonts w:asciiTheme="minorHAnsi" w:hAnsiTheme="minorHAnsi"/>
          <w:color w:val="000000" w:themeColor="text1"/>
          <w:sz w:val="20"/>
          <w:szCs w:val="20"/>
        </w:rPr>
        <w:t>e</w:t>
      </w:r>
      <w:r w:rsidRPr="00844C6D">
        <w:rPr>
          <w:rFonts w:asciiTheme="minorHAnsi" w:hAnsiTheme="minorHAnsi"/>
          <w:color w:val="000000" w:themeColor="text1"/>
          <w:sz w:val="20"/>
          <w:szCs w:val="20"/>
        </w:rPr>
        <w:t xml:space="preserve"> convenzionalmente usat</w:t>
      </w:r>
      <w:r w:rsidR="00C86597" w:rsidRPr="00844C6D">
        <w:rPr>
          <w:rFonts w:asciiTheme="minorHAnsi" w:hAnsiTheme="minorHAnsi"/>
          <w:color w:val="000000" w:themeColor="text1"/>
          <w:sz w:val="20"/>
          <w:szCs w:val="20"/>
        </w:rPr>
        <w:t>e</w:t>
      </w:r>
      <w:r w:rsidRPr="00844C6D">
        <w:rPr>
          <w:rFonts w:asciiTheme="minorHAnsi" w:hAnsiTheme="minorHAnsi"/>
          <w:color w:val="000000" w:themeColor="text1"/>
          <w:sz w:val="20"/>
          <w:szCs w:val="20"/>
        </w:rPr>
        <w:t xml:space="preserve"> come trattamento terapeutico per soggetti immunocompromessi che soffrono di malatti</w:t>
      </w:r>
      <w:r w:rsidR="00C86597" w:rsidRPr="00844C6D">
        <w:rPr>
          <w:rFonts w:asciiTheme="minorHAnsi" w:hAnsiTheme="minorHAnsi"/>
          <w:color w:val="000000" w:themeColor="text1"/>
          <w:sz w:val="20"/>
          <w:szCs w:val="20"/>
        </w:rPr>
        <w:t>e</w:t>
      </w:r>
      <w:r w:rsidRPr="00844C6D">
        <w:rPr>
          <w:rFonts w:asciiTheme="minorHAnsi" w:hAnsiTheme="minorHAnsi"/>
          <w:color w:val="000000" w:themeColor="text1"/>
          <w:sz w:val="20"/>
          <w:szCs w:val="20"/>
        </w:rPr>
        <w:t xml:space="preserve"> da immunodeficienza come l'ipogammaglobulinemia. </w:t>
      </w:r>
    </w:p>
    <w:p w:rsidR="00A86DCF" w:rsidRDefault="00A86DCF" w:rsidP="002B455A">
      <w:pPr>
        <w:jc w:val="both"/>
        <w:rPr>
          <w:rFonts w:asciiTheme="minorHAnsi" w:hAnsiTheme="minorHAnsi"/>
          <w:color w:val="000000" w:themeColor="text1"/>
          <w:sz w:val="20"/>
          <w:szCs w:val="20"/>
        </w:rPr>
      </w:pPr>
    </w:p>
    <w:p w:rsidR="00674B49" w:rsidRPr="00844C6D" w:rsidRDefault="00380CE6" w:rsidP="002B455A">
      <w:pPr>
        <w:jc w:val="both"/>
        <w:rPr>
          <w:rFonts w:asciiTheme="minorHAnsi" w:hAnsiTheme="minorHAnsi"/>
          <w:color w:val="000000" w:themeColor="text1"/>
          <w:sz w:val="20"/>
          <w:szCs w:val="20"/>
        </w:rPr>
      </w:pPr>
      <w:r w:rsidRPr="00A833D2">
        <w:rPr>
          <w:rFonts w:asciiTheme="minorHAnsi" w:hAnsiTheme="minorHAnsi"/>
          <w:b/>
          <w:bCs/>
          <w:color w:val="000000" w:themeColor="text1"/>
          <w:sz w:val="20"/>
          <w:szCs w:val="20"/>
          <w:shd w:val="clear" w:color="auto" w:fill="FBF9E1"/>
        </w:rPr>
        <w:t>Il plasma iperimmune</w:t>
      </w:r>
      <w:r w:rsidRPr="00A86DCF">
        <w:rPr>
          <w:rFonts w:asciiTheme="minorHAnsi" w:hAnsiTheme="minorHAnsi"/>
          <w:b/>
          <w:bCs/>
          <w:color w:val="000000" w:themeColor="text1"/>
          <w:sz w:val="20"/>
          <w:szCs w:val="20"/>
        </w:rPr>
        <w:t xml:space="preserve"> invece deriva da individui con titoli anticorpali elevati a patogeni specifici (persone convalescenti guarite dalla malattia)</w:t>
      </w:r>
      <w:r w:rsidRPr="00844C6D">
        <w:rPr>
          <w:rFonts w:asciiTheme="minorHAnsi" w:hAnsiTheme="minorHAnsi"/>
          <w:color w:val="000000" w:themeColor="text1"/>
          <w:sz w:val="20"/>
          <w:szCs w:val="20"/>
        </w:rPr>
        <w:t xml:space="preserve"> ed è stat</w:t>
      </w:r>
      <w:r w:rsidR="00795633" w:rsidRPr="00844C6D">
        <w:rPr>
          <w:rFonts w:asciiTheme="minorHAnsi" w:hAnsiTheme="minorHAnsi"/>
          <w:color w:val="000000" w:themeColor="text1"/>
          <w:sz w:val="20"/>
          <w:szCs w:val="20"/>
        </w:rPr>
        <w:t>o</w:t>
      </w:r>
      <w:r w:rsidRPr="00844C6D">
        <w:rPr>
          <w:rFonts w:asciiTheme="minorHAnsi" w:hAnsiTheme="minorHAnsi"/>
          <w:color w:val="000000" w:themeColor="text1"/>
          <w:sz w:val="20"/>
          <w:szCs w:val="20"/>
        </w:rPr>
        <w:t xml:space="preserve"> utilizzat</w:t>
      </w:r>
      <w:r w:rsidR="00795633" w:rsidRPr="00844C6D">
        <w:rPr>
          <w:rFonts w:asciiTheme="minorHAnsi" w:hAnsiTheme="minorHAnsi"/>
          <w:color w:val="000000" w:themeColor="text1"/>
          <w:sz w:val="20"/>
          <w:szCs w:val="20"/>
        </w:rPr>
        <w:t>o</w:t>
      </w:r>
      <w:r w:rsidRPr="00844C6D">
        <w:rPr>
          <w:rFonts w:asciiTheme="minorHAnsi" w:hAnsiTheme="minorHAnsi"/>
          <w:color w:val="000000" w:themeColor="text1"/>
          <w:sz w:val="20"/>
          <w:szCs w:val="20"/>
        </w:rPr>
        <w:t xml:space="preserve"> con successo nel trattamento delle infezioni, come il citomegalovirus e l'influenza H1N1.</w:t>
      </w:r>
      <w:r w:rsidR="00BC1E0C" w:rsidRPr="00844C6D">
        <w:rPr>
          <w:rFonts w:asciiTheme="minorHAnsi" w:hAnsiTheme="minorHAnsi"/>
          <w:color w:val="000000" w:themeColor="text1"/>
          <w:sz w:val="20"/>
          <w:szCs w:val="20"/>
        </w:rPr>
        <w:t xml:space="preserve"> </w:t>
      </w:r>
      <w:r w:rsidR="00BC1E0C" w:rsidRPr="00844C6D">
        <w:rPr>
          <w:rStyle w:val="FootnoteReference"/>
          <w:rFonts w:asciiTheme="minorHAnsi" w:hAnsiTheme="minorHAnsi"/>
          <w:color w:val="000000" w:themeColor="text1"/>
          <w:sz w:val="20"/>
          <w:szCs w:val="20"/>
        </w:rPr>
        <w:footnoteReference w:id="108"/>
      </w:r>
    </w:p>
    <w:p w:rsidR="00380CE6" w:rsidRPr="00844C6D" w:rsidRDefault="00380CE6" w:rsidP="002B455A">
      <w:pPr>
        <w:jc w:val="both"/>
        <w:rPr>
          <w:rFonts w:asciiTheme="minorHAnsi" w:hAnsiTheme="minorHAnsi"/>
          <w:color w:val="000000" w:themeColor="text1"/>
          <w:sz w:val="20"/>
          <w:szCs w:val="20"/>
        </w:rPr>
      </w:pPr>
    </w:p>
    <w:p w:rsidR="00380CE6" w:rsidRDefault="00BC1E0C" w:rsidP="00BC1E0C">
      <w:pPr>
        <w:jc w:val="center"/>
        <w:rPr>
          <w:rFonts w:asciiTheme="minorHAnsi" w:hAnsiTheme="minorHAnsi"/>
          <w:color w:val="000000" w:themeColor="text1"/>
          <w:sz w:val="20"/>
          <w:szCs w:val="20"/>
        </w:rPr>
      </w:pPr>
      <w:r w:rsidRPr="00844C6D">
        <w:rPr>
          <w:rFonts w:asciiTheme="minorHAnsi" w:hAnsiTheme="minorHAnsi"/>
          <w:noProof/>
          <w:color w:val="000000" w:themeColor="text1"/>
          <w:sz w:val="20"/>
          <w:szCs w:val="20"/>
        </w:rPr>
        <w:lastRenderedPageBreak/>
        <w:drawing>
          <wp:inline distT="0" distB="0" distL="0" distR="0">
            <wp:extent cx="4486031" cy="5914463"/>
            <wp:effectExtent l="0" t="0" r="0" b="381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chermata 2020-06-05 alle 15.53.09.png"/>
                    <pic:cNvPicPr/>
                  </pic:nvPicPr>
                  <pic:blipFill>
                    <a:blip r:embed="rId118">
                      <a:extLst>
                        <a:ext uri="{28A0092B-C50C-407E-A947-70E740481C1C}">
                          <a14:useLocalDpi xmlns:a14="http://schemas.microsoft.com/office/drawing/2010/main" val="0"/>
                        </a:ext>
                      </a:extLst>
                    </a:blip>
                    <a:stretch>
                      <a:fillRect/>
                    </a:stretch>
                  </pic:blipFill>
                  <pic:spPr>
                    <a:xfrm>
                      <a:off x="0" y="0"/>
                      <a:ext cx="4528365" cy="5970276"/>
                    </a:xfrm>
                    <a:prstGeom prst="rect">
                      <a:avLst/>
                    </a:prstGeom>
                  </pic:spPr>
                </pic:pic>
              </a:graphicData>
            </a:graphic>
          </wp:inline>
        </w:drawing>
      </w:r>
    </w:p>
    <w:p w:rsidR="00872820" w:rsidRPr="00844C6D" w:rsidRDefault="00872820" w:rsidP="00BC1E0C">
      <w:pPr>
        <w:jc w:val="center"/>
        <w:rPr>
          <w:rFonts w:asciiTheme="minorHAnsi" w:hAnsiTheme="minorHAnsi"/>
          <w:color w:val="000000" w:themeColor="text1"/>
          <w:sz w:val="20"/>
          <w:szCs w:val="20"/>
        </w:rPr>
      </w:pPr>
    </w:p>
    <w:p w:rsidR="00BC1E0C" w:rsidRPr="00872820" w:rsidRDefault="00BC1E0C" w:rsidP="00872820">
      <w:pPr>
        <w:shd w:val="clear" w:color="auto" w:fill="F2F2F2" w:themeFill="background1" w:themeFillShade="F2"/>
        <w:jc w:val="both"/>
        <w:rPr>
          <w:rFonts w:asciiTheme="minorHAnsi" w:hAnsiTheme="minorHAnsi"/>
          <w:color w:val="000000" w:themeColor="text1"/>
          <w:sz w:val="18"/>
          <w:szCs w:val="18"/>
        </w:rPr>
      </w:pPr>
      <w:r w:rsidRPr="00872820">
        <w:rPr>
          <w:rFonts w:asciiTheme="minorHAnsi" w:hAnsiTheme="minorHAnsi"/>
          <w:color w:val="000000" w:themeColor="text1"/>
          <w:sz w:val="18"/>
          <w:szCs w:val="18"/>
        </w:rPr>
        <w:t>Tratta da https://www.ncbi.nlm.nih.gov/pmc/articles/PMC7211658/</w:t>
      </w:r>
    </w:p>
    <w:p w:rsidR="00380CE6" w:rsidRPr="00844C6D" w:rsidRDefault="00380CE6" w:rsidP="002B455A">
      <w:pPr>
        <w:jc w:val="both"/>
        <w:rPr>
          <w:rFonts w:asciiTheme="minorHAnsi" w:hAnsiTheme="minorHAnsi"/>
          <w:color w:val="000000" w:themeColor="text1"/>
          <w:sz w:val="20"/>
          <w:szCs w:val="20"/>
        </w:rPr>
      </w:pPr>
    </w:p>
    <w:p w:rsidR="00A86DCF" w:rsidRDefault="008C1775" w:rsidP="002B455A">
      <w:pPr>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Gli individui immunocompromessi sono altamente sensibili alle infezioni patogene</w:t>
      </w:r>
      <w:r w:rsidR="00C86597" w:rsidRPr="00844C6D">
        <w:rPr>
          <w:rFonts w:asciiTheme="minorHAnsi" w:hAnsiTheme="minorHAnsi"/>
          <w:color w:val="000000" w:themeColor="text1"/>
          <w:sz w:val="20"/>
          <w:szCs w:val="20"/>
        </w:rPr>
        <w:t xml:space="preserve">, </w:t>
      </w:r>
      <w:r w:rsidRPr="00844C6D">
        <w:rPr>
          <w:rFonts w:asciiTheme="minorHAnsi" w:hAnsiTheme="minorHAnsi"/>
          <w:color w:val="000000" w:themeColor="text1"/>
          <w:sz w:val="20"/>
          <w:szCs w:val="20"/>
        </w:rPr>
        <w:t xml:space="preserve">quindi </w:t>
      </w:r>
      <w:r w:rsidR="00A86DCF">
        <w:rPr>
          <w:rFonts w:asciiTheme="minorHAnsi" w:hAnsiTheme="minorHAnsi"/>
          <w:color w:val="000000" w:themeColor="text1"/>
          <w:sz w:val="20"/>
          <w:szCs w:val="20"/>
        </w:rPr>
        <w:t xml:space="preserve">i </w:t>
      </w:r>
      <w:r w:rsidRPr="00844C6D">
        <w:rPr>
          <w:rFonts w:asciiTheme="minorHAnsi" w:hAnsiTheme="minorHAnsi"/>
          <w:color w:val="000000" w:themeColor="text1"/>
          <w:sz w:val="20"/>
          <w:szCs w:val="20"/>
        </w:rPr>
        <w:t>preparati IVIG</w:t>
      </w:r>
      <w:r w:rsidR="00A86DCF">
        <w:rPr>
          <w:rFonts w:asciiTheme="minorHAnsi" w:hAnsiTheme="minorHAnsi"/>
          <w:color w:val="000000" w:themeColor="text1"/>
          <w:sz w:val="20"/>
          <w:szCs w:val="20"/>
        </w:rPr>
        <w:t xml:space="preserve"> devono essere</w:t>
      </w:r>
      <w:r w:rsidRPr="00844C6D">
        <w:rPr>
          <w:rFonts w:asciiTheme="minorHAnsi" w:hAnsiTheme="minorHAnsi"/>
          <w:color w:val="000000" w:themeColor="text1"/>
          <w:sz w:val="20"/>
          <w:szCs w:val="20"/>
        </w:rPr>
        <w:t xml:space="preserve"> stati sottoposti a inattivazione virale, deplezione di fattori di coagulazione del sangue e aggregati di IgG è cruciale </w:t>
      </w:r>
      <w:r w:rsidR="00A86DCF">
        <w:rPr>
          <w:rFonts w:asciiTheme="minorHAnsi" w:hAnsiTheme="minorHAnsi"/>
          <w:color w:val="000000" w:themeColor="text1"/>
          <w:sz w:val="20"/>
          <w:szCs w:val="20"/>
        </w:rPr>
        <w:t xml:space="preserve">prima dell’infusione </w:t>
      </w:r>
      <w:r w:rsidRPr="00844C6D">
        <w:rPr>
          <w:rFonts w:asciiTheme="minorHAnsi" w:hAnsiTheme="minorHAnsi"/>
          <w:color w:val="000000" w:themeColor="text1"/>
          <w:sz w:val="20"/>
          <w:szCs w:val="20"/>
        </w:rPr>
        <w:t xml:space="preserve">per </w:t>
      </w:r>
      <w:r w:rsidR="00C86597" w:rsidRPr="00844C6D">
        <w:rPr>
          <w:rFonts w:asciiTheme="minorHAnsi" w:hAnsiTheme="minorHAnsi"/>
          <w:color w:val="000000" w:themeColor="text1"/>
          <w:sz w:val="20"/>
          <w:szCs w:val="20"/>
        </w:rPr>
        <w:t xml:space="preserve">indurre </w:t>
      </w:r>
      <w:r w:rsidRPr="00844C6D">
        <w:rPr>
          <w:rFonts w:asciiTheme="minorHAnsi" w:hAnsiTheme="minorHAnsi"/>
          <w:color w:val="000000" w:themeColor="text1"/>
          <w:sz w:val="20"/>
          <w:szCs w:val="20"/>
        </w:rPr>
        <w:t xml:space="preserve">la protezione contro i patogeni ed evitare eventuali effetti deleteri che potrebbero essere provocati dall'infusione. </w:t>
      </w:r>
    </w:p>
    <w:p w:rsidR="00A86DCF" w:rsidRDefault="00A86DCF" w:rsidP="002B455A">
      <w:pPr>
        <w:jc w:val="both"/>
        <w:rPr>
          <w:rFonts w:asciiTheme="minorHAnsi" w:hAnsiTheme="minorHAnsi"/>
          <w:color w:val="000000" w:themeColor="text1"/>
          <w:sz w:val="20"/>
          <w:szCs w:val="20"/>
        </w:rPr>
      </w:pPr>
    </w:p>
    <w:p w:rsidR="00380CE6" w:rsidRPr="00844C6D" w:rsidRDefault="008C1775" w:rsidP="002B455A">
      <w:pPr>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 xml:space="preserve">Ad oggi, nonostante </w:t>
      </w:r>
      <w:r w:rsidR="00C86597" w:rsidRPr="00844C6D">
        <w:rPr>
          <w:rFonts w:asciiTheme="minorHAnsi" w:hAnsiTheme="minorHAnsi"/>
          <w:color w:val="000000" w:themeColor="text1"/>
          <w:sz w:val="20"/>
          <w:szCs w:val="20"/>
        </w:rPr>
        <w:t>l’</w:t>
      </w:r>
      <w:r w:rsidRPr="00844C6D">
        <w:rPr>
          <w:rFonts w:asciiTheme="minorHAnsi" w:hAnsiTheme="minorHAnsi"/>
          <w:color w:val="000000" w:themeColor="text1"/>
          <w:sz w:val="20"/>
          <w:szCs w:val="20"/>
        </w:rPr>
        <w:t xml:space="preserve">efficacia del trattamento IVIG in diverse malattie autoimmuni e infiammatorie, il meccanismo </w:t>
      </w:r>
      <w:r w:rsidR="00C86597" w:rsidRPr="00844C6D">
        <w:rPr>
          <w:rFonts w:asciiTheme="minorHAnsi" w:hAnsiTheme="minorHAnsi"/>
          <w:color w:val="000000" w:themeColor="text1"/>
          <w:sz w:val="20"/>
          <w:szCs w:val="20"/>
        </w:rPr>
        <w:t xml:space="preserve">con cui ciò avviene </w:t>
      </w:r>
      <w:r w:rsidRPr="00844C6D">
        <w:rPr>
          <w:rFonts w:asciiTheme="minorHAnsi" w:hAnsiTheme="minorHAnsi"/>
          <w:color w:val="000000" w:themeColor="text1"/>
          <w:sz w:val="20"/>
          <w:szCs w:val="20"/>
        </w:rPr>
        <w:t xml:space="preserve">rimane </w:t>
      </w:r>
      <w:r w:rsidR="00C86597" w:rsidRPr="00844C6D">
        <w:rPr>
          <w:rFonts w:asciiTheme="minorHAnsi" w:hAnsiTheme="minorHAnsi"/>
          <w:color w:val="000000" w:themeColor="text1"/>
          <w:sz w:val="20"/>
          <w:szCs w:val="20"/>
        </w:rPr>
        <w:t xml:space="preserve">ancora poco </w:t>
      </w:r>
      <w:r w:rsidRPr="00844C6D">
        <w:rPr>
          <w:rFonts w:asciiTheme="minorHAnsi" w:hAnsiTheme="minorHAnsi"/>
          <w:color w:val="000000" w:themeColor="text1"/>
          <w:sz w:val="20"/>
          <w:szCs w:val="20"/>
        </w:rPr>
        <w:t>definito.</w:t>
      </w:r>
      <w:r w:rsidR="00674B49" w:rsidRPr="00844C6D">
        <w:rPr>
          <w:rFonts w:asciiTheme="minorHAnsi" w:hAnsiTheme="minorHAnsi"/>
          <w:color w:val="000000" w:themeColor="text1"/>
          <w:sz w:val="20"/>
          <w:szCs w:val="20"/>
        </w:rPr>
        <w:t xml:space="preserve"> </w:t>
      </w:r>
      <w:r w:rsidR="00674B49" w:rsidRPr="00844C6D">
        <w:rPr>
          <w:rStyle w:val="FootnoteReference"/>
          <w:rFonts w:asciiTheme="minorHAnsi" w:hAnsiTheme="minorHAnsi"/>
          <w:color w:val="000000" w:themeColor="text1"/>
          <w:sz w:val="20"/>
          <w:szCs w:val="20"/>
        </w:rPr>
        <w:footnoteReference w:id="109"/>
      </w:r>
      <w:r w:rsidRPr="00844C6D">
        <w:rPr>
          <w:rFonts w:asciiTheme="minorHAnsi" w:hAnsiTheme="minorHAnsi"/>
          <w:color w:val="000000" w:themeColor="text1"/>
          <w:sz w:val="20"/>
          <w:szCs w:val="20"/>
        </w:rPr>
        <w:t xml:space="preserve"> </w:t>
      </w:r>
    </w:p>
    <w:p w:rsidR="00380CE6" w:rsidRPr="00844C6D" w:rsidRDefault="00380CE6" w:rsidP="002B455A">
      <w:pPr>
        <w:jc w:val="both"/>
        <w:rPr>
          <w:rFonts w:asciiTheme="minorHAnsi" w:hAnsiTheme="minorHAnsi"/>
          <w:color w:val="000000" w:themeColor="text1"/>
          <w:sz w:val="20"/>
          <w:szCs w:val="20"/>
        </w:rPr>
      </w:pPr>
    </w:p>
    <w:p w:rsidR="00380CE6" w:rsidRDefault="00380CE6" w:rsidP="00380CE6">
      <w:pPr>
        <w:rPr>
          <w:sz w:val="20"/>
          <w:szCs w:val="20"/>
        </w:rPr>
      </w:pPr>
      <w:r w:rsidRPr="00844C6D">
        <w:rPr>
          <w:noProof/>
          <w:sz w:val="20"/>
          <w:szCs w:val="20"/>
        </w:rPr>
        <w:lastRenderedPageBreak/>
        <w:drawing>
          <wp:inline distT="0" distB="0" distL="0" distR="0" wp14:anchorId="45B7F08E" wp14:editId="3C944D74">
            <wp:extent cx="6116320" cy="2765425"/>
            <wp:effectExtent l="0" t="0" r="5080" b="3175"/>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hermata 2020-06-05 alle 15.41.54.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116320" cy="2765425"/>
                    </a:xfrm>
                    <a:prstGeom prst="rect">
                      <a:avLst/>
                    </a:prstGeom>
                  </pic:spPr>
                </pic:pic>
              </a:graphicData>
            </a:graphic>
          </wp:inline>
        </w:drawing>
      </w:r>
    </w:p>
    <w:p w:rsidR="00872820" w:rsidRPr="00844C6D" w:rsidRDefault="00872820" w:rsidP="00380CE6">
      <w:pPr>
        <w:rPr>
          <w:sz w:val="20"/>
          <w:szCs w:val="20"/>
        </w:rPr>
      </w:pPr>
    </w:p>
    <w:p w:rsidR="00380CE6" w:rsidRPr="00872820" w:rsidRDefault="00380CE6" w:rsidP="00872820">
      <w:pPr>
        <w:shd w:val="clear" w:color="auto" w:fill="F2F2F2" w:themeFill="background1" w:themeFillShade="F2"/>
        <w:rPr>
          <w:rFonts w:asciiTheme="minorHAnsi" w:hAnsiTheme="minorHAnsi" w:cstheme="minorHAnsi"/>
          <w:color w:val="000000" w:themeColor="text1"/>
          <w:sz w:val="18"/>
          <w:szCs w:val="18"/>
        </w:rPr>
      </w:pPr>
      <w:r w:rsidRPr="00872820">
        <w:rPr>
          <w:rFonts w:asciiTheme="minorHAnsi" w:hAnsiTheme="minorHAnsi" w:cstheme="minorHAnsi"/>
          <w:color w:val="000000" w:themeColor="text1"/>
          <w:sz w:val="18"/>
          <w:szCs w:val="18"/>
        </w:rPr>
        <w:t xml:space="preserve">Tratto da </w:t>
      </w:r>
      <w:hyperlink r:id="rId120" w:history="1">
        <w:r w:rsidRPr="00872820">
          <w:rPr>
            <w:rStyle w:val="Hyperlink"/>
            <w:rFonts w:asciiTheme="minorHAnsi" w:eastAsiaTheme="majorEastAsia" w:hAnsiTheme="minorHAnsi" w:cstheme="minorHAnsi"/>
            <w:color w:val="000000" w:themeColor="text1"/>
            <w:sz w:val="18"/>
            <w:szCs w:val="18"/>
            <w:u w:val="none"/>
          </w:rPr>
          <w:t>https://www.ncbi.nlm.nih.gov/pmc/articles/PMC7198427/</w:t>
        </w:r>
      </w:hyperlink>
    </w:p>
    <w:p w:rsidR="00380CE6" w:rsidRPr="00872820" w:rsidRDefault="00380CE6" w:rsidP="00872820">
      <w:pPr>
        <w:shd w:val="clear" w:color="auto" w:fill="F2F2F2" w:themeFill="background1" w:themeFillShade="F2"/>
        <w:jc w:val="both"/>
        <w:rPr>
          <w:rFonts w:asciiTheme="minorHAnsi" w:hAnsiTheme="minorHAnsi" w:cstheme="minorHAnsi"/>
          <w:color w:val="000000" w:themeColor="text1"/>
          <w:sz w:val="18"/>
          <w:szCs w:val="18"/>
        </w:rPr>
      </w:pPr>
      <w:r w:rsidRPr="00872820">
        <w:rPr>
          <w:rFonts w:asciiTheme="minorHAnsi" w:hAnsiTheme="minorHAnsi" w:cstheme="minorHAnsi"/>
          <w:b/>
          <w:bCs/>
          <w:color w:val="000000" w:themeColor="text1"/>
          <w:sz w:val="18"/>
          <w:szCs w:val="18"/>
        </w:rPr>
        <w:t>Rappresentazione schematica dei componenti del plasma convalescente e dei suoi meccanismi di azione.</w:t>
      </w:r>
      <w:r w:rsidRPr="00872820">
        <w:rPr>
          <w:rFonts w:asciiTheme="minorHAnsi" w:hAnsiTheme="minorHAnsi" w:cstheme="minorHAnsi"/>
          <w:color w:val="000000" w:themeColor="text1"/>
          <w:sz w:val="18"/>
          <w:szCs w:val="18"/>
        </w:rPr>
        <w:t xml:space="preserve"> </w:t>
      </w:r>
      <w:r w:rsidRPr="00872820">
        <w:rPr>
          <w:rFonts w:asciiTheme="minorHAnsi" w:hAnsiTheme="minorHAnsi" w:cstheme="minorHAnsi"/>
          <w:b/>
          <w:bCs/>
          <w:color w:val="000000" w:themeColor="text1"/>
          <w:sz w:val="18"/>
          <w:szCs w:val="18"/>
        </w:rPr>
        <w:t>A.</w:t>
      </w:r>
      <w:r w:rsidRPr="00872820">
        <w:rPr>
          <w:rFonts w:asciiTheme="minorHAnsi" w:hAnsiTheme="minorHAnsi" w:cstheme="minorHAnsi"/>
          <w:color w:val="000000" w:themeColor="text1"/>
          <w:sz w:val="18"/>
          <w:szCs w:val="18"/>
        </w:rPr>
        <w:t xml:space="preserve"> Principali componenti del plasma convalescente. B. Effetti antivirali di NAbs. Le IgG e le IgM sono i principali isotipi, sebbene anche le IgA possano essere importanti, in particolare nelle infezioni virali della mucosa. Altri non-NAbs possono esercitare un effetto protettivo. La risposta immunitaria umorale è principalmente diretta verso la proteina spike (S). C. Gli effetti anti-infiammatori della CP includono la rete di autoanticorpi e il controllo di un sistema immunitario iperattivo (ad es. Tempesta di citochine, rapporto Th1 / Th17, attivazione del complemento e regolazione di uno stato ipercoagulativo) (vedi testo per dettagli). N: Nucleoproteina; M: membrana; E: envelope</w:t>
      </w:r>
    </w:p>
    <w:p w:rsidR="00380CE6" w:rsidRPr="00844C6D" w:rsidRDefault="00380CE6" w:rsidP="002B455A">
      <w:pPr>
        <w:jc w:val="both"/>
        <w:rPr>
          <w:rFonts w:asciiTheme="minorHAnsi" w:hAnsiTheme="minorHAnsi"/>
          <w:color w:val="000000" w:themeColor="text1"/>
          <w:sz w:val="20"/>
          <w:szCs w:val="20"/>
        </w:rPr>
      </w:pPr>
    </w:p>
    <w:p w:rsidR="00A86DCF" w:rsidRDefault="00795633" w:rsidP="002B455A">
      <w:pPr>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I</w:t>
      </w:r>
      <w:r w:rsidR="008C1775" w:rsidRPr="00844C6D">
        <w:rPr>
          <w:rFonts w:asciiTheme="minorHAnsi" w:hAnsiTheme="minorHAnsi"/>
          <w:color w:val="000000" w:themeColor="text1"/>
          <w:sz w:val="20"/>
          <w:szCs w:val="20"/>
        </w:rPr>
        <w:t xml:space="preserve"> possibili meccanismi alla base dell'efficacia di IVIG ruotano principalmente attorno alla sua capacità di mod</w:t>
      </w:r>
      <w:r w:rsidR="00C86597" w:rsidRPr="00844C6D">
        <w:rPr>
          <w:rFonts w:asciiTheme="minorHAnsi" w:hAnsiTheme="minorHAnsi"/>
          <w:color w:val="000000" w:themeColor="text1"/>
          <w:sz w:val="20"/>
          <w:szCs w:val="20"/>
        </w:rPr>
        <w:t>ificare</w:t>
      </w:r>
      <w:r w:rsidR="008C1775" w:rsidRPr="00844C6D">
        <w:rPr>
          <w:rFonts w:asciiTheme="minorHAnsi" w:hAnsiTheme="minorHAnsi"/>
          <w:color w:val="000000" w:themeColor="text1"/>
          <w:sz w:val="20"/>
          <w:szCs w:val="20"/>
        </w:rPr>
        <w:t xml:space="preserve"> la risposta immunitaria. </w:t>
      </w:r>
    </w:p>
    <w:p w:rsidR="00872820" w:rsidRDefault="00872820" w:rsidP="00872820">
      <w:pPr>
        <w:jc w:val="both"/>
        <w:rPr>
          <w:rFonts w:asciiTheme="minorHAnsi" w:hAnsiTheme="minorHAnsi"/>
          <w:color w:val="000000" w:themeColor="text1"/>
          <w:sz w:val="20"/>
          <w:szCs w:val="20"/>
        </w:rPr>
      </w:pPr>
    </w:p>
    <w:p w:rsidR="00380CE6" w:rsidRPr="00844C6D" w:rsidRDefault="00380CE6" w:rsidP="00F34BD5">
      <w:pPr>
        <w:jc w:val="center"/>
        <w:rPr>
          <w:rFonts w:asciiTheme="minorHAnsi" w:hAnsiTheme="minorHAnsi"/>
          <w:color w:val="2F5496" w:themeColor="accent1" w:themeShade="BF"/>
          <w:sz w:val="20"/>
          <w:szCs w:val="20"/>
        </w:rPr>
      </w:pPr>
      <w:r w:rsidRPr="00844C6D">
        <w:rPr>
          <w:sz w:val="20"/>
          <w:szCs w:val="20"/>
        </w:rPr>
        <w:fldChar w:fldCharType="begin"/>
      </w:r>
      <w:r w:rsidRPr="00844C6D">
        <w:rPr>
          <w:sz w:val="20"/>
          <w:szCs w:val="20"/>
        </w:rPr>
        <w:instrText xml:space="preserve"> INCLUDEPICTURE "https://www.ncbi.nlm.nih.gov/pmc/articles/PMC7211658/bin/gr1_lrg.jpg" \* MERGEFORMATINET </w:instrText>
      </w:r>
      <w:r w:rsidRPr="00844C6D">
        <w:rPr>
          <w:sz w:val="20"/>
          <w:szCs w:val="20"/>
        </w:rPr>
        <w:fldChar w:fldCharType="separate"/>
      </w:r>
      <w:r w:rsidRPr="00844C6D">
        <w:rPr>
          <w:noProof/>
          <w:sz w:val="20"/>
          <w:szCs w:val="20"/>
        </w:rPr>
        <w:drawing>
          <wp:inline distT="0" distB="0" distL="0" distR="0" wp14:anchorId="7325083F" wp14:editId="6EBA5FFB">
            <wp:extent cx="5251939" cy="2981480"/>
            <wp:effectExtent l="0" t="0" r="6350" b="3175"/>
            <wp:docPr id="43" name="Immagine 4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17570" cy="3075508"/>
                    </a:xfrm>
                    <a:prstGeom prst="rect">
                      <a:avLst/>
                    </a:prstGeom>
                    <a:noFill/>
                    <a:ln>
                      <a:noFill/>
                    </a:ln>
                  </pic:spPr>
                </pic:pic>
              </a:graphicData>
            </a:graphic>
          </wp:inline>
        </w:drawing>
      </w:r>
      <w:r w:rsidRPr="00844C6D">
        <w:rPr>
          <w:sz w:val="20"/>
          <w:szCs w:val="20"/>
        </w:rPr>
        <w:fldChar w:fldCharType="end"/>
      </w:r>
    </w:p>
    <w:p w:rsidR="00380CE6" w:rsidRPr="00844C6D" w:rsidRDefault="00380CE6" w:rsidP="00380CE6">
      <w:pPr>
        <w:rPr>
          <w:sz w:val="20"/>
          <w:szCs w:val="20"/>
        </w:rPr>
      </w:pPr>
    </w:p>
    <w:p w:rsidR="00380CE6" w:rsidRPr="00872820" w:rsidRDefault="00380CE6" w:rsidP="00872820">
      <w:pPr>
        <w:shd w:val="clear" w:color="auto" w:fill="F2F2F2" w:themeFill="background1" w:themeFillShade="F2"/>
        <w:rPr>
          <w:rFonts w:asciiTheme="minorHAnsi" w:hAnsiTheme="minorHAnsi" w:cstheme="minorHAnsi"/>
          <w:color w:val="000000" w:themeColor="text1"/>
          <w:sz w:val="18"/>
          <w:szCs w:val="18"/>
        </w:rPr>
      </w:pPr>
      <w:r w:rsidRPr="00872820">
        <w:rPr>
          <w:rFonts w:asciiTheme="minorHAnsi" w:hAnsiTheme="minorHAnsi" w:cstheme="minorHAnsi"/>
          <w:color w:val="000000" w:themeColor="text1"/>
          <w:sz w:val="18"/>
          <w:szCs w:val="18"/>
        </w:rPr>
        <w:t xml:space="preserve">Tratta da </w:t>
      </w:r>
      <w:hyperlink r:id="rId122" w:history="1">
        <w:r w:rsidRPr="00872820">
          <w:rPr>
            <w:rStyle w:val="Hyperlink"/>
            <w:rFonts w:asciiTheme="minorHAnsi" w:eastAsiaTheme="majorEastAsia" w:hAnsiTheme="minorHAnsi" w:cstheme="minorHAnsi"/>
            <w:color w:val="000000" w:themeColor="text1"/>
            <w:sz w:val="18"/>
            <w:szCs w:val="18"/>
            <w:u w:val="none"/>
          </w:rPr>
          <w:t>https://www.ncbi.nlm.nih.gov/pmc/articles/PMC7211658/</w:t>
        </w:r>
      </w:hyperlink>
    </w:p>
    <w:p w:rsidR="00BA111C" w:rsidRPr="00872820" w:rsidRDefault="00BC1E0C" w:rsidP="00872820">
      <w:pPr>
        <w:shd w:val="clear" w:color="auto" w:fill="F2F2F2" w:themeFill="background1" w:themeFillShade="F2"/>
        <w:jc w:val="both"/>
        <w:rPr>
          <w:rFonts w:asciiTheme="minorHAnsi" w:hAnsiTheme="minorHAnsi" w:cstheme="minorHAnsi"/>
          <w:color w:val="000000" w:themeColor="text1"/>
          <w:sz w:val="18"/>
          <w:szCs w:val="18"/>
        </w:rPr>
      </w:pPr>
      <w:r w:rsidRPr="00872820">
        <w:rPr>
          <w:rFonts w:asciiTheme="minorHAnsi" w:hAnsiTheme="minorHAnsi" w:cstheme="minorHAnsi"/>
          <w:b/>
          <w:bCs/>
          <w:color w:val="000000" w:themeColor="text1"/>
          <w:sz w:val="18"/>
          <w:szCs w:val="18"/>
        </w:rPr>
        <w:t>Meccanismi proposti di anticorpi neutralizzanti e IVIG nell'infezione COVID-19. (a)</w:t>
      </w:r>
      <w:r w:rsidRPr="00872820">
        <w:rPr>
          <w:rFonts w:asciiTheme="minorHAnsi" w:hAnsiTheme="minorHAnsi" w:cstheme="minorHAnsi"/>
          <w:color w:val="000000" w:themeColor="text1"/>
          <w:sz w:val="18"/>
          <w:szCs w:val="18"/>
        </w:rPr>
        <w:t xml:space="preserve"> Gli anticorpi neutralizzanti impediscono alla proteina spike SARS-CoV2 di legarsi al recettore ACE2, inibendo l'ingresso virale nella cellula</w:t>
      </w:r>
      <w:r w:rsidRPr="00872820">
        <w:rPr>
          <w:rFonts w:asciiTheme="minorHAnsi" w:hAnsiTheme="minorHAnsi" w:cstheme="minorHAnsi"/>
          <w:b/>
          <w:bCs/>
          <w:color w:val="000000" w:themeColor="text1"/>
          <w:sz w:val="18"/>
          <w:szCs w:val="18"/>
        </w:rPr>
        <w:t>. (b)</w:t>
      </w:r>
      <w:r w:rsidRPr="00872820">
        <w:rPr>
          <w:rFonts w:asciiTheme="minorHAnsi" w:hAnsiTheme="minorHAnsi" w:cstheme="minorHAnsi"/>
          <w:color w:val="000000" w:themeColor="text1"/>
          <w:sz w:val="18"/>
          <w:szCs w:val="18"/>
        </w:rPr>
        <w:t xml:space="preserve"> I complessi immunitari costituiti da antigeni virali e anticorpi sub-neutralizzanti antivirali possono attivare i recettori Fcγ sulle cellule immunitarie innate (ad es. macrofagi) nel polmone, innescando una risposta infiammatoria esagerata che porta a lesioni polmonari acute attraverso un potenziamento dipendente dagli anticorpi (ADE) . Inoltre, il virus associato agli anticorpi può essere interiorizzato attraverso i recettori Fcγ, potenziando la replicazione virale. </w:t>
      </w:r>
      <w:r w:rsidRPr="00872820">
        <w:rPr>
          <w:rFonts w:asciiTheme="minorHAnsi" w:hAnsiTheme="minorHAnsi" w:cstheme="minorHAnsi"/>
          <w:b/>
          <w:bCs/>
          <w:color w:val="000000" w:themeColor="text1"/>
          <w:sz w:val="18"/>
          <w:szCs w:val="18"/>
        </w:rPr>
        <w:t>(c)</w:t>
      </w:r>
      <w:r w:rsidRPr="00872820">
        <w:rPr>
          <w:rFonts w:asciiTheme="minorHAnsi" w:hAnsiTheme="minorHAnsi" w:cstheme="minorHAnsi"/>
          <w:color w:val="000000" w:themeColor="text1"/>
          <w:sz w:val="18"/>
          <w:szCs w:val="18"/>
        </w:rPr>
        <w:t xml:space="preserve"> Meccanismi proposti in base ai quali IVIG esercita un'azione antinfiammatoria includono la saturazione del legame del recettore Fcγ, il legame anti-idiotipico agli anticorpi anti-virali e il legame delle citochine proinfiammatorie.</w:t>
      </w:r>
    </w:p>
    <w:p w:rsidR="00872820" w:rsidRDefault="00872820" w:rsidP="00A677FE">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410"/>
        <w:jc w:val="both"/>
        <w:rPr>
          <w:rFonts w:asciiTheme="minorHAnsi" w:hAnsiTheme="minorHAnsi"/>
          <w:i/>
          <w:iCs/>
          <w:color w:val="000000" w:themeColor="text1"/>
          <w:sz w:val="20"/>
          <w:szCs w:val="20"/>
        </w:rPr>
      </w:pPr>
    </w:p>
    <w:p w:rsidR="00872820" w:rsidRDefault="00872820" w:rsidP="00A677FE">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410"/>
        <w:jc w:val="both"/>
        <w:rPr>
          <w:rFonts w:asciiTheme="minorHAnsi" w:hAnsiTheme="minorHAnsi"/>
          <w:i/>
          <w:iCs/>
          <w:color w:val="000000" w:themeColor="text1"/>
          <w:sz w:val="20"/>
          <w:szCs w:val="20"/>
        </w:rPr>
      </w:pPr>
      <w:r w:rsidRPr="00872820">
        <w:rPr>
          <w:rFonts w:asciiTheme="minorHAnsi" w:hAnsiTheme="minorHAnsi"/>
          <w:i/>
          <w:iCs/>
          <w:color w:val="000000" w:themeColor="text1"/>
          <w:sz w:val="20"/>
          <w:szCs w:val="20"/>
        </w:rPr>
        <w:t xml:space="preserve">Un possibile meccanismo è che l'infusione di IVIG ad alte dosi </w:t>
      </w:r>
      <w:r w:rsidRPr="00872820">
        <w:rPr>
          <w:rFonts w:asciiTheme="minorHAnsi" w:hAnsiTheme="minorHAnsi"/>
          <w:b/>
          <w:bCs/>
          <w:i/>
          <w:iCs/>
          <w:color w:val="000000" w:themeColor="text1"/>
          <w:sz w:val="20"/>
          <w:szCs w:val="20"/>
        </w:rPr>
        <w:t>impedisca l'attivazione dell’FcγR attraverso la saturazione del legame di questi recettori con le IgG infuse, nonché attraverso un aumento dell’espressione di FcγRIIb inibente</w:t>
      </w:r>
      <w:r w:rsidRPr="00872820">
        <w:rPr>
          <w:rFonts w:asciiTheme="minorHAnsi" w:hAnsiTheme="minorHAnsi"/>
          <w:i/>
          <w:iCs/>
          <w:color w:val="000000" w:themeColor="text1"/>
          <w:sz w:val="20"/>
          <w:szCs w:val="20"/>
        </w:rPr>
        <w:t>.</w:t>
      </w:r>
      <w:r w:rsidRPr="00872820">
        <w:rPr>
          <w:rStyle w:val="FootnoteReference"/>
          <w:i/>
          <w:iCs/>
          <w:color w:val="000000" w:themeColor="text1"/>
          <w:sz w:val="20"/>
          <w:szCs w:val="20"/>
        </w:rPr>
        <w:footnoteReference w:id="110"/>
      </w:r>
    </w:p>
    <w:p w:rsidR="00872820" w:rsidRPr="00872820" w:rsidRDefault="00872820" w:rsidP="00A677FE">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410"/>
        <w:jc w:val="both"/>
        <w:rPr>
          <w:rFonts w:asciiTheme="minorHAnsi" w:hAnsiTheme="minorHAnsi"/>
          <w:i/>
          <w:iCs/>
          <w:color w:val="000000" w:themeColor="text1"/>
          <w:sz w:val="20"/>
          <w:szCs w:val="20"/>
        </w:rPr>
      </w:pPr>
    </w:p>
    <w:p w:rsidR="00872820" w:rsidRDefault="00872820" w:rsidP="00872820">
      <w:pPr>
        <w:ind w:left="284" w:right="701"/>
        <w:jc w:val="both"/>
        <w:rPr>
          <w:rFonts w:asciiTheme="minorHAnsi" w:hAnsiTheme="minorHAnsi"/>
          <w:color w:val="000000" w:themeColor="text1"/>
          <w:sz w:val="20"/>
          <w:szCs w:val="20"/>
        </w:rPr>
      </w:pPr>
    </w:p>
    <w:p w:rsidR="00A677FE" w:rsidRDefault="00C86597" w:rsidP="002B455A">
      <w:pPr>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 xml:space="preserve">Per quanto riguarda </w:t>
      </w:r>
      <w:r w:rsidR="00BC1E0C" w:rsidRPr="00844C6D">
        <w:rPr>
          <w:rFonts w:asciiTheme="minorHAnsi" w:hAnsiTheme="minorHAnsi"/>
          <w:color w:val="000000" w:themeColor="text1"/>
          <w:sz w:val="20"/>
          <w:szCs w:val="20"/>
        </w:rPr>
        <w:t xml:space="preserve">le </w:t>
      </w:r>
      <w:r w:rsidR="00BC1E0C" w:rsidRPr="00872820">
        <w:rPr>
          <w:rFonts w:asciiTheme="minorHAnsi" w:hAnsiTheme="minorHAnsi"/>
          <w:b/>
          <w:bCs/>
          <w:color w:val="000000" w:themeColor="text1"/>
          <w:sz w:val="20"/>
          <w:szCs w:val="20"/>
        </w:rPr>
        <w:t>limitazioni dell’uso delle IVIG e del plasma iperimmune</w:t>
      </w:r>
      <w:r w:rsidR="00BC1E0C" w:rsidRPr="00844C6D">
        <w:rPr>
          <w:rFonts w:asciiTheme="minorHAnsi" w:hAnsiTheme="minorHAnsi"/>
          <w:color w:val="000000" w:themeColor="text1"/>
          <w:sz w:val="20"/>
          <w:szCs w:val="20"/>
        </w:rPr>
        <w:t>,</w:t>
      </w:r>
      <w:r w:rsidR="00E537AA" w:rsidRPr="00844C6D">
        <w:rPr>
          <w:rFonts w:asciiTheme="minorHAnsi" w:hAnsiTheme="minorHAnsi"/>
          <w:color w:val="000000" w:themeColor="text1"/>
          <w:sz w:val="20"/>
          <w:szCs w:val="20"/>
        </w:rPr>
        <w:t xml:space="preserve"> uno studio recente sull’infezione da DENV secondaria su un modello animale di topo immunocompetente</w:t>
      </w:r>
      <w:r w:rsidR="00BC1E0C" w:rsidRPr="00844C6D">
        <w:rPr>
          <w:rFonts w:asciiTheme="minorHAnsi" w:hAnsiTheme="minorHAnsi"/>
          <w:color w:val="000000" w:themeColor="text1"/>
          <w:sz w:val="20"/>
          <w:szCs w:val="20"/>
        </w:rPr>
        <w:t>,</w:t>
      </w:r>
      <w:r w:rsidR="00E537AA" w:rsidRPr="00844C6D">
        <w:rPr>
          <w:rFonts w:asciiTheme="minorHAnsi" w:hAnsiTheme="minorHAnsi"/>
          <w:color w:val="000000" w:themeColor="text1"/>
          <w:sz w:val="20"/>
          <w:szCs w:val="20"/>
        </w:rPr>
        <w:t xml:space="preserve"> ha dimostrato che </w:t>
      </w:r>
      <w:r w:rsidR="00BC1E0C" w:rsidRPr="00844C6D">
        <w:rPr>
          <w:rFonts w:asciiTheme="minorHAnsi" w:hAnsiTheme="minorHAnsi"/>
          <w:color w:val="000000" w:themeColor="text1"/>
          <w:sz w:val="20"/>
          <w:szCs w:val="20"/>
        </w:rPr>
        <w:t xml:space="preserve">i </w:t>
      </w:r>
      <w:r w:rsidR="00E537AA" w:rsidRPr="00844C6D">
        <w:rPr>
          <w:rFonts w:asciiTheme="minorHAnsi" w:hAnsiTheme="minorHAnsi"/>
          <w:color w:val="000000" w:themeColor="text1"/>
          <w:sz w:val="20"/>
          <w:szCs w:val="20"/>
        </w:rPr>
        <w:t xml:space="preserve">topi trattati con IVIG </w:t>
      </w:r>
      <w:r w:rsidR="00DA7696" w:rsidRPr="00844C6D">
        <w:rPr>
          <w:rFonts w:asciiTheme="minorHAnsi" w:hAnsiTheme="minorHAnsi"/>
          <w:color w:val="000000" w:themeColor="text1"/>
          <w:sz w:val="20"/>
          <w:szCs w:val="20"/>
        </w:rPr>
        <w:t>presentavano</w:t>
      </w:r>
      <w:r w:rsidR="00E537AA" w:rsidRPr="00844C6D">
        <w:rPr>
          <w:rFonts w:asciiTheme="minorHAnsi" w:hAnsiTheme="minorHAnsi"/>
          <w:color w:val="000000" w:themeColor="text1"/>
          <w:sz w:val="20"/>
          <w:szCs w:val="20"/>
        </w:rPr>
        <w:t xml:space="preserve"> un </w:t>
      </w:r>
      <w:r w:rsidR="00E537AA" w:rsidRPr="00872820">
        <w:rPr>
          <w:rFonts w:asciiTheme="minorHAnsi" w:hAnsiTheme="minorHAnsi"/>
          <w:b/>
          <w:bCs/>
          <w:color w:val="000000" w:themeColor="text1"/>
          <w:sz w:val="20"/>
          <w:szCs w:val="20"/>
        </w:rPr>
        <w:t>aumento della mortalità, esacerbazione della gravità della malattia ed elevata replicazione del virus in modo dose-dipendente</w:t>
      </w:r>
      <w:r w:rsidR="00E537AA" w:rsidRPr="00844C6D">
        <w:rPr>
          <w:rFonts w:asciiTheme="minorHAnsi" w:hAnsiTheme="minorHAnsi"/>
          <w:color w:val="000000" w:themeColor="text1"/>
          <w:sz w:val="20"/>
          <w:szCs w:val="20"/>
        </w:rPr>
        <w:t xml:space="preserve">. </w:t>
      </w:r>
      <w:r w:rsidR="00872820">
        <w:rPr>
          <w:rFonts w:asciiTheme="minorHAnsi" w:hAnsiTheme="minorHAnsi"/>
          <w:color w:val="000000" w:themeColor="text1"/>
          <w:sz w:val="20"/>
          <w:szCs w:val="20"/>
        </w:rPr>
        <w:t xml:space="preserve"> </w:t>
      </w:r>
    </w:p>
    <w:p w:rsidR="00A86DCF" w:rsidRDefault="00E537AA" w:rsidP="002B455A">
      <w:pPr>
        <w:jc w:val="both"/>
        <w:rPr>
          <w:rFonts w:asciiTheme="minorHAnsi" w:hAnsiTheme="minorHAnsi"/>
          <w:color w:val="000000" w:themeColor="text1"/>
          <w:sz w:val="20"/>
          <w:szCs w:val="20"/>
        </w:rPr>
      </w:pPr>
      <w:r w:rsidRPr="00844C6D">
        <w:rPr>
          <w:rFonts w:asciiTheme="minorHAnsi" w:hAnsiTheme="minorHAnsi"/>
          <w:color w:val="000000" w:themeColor="text1"/>
          <w:sz w:val="20"/>
          <w:szCs w:val="20"/>
        </w:rPr>
        <w:t>Un ulteriore esame ha ri</w:t>
      </w:r>
      <w:r w:rsidR="00795633" w:rsidRPr="00844C6D">
        <w:rPr>
          <w:rFonts w:asciiTheme="minorHAnsi" w:hAnsiTheme="minorHAnsi"/>
          <w:color w:val="000000" w:themeColor="text1"/>
          <w:sz w:val="20"/>
          <w:szCs w:val="20"/>
        </w:rPr>
        <w:t xml:space="preserve">scontrato </w:t>
      </w:r>
      <w:r w:rsidRPr="00844C6D">
        <w:rPr>
          <w:rFonts w:asciiTheme="minorHAnsi" w:hAnsiTheme="minorHAnsi"/>
          <w:color w:val="000000" w:themeColor="text1"/>
          <w:sz w:val="20"/>
          <w:szCs w:val="20"/>
        </w:rPr>
        <w:t xml:space="preserve">titoli sub-neutralizzanti di anticorpi anti-DENV </w:t>
      </w:r>
      <w:r w:rsidR="00795633" w:rsidRPr="00844C6D">
        <w:rPr>
          <w:rFonts w:asciiTheme="minorHAnsi" w:hAnsiTheme="minorHAnsi"/>
          <w:color w:val="000000" w:themeColor="text1"/>
          <w:sz w:val="20"/>
          <w:szCs w:val="20"/>
        </w:rPr>
        <w:t>nel</w:t>
      </w:r>
      <w:r w:rsidRPr="00844C6D">
        <w:rPr>
          <w:rFonts w:asciiTheme="minorHAnsi" w:hAnsiTheme="minorHAnsi"/>
          <w:color w:val="000000" w:themeColor="text1"/>
          <w:sz w:val="20"/>
          <w:szCs w:val="20"/>
        </w:rPr>
        <w:t xml:space="preserve"> siero di topi trattati con IVIG come fattore che contribuisce al</w:t>
      </w:r>
      <w:r w:rsidR="00DA7696" w:rsidRPr="00844C6D">
        <w:rPr>
          <w:rFonts w:asciiTheme="minorHAnsi" w:hAnsiTheme="minorHAnsi"/>
          <w:color w:val="000000" w:themeColor="text1"/>
          <w:sz w:val="20"/>
          <w:szCs w:val="20"/>
        </w:rPr>
        <w:t xml:space="preserve">l’aggravamento </w:t>
      </w:r>
      <w:r w:rsidRPr="00844C6D">
        <w:rPr>
          <w:rStyle w:val="FootnoteReference"/>
          <w:rFonts w:asciiTheme="minorHAnsi" w:hAnsiTheme="minorHAnsi"/>
          <w:color w:val="000000" w:themeColor="text1"/>
          <w:sz w:val="20"/>
          <w:szCs w:val="20"/>
        </w:rPr>
        <w:footnoteReference w:id="111"/>
      </w:r>
      <w:r w:rsidRPr="00844C6D">
        <w:rPr>
          <w:rFonts w:asciiTheme="minorHAnsi" w:hAnsiTheme="minorHAnsi"/>
          <w:color w:val="000000" w:themeColor="text1"/>
          <w:sz w:val="20"/>
          <w:szCs w:val="20"/>
        </w:rPr>
        <w:t xml:space="preserve">. </w:t>
      </w:r>
    </w:p>
    <w:p w:rsidR="00872820" w:rsidRDefault="00872820" w:rsidP="002B455A">
      <w:pPr>
        <w:jc w:val="both"/>
        <w:rPr>
          <w:rFonts w:asciiTheme="minorHAnsi" w:hAnsiTheme="minorHAnsi"/>
          <w:color w:val="000000" w:themeColor="text1"/>
          <w:sz w:val="20"/>
          <w:szCs w:val="20"/>
        </w:rPr>
      </w:pPr>
    </w:p>
    <w:p w:rsidR="00C86597" w:rsidRDefault="00E537AA" w:rsidP="00A677FE">
      <w:pPr>
        <w:shd w:val="clear" w:color="auto" w:fill="FBF9E1"/>
        <w:ind w:right="-7"/>
        <w:jc w:val="both"/>
        <w:rPr>
          <w:rFonts w:asciiTheme="minorHAnsi" w:hAnsiTheme="minorHAnsi"/>
          <w:i/>
          <w:iCs/>
          <w:color w:val="000000" w:themeColor="text1"/>
          <w:sz w:val="20"/>
          <w:szCs w:val="20"/>
        </w:rPr>
      </w:pPr>
      <w:r w:rsidRPr="00872820">
        <w:rPr>
          <w:rFonts w:asciiTheme="minorHAnsi" w:hAnsiTheme="minorHAnsi"/>
          <w:i/>
          <w:iCs/>
          <w:color w:val="000000" w:themeColor="text1"/>
          <w:sz w:val="20"/>
          <w:szCs w:val="20"/>
        </w:rPr>
        <w:t xml:space="preserve">Ne segue che la somministrazione di IVIG va valutata attentamente attraverso </w:t>
      </w:r>
      <w:r w:rsidR="000D67BA" w:rsidRPr="00872820">
        <w:rPr>
          <w:rFonts w:asciiTheme="minorHAnsi" w:hAnsiTheme="minorHAnsi"/>
          <w:i/>
          <w:iCs/>
          <w:color w:val="000000" w:themeColor="text1"/>
          <w:sz w:val="20"/>
          <w:szCs w:val="20"/>
        </w:rPr>
        <w:t xml:space="preserve">la ricerca </w:t>
      </w:r>
      <w:r w:rsidR="00BC1E0C" w:rsidRPr="00872820">
        <w:rPr>
          <w:rFonts w:asciiTheme="minorHAnsi" w:hAnsiTheme="minorHAnsi"/>
          <w:i/>
          <w:iCs/>
          <w:color w:val="000000" w:themeColor="text1"/>
          <w:sz w:val="20"/>
          <w:szCs w:val="20"/>
        </w:rPr>
        <w:t xml:space="preserve">e la purificazione dagli </w:t>
      </w:r>
      <w:r w:rsidR="000D67BA" w:rsidRPr="00872820">
        <w:rPr>
          <w:rFonts w:asciiTheme="minorHAnsi" w:hAnsiTheme="minorHAnsi"/>
          <w:i/>
          <w:iCs/>
          <w:color w:val="000000" w:themeColor="text1"/>
          <w:sz w:val="20"/>
          <w:szCs w:val="20"/>
        </w:rPr>
        <w:t xml:space="preserve"> anticorpi non neutralizzanti nel siero </w:t>
      </w:r>
      <w:r w:rsidRPr="00872820">
        <w:rPr>
          <w:rFonts w:asciiTheme="minorHAnsi" w:hAnsiTheme="minorHAnsi"/>
          <w:i/>
          <w:iCs/>
          <w:color w:val="000000" w:themeColor="text1"/>
          <w:sz w:val="20"/>
          <w:szCs w:val="20"/>
        </w:rPr>
        <w:t>in caso di infezioni in cui sia possibile l’ADE come potenziamento della malattia.</w:t>
      </w:r>
      <w:r w:rsidR="00DA1A7C" w:rsidRPr="00872820">
        <w:rPr>
          <w:rFonts w:asciiTheme="minorHAnsi" w:hAnsiTheme="minorHAnsi"/>
          <w:i/>
          <w:iCs/>
          <w:color w:val="000000" w:themeColor="text1"/>
          <w:sz w:val="20"/>
          <w:szCs w:val="20"/>
        </w:rPr>
        <w:t xml:space="preserve"> </w:t>
      </w:r>
      <w:r w:rsidR="00DA1A7C" w:rsidRPr="00872820">
        <w:rPr>
          <w:rStyle w:val="FootnoteReference"/>
          <w:rFonts w:asciiTheme="minorHAnsi" w:hAnsiTheme="minorHAnsi"/>
          <w:i/>
          <w:iCs/>
          <w:color w:val="000000" w:themeColor="text1"/>
          <w:sz w:val="20"/>
          <w:szCs w:val="20"/>
        </w:rPr>
        <w:footnoteReference w:id="112"/>
      </w:r>
    </w:p>
    <w:p w:rsidR="002B7F58" w:rsidRDefault="002B7F58" w:rsidP="002B7F58">
      <w:pPr>
        <w:jc w:val="both"/>
        <w:rPr>
          <w:rFonts w:asciiTheme="minorHAnsi" w:hAnsiTheme="minorHAnsi" w:cstheme="minorHAnsi"/>
          <w:b/>
          <w:color w:val="1C1E21"/>
          <w:sz w:val="20"/>
          <w:szCs w:val="20"/>
        </w:rPr>
      </w:pPr>
    </w:p>
    <w:p w:rsidR="00D05861" w:rsidRDefault="00D05861" w:rsidP="002B7F58">
      <w:pPr>
        <w:jc w:val="both"/>
        <w:rPr>
          <w:rFonts w:asciiTheme="minorHAnsi" w:hAnsiTheme="minorHAnsi" w:cstheme="minorHAnsi"/>
          <w:b/>
          <w:color w:val="1C1E21"/>
          <w:sz w:val="20"/>
          <w:szCs w:val="20"/>
        </w:rPr>
      </w:pPr>
    </w:p>
    <w:p w:rsidR="00872820" w:rsidRDefault="00872820" w:rsidP="002B7F58">
      <w:pPr>
        <w:jc w:val="both"/>
        <w:rPr>
          <w:rFonts w:asciiTheme="minorHAnsi" w:hAnsiTheme="minorHAnsi" w:cstheme="minorHAnsi"/>
          <w:b/>
          <w:color w:val="1C1E21"/>
          <w:sz w:val="20"/>
          <w:szCs w:val="20"/>
        </w:rPr>
      </w:pPr>
    </w:p>
    <w:p w:rsidR="00872820" w:rsidRDefault="00872820" w:rsidP="002B7F58">
      <w:pPr>
        <w:jc w:val="both"/>
        <w:rPr>
          <w:rFonts w:asciiTheme="minorHAnsi" w:hAnsiTheme="minorHAnsi" w:cstheme="minorHAnsi"/>
          <w:b/>
          <w:color w:val="1C1E21"/>
          <w:sz w:val="20"/>
          <w:szCs w:val="20"/>
        </w:rPr>
      </w:pPr>
    </w:p>
    <w:p w:rsidR="00872820" w:rsidRDefault="00872820" w:rsidP="002B7F58">
      <w:pPr>
        <w:jc w:val="both"/>
        <w:rPr>
          <w:rFonts w:asciiTheme="minorHAnsi" w:hAnsiTheme="minorHAnsi" w:cstheme="minorHAnsi"/>
          <w:b/>
          <w:color w:val="1C1E21"/>
          <w:sz w:val="20"/>
          <w:szCs w:val="20"/>
        </w:rPr>
      </w:pPr>
    </w:p>
    <w:p w:rsidR="00872820" w:rsidRDefault="00872820" w:rsidP="002B7F58">
      <w:pPr>
        <w:jc w:val="both"/>
        <w:rPr>
          <w:rFonts w:asciiTheme="minorHAnsi" w:hAnsiTheme="minorHAnsi" w:cstheme="minorHAnsi"/>
          <w:b/>
          <w:color w:val="1C1E21"/>
          <w:sz w:val="20"/>
          <w:szCs w:val="20"/>
        </w:rPr>
      </w:pPr>
    </w:p>
    <w:p w:rsidR="00872820" w:rsidRDefault="00872820" w:rsidP="002B7F58">
      <w:pPr>
        <w:jc w:val="both"/>
        <w:rPr>
          <w:rFonts w:asciiTheme="minorHAnsi" w:hAnsiTheme="minorHAnsi" w:cstheme="minorHAnsi"/>
          <w:b/>
          <w:color w:val="1C1E21"/>
          <w:sz w:val="20"/>
          <w:szCs w:val="20"/>
        </w:rPr>
      </w:pPr>
    </w:p>
    <w:p w:rsidR="00D05861" w:rsidRDefault="00D05861" w:rsidP="002B7F58">
      <w:pPr>
        <w:jc w:val="both"/>
        <w:rPr>
          <w:rFonts w:asciiTheme="minorHAnsi" w:hAnsiTheme="minorHAnsi" w:cstheme="minorHAnsi"/>
          <w:b/>
          <w:color w:val="1C1E21"/>
          <w:sz w:val="20"/>
          <w:szCs w:val="20"/>
        </w:rPr>
      </w:pPr>
    </w:p>
    <w:p w:rsidR="00A677FE" w:rsidRDefault="00A677FE" w:rsidP="002B7F58">
      <w:pPr>
        <w:jc w:val="both"/>
        <w:rPr>
          <w:rFonts w:asciiTheme="minorHAnsi" w:hAnsiTheme="minorHAnsi" w:cstheme="minorHAnsi"/>
          <w:b/>
          <w:color w:val="1C1E21"/>
          <w:sz w:val="20"/>
          <w:szCs w:val="20"/>
        </w:rPr>
      </w:pPr>
    </w:p>
    <w:p w:rsidR="00A677FE" w:rsidRDefault="00A677FE" w:rsidP="002B7F58">
      <w:pPr>
        <w:jc w:val="both"/>
        <w:rPr>
          <w:rFonts w:asciiTheme="minorHAnsi" w:hAnsiTheme="minorHAnsi" w:cstheme="minorHAnsi"/>
          <w:b/>
          <w:color w:val="1C1E21"/>
          <w:sz w:val="20"/>
          <w:szCs w:val="20"/>
        </w:rPr>
      </w:pPr>
    </w:p>
    <w:p w:rsidR="00A677FE" w:rsidRDefault="00A677FE" w:rsidP="002B7F58">
      <w:pPr>
        <w:jc w:val="both"/>
        <w:rPr>
          <w:rFonts w:asciiTheme="minorHAnsi" w:hAnsiTheme="minorHAnsi" w:cstheme="minorHAnsi"/>
          <w:b/>
          <w:color w:val="1C1E21"/>
          <w:sz w:val="20"/>
          <w:szCs w:val="20"/>
        </w:rPr>
      </w:pPr>
    </w:p>
    <w:p w:rsidR="00A677FE" w:rsidRDefault="00A677FE" w:rsidP="002B7F58">
      <w:pPr>
        <w:jc w:val="both"/>
        <w:rPr>
          <w:rFonts w:asciiTheme="minorHAnsi" w:hAnsiTheme="minorHAnsi" w:cstheme="minorHAnsi"/>
          <w:b/>
          <w:color w:val="1C1E21"/>
          <w:sz w:val="20"/>
          <w:szCs w:val="20"/>
        </w:rPr>
      </w:pPr>
    </w:p>
    <w:p w:rsidR="00D05861" w:rsidRDefault="00D05861" w:rsidP="002B7F58">
      <w:pPr>
        <w:jc w:val="both"/>
        <w:rPr>
          <w:rFonts w:asciiTheme="minorHAnsi" w:hAnsiTheme="minorHAnsi" w:cstheme="minorHAnsi"/>
          <w:b/>
          <w:color w:val="1C1E21"/>
          <w:sz w:val="20"/>
          <w:szCs w:val="20"/>
        </w:rPr>
      </w:pPr>
    </w:p>
    <w:p w:rsidR="00D05861" w:rsidRDefault="00D05861" w:rsidP="00D05861">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4395"/>
        </w:tabs>
        <w:ind w:left="567" w:right="418"/>
        <w:jc w:val="center"/>
        <w:rPr>
          <w:rFonts w:asciiTheme="minorHAnsi" w:hAnsiTheme="minorHAnsi" w:cstheme="minorHAnsi"/>
          <w:b/>
          <w:bCs/>
          <w:color w:val="C00000"/>
        </w:rPr>
      </w:pPr>
      <w:r w:rsidRPr="00DC48B4">
        <w:rPr>
          <w:rFonts w:asciiTheme="minorHAnsi" w:hAnsiTheme="minorHAnsi" w:cstheme="minorHAnsi"/>
          <w:b/>
          <w:bCs/>
          <w:color w:val="C00000"/>
        </w:rPr>
        <w:t>IN BREVE</w:t>
      </w:r>
    </w:p>
    <w:p w:rsidR="00D05861" w:rsidRDefault="00D05861" w:rsidP="00872820">
      <w:pPr>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p>
    <w:p w:rsidR="00F81611" w:rsidRDefault="00D05861"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Il </w:t>
      </w:r>
      <w:r w:rsidRPr="00F81611">
        <w:rPr>
          <w:rFonts w:asciiTheme="minorHAnsi" w:hAnsiTheme="minorHAnsi" w:cstheme="minorHAnsi"/>
          <w:b/>
          <w:bCs/>
          <w:color w:val="000000" w:themeColor="text1"/>
          <w:sz w:val="20"/>
          <w:szCs w:val="20"/>
        </w:rPr>
        <w:t xml:space="preserve">potenziamento della malattia </w:t>
      </w:r>
      <w:r w:rsidR="004A7BA7" w:rsidRPr="00F81611">
        <w:rPr>
          <w:rFonts w:asciiTheme="minorHAnsi" w:hAnsiTheme="minorHAnsi" w:cstheme="minorHAnsi"/>
          <w:b/>
          <w:bCs/>
          <w:color w:val="000000" w:themeColor="text1"/>
          <w:sz w:val="20"/>
          <w:szCs w:val="20"/>
        </w:rPr>
        <w:t>(ADE)</w:t>
      </w:r>
      <w:r w:rsidR="004A7BA7">
        <w:rPr>
          <w:rFonts w:asciiTheme="minorHAnsi" w:hAnsiTheme="minorHAnsi" w:cstheme="minorHAnsi"/>
          <w:color w:val="000000" w:themeColor="text1"/>
          <w:sz w:val="20"/>
          <w:szCs w:val="20"/>
        </w:rPr>
        <w:t xml:space="preserve"> è un fenomeno immunopatologico che riguarda vari tipi di infezioni virali, tra le quali anche il SARS-Cov-2 e l‘influenza</w:t>
      </w:r>
      <w:r w:rsidR="00F81611">
        <w:rPr>
          <w:rFonts w:asciiTheme="minorHAnsi" w:hAnsiTheme="minorHAnsi" w:cstheme="minorHAnsi"/>
          <w:color w:val="000000" w:themeColor="text1"/>
          <w:sz w:val="20"/>
          <w:szCs w:val="20"/>
        </w:rPr>
        <w:t xml:space="preserve">.  </w:t>
      </w:r>
    </w:p>
    <w:p w:rsidR="00D05861" w:rsidRDefault="00F81611"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p>
    <w:p w:rsidR="00F81611" w:rsidRDefault="00F81611"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L’ADE si manifesta in seguito all’infezione da parte del SARS-Cov-2 delle cellule del sistema immunitario innato (macrofagi). Il virus entra in queste cellule come immunocomplesso formato dal legame con anticorpi poco efficaci (non neutralizzanti e in quantità bassa) provenienti da infezioni precedenti da coronavirus umani o da vaccinazioni (antinfluenzale).</w:t>
      </w:r>
    </w:p>
    <w:p w:rsidR="00F81611" w:rsidRDefault="00F81611"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Una volta all’interno, anziché venire processato per essere presentato alle altre cellule del sistema immunitario, riesce a bloccare la risposta antivirale e a stimolare una forte risposta infiammatoria (tempesta di citochine) responsabile del danno multiorgano. </w:t>
      </w:r>
    </w:p>
    <w:p w:rsidR="004A7BA7" w:rsidRDefault="004A7BA7"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p>
    <w:p w:rsidR="00D05861" w:rsidRPr="00F81611" w:rsidRDefault="004A7BA7"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b/>
          <w:bCs/>
          <w:color w:val="000000" w:themeColor="text1"/>
          <w:sz w:val="20"/>
          <w:szCs w:val="20"/>
        </w:rPr>
      </w:pPr>
      <w:r w:rsidRPr="00F81611">
        <w:rPr>
          <w:rFonts w:asciiTheme="minorHAnsi" w:hAnsiTheme="minorHAnsi" w:cstheme="minorHAnsi"/>
          <w:b/>
          <w:bCs/>
          <w:color w:val="000000" w:themeColor="text1"/>
          <w:sz w:val="20"/>
          <w:szCs w:val="20"/>
        </w:rPr>
        <w:t>Dal punto di vista del meccanismo d’induzione del danno</w:t>
      </w:r>
      <w:r w:rsidR="00266DDF" w:rsidRPr="00F81611">
        <w:rPr>
          <w:rFonts w:asciiTheme="minorHAnsi" w:hAnsiTheme="minorHAnsi" w:cstheme="minorHAnsi"/>
          <w:b/>
          <w:bCs/>
          <w:color w:val="000000" w:themeColor="text1"/>
          <w:sz w:val="20"/>
          <w:szCs w:val="20"/>
        </w:rPr>
        <w:t>,</w:t>
      </w:r>
      <w:r w:rsidRPr="00F81611">
        <w:rPr>
          <w:rFonts w:asciiTheme="minorHAnsi" w:hAnsiTheme="minorHAnsi" w:cstheme="minorHAnsi"/>
          <w:b/>
          <w:bCs/>
          <w:color w:val="000000" w:themeColor="text1"/>
          <w:sz w:val="20"/>
          <w:szCs w:val="20"/>
        </w:rPr>
        <w:t xml:space="preserve"> le complicazioni gravi/fatali associate all’infezione da SARS-Cov-2 </w:t>
      </w:r>
      <w:r w:rsidR="00266DDF" w:rsidRPr="00F81611">
        <w:rPr>
          <w:rFonts w:asciiTheme="minorHAnsi" w:hAnsiTheme="minorHAnsi" w:cstheme="minorHAnsi"/>
          <w:b/>
          <w:bCs/>
          <w:color w:val="000000" w:themeColor="text1"/>
          <w:sz w:val="20"/>
          <w:szCs w:val="20"/>
        </w:rPr>
        <w:t>possono essere considerate</w:t>
      </w:r>
      <w:r w:rsidRPr="00F81611">
        <w:rPr>
          <w:rFonts w:asciiTheme="minorHAnsi" w:hAnsiTheme="minorHAnsi" w:cstheme="minorHAnsi"/>
          <w:b/>
          <w:bCs/>
          <w:color w:val="000000" w:themeColor="text1"/>
          <w:sz w:val="20"/>
          <w:szCs w:val="20"/>
        </w:rPr>
        <w:t xml:space="preserve"> una conseguenza dell’ADE. </w:t>
      </w:r>
    </w:p>
    <w:p w:rsidR="004A7BA7" w:rsidRDefault="004A7BA7"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p>
    <w:p w:rsidR="00266DDF" w:rsidRDefault="0075284D"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L’ADE spiega perché sono più a </w:t>
      </w:r>
      <w:r w:rsidR="00F81611">
        <w:rPr>
          <w:rFonts w:asciiTheme="minorHAnsi" w:hAnsiTheme="minorHAnsi" w:cstheme="minorHAnsi"/>
          <w:color w:val="000000" w:themeColor="text1"/>
          <w:sz w:val="20"/>
          <w:szCs w:val="20"/>
        </w:rPr>
        <w:t xml:space="preserve">maggior </w:t>
      </w:r>
      <w:r>
        <w:rPr>
          <w:rFonts w:asciiTheme="minorHAnsi" w:hAnsiTheme="minorHAnsi" w:cstheme="minorHAnsi"/>
          <w:color w:val="000000" w:themeColor="text1"/>
          <w:sz w:val="20"/>
          <w:szCs w:val="20"/>
        </w:rPr>
        <w:t xml:space="preserve">rischio gli anziani rispetto ai bambini e gli adulti sani, in quanto possiedono </w:t>
      </w:r>
      <w:r w:rsidR="00266DDF">
        <w:rPr>
          <w:rFonts w:asciiTheme="minorHAnsi" w:hAnsiTheme="minorHAnsi" w:cstheme="minorHAnsi"/>
          <w:color w:val="000000" w:themeColor="text1"/>
          <w:sz w:val="20"/>
          <w:szCs w:val="20"/>
        </w:rPr>
        <w:t xml:space="preserve">una quantità maggiore di </w:t>
      </w:r>
      <w:r>
        <w:rPr>
          <w:rFonts w:asciiTheme="minorHAnsi" w:hAnsiTheme="minorHAnsi" w:cstheme="minorHAnsi"/>
          <w:color w:val="000000" w:themeColor="text1"/>
          <w:sz w:val="20"/>
          <w:szCs w:val="20"/>
        </w:rPr>
        <w:t>anticorpi non neutralizzanti provenienti da infezioni da coronaviru</w:t>
      </w:r>
      <w:r w:rsidR="00266DDF">
        <w:rPr>
          <w:rFonts w:asciiTheme="minorHAnsi" w:hAnsiTheme="minorHAnsi" w:cstheme="minorHAnsi"/>
          <w:color w:val="000000" w:themeColor="text1"/>
          <w:sz w:val="20"/>
          <w:szCs w:val="20"/>
        </w:rPr>
        <w:t>s o da vaccinazioni</w:t>
      </w:r>
      <w:r w:rsidR="00F81611" w:rsidRPr="00F81611">
        <w:rPr>
          <w:rFonts w:asciiTheme="minorHAnsi" w:hAnsiTheme="minorHAnsi" w:cstheme="minorHAnsi"/>
          <w:color w:val="000000" w:themeColor="text1"/>
          <w:sz w:val="20"/>
          <w:szCs w:val="20"/>
        </w:rPr>
        <w:t xml:space="preserve"> </w:t>
      </w:r>
      <w:r w:rsidR="00F81611">
        <w:rPr>
          <w:rFonts w:asciiTheme="minorHAnsi" w:hAnsiTheme="minorHAnsi" w:cstheme="minorHAnsi"/>
          <w:color w:val="000000" w:themeColor="text1"/>
          <w:sz w:val="20"/>
          <w:szCs w:val="20"/>
        </w:rPr>
        <w:t>non recenti</w:t>
      </w:r>
      <w:r w:rsidR="00266DDF">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e presentano un sistema immunitario poco efficiente nel combattere le infezioni. </w:t>
      </w:r>
    </w:p>
    <w:p w:rsidR="00F81611" w:rsidRDefault="00F81611"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p>
    <w:p w:rsidR="0075284D" w:rsidRDefault="00266DDF"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Sono suscettibili al potenziamento della malattia anche le donne in gravidanza, e i neonati sotto l’anno di età, in caso di reinfezione.  </w:t>
      </w:r>
    </w:p>
    <w:p w:rsidR="00F81611" w:rsidRDefault="00F81611"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p>
    <w:p w:rsidR="00266DDF" w:rsidRDefault="00F81611"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Il</w:t>
      </w:r>
      <w:r w:rsidR="00266DDF">
        <w:rPr>
          <w:rFonts w:asciiTheme="minorHAnsi" w:hAnsiTheme="minorHAnsi" w:cstheme="minorHAnsi"/>
          <w:color w:val="000000" w:themeColor="text1"/>
          <w:sz w:val="20"/>
          <w:szCs w:val="20"/>
        </w:rPr>
        <w:t xml:space="preserve"> siero iperimmune e le IVIG sono efficaci nel trattamento dei malati </w:t>
      </w:r>
      <w:r>
        <w:rPr>
          <w:rFonts w:asciiTheme="minorHAnsi" w:hAnsiTheme="minorHAnsi" w:cstheme="minorHAnsi"/>
          <w:color w:val="000000" w:themeColor="text1"/>
          <w:sz w:val="20"/>
          <w:szCs w:val="20"/>
        </w:rPr>
        <w:t xml:space="preserve">COVId-19 perché gli anticorpi trasfusi sono in grado di bloccare l’ingresso degli immunocomplessi virali nelle cellule del sistema immunitario. </w:t>
      </w:r>
      <w:r w:rsidR="00266DDF">
        <w:rPr>
          <w:rFonts w:asciiTheme="minorHAnsi" w:hAnsiTheme="minorHAnsi" w:cstheme="minorHAnsi"/>
          <w:color w:val="000000" w:themeColor="text1"/>
          <w:sz w:val="20"/>
          <w:szCs w:val="20"/>
        </w:rPr>
        <w:t xml:space="preserve"> </w:t>
      </w:r>
    </w:p>
    <w:p w:rsidR="0075284D" w:rsidRDefault="0075284D"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p>
    <w:p w:rsidR="0075284D" w:rsidRDefault="0075284D"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L’ADE è un fattore di rischio importante per le vaccinazioni contro il COVID-19 e l’influenza,  a causa dell’elevata variabilità de</w:t>
      </w:r>
      <w:r w:rsidR="00266DDF">
        <w:rPr>
          <w:rFonts w:asciiTheme="minorHAnsi" w:hAnsiTheme="minorHAnsi" w:cstheme="minorHAnsi"/>
          <w:color w:val="000000" w:themeColor="text1"/>
          <w:sz w:val="20"/>
          <w:szCs w:val="20"/>
        </w:rPr>
        <w:t>i</w:t>
      </w:r>
      <w:r>
        <w:rPr>
          <w:rFonts w:asciiTheme="minorHAnsi" w:hAnsiTheme="minorHAnsi" w:cstheme="minorHAnsi"/>
          <w:color w:val="000000" w:themeColor="text1"/>
          <w:sz w:val="20"/>
          <w:szCs w:val="20"/>
        </w:rPr>
        <w:t xml:space="preserve"> virus che può predisporre </w:t>
      </w:r>
      <w:r w:rsidR="00266DDF">
        <w:rPr>
          <w:rFonts w:asciiTheme="minorHAnsi" w:hAnsiTheme="minorHAnsi" w:cstheme="minorHAnsi"/>
          <w:color w:val="000000" w:themeColor="text1"/>
          <w:sz w:val="20"/>
          <w:szCs w:val="20"/>
        </w:rPr>
        <w:t>al</w:t>
      </w:r>
      <w:r>
        <w:rPr>
          <w:rFonts w:asciiTheme="minorHAnsi" w:hAnsiTheme="minorHAnsi" w:cstheme="minorHAnsi"/>
          <w:color w:val="000000" w:themeColor="text1"/>
          <w:sz w:val="20"/>
          <w:szCs w:val="20"/>
        </w:rPr>
        <w:t>la produzione di anticorpi non neutralizzanti</w:t>
      </w:r>
      <w:r w:rsidR="00266DDF">
        <w:rPr>
          <w:rFonts w:asciiTheme="minorHAnsi" w:hAnsiTheme="minorHAnsi" w:cstheme="minorHAnsi"/>
          <w:color w:val="000000" w:themeColor="text1"/>
          <w:sz w:val="20"/>
          <w:szCs w:val="20"/>
        </w:rPr>
        <w:t>.</w:t>
      </w:r>
    </w:p>
    <w:p w:rsidR="0075284D" w:rsidRDefault="0075284D" w:rsidP="00872820">
      <w:pPr>
        <w:pStyle w:val="ListParagraph"/>
        <w:pBdr>
          <w:top w:val="single" w:sz="4" w:space="1" w:color="auto"/>
          <w:left w:val="single" w:sz="4" w:space="5" w:color="auto"/>
          <w:bottom w:val="single" w:sz="4" w:space="1" w:color="auto"/>
          <w:right w:val="single" w:sz="4" w:space="4" w:color="auto"/>
        </w:pBdr>
        <w:shd w:val="clear" w:color="auto" w:fill="FBF9E1"/>
        <w:ind w:left="567" w:right="418"/>
        <w:jc w:val="both"/>
        <w:rPr>
          <w:rFonts w:asciiTheme="minorHAnsi" w:hAnsiTheme="minorHAnsi" w:cstheme="minorHAnsi"/>
          <w:color w:val="000000" w:themeColor="text1"/>
          <w:sz w:val="20"/>
          <w:szCs w:val="20"/>
        </w:rPr>
      </w:pPr>
    </w:p>
    <w:p w:rsidR="00D05861" w:rsidRDefault="00D05861" w:rsidP="002B7F58">
      <w:pPr>
        <w:jc w:val="both"/>
        <w:rPr>
          <w:rFonts w:asciiTheme="minorHAnsi" w:hAnsiTheme="minorHAnsi" w:cstheme="minorHAnsi"/>
          <w:b/>
          <w:color w:val="1C1E21"/>
          <w:sz w:val="20"/>
          <w:szCs w:val="20"/>
        </w:rPr>
      </w:pPr>
    </w:p>
    <w:p w:rsidR="00D05861" w:rsidRDefault="00D05861" w:rsidP="002B7F58">
      <w:pPr>
        <w:jc w:val="both"/>
        <w:rPr>
          <w:rFonts w:asciiTheme="minorHAnsi" w:hAnsiTheme="minorHAnsi" w:cstheme="minorHAnsi"/>
          <w:b/>
          <w:color w:val="1C1E21"/>
          <w:sz w:val="20"/>
          <w:szCs w:val="20"/>
        </w:rPr>
      </w:pPr>
    </w:p>
    <w:p w:rsidR="008B42D4" w:rsidRDefault="008B42D4" w:rsidP="00E5713A">
      <w:pPr>
        <w:pStyle w:val="Heading2"/>
        <w:jc w:val="center"/>
        <w:rPr>
          <w:rFonts w:asciiTheme="minorHAnsi" w:hAnsiTheme="minorHAnsi" w:cstheme="minorHAnsi"/>
          <w:b/>
          <w:color w:val="000000" w:themeColor="text1"/>
          <w:sz w:val="24"/>
          <w:szCs w:val="24"/>
        </w:rPr>
      </w:pPr>
    </w:p>
    <w:p w:rsidR="00872820" w:rsidRDefault="00872820" w:rsidP="00872820"/>
    <w:p w:rsidR="00872820" w:rsidRDefault="00872820" w:rsidP="00872820"/>
    <w:p w:rsidR="00A677FE" w:rsidRDefault="00A677FE" w:rsidP="00872820"/>
    <w:p w:rsidR="00A677FE" w:rsidRDefault="00A677FE" w:rsidP="00872820"/>
    <w:p w:rsidR="00A677FE" w:rsidRDefault="00A677FE" w:rsidP="00872820"/>
    <w:p w:rsidR="00872820" w:rsidRDefault="00872820" w:rsidP="00872820"/>
    <w:p w:rsidR="00872820" w:rsidRDefault="00872820" w:rsidP="00872820"/>
    <w:p w:rsidR="00872820" w:rsidRDefault="00872820" w:rsidP="00872820"/>
    <w:p w:rsidR="00872820" w:rsidRDefault="00872820" w:rsidP="00872820"/>
    <w:p w:rsidR="00872820" w:rsidRDefault="00872820" w:rsidP="00872820"/>
    <w:p w:rsidR="00E5713A" w:rsidRPr="008E1123" w:rsidRDefault="008E1123" w:rsidP="00E5713A">
      <w:pPr>
        <w:pStyle w:val="Heading2"/>
        <w:jc w:val="center"/>
        <w:rPr>
          <w:rFonts w:asciiTheme="minorHAnsi" w:hAnsiTheme="minorHAnsi" w:cstheme="minorHAnsi"/>
          <w:b/>
          <w:color w:val="000000" w:themeColor="text1"/>
          <w:sz w:val="24"/>
          <w:szCs w:val="24"/>
        </w:rPr>
      </w:pPr>
      <w:bookmarkStart w:id="63" w:name="_Toc43342395"/>
      <w:r w:rsidRPr="008E1123">
        <w:rPr>
          <w:rFonts w:asciiTheme="minorHAnsi" w:hAnsiTheme="minorHAnsi" w:cstheme="minorHAnsi"/>
          <w:b/>
          <w:color w:val="000000" w:themeColor="text1"/>
          <w:sz w:val="24"/>
          <w:szCs w:val="24"/>
        </w:rPr>
        <w:lastRenderedPageBreak/>
        <w:t>FATTORI INDIVIDUALI</w:t>
      </w:r>
      <w:bookmarkEnd w:id="63"/>
    </w:p>
    <w:p w:rsidR="00E5713A" w:rsidRPr="00B80B1B" w:rsidRDefault="00E5713A" w:rsidP="00E5713A">
      <w:pPr>
        <w:rPr>
          <w:rFonts w:asciiTheme="minorHAnsi" w:hAnsiTheme="minorHAnsi"/>
          <w:sz w:val="22"/>
          <w:szCs w:val="22"/>
        </w:rPr>
      </w:pPr>
    </w:p>
    <w:p w:rsidR="00A86DCF" w:rsidRDefault="00E5713A" w:rsidP="00E5713A">
      <w:pPr>
        <w:jc w:val="both"/>
        <w:rPr>
          <w:rFonts w:asciiTheme="minorHAnsi" w:hAnsiTheme="minorHAnsi" w:cstheme="minorHAnsi"/>
          <w:color w:val="1C1E21"/>
          <w:sz w:val="20"/>
          <w:szCs w:val="20"/>
        </w:rPr>
      </w:pPr>
      <w:r w:rsidRPr="00A86DCF">
        <w:rPr>
          <w:rFonts w:asciiTheme="minorHAnsi" w:hAnsiTheme="minorHAnsi" w:cstheme="minorHAnsi"/>
          <w:color w:val="1C1E21"/>
          <w:sz w:val="20"/>
          <w:szCs w:val="20"/>
        </w:rPr>
        <w:t xml:space="preserve">Uno dei fattori associati all’esito negativo del COVID-19 è l’età avanzata; infatti, i bambini </w:t>
      </w:r>
      <w:r w:rsidR="00795633" w:rsidRPr="00A86DCF">
        <w:rPr>
          <w:rFonts w:asciiTheme="minorHAnsi" w:hAnsiTheme="minorHAnsi" w:cstheme="minorHAnsi"/>
          <w:color w:val="1C1E21"/>
          <w:sz w:val="20"/>
          <w:szCs w:val="20"/>
        </w:rPr>
        <w:t>che contraggono</w:t>
      </w:r>
      <w:r w:rsidRPr="00A86DCF">
        <w:rPr>
          <w:rFonts w:asciiTheme="minorHAnsi" w:hAnsiTheme="minorHAnsi" w:cstheme="minorHAnsi"/>
          <w:color w:val="1C1E21"/>
          <w:sz w:val="20"/>
          <w:szCs w:val="20"/>
        </w:rPr>
        <w:t xml:space="preserve"> l’infezione da SARS-CoV2 di solito non sviluppano sintomi o complicanze gravi. </w:t>
      </w:r>
    </w:p>
    <w:p w:rsidR="00A86DCF" w:rsidRDefault="00E5713A" w:rsidP="00E5713A">
      <w:pPr>
        <w:jc w:val="both"/>
        <w:rPr>
          <w:rFonts w:asciiTheme="minorHAnsi" w:hAnsiTheme="minorHAnsi" w:cstheme="minorHAnsi"/>
          <w:color w:val="1C1E21"/>
          <w:sz w:val="20"/>
          <w:szCs w:val="20"/>
        </w:rPr>
      </w:pPr>
      <w:r w:rsidRPr="00A86DCF">
        <w:rPr>
          <w:rFonts w:asciiTheme="minorHAnsi" w:hAnsiTheme="minorHAnsi" w:cstheme="minorHAnsi"/>
          <w:color w:val="1C1E21"/>
          <w:sz w:val="20"/>
          <w:szCs w:val="20"/>
        </w:rPr>
        <w:t xml:space="preserve">Ciò </w:t>
      </w:r>
      <w:r w:rsidR="00EF1785" w:rsidRPr="00A86DCF">
        <w:rPr>
          <w:rFonts w:asciiTheme="minorHAnsi" w:hAnsiTheme="minorHAnsi" w:cstheme="minorHAnsi"/>
          <w:color w:val="1C1E21"/>
          <w:sz w:val="20"/>
          <w:szCs w:val="20"/>
        </w:rPr>
        <w:t>in realtà non si spiega molto</w:t>
      </w:r>
      <w:r w:rsidRPr="00A86DCF">
        <w:rPr>
          <w:rFonts w:asciiTheme="minorHAnsi" w:hAnsiTheme="minorHAnsi" w:cstheme="minorHAnsi"/>
          <w:color w:val="1C1E21"/>
          <w:sz w:val="20"/>
          <w:szCs w:val="20"/>
        </w:rPr>
        <w:t xml:space="preserve"> p</w:t>
      </w:r>
      <w:r w:rsidR="00EF1785" w:rsidRPr="00A86DCF">
        <w:rPr>
          <w:rFonts w:asciiTheme="minorHAnsi" w:hAnsiTheme="minorHAnsi" w:cstheme="minorHAnsi"/>
          <w:color w:val="1C1E21"/>
          <w:sz w:val="20"/>
          <w:szCs w:val="20"/>
        </w:rPr>
        <w:t>er</w:t>
      </w:r>
      <w:r w:rsidRPr="00A86DCF">
        <w:rPr>
          <w:rFonts w:asciiTheme="minorHAnsi" w:hAnsiTheme="minorHAnsi" w:cstheme="minorHAnsi"/>
          <w:color w:val="1C1E21"/>
          <w:sz w:val="20"/>
          <w:szCs w:val="20"/>
        </w:rPr>
        <w:t xml:space="preserve">ché i bambini sono inclini a infezioni virali anche con manifestazioni gravi. </w:t>
      </w:r>
    </w:p>
    <w:p w:rsidR="008B42D4" w:rsidRPr="00A86DCF" w:rsidRDefault="008B42D4" w:rsidP="00E5713A">
      <w:pPr>
        <w:jc w:val="both"/>
        <w:rPr>
          <w:rFonts w:asciiTheme="minorHAnsi" w:hAnsiTheme="minorHAnsi" w:cstheme="minorHAnsi"/>
          <w:color w:val="1C1E21"/>
          <w:sz w:val="20"/>
          <w:szCs w:val="20"/>
        </w:rPr>
      </w:pPr>
    </w:p>
    <w:p w:rsidR="00E5713A" w:rsidRDefault="008B42D4" w:rsidP="00E5713A">
      <w:pPr>
        <w:jc w:val="both"/>
        <w:rPr>
          <w:rFonts w:asciiTheme="minorHAnsi" w:hAnsiTheme="minorHAnsi" w:cstheme="minorHAnsi"/>
          <w:color w:val="1C1E21"/>
          <w:sz w:val="20"/>
          <w:szCs w:val="20"/>
        </w:rPr>
      </w:pPr>
      <w:r>
        <w:rPr>
          <w:rFonts w:asciiTheme="minorHAnsi" w:hAnsiTheme="minorHAnsi" w:cstheme="minorHAnsi"/>
          <w:color w:val="1C1E21"/>
          <w:sz w:val="20"/>
          <w:szCs w:val="20"/>
        </w:rPr>
        <w:t>Come già visto,</w:t>
      </w:r>
      <w:r w:rsidR="00EF1785" w:rsidRPr="008B42D4">
        <w:rPr>
          <w:rFonts w:asciiTheme="minorHAnsi" w:hAnsiTheme="minorHAnsi" w:cstheme="minorHAnsi"/>
          <w:color w:val="1C1E21"/>
          <w:sz w:val="20"/>
          <w:szCs w:val="20"/>
        </w:rPr>
        <w:t xml:space="preserve"> o</w:t>
      </w:r>
      <w:r w:rsidR="00E5713A" w:rsidRPr="008B42D4">
        <w:rPr>
          <w:rFonts w:asciiTheme="minorHAnsi" w:hAnsiTheme="minorHAnsi" w:cstheme="minorHAnsi"/>
          <w:color w:val="1C1E21"/>
          <w:sz w:val="20"/>
          <w:szCs w:val="20"/>
        </w:rPr>
        <w:t xml:space="preserve">ltre il 75% dei bambini viene esposto ai coronavirus stagionali prima del 4° anno di età e dimostra sieroconversione. Tuttavia, i titoli degli anticorpi diminuiscono nel tempo, in maniera più evidente nei soggetti oltre i 60 anni di età </w:t>
      </w:r>
      <w:r w:rsidR="00E5713A" w:rsidRPr="008B42D4">
        <w:rPr>
          <w:rFonts w:asciiTheme="minorHAnsi" w:hAnsiTheme="minorHAnsi" w:cstheme="minorHAnsi"/>
          <w:color w:val="C00000"/>
          <w:sz w:val="20"/>
          <w:szCs w:val="20"/>
          <w:vertAlign w:val="superscript"/>
        </w:rPr>
        <w:t>[110]</w:t>
      </w:r>
      <w:r w:rsidR="00E5713A" w:rsidRPr="008B42D4">
        <w:rPr>
          <w:rFonts w:asciiTheme="minorHAnsi" w:hAnsiTheme="minorHAnsi" w:cstheme="minorHAnsi"/>
          <w:color w:val="1C1E21"/>
          <w:sz w:val="20"/>
          <w:szCs w:val="20"/>
        </w:rPr>
        <w:t xml:space="preserve">.* </w:t>
      </w:r>
      <w:r w:rsidR="00E5713A" w:rsidRPr="008B42D4">
        <w:rPr>
          <w:rStyle w:val="FootnoteReference"/>
          <w:rFonts w:asciiTheme="minorHAnsi" w:hAnsiTheme="minorHAnsi" w:cstheme="minorHAnsi"/>
          <w:color w:val="1C1E21"/>
          <w:sz w:val="20"/>
          <w:szCs w:val="20"/>
        </w:rPr>
        <w:footnoteReference w:id="113"/>
      </w:r>
    </w:p>
    <w:p w:rsidR="008B42D4" w:rsidRPr="008B42D4" w:rsidRDefault="008B42D4" w:rsidP="00E5713A">
      <w:pPr>
        <w:jc w:val="both"/>
        <w:rPr>
          <w:rFonts w:asciiTheme="minorHAnsi" w:hAnsiTheme="minorHAnsi" w:cstheme="minorHAnsi"/>
          <w:color w:val="1C1E21"/>
          <w:sz w:val="20"/>
          <w:szCs w:val="20"/>
        </w:rPr>
      </w:pPr>
    </w:p>
    <w:p w:rsidR="00E5713A" w:rsidRDefault="00E5713A" w:rsidP="00E5713A">
      <w:pPr>
        <w:jc w:val="both"/>
        <w:rPr>
          <w:rFonts w:asciiTheme="minorHAnsi" w:hAnsiTheme="minorHAnsi" w:cstheme="minorHAnsi"/>
          <w:color w:val="1C1E21"/>
          <w:sz w:val="20"/>
          <w:szCs w:val="20"/>
        </w:rPr>
      </w:pPr>
      <w:r w:rsidRPr="008B42D4">
        <w:rPr>
          <w:rFonts w:asciiTheme="minorHAnsi" w:hAnsiTheme="minorHAnsi" w:cstheme="minorHAnsi"/>
          <w:color w:val="1C1E21"/>
          <w:sz w:val="20"/>
          <w:szCs w:val="20"/>
        </w:rPr>
        <w:t xml:space="preserve">Ciò può rendere da un lato meno efficace la risposta immunitaria contro il SARS-CoV2 negli anziani, a causa di una </w:t>
      </w:r>
      <w:r w:rsidRPr="008B42D4">
        <w:rPr>
          <w:rFonts w:asciiTheme="minorHAnsi" w:hAnsiTheme="minorHAnsi" w:cstheme="minorHAnsi"/>
          <w:b/>
          <w:bCs/>
          <w:color w:val="1C1E21"/>
          <w:sz w:val="20"/>
          <w:szCs w:val="20"/>
        </w:rPr>
        <w:t>limitata reattività crociata tra gli anticorpi contro i coronavirus stagionali e gli anticorpi anti-SARS-Cov2</w:t>
      </w:r>
      <w:r w:rsidRPr="008B42D4">
        <w:rPr>
          <w:rFonts w:asciiTheme="minorHAnsi" w:hAnsiTheme="minorHAnsi" w:cstheme="minorHAnsi"/>
          <w:color w:val="1C1E21"/>
          <w:sz w:val="20"/>
          <w:szCs w:val="20"/>
        </w:rPr>
        <w:t xml:space="preserve">, e dall’altro può contribuire al </w:t>
      </w:r>
      <w:r w:rsidRPr="008B42D4">
        <w:rPr>
          <w:rFonts w:asciiTheme="minorHAnsi" w:hAnsiTheme="minorHAnsi" w:cstheme="minorHAnsi"/>
          <w:b/>
          <w:bCs/>
          <w:color w:val="1C1E21"/>
          <w:sz w:val="20"/>
          <w:szCs w:val="20"/>
        </w:rPr>
        <w:t>potenziamento dell'infiammazione e delle complicanze</w:t>
      </w:r>
      <w:r w:rsidRPr="008B42D4">
        <w:rPr>
          <w:rFonts w:asciiTheme="minorHAnsi" w:hAnsiTheme="minorHAnsi" w:cstheme="minorHAnsi"/>
          <w:color w:val="1C1E21"/>
          <w:sz w:val="20"/>
          <w:szCs w:val="20"/>
        </w:rPr>
        <w:t xml:space="preserve"> perchè, per effetto del richiamo immunologico, si ha l’aumento dei titoli anticorpali stagionali contro i coronavirus come rilevato nei sieri di pazienti convalescenti per la SARS </w:t>
      </w:r>
      <w:r w:rsidRPr="008B42D4">
        <w:rPr>
          <w:rFonts w:asciiTheme="minorHAnsi" w:hAnsiTheme="minorHAnsi" w:cstheme="minorHAnsi"/>
          <w:color w:val="C00000"/>
          <w:sz w:val="20"/>
          <w:szCs w:val="20"/>
          <w:vertAlign w:val="superscript"/>
        </w:rPr>
        <w:t>[111]</w:t>
      </w:r>
      <w:r w:rsidRPr="008B42D4">
        <w:rPr>
          <w:rFonts w:asciiTheme="minorHAnsi" w:hAnsiTheme="minorHAnsi" w:cstheme="minorHAnsi"/>
          <w:color w:val="C00000"/>
          <w:sz w:val="20"/>
          <w:szCs w:val="20"/>
        </w:rPr>
        <w:t xml:space="preserve"> </w:t>
      </w:r>
      <w:r w:rsidRPr="008B42D4">
        <w:rPr>
          <w:rFonts w:asciiTheme="minorHAnsi" w:hAnsiTheme="minorHAnsi" w:cstheme="minorHAnsi"/>
          <w:color w:val="1C1E21"/>
          <w:sz w:val="20"/>
          <w:szCs w:val="20"/>
        </w:rPr>
        <w:t xml:space="preserve">con potenziamento dell’immunopatologia. </w:t>
      </w:r>
    </w:p>
    <w:p w:rsidR="008B42D4" w:rsidRPr="008B42D4" w:rsidRDefault="008B42D4" w:rsidP="00E5713A">
      <w:pPr>
        <w:jc w:val="both"/>
        <w:rPr>
          <w:rFonts w:asciiTheme="minorHAnsi" w:hAnsiTheme="minorHAnsi" w:cstheme="minorHAnsi"/>
          <w:color w:val="1C1E21"/>
          <w:sz w:val="20"/>
          <w:szCs w:val="20"/>
        </w:rPr>
      </w:pPr>
    </w:p>
    <w:p w:rsidR="008B42D4" w:rsidRDefault="00E5713A" w:rsidP="00E5713A">
      <w:pPr>
        <w:jc w:val="both"/>
        <w:rPr>
          <w:rFonts w:asciiTheme="minorHAnsi" w:hAnsiTheme="minorHAnsi" w:cstheme="minorHAnsi"/>
          <w:color w:val="1C1E21"/>
          <w:sz w:val="20"/>
          <w:szCs w:val="20"/>
        </w:rPr>
      </w:pPr>
      <w:r w:rsidRPr="008B42D4">
        <w:rPr>
          <w:rFonts w:asciiTheme="minorHAnsi" w:hAnsiTheme="minorHAnsi" w:cstheme="minorHAnsi"/>
          <w:color w:val="1C1E21"/>
          <w:sz w:val="20"/>
          <w:szCs w:val="20"/>
        </w:rPr>
        <w:t xml:space="preserve">Come accennato in precedenza, i virioni legati agli anticorpi possono entrare nelle cellule sensibili, come i macrofagi, attraverso il legame al recettore Fcγ </w:t>
      </w:r>
      <w:r w:rsidR="00FC0838">
        <w:rPr>
          <w:rFonts w:asciiTheme="minorHAnsi" w:hAnsiTheme="minorHAnsi" w:cstheme="minorHAnsi"/>
          <w:color w:val="1C1E21"/>
          <w:sz w:val="20"/>
          <w:szCs w:val="20"/>
        </w:rPr>
        <w:t xml:space="preserve">nel </w:t>
      </w:r>
      <w:r w:rsidRPr="008B42D4">
        <w:rPr>
          <w:rFonts w:asciiTheme="minorHAnsi" w:hAnsiTheme="minorHAnsi" w:cstheme="minorHAnsi"/>
          <w:color w:val="1C1E21"/>
          <w:sz w:val="20"/>
          <w:szCs w:val="20"/>
        </w:rPr>
        <w:t xml:space="preserve">processo </w:t>
      </w:r>
      <w:r w:rsidR="00FC0838">
        <w:rPr>
          <w:rFonts w:asciiTheme="minorHAnsi" w:hAnsiTheme="minorHAnsi" w:cstheme="minorHAnsi"/>
          <w:color w:val="1C1E21"/>
          <w:sz w:val="20"/>
          <w:szCs w:val="20"/>
        </w:rPr>
        <w:t xml:space="preserve">noto come </w:t>
      </w:r>
      <w:r w:rsidRPr="008B42D4">
        <w:rPr>
          <w:rFonts w:asciiTheme="minorHAnsi" w:hAnsiTheme="minorHAnsi" w:cstheme="minorHAnsi"/>
          <w:color w:val="1C1E21"/>
          <w:sz w:val="20"/>
          <w:szCs w:val="20"/>
        </w:rPr>
        <w:t xml:space="preserve">potenziamento anticorpale (ADE) </w:t>
      </w:r>
      <w:r w:rsidRPr="008B42D4">
        <w:rPr>
          <w:rFonts w:asciiTheme="minorHAnsi" w:hAnsiTheme="minorHAnsi" w:cstheme="minorHAnsi"/>
          <w:color w:val="C00000"/>
          <w:sz w:val="20"/>
          <w:szCs w:val="20"/>
          <w:vertAlign w:val="superscript"/>
        </w:rPr>
        <w:t>[112]</w:t>
      </w:r>
      <w:r w:rsidRPr="008B42D4">
        <w:rPr>
          <w:rFonts w:asciiTheme="minorHAnsi" w:hAnsiTheme="minorHAnsi" w:cstheme="minorHAnsi"/>
          <w:color w:val="1C1E21"/>
          <w:sz w:val="20"/>
          <w:szCs w:val="20"/>
        </w:rPr>
        <w:t xml:space="preserve">. </w:t>
      </w:r>
    </w:p>
    <w:p w:rsidR="00E5713A" w:rsidRPr="008B42D4" w:rsidRDefault="00E5713A" w:rsidP="00E5713A">
      <w:pPr>
        <w:jc w:val="both"/>
        <w:rPr>
          <w:rFonts w:asciiTheme="minorHAnsi" w:hAnsiTheme="minorHAnsi" w:cstheme="minorHAnsi"/>
          <w:b/>
          <w:color w:val="1C1E21"/>
          <w:sz w:val="20"/>
          <w:szCs w:val="20"/>
        </w:rPr>
      </w:pPr>
      <w:r w:rsidRPr="008B42D4">
        <w:rPr>
          <w:rFonts w:asciiTheme="minorHAnsi" w:hAnsiTheme="minorHAnsi" w:cstheme="minorHAnsi"/>
          <w:color w:val="1C1E21"/>
          <w:sz w:val="20"/>
          <w:szCs w:val="20"/>
        </w:rPr>
        <w:t xml:space="preserve">In altre infezioni virali (ad es. Febbre dengue), l’ADE consente l'infezione delle cellule immunitarie e riduce le risposte antivirali dipendenti dall'IFN di tipo I promuovendo nel contempo l'espressione pro-infiammatoria di IL-6 e TNF-α </w:t>
      </w:r>
      <w:r w:rsidRPr="008B42D4">
        <w:rPr>
          <w:rFonts w:asciiTheme="minorHAnsi" w:hAnsiTheme="minorHAnsi" w:cstheme="minorHAnsi"/>
          <w:color w:val="C00000"/>
          <w:sz w:val="20"/>
          <w:szCs w:val="20"/>
          <w:vertAlign w:val="superscript"/>
        </w:rPr>
        <w:t>[113,114]</w:t>
      </w:r>
      <w:r w:rsidRPr="008B42D4">
        <w:rPr>
          <w:rFonts w:asciiTheme="minorHAnsi" w:hAnsiTheme="minorHAnsi" w:cstheme="minorHAnsi"/>
          <w:color w:val="1C1E21"/>
          <w:sz w:val="20"/>
          <w:szCs w:val="20"/>
        </w:rPr>
        <w:t xml:space="preserve">. Inoltre, la produzione massiccia di anticorpi di richiamo in soggetti con anamnesi di esposizione a coronavirus stagionali ma con titoli in declino, come gli anziani, può provocare una </w:t>
      </w:r>
      <w:r w:rsidRPr="008B42D4">
        <w:rPr>
          <w:rFonts w:asciiTheme="minorHAnsi" w:hAnsiTheme="minorHAnsi" w:cstheme="minorHAnsi"/>
          <w:b/>
          <w:bCs/>
          <w:color w:val="1C1E21"/>
          <w:sz w:val="20"/>
          <w:szCs w:val="20"/>
        </w:rPr>
        <w:t>deposizione del complesso immunitario nei tessuti</w:t>
      </w:r>
      <w:r w:rsidRPr="008B42D4">
        <w:rPr>
          <w:rFonts w:asciiTheme="minorHAnsi" w:hAnsiTheme="minorHAnsi" w:cstheme="minorHAnsi"/>
          <w:color w:val="1C1E21"/>
          <w:sz w:val="20"/>
          <w:szCs w:val="20"/>
        </w:rPr>
        <w:t xml:space="preserve"> e promuovere l’infiammazione e il danno, inclusa la vasculite d</w:t>
      </w:r>
      <w:r w:rsidR="00FC0838">
        <w:rPr>
          <w:rFonts w:asciiTheme="minorHAnsi" w:hAnsiTheme="minorHAnsi" w:cstheme="minorHAnsi"/>
          <w:color w:val="1C1E21"/>
          <w:sz w:val="20"/>
          <w:szCs w:val="20"/>
        </w:rPr>
        <w:t>a</w:t>
      </w:r>
      <w:r w:rsidRPr="008B42D4">
        <w:rPr>
          <w:rFonts w:asciiTheme="minorHAnsi" w:hAnsiTheme="minorHAnsi" w:cstheme="minorHAnsi"/>
          <w:color w:val="1C1E21"/>
          <w:sz w:val="20"/>
          <w:szCs w:val="20"/>
        </w:rPr>
        <w:t xml:space="preserve"> complesso immunitario </w:t>
      </w:r>
      <w:r w:rsidRPr="008B42D4">
        <w:rPr>
          <w:rFonts w:asciiTheme="minorHAnsi" w:hAnsiTheme="minorHAnsi" w:cstheme="minorHAnsi"/>
          <w:color w:val="C00000"/>
          <w:sz w:val="20"/>
          <w:szCs w:val="20"/>
          <w:vertAlign w:val="superscript"/>
        </w:rPr>
        <w:t>[110]</w:t>
      </w:r>
      <w:r w:rsidRPr="008B42D4">
        <w:rPr>
          <w:rFonts w:asciiTheme="minorHAnsi" w:hAnsiTheme="minorHAnsi" w:cstheme="minorHAnsi"/>
          <w:color w:val="1C1E21"/>
          <w:sz w:val="20"/>
          <w:szCs w:val="20"/>
        </w:rPr>
        <w:t>.</w:t>
      </w:r>
      <w:r w:rsidRPr="008B42D4">
        <w:rPr>
          <w:rStyle w:val="FootnoteReference"/>
          <w:rFonts w:asciiTheme="minorHAnsi" w:hAnsiTheme="minorHAnsi" w:cstheme="minorHAnsi"/>
          <w:color w:val="1C1E21"/>
          <w:sz w:val="20"/>
          <w:szCs w:val="20"/>
        </w:rPr>
        <w:footnoteReference w:id="114"/>
      </w:r>
    </w:p>
    <w:p w:rsidR="00E5713A" w:rsidRPr="008B42D4" w:rsidRDefault="00E5713A" w:rsidP="00E5713A">
      <w:pPr>
        <w:jc w:val="both"/>
        <w:rPr>
          <w:rFonts w:asciiTheme="minorHAnsi" w:hAnsiTheme="minorHAnsi" w:cstheme="minorHAnsi"/>
          <w:color w:val="1C1E21"/>
          <w:sz w:val="20"/>
          <w:szCs w:val="20"/>
        </w:rPr>
      </w:pPr>
    </w:p>
    <w:p w:rsidR="008B42D4" w:rsidRDefault="00E5713A" w:rsidP="00E5713A">
      <w:pPr>
        <w:jc w:val="both"/>
        <w:rPr>
          <w:rFonts w:asciiTheme="minorHAnsi" w:hAnsiTheme="minorHAnsi" w:cstheme="minorHAnsi"/>
          <w:color w:val="1C1E21"/>
          <w:sz w:val="20"/>
          <w:szCs w:val="20"/>
        </w:rPr>
      </w:pPr>
      <w:r w:rsidRPr="008B42D4">
        <w:rPr>
          <w:rFonts w:asciiTheme="minorHAnsi" w:hAnsiTheme="minorHAnsi" w:cstheme="minorHAnsi"/>
          <w:color w:val="1C1E21"/>
          <w:sz w:val="20"/>
          <w:szCs w:val="20"/>
        </w:rPr>
        <w:t xml:space="preserve">Come </w:t>
      </w:r>
      <w:r w:rsidR="00EF1785" w:rsidRPr="008B42D4">
        <w:rPr>
          <w:rFonts w:asciiTheme="minorHAnsi" w:hAnsiTheme="minorHAnsi" w:cstheme="minorHAnsi"/>
          <w:color w:val="1C1E21"/>
          <w:sz w:val="20"/>
          <w:szCs w:val="20"/>
        </w:rPr>
        <w:t>già visto</w:t>
      </w:r>
      <w:r w:rsidRPr="008B42D4">
        <w:rPr>
          <w:rFonts w:asciiTheme="minorHAnsi" w:hAnsiTheme="minorHAnsi" w:cstheme="minorHAnsi"/>
          <w:color w:val="1C1E21"/>
          <w:sz w:val="20"/>
          <w:szCs w:val="20"/>
        </w:rPr>
        <w:t xml:space="preserve">, ACE2 agisce come recettore cellulare transmembrana per SARS-CoV2 permettendo l'infezione cellulare </w:t>
      </w:r>
      <w:r w:rsidRPr="008B42D4">
        <w:rPr>
          <w:rFonts w:asciiTheme="minorHAnsi" w:hAnsiTheme="minorHAnsi" w:cstheme="minorHAnsi"/>
          <w:color w:val="C00000"/>
          <w:sz w:val="20"/>
          <w:szCs w:val="20"/>
          <w:vertAlign w:val="superscript"/>
        </w:rPr>
        <w:t>[117]</w:t>
      </w:r>
      <w:r w:rsidRPr="008B42D4">
        <w:rPr>
          <w:rFonts w:asciiTheme="minorHAnsi" w:hAnsiTheme="minorHAnsi" w:cstheme="minorHAnsi"/>
          <w:color w:val="1C1E21"/>
          <w:sz w:val="20"/>
          <w:szCs w:val="20"/>
        </w:rPr>
        <w:t xml:space="preserve">. </w:t>
      </w:r>
    </w:p>
    <w:p w:rsidR="008B42D4" w:rsidRDefault="00EF1785" w:rsidP="00E5713A">
      <w:pPr>
        <w:jc w:val="both"/>
        <w:rPr>
          <w:rFonts w:asciiTheme="minorHAnsi" w:hAnsiTheme="minorHAnsi" w:cstheme="minorHAnsi"/>
          <w:color w:val="1C1E21"/>
          <w:sz w:val="20"/>
          <w:szCs w:val="20"/>
        </w:rPr>
      </w:pPr>
      <w:r w:rsidRPr="008B42D4">
        <w:rPr>
          <w:rFonts w:asciiTheme="minorHAnsi" w:hAnsiTheme="minorHAnsi" w:cstheme="minorHAnsi"/>
          <w:color w:val="1C1E21"/>
          <w:sz w:val="20"/>
          <w:szCs w:val="20"/>
        </w:rPr>
        <w:t>La variabilità dell’espressione</w:t>
      </w:r>
      <w:r w:rsidR="00E5713A" w:rsidRPr="008B42D4">
        <w:rPr>
          <w:rFonts w:asciiTheme="minorHAnsi" w:hAnsiTheme="minorHAnsi" w:cstheme="minorHAnsi"/>
          <w:color w:val="1C1E21"/>
          <w:sz w:val="20"/>
          <w:szCs w:val="20"/>
        </w:rPr>
        <w:t xml:space="preserve"> di ACE2 influenza la suscettibilità alla malattia tra i tessuti (ad esempio epitelio respiratorio vs cellule immunitarie), ma potenzialmente anche tra individui (uomini vs donne, bambini vs adulti) determinando in tal modo la </w:t>
      </w:r>
      <w:r w:rsidRPr="008B42D4">
        <w:rPr>
          <w:rFonts w:asciiTheme="minorHAnsi" w:hAnsiTheme="minorHAnsi" w:cstheme="minorHAnsi"/>
          <w:color w:val="1C1E21"/>
          <w:sz w:val="20"/>
          <w:szCs w:val="20"/>
        </w:rPr>
        <w:t xml:space="preserve">diversità nella </w:t>
      </w:r>
      <w:r w:rsidR="00E5713A" w:rsidRPr="008B42D4">
        <w:rPr>
          <w:rFonts w:asciiTheme="minorHAnsi" w:hAnsiTheme="minorHAnsi" w:cstheme="minorHAnsi"/>
          <w:color w:val="1C1E21"/>
          <w:sz w:val="20"/>
          <w:szCs w:val="20"/>
        </w:rPr>
        <w:t xml:space="preserve">progressione e </w:t>
      </w:r>
      <w:r w:rsidRPr="008B42D4">
        <w:rPr>
          <w:rFonts w:asciiTheme="minorHAnsi" w:hAnsiTheme="minorHAnsi" w:cstheme="minorHAnsi"/>
          <w:color w:val="1C1E21"/>
          <w:sz w:val="20"/>
          <w:szCs w:val="20"/>
        </w:rPr>
        <w:t>ne</w:t>
      </w:r>
      <w:r w:rsidR="00E5713A" w:rsidRPr="008B42D4">
        <w:rPr>
          <w:rFonts w:asciiTheme="minorHAnsi" w:hAnsiTheme="minorHAnsi" w:cstheme="minorHAnsi"/>
          <w:color w:val="1C1E21"/>
          <w:sz w:val="20"/>
          <w:szCs w:val="20"/>
        </w:rPr>
        <w:t xml:space="preserve">gli esiti della malattia. </w:t>
      </w:r>
    </w:p>
    <w:p w:rsidR="00FC0838" w:rsidRDefault="00FC0838" w:rsidP="00E5713A">
      <w:pPr>
        <w:jc w:val="both"/>
        <w:rPr>
          <w:rFonts w:asciiTheme="minorHAnsi" w:hAnsiTheme="minorHAnsi" w:cstheme="minorHAnsi"/>
          <w:color w:val="1C1E21"/>
          <w:sz w:val="20"/>
          <w:szCs w:val="20"/>
        </w:rPr>
      </w:pPr>
    </w:p>
    <w:p w:rsidR="008B42D4" w:rsidRDefault="008B42D4" w:rsidP="00E5713A">
      <w:pPr>
        <w:jc w:val="both"/>
        <w:rPr>
          <w:rFonts w:asciiTheme="minorHAnsi" w:hAnsiTheme="minorHAnsi" w:cstheme="minorHAnsi"/>
          <w:color w:val="1C1E21"/>
          <w:sz w:val="20"/>
          <w:szCs w:val="20"/>
        </w:rPr>
      </w:pPr>
    </w:p>
    <w:p w:rsidR="00E21CB2" w:rsidRDefault="00E21CB2" w:rsidP="00FC083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rPr>
          <w:rFonts w:asciiTheme="minorHAnsi" w:hAnsiTheme="minorHAnsi" w:cstheme="minorHAnsi"/>
          <w:b/>
          <w:bCs/>
          <w:i/>
          <w:iCs/>
          <w:color w:val="1C1E21"/>
          <w:sz w:val="18"/>
          <w:szCs w:val="18"/>
        </w:rPr>
      </w:pPr>
    </w:p>
    <w:p w:rsidR="008B42D4" w:rsidRPr="006E0FF7" w:rsidRDefault="00E5713A" w:rsidP="00FC083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rPr>
          <w:rFonts w:asciiTheme="minorHAnsi" w:hAnsiTheme="minorHAnsi" w:cstheme="minorHAnsi"/>
          <w:i/>
          <w:iCs/>
          <w:color w:val="1C1E21"/>
          <w:sz w:val="20"/>
          <w:szCs w:val="20"/>
        </w:rPr>
      </w:pPr>
      <w:r w:rsidRPr="006E0FF7">
        <w:rPr>
          <w:rFonts w:asciiTheme="minorHAnsi" w:hAnsiTheme="minorHAnsi" w:cstheme="minorHAnsi"/>
          <w:b/>
          <w:bCs/>
          <w:i/>
          <w:iCs/>
          <w:color w:val="1C1E21"/>
          <w:sz w:val="20"/>
          <w:szCs w:val="20"/>
        </w:rPr>
        <w:t>L'espressione di ACE2 è più alta nei bambini e nelle giovani donne, e la sua espressione diminuisce con l'età ed è più bassa negli individui con malattia cronica, tra cui diabete e ipertensione, ed inversamente correlata con il rischio di malattia grave e risultati sfavorevoli</w:t>
      </w:r>
      <w:r w:rsidRPr="006E0FF7">
        <w:rPr>
          <w:rFonts w:asciiTheme="minorHAnsi" w:hAnsiTheme="minorHAnsi" w:cstheme="minorHAnsi"/>
          <w:i/>
          <w:iCs/>
          <w:color w:val="1C1E21"/>
          <w:sz w:val="20"/>
          <w:szCs w:val="20"/>
        </w:rPr>
        <w:t xml:space="preserve"> </w:t>
      </w:r>
      <w:r w:rsidRPr="006E0FF7">
        <w:rPr>
          <w:rFonts w:asciiTheme="minorHAnsi" w:hAnsiTheme="minorHAnsi" w:cstheme="minorHAnsi"/>
          <w:i/>
          <w:iCs/>
          <w:color w:val="C00000"/>
          <w:sz w:val="20"/>
          <w:szCs w:val="20"/>
          <w:vertAlign w:val="superscript"/>
        </w:rPr>
        <w:t>[118 ]</w:t>
      </w:r>
      <w:r w:rsidRPr="006E0FF7">
        <w:rPr>
          <w:rFonts w:asciiTheme="minorHAnsi" w:hAnsiTheme="minorHAnsi" w:cstheme="minorHAnsi"/>
          <w:i/>
          <w:iCs/>
          <w:color w:val="1C1E21"/>
          <w:sz w:val="20"/>
          <w:szCs w:val="20"/>
        </w:rPr>
        <w:t xml:space="preserve">. </w:t>
      </w:r>
    </w:p>
    <w:p w:rsidR="008B42D4" w:rsidRPr="006E0FF7" w:rsidRDefault="008B42D4" w:rsidP="00FC083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rPr>
          <w:rFonts w:asciiTheme="minorHAnsi" w:hAnsiTheme="minorHAnsi" w:cstheme="minorHAnsi"/>
          <w:i/>
          <w:iCs/>
          <w:color w:val="1C1E21"/>
          <w:sz w:val="20"/>
          <w:szCs w:val="20"/>
        </w:rPr>
      </w:pPr>
    </w:p>
    <w:p w:rsidR="008B42D4" w:rsidRPr="006E0FF7" w:rsidRDefault="00E5713A" w:rsidP="00FC083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rPr>
          <w:rFonts w:asciiTheme="minorHAnsi" w:hAnsiTheme="minorHAnsi" w:cstheme="minorHAnsi"/>
          <w:i/>
          <w:iCs/>
          <w:color w:val="1C1E21"/>
          <w:sz w:val="20"/>
          <w:szCs w:val="20"/>
        </w:rPr>
      </w:pPr>
      <w:r w:rsidRPr="006E0FF7">
        <w:rPr>
          <w:rFonts w:asciiTheme="minorHAnsi" w:hAnsiTheme="minorHAnsi" w:cstheme="minorHAnsi"/>
          <w:i/>
          <w:iCs/>
          <w:color w:val="1C1E21"/>
          <w:sz w:val="20"/>
          <w:szCs w:val="20"/>
        </w:rPr>
        <w:t>Ciò avviene perché ACE2 facilita sì l'ingresso virale nelle cellule, ma svolge anche un ruolo nel controllo dell'infezione e dell'infiammazione in quanto catalizza l'elaborazione dell'angiotensina-2 in angiotensina-1-7</w:t>
      </w:r>
      <w:r w:rsidR="008B42D4" w:rsidRPr="006E0FF7">
        <w:rPr>
          <w:rFonts w:asciiTheme="minorHAnsi" w:hAnsiTheme="minorHAnsi" w:cstheme="minorHAnsi"/>
          <w:i/>
          <w:iCs/>
          <w:color w:val="1C1E21"/>
          <w:sz w:val="20"/>
          <w:szCs w:val="20"/>
        </w:rPr>
        <w:t xml:space="preserve">, </w:t>
      </w:r>
      <w:r w:rsidRPr="006E0FF7">
        <w:rPr>
          <w:rFonts w:asciiTheme="minorHAnsi" w:hAnsiTheme="minorHAnsi" w:cstheme="minorHAnsi"/>
          <w:i/>
          <w:iCs/>
          <w:color w:val="1C1E21"/>
          <w:sz w:val="20"/>
          <w:szCs w:val="20"/>
        </w:rPr>
        <w:t xml:space="preserve">che contribuisce a limitare l'infiammazione dei tessuti favorendo i meccanismi di riparazione. </w:t>
      </w:r>
    </w:p>
    <w:p w:rsidR="008B42D4" w:rsidRPr="006E0FF7" w:rsidRDefault="008B42D4" w:rsidP="00FC083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rPr>
          <w:rFonts w:asciiTheme="minorHAnsi" w:hAnsiTheme="minorHAnsi" w:cstheme="minorHAnsi"/>
          <w:i/>
          <w:iCs/>
          <w:color w:val="1C1E21"/>
          <w:sz w:val="20"/>
          <w:szCs w:val="20"/>
        </w:rPr>
      </w:pPr>
    </w:p>
    <w:p w:rsidR="00E5713A" w:rsidRPr="006E0FF7" w:rsidRDefault="008B42D4" w:rsidP="00FC083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rPr>
          <w:rFonts w:asciiTheme="minorHAnsi" w:hAnsiTheme="minorHAnsi" w:cstheme="minorHAnsi"/>
          <w:i/>
          <w:iCs/>
          <w:color w:val="1C1E21"/>
          <w:sz w:val="20"/>
          <w:szCs w:val="20"/>
        </w:rPr>
      </w:pPr>
      <w:r w:rsidRPr="006E0FF7">
        <w:rPr>
          <w:rFonts w:asciiTheme="minorHAnsi" w:hAnsiTheme="minorHAnsi" w:cstheme="minorHAnsi"/>
          <w:i/>
          <w:iCs/>
          <w:color w:val="1C1E21"/>
          <w:sz w:val="20"/>
          <w:szCs w:val="20"/>
        </w:rPr>
        <w:t>C</w:t>
      </w:r>
      <w:r w:rsidR="00F0527D" w:rsidRPr="006E0FF7">
        <w:rPr>
          <w:rFonts w:asciiTheme="minorHAnsi" w:hAnsiTheme="minorHAnsi" w:cstheme="minorHAnsi"/>
          <w:i/>
          <w:iCs/>
          <w:color w:val="1C1E21"/>
          <w:sz w:val="20"/>
          <w:szCs w:val="20"/>
        </w:rPr>
        <w:t>on questa ipotesi si p</w:t>
      </w:r>
      <w:r w:rsidR="00D52305" w:rsidRPr="006E0FF7">
        <w:rPr>
          <w:rFonts w:asciiTheme="minorHAnsi" w:hAnsiTheme="minorHAnsi" w:cstheme="minorHAnsi"/>
          <w:i/>
          <w:iCs/>
          <w:color w:val="1C1E21"/>
          <w:sz w:val="20"/>
          <w:szCs w:val="20"/>
        </w:rPr>
        <w:t>otrebbe</w:t>
      </w:r>
      <w:r w:rsidR="00F0527D" w:rsidRPr="006E0FF7">
        <w:rPr>
          <w:rFonts w:asciiTheme="minorHAnsi" w:hAnsiTheme="minorHAnsi" w:cstheme="minorHAnsi"/>
          <w:i/>
          <w:iCs/>
          <w:color w:val="1C1E21"/>
          <w:sz w:val="20"/>
          <w:szCs w:val="20"/>
        </w:rPr>
        <w:t xml:space="preserve"> spiegare perché </w:t>
      </w:r>
      <w:r w:rsidR="00E5713A" w:rsidRPr="006E0FF7">
        <w:rPr>
          <w:rFonts w:asciiTheme="minorHAnsi" w:hAnsiTheme="minorHAnsi" w:cstheme="minorHAnsi"/>
          <w:i/>
          <w:iCs/>
          <w:color w:val="1C1E21"/>
          <w:sz w:val="20"/>
          <w:szCs w:val="20"/>
        </w:rPr>
        <w:t xml:space="preserve">un aumento dell'espressione di ACE2 </w:t>
      </w:r>
      <w:r w:rsidR="00F0527D" w:rsidRPr="006E0FF7">
        <w:rPr>
          <w:rFonts w:asciiTheme="minorHAnsi" w:hAnsiTheme="minorHAnsi" w:cstheme="minorHAnsi"/>
          <w:i/>
          <w:iCs/>
          <w:color w:val="1C1E21"/>
          <w:sz w:val="20"/>
          <w:szCs w:val="20"/>
        </w:rPr>
        <w:t>ne</w:t>
      </w:r>
      <w:r w:rsidR="00E5713A" w:rsidRPr="006E0FF7">
        <w:rPr>
          <w:rFonts w:asciiTheme="minorHAnsi" w:hAnsiTheme="minorHAnsi" w:cstheme="minorHAnsi"/>
          <w:i/>
          <w:iCs/>
          <w:color w:val="1C1E21"/>
          <w:sz w:val="20"/>
          <w:szCs w:val="20"/>
        </w:rPr>
        <w:t xml:space="preserve">i bambini e </w:t>
      </w:r>
      <w:r w:rsidR="00F0527D" w:rsidRPr="006E0FF7">
        <w:rPr>
          <w:rFonts w:asciiTheme="minorHAnsi" w:hAnsiTheme="minorHAnsi" w:cstheme="minorHAnsi"/>
          <w:i/>
          <w:iCs/>
          <w:color w:val="1C1E21"/>
          <w:sz w:val="20"/>
          <w:szCs w:val="20"/>
        </w:rPr>
        <w:t>ne</w:t>
      </w:r>
      <w:r w:rsidR="00E5713A" w:rsidRPr="006E0FF7">
        <w:rPr>
          <w:rFonts w:asciiTheme="minorHAnsi" w:hAnsiTheme="minorHAnsi" w:cstheme="minorHAnsi"/>
          <w:i/>
          <w:iCs/>
          <w:color w:val="1C1E21"/>
          <w:sz w:val="20"/>
          <w:szCs w:val="20"/>
        </w:rPr>
        <w:t xml:space="preserve">i giovani adulti, in particolare le giovani donne, </w:t>
      </w:r>
      <w:r w:rsidR="00D52305" w:rsidRPr="006E0FF7">
        <w:rPr>
          <w:rFonts w:asciiTheme="minorHAnsi" w:hAnsiTheme="minorHAnsi" w:cstheme="minorHAnsi"/>
          <w:i/>
          <w:iCs/>
          <w:color w:val="1C1E21"/>
          <w:sz w:val="20"/>
          <w:szCs w:val="20"/>
        </w:rPr>
        <w:t>li rende</w:t>
      </w:r>
      <w:r w:rsidR="00E5713A" w:rsidRPr="006E0FF7">
        <w:rPr>
          <w:rFonts w:asciiTheme="minorHAnsi" w:hAnsiTheme="minorHAnsi" w:cstheme="minorHAnsi"/>
          <w:i/>
          <w:iCs/>
          <w:color w:val="1C1E21"/>
          <w:sz w:val="20"/>
          <w:szCs w:val="20"/>
        </w:rPr>
        <w:t xml:space="preserve"> relativamente protetti dal COVID-19 e dalle complicanze associate.</w:t>
      </w:r>
      <w:r w:rsidR="00E5713A" w:rsidRPr="006E0FF7">
        <w:rPr>
          <w:rStyle w:val="FootnoteReference"/>
          <w:rFonts w:asciiTheme="minorHAnsi" w:hAnsiTheme="minorHAnsi" w:cstheme="minorHAnsi"/>
          <w:i/>
          <w:iCs/>
          <w:color w:val="1C1E21"/>
          <w:sz w:val="20"/>
          <w:szCs w:val="20"/>
        </w:rPr>
        <w:footnoteReference w:id="115"/>
      </w:r>
    </w:p>
    <w:p w:rsidR="00E21CB2" w:rsidRPr="00E21CB2" w:rsidRDefault="00E21CB2" w:rsidP="00FC083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rPr>
          <w:rFonts w:asciiTheme="minorHAnsi" w:hAnsiTheme="minorHAnsi" w:cstheme="minorHAnsi"/>
          <w:i/>
          <w:iCs/>
          <w:color w:val="1C1E21"/>
          <w:sz w:val="18"/>
          <w:szCs w:val="18"/>
        </w:rPr>
      </w:pPr>
    </w:p>
    <w:p w:rsidR="00E5713A" w:rsidRPr="008B42D4" w:rsidRDefault="00E5713A" w:rsidP="00E5713A">
      <w:pPr>
        <w:jc w:val="both"/>
        <w:rPr>
          <w:rFonts w:asciiTheme="minorHAnsi" w:hAnsiTheme="minorHAnsi" w:cstheme="minorHAnsi"/>
          <w:color w:val="1C1E21"/>
          <w:sz w:val="20"/>
          <w:szCs w:val="20"/>
        </w:rPr>
      </w:pPr>
    </w:p>
    <w:p w:rsidR="00E5713A" w:rsidRPr="00FC0838" w:rsidRDefault="00E5713A" w:rsidP="00E5713A">
      <w:pPr>
        <w:jc w:val="both"/>
        <w:rPr>
          <w:rFonts w:asciiTheme="minorHAnsi" w:hAnsiTheme="minorHAnsi" w:cstheme="minorHAnsi"/>
          <w:b/>
          <w:bCs/>
          <w:color w:val="1C1E21"/>
          <w:sz w:val="20"/>
          <w:szCs w:val="20"/>
        </w:rPr>
      </w:pPr>
      <w:r w:rsidRPr="008B42D4">
        <w:rPr>
          <w:rFonts w:asciiTheme="minorHAnsi" w:hAnsiTheme="minorHAnsi" w:cstheme="minorHAnsi"/>
          <w:color w:val="1C1E21"/>
          <w:sz w:val="20"/>
          <w:szCs w:val="20"/>
        </w:rPr>
        <w:t xml:space="preserve">Nel loro insieme, i nuovi coronavirus, come SARS-CoV2, </w:t>
      </w:r>
      <w:r w:rsidRPr="00FC0838">
        <w:rPr>
          <w:rFonts w:asciiTheme="minorHAnsi" w:hAnsiTheme="minorHAnsi" w:cstheme="minorHAnsi"/>
          <w:b/>
          <w:bCs/>
          <w:color w:val="1C1E21"/>
          <w:sz w:val="20"/>
          <w:szCs w:val="20"/>
        </w:rPr>
        <w:t xml:space="preserve">sono in grado di sopprimere le prime risposte del T1IFN, fattore che contribuisce alla replicazione incontrollata del virus con la conseguente risposta ritardata e aumentata delle citochine nelle fasi successive. </w:t>
      </w:r>
    </w:p>
    <w:p w:rsidR="008B42D4" w:rsidRPr="008B42D4" w:rsidRDefault="008B42D4" w:rsidP="00E5713A">
      <w:pPr>
        <w:jc w:val="both"/>
        <w:rPr>
          <w:rFonts w:asciiTheme="minorHAnsi" w:hAnsiTheme="minorHAnsi" w:cstheme="minorHAnsi"/>
          <w:color w:val="1C1E21"/>
          <w:sz w:val="20"/>
          <w:szCs w:val="20"/>
        </w:rPr>
      </w:pPr>
    </w:p>
    <w:p w:rsidR="008B42D4" w:rsidRDefault="00E5713A" w:rsidP="00E5713A">
      <w:pPr>
        <w:jc w:val="both"/>
        <w:rPr>
          <w:rFonts w:asciiTheme="minorHAnsi" w:hAnsiTheme="minorHAnsi" w:cstheme="minorHAnsi"/>
          <w:color w:val="1C1E21"/>
          <w:sz w:val="20"/>
          <w:szCs w:val="20"/>
        </w:rPr>
      </w:pPr>
      <w:r w:rsidRPr="008B42D4">
        <w:rPr>
          <w:rFonts w:asciiTheme="minorHAnsi" w:hAnsiTheme="minorHAnsi" w:cstheme="minorHAnsi"/>
          <w:color w:val="1C1E21"/>
          <w:sz w:val="20"/>
          <w:szCs w:val="20"/>
        </w:rPr>
        <w:t xml:space="preserve">Il controllo precoce e sufficiente della replicazione del virus e della clearance del patogeno può essere alterato in soggetti a rischio, come gli anziani, i pazienti con diabete o sindrome metabolica, ecc. </w:t>
      </w:r>
      <w:r w:rsidRPr="008B42D4">
        <w:rPr>
          <w:rFonts w:asciiTheme="minorHAnsi" w:hAnsiTheme="minorHAnsi" w:cstheme="minorHAnsi"/>
          <w:color w:val="C00000"/>
          <w:sz w:val="20"/>
          <w:szCs w:val="20"/>
          <w:vertAlign w:val="superscript"/>
        </w:rPr>
        <w:t>[74,75]</w:t>
      </w:r>
      <w:r w:rsidRPr="008B42D4">
        <w:rPr>
          <w:rFonts w:asciiTheme="minorHAnsi" w:hAnsiTheme="minorHAnsi" w:cstheme="minorHAnsi"/>
          <w:color w:val="1C1E21"/>
          <w:sz w:val="20"/>
          <w:szCs w:val="20"/>
        </w:rPr>
        <w:t xml:space="preserve">. </w:t>
      </w:r>
    </w:p>
    <w:p w:rsidR="008B42D4" w:rsidRDefault="008B42D4" w:rsidP="00E5713A">
      <w:pPr>
        <w:jc w:val="both"/>
        <w:rPr>
          <w:rFonts w:asciiTheme="minorHAnsi" w:hAnsiTheme="minorHAnsi" w:cstheme="minorHAnsi"/>
          <w:color w:val="1C1E21"/>
          <w:sz w:val="20"/>
          <w:szCs w:val="20"/>
        </w:rPr>
      </w:pPr>
    </w:p>
    <w:p w:rsidR="008B42D4" w:rsidRDefault="00E5713A" w:rsidP="00E5713A">
      <w:pPr>
        <w:jc w:val="both"/>
        <w:rPr>
          <w:rFonts w:asciiTheme="minorHAnsi" w:hAnsiTheme="minorHAnsi" w:cstheme="minorHAnsi"/>
          <w:color w:val="1C1E21"/>
          <w:sz w:val="20"/>
          <w:szCs w:val="20"/>
        </w:rPr>
      </w:pPr>
      <w:r w:rsidRPr="008B42D4">
        <w:rPr>
          <w:rFonts w:asciiTheme="minorHAnsi" w:hAnsiTheme="minorHAnsi" w:cstheme="minorHAnsi"/>
          <w:color w:val="1C1E21"/>
          <w:sz w:val="20"/>
          <w:szCs w:val="20"/>
        </w:rPr>
        <w:t xml:space="preserve">Bambini e giovani sani, d'altra parte, possono controllare efficacemente la carica virale nelle prime fasi dell'infezione (cioè attraverso la risposta innata) e sviluppare meno frequentemente malattie gravi e complicazioni potenzialmente letali. </w:t>
      </w:r>
    </w:p>
    <w:p w:rsidR="00E5713A" w:rsidRDefault="00E5713A" w:rsidP="00E5713A">
      <w:pPr>
        <w:jc w:val="both"/>
        <w:rPr>
          <w:rFonts w:asciiTheme="minorHAnsi" w:hAnsiTheme="minorHAnsi" w:cstheme="minorHAnsi"/>
          <w:color w:val="C00000"/>
          <w:sz w:val="20"/>
          <w:szCs w:val="20"/>
        </w:rPr>
      </w:pPr>
      <w:r w:rsidRPr="008B42D4">
        <w:rPr>
          <w:rFonts w:asciiTheme="minorHAnsi" w:hAnsiTheme="minorHAnsi" w:cstheme="minorHAnsi"/>
          <w:color w:val="1C1E21"/>
          <w:sz w:val="20"/>
          <w:szCs w:val="20"/>
        </w:rPr>
        <w:t>Tuttavia</w:t>
      </w:r>
      <w:r w:rsidRPr="00FC0838">
        <w:rPr>
          <w:rFonts w:asciiTheme="minorHAnsi" w:hAnsiTheme="minorHAnsi" w:cstheme="minorHAnsi"/>
          <w:b/>
          <w:bCs/>
          <w:color w:val="1C1E21"/>
          <w:sz w:val="20"/>
          <w:szCs w:val="20"/>
        </w:rPr>
        <w:t>, la produzione precoce di anticorpi (dovuta all’attivazione della risposta adattativa) può comportare l’infezione da parte del virus nelle cellule immunitarie e un aumento della replicazione virale</w:t>
      </w:r>
      <w:r w:rsidRPr="008B42D4">
        <w:rPr>
          <w:rFonts w:asciiTheme="minorHAnsi" w:hAnsiTheme="minorHAnsi" w:cstheme="minorHAnsi"/>
          <w:color w:val="1C1E21"/>
          <w:sz w:val="20"/>
          <w:szCs w:val="20"/>
        </w:rPr>
        <w:t xml:space="preserve">, con conseguente patologia mediata dal sistema immunitario nei giovani pazienti senza evidenti fattori di rischio </w:t>
      </w:r>
      <w:r w:rsidRPr="008B42D4">
        <w:rPr>
          <w:rFonts w:asciiTheme="minorHAnsi" w:hAnsiTheme="minorHAnsi" w:cstheme="minorHAnsi"/>
          <w:color w:val="C00000"/>
          <w:sz w:val="20"/>
          <w:szCs w:val="20"/>
          <w:vertAlign w:val="superscript"/>
        </w:rPr>
        <w:t>[100]</w:t>
      </w:r>
      <w:r w:rsidRPr="008B42D4">
        <w:rPr>
          <w:rFonts w:asciiTheme="minorHAnsi" w:hAnsiTheme="minorHAnsi" w:cstheme="minorHAnsi"/>
          <w:color w:val="000000" w:themeColor="text1"/>
          <w:sz w:val="20"/>
          <w:szCs w:val="20"/>
        </w:rPr>
        <w:t>.</w:t>
      </w:r>
      <w:r w:rsidR="008B42D4">
        <w:rPr>
          <w:rFonts w:asciiTheme="minorHAnsi" w:hAnsiTheme="minorHAnsi" w:cstheme="minorHAnsi"/>
          <w:color w:val="C00000"/>
          <w:sz w:val="20"/>
          <w:szCs w:val="20"/>
        </w:rPr>
        <w:t xml:space="preserve"> </w:t>
      </w:r>
      <w:r w:rsidRPr="008B42D4">
        <w:rPr>
          <w:rStyle w:val="FootnoteReference"/>
          <w:rFonts w:asciiTheme="minorHAnsi" w:hAnsiTheme="minorHAnsi" w:cstheme="minorHAnsi"/>
          <w:color w:val="C00000"/>
          <w:sz w:val="20"/>
          <w:szCs w:val="20"/>
        </w:rPr>
        <w:footnoteReference w:id="116"/>
      </w:r>
    </w:p>
    <w:p w:rsidR="008B42D4" w:rsidRPr="008B42D4" w:rsidRDefault="008B42D4" w:rsidP="00E5713A">
      <w:pPr>
        <w:jc w:val="both"/>
        <w:rPr>
          <w:rFonts w:asciiTheme="minorHAnsi" w:hAnsiTheme="minorHAnsi" w:cstheme="minorHAnsi"/>
          <w:color w:val="1C1E21"/>
          <w:sz w:val="20"/>
          <w:szCs w:val="20"/>
        </w:rPr>
      </w:pPr>
    </w:p>
    <w:p w:rsidR="00B80B1B" w:rsidRPr="008B42D4" w:rsidRDefault="00E5713A" w:rsidP="00E5713A">
      <w:pPr>
        <w:jc w:val="both"/>
        <w:rPr>
          <w:rFonts w:asciiTheme="minorHAnsi" w:hAnsiTheme="minorHAnsi" w:cstheme="minorHAnsi"/>
          <w:color w:val="1C1E21"/>
          <w:sz w:val="20"/>
          <w:szCs w:val="20"/>
        </w:rPr>
      </w:pPr>
      <w:r w:rsidRPr="008B42D4">
        <w:rPr>
          <w:rFonts w:asciiTheme="minorHAnsi" w:hAnsiTheme="minorHAnsi" w:cstheme="minorHAnsi"/>
          <w:color w:val="1C1E21"/>
          <w:sz w:val="20"/>
          <w:szCs w:val="20"/>
        </w:rPr>
        <w:t xml:space="preserve">Ne segue che l’equilibrio, le tempistiche e l’efficacia dell’attivazione della risposta innata e adattativa del sistema immunitario sono fondamentali per risolvere l’infezione virale senza complicazioni. </w:t>
      </w:r>
    </w:p>
    <w:p w:rsidR="00E5713A" w:rsidRPr="008B42D4" w:rsidRDefault="00E5713A" w:rsidP="00E5713A">
      <w:pPr>
        <w:jc w:val="both"/>
        <w:rPr>
          <w:rFonts w:asciiTheme="minorHAnsi" w:hAnsiTheme="minorHAnsi" w:cstheme="minorHAnsi"/>
          <w:b/>
          <w:color w:val="1C1E21"/>
          <w:sz w:val="20"/>
          <w:szCs w:val="20"/>
        </w:rPr>
      </w:pPr>
    </w:p>
    <w:p w:rsidR="00E5713A" w:rsidRDefault="00E5713A" w:rsidP="00FC0838">
      <w:pPr>
        <w:shd w:val="clear" w:color="auto" w:fill="FFFFFF"/>
        <w:jc w:val="center"/>
        <w:rPr>
          <w:rFonts w:asciiTheme="minorHAnsi" w:hAnsiTheme="minorHAnsi" w:cstheme="minorHAnsi"/>
        </w:rPr>
      </w:pPr>
      <w:r w:rsidRPr="00717D4D">
        <w:rPr>
          <w:rFonts w:asciiTheme="minorHAnsi" w:hAnsiTheme="minorHAnsi" w:cstheme="minorHAnsi"/>
        </w:rPr>
        <w:lastRenderedPageBreak/>
        <w:fldChar w:fldCharType="begin"/>
      </w:r>
      <w:r w:rsidRPr="00717D4D">
        <w:rPr>
          <w:rFonts w:asciiTheme="minorHAnsi" w:hAnsiTheme="minorHAnsi" w:cstheme="minorHAnsi"/>
        </w:rPr>
        <w:instrText xml:space="preserve"> INCLUDEPICTURE "https://www.ncbi.nlm.nih.gov/pmc/articles/PMC6003181/bin/40425_2018_343_Fig1_HTML.jpg" \* MERGEFORMATINET </w:instrText>
      </w:r>
      <w:r w:rsidRPr="00717D4D">
        <w:rPr>
          <w:rFonts w:asciiTheme="minorHAnsi" w:hAnsiTheme="minorHAnsi" w:cstheme="minorHAnsi"/>
        </w:rPr>
        <w:fldChar w:fldCharType="separate"/>
      </w:r>
      <w:r w:rsidRPr="00717D4D">
        <w:rPr>
          <w:rFonts w:asciiTheme="minorHAnsi" w:hAnsiTheme="minorHAnsi" w:cstheme="minorHAnsi"/>
          <w:noProof/>
        </w:rPr>
        <w:drawing>
          <wp:inline distT="0" distB="0" distL="0" distR="0" wp14:anchorId="5D221187" wp14:editId="7F075C54">
            <wp:extent cx="6041293" cy="6445216"/>
            <wp:effectExtent l="0" t="0" r="4445" b="0"/>
            <wp:docPr id="4" name="Immagine 4" descr="An external file that holds a picture, illustration, etc.&#10;Object name is 40425_2018_343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40425_2018_343_Fig1_HTML.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52602" cy="6777339"/>
                    </a:xfrm>
                    <a:prstGeom prst="rect">
                      <a:avLst/>
                    </a:prstGeom>
                    <a:noFill/>
                    <a:ln>
                      <a:noFill/>
                    </a:ln>
                  </pic:spPr>
                </pic:pic>
              </a:graphicData>
            </a:graphic>
          </wp:inline>
        </w:drawing>
      </w:r>
      <w:r w:rsidRPr="00717D4D">
        <w:rPr>
          <w:rFonts w:asciiTheme="minorHAnsi" w:hAnsiTheme="minorHAnsi" w:cstheme="minorHAnsi"/>
        </w:rPr>
        <w:fldChar w:fldCharType="end"/>
      </w:r>
    </w:p>
    <w:p w:rsidR="00FC0838" w:rsidRDefault="00FC0838" w:rsidP="00FC0838">
      <w:pPr>
        <w:shd w:val="clear" w:color="auto" w:fill="FFFFFF"/>
        <w:jc w:val="center"/>
        <w:rPr>
          <w:rFonts w:asciiTheme="minorHAnsi" w:hAnsiTheme="minorHAnsi" w:cstheme="minorHAnsi"/>
        </w:rPr>
      </w:pPr>
    </w:p>
    <w:p w:rsidR="00FC0838" w:rsidRPr="00FC0838" w:rsidRDefault="00FC0838" w:rsidP="00FC0838">
      <w:pPr>
        <w:shd w:val="clear" w:color="auto" w:fill="F2F2F2" w:themeFill="background1" w:themeFillShade="F2"/>
        <w:jc w:val="both"/>
        <w:rPr>
          <w:rFonts w:asciiTheme="minorHAnsi" w:hAnsiTheme="minorHAnsi" w:cstheme="minorHAnsi"/>
          <w:color w:val="000000" w:themeColor="text1"/>
          <w:sz w:val="18"/>
          <w:szCs w:val="18"/>
        </w:rPr>
      </w:pPr>
      <w:r w:rsidRPr="00FC0838">
        <w:rPr>
          <w:rFonts w:asciiTheme="minorHAnsi" w:hAnsiTheme="minorHAnsi" w:cstheme="minorHAnsi"/>
          <w:color w:val="000000" w:themeColor="text1"/>
          <w:sz w:val="18"/>
          <w:szCs w:val="18"/>
        </w:rPr>
        <w:t>Tratta da</w:t>
      </w:r>
      <w:r w:rsidRPr="00FC0838">
        <w:rPr>
          <w:color w:val="000000" w:themeColor="text1"/>
          <w:sz w:val="18"/>
          <w:szCs w:val="18"/>
        </w:rPr>
        <w:t xml:space="preserve"> </w:t>
      </w:r>
      <w:hyperlink r:id="rId124" w:history="1">
        <w:r w:rsidRPr="00FC0838">
          <w:rPr>
            <w:rStyle w:val="Hyperlink"/>
            <w:rFonts w:asciiTheme="minorHAnsi" w:eastAsiaTheme="majorEastAsia" w:hAnsiTheme="minorHAnsi" w:cstheme="minorHAnsi"/>
            <w:color w:val="000000" w:themeColor="text1"/>
            <w:sz w:val="18"/>
            <w:szCs w:val="18"/>
            <w:u w:val="none"/>
          </w:rPr>
          <w:t>https://www.ncbi.nlm.nih.gov/pmc/articles/PMC6003181/pdf/40425_2018_Article_343.pdf</w:t>
        </w:r>
      </w:hyperlink>
    </w:p>
    <w:p w:rsidR="00B648DA" w:rsidRPr="00FC0838" w:rsidRDefault="00B648DA" w:rsidP="00FC0838">
      <w:pPr>
        <w:shd w:val="clear" w:color="auto" w:fill="F2F2F2" w:themeFill="background1" w:themeFillShade="F2"/>
        <w:jc w:val="both"/>
        <w:rPr>
          <w:rFonts w:asciiTheme="minorHAnsi" w:hAnsiTheme="minorHAnsi" w:cstheme="minorHAnsi"/>
          <w:color w:val="1C1E21"/>
          <w:sz w:val="18"/>
          <w:szCs w:val="18"/>
        </w:rPr>
      </w:pPr>
      <w:r w:rsidRPr="00FC0838">
        <w:rPr>
          <w:rFonts w:asciiTheme="minorHAnsi" w:hAnsiTheme="minorHAnsi" w:cstheme="minorHAnsi"/>
          <w:b/>
          <w:sz w:val="18"/>
          <w:szCs w:val="18"/>
        </w:rPr>
        <w:t xml:space="preserve">Didascalia: Presentazione clinica di CRS </w:t>
      </w:r>
      <w:r w:rsidRPr="00FC0838">
        <w:rPr>
          <w:rFonts w:asciiTheme="minorHAnsi" w:hAnsiTheme="minorHAnsi" w:cstheme="minorHAnsi"/>
          <w:sz w:val="18"/>
          <w:szCs w:val="18"/>
        </w:rPr>
        <w:t xml:space="preserve">(Sindrome da rilascio di citochine). </w:t>
      </w:r>
    </w:p>
    <w:p w:rsidR="00B648DA" w:rsidRPr="00FC0838" w:rsidRDefault="00B648DA" w:rsidP="00FC0838">
      <w:pPr>
        <w:shd w:val="clear" w:color="auto" w:fill="F2F2F2" w:themeFill="background1" w:themeFillShade="F2"/>
        <w:jc w:val="both"/>
        <w:rPr>
          <w:rFonts w:asciiTheme="minorHAnsi" w:hAnsiTheme="minorHAnsi" w:cstheme="minorHAnsi"/>
          <w:sz w:val="18"/>
          <w:szCs w:val="18"/>
        </w:rPr>
      </w:pPr>
      <w:r w:rsidRPr="00FC0838">
        <w:rPr>
          <w:rFonts w:asciiTheme="minorHAnsi" w:hAnsiTheme="minorHAnsi" w:cstheme="minorHAnsi"/>
          <w:sz w:val="18"/>
          <w:szCs w:val="18"/>
        </w:rPr>
        <w:t xml:space="preserve">A partire da febbre e sintomi non specifici, la CRS potrebbe avere un impatto sulla maggior parte dei sistemi di organi. Casi lievi possono presentarsi come malattie simil-influenzali. Il grado da III a IV mostra segni di pericolo cardiovascolare, polmonare e renale. La neurotossicità può verificarsi contemporaneamente o con ritardo. Abbreviazioni: DIC: coagulazione intravascolare disseminata; INR: rapporto internazionale normalizzato; PTT: tempo parziale di tromboplastina </w:t>
      </w:r>
    </w:p>
    <w:p w:rsidR="00E5713A" w:rsidRDefault="00E5713A" w:rsidP="00E5713A">
      <w:pPr>
        <w:shd w:val="clear" w:color="auto" w:fill="FFFFFF"/>
        <w:jc w:val="both"/>
        <w:rPr>
          <w:rFonts w:asciiTheme="minorHAnsi" w:hAnsiTheme="minorHAnsi" w:cstheme="minorHAnsi"/>
          <w:color w:val="1C1E21"/>
        </w:rPr>
      </w:pPr>
    </w:p>
    <w:p w:rsidR="00FC0838" w:rsidRDefault="00FC0838" w:rsidP="00E5713A">
      <w:pPr>
        <w:shd w:val="clear" w:color="auto" w:fill="FFFFFF"/>
        <w:jc w:val="both"/>
        <w:rPr>
          <w:rFonts w:asciiTheme="minorHAnsi" w:hAnsiTheme="minorHAnsi" w:cstheme="minorHAnsi"/>
          <w:color w:val="1C1E21"/>
        </w:rPr>
      </w:pPr>
    </w:p>
    <w:p w:rsidR="00FC0838" w:rsidRDefault="00FC0838" w:rsidP="00E5713A">
      <w:pPr>
        <w:shd w:val="clear" w:color="auto" w:fill="FFFFFF"/>
        <w:jc w:val="both"/>
        <w:rPr>
          <w:rFonts w:asciiTheme="minorHAnsi" w:hAnsiTheme="minorHAnsi" w:cstheme="minorHAnsi"/>
          <w:color w:val="1C1E21"/>
        </w:rPr>
      </w:pPr>
    </w:p>
    <w:p w:rsidR="00FC0838" w:rsidRDefault="00FC0838" w:rsidP="00E5713A">
      <w:pPr>
        <w:shd w:val="clear" w:color="auto" w:fill="FFFFFF"/>
        <w:jc w:val="both"/>
        <w:rPr>
          <w:rFonts w:asciiTheme="minorHAnsi" w:hAnsiTheme="minorHAnsi" w:cstheme="minorHAnsi"/>
          <w:color w:val="1C1E21"/>
        </w:rPr>
      </w:pPr>
    </w:p>
    <w:p w:rsidR="00FC0838" w:rsidRDefault="00FC0838" w:rsidP="00E5713A">
      <w:pPr>
        <w:shd w:val="clear" w:color="auto" w:fill="FFFFFF"/>
        <w:jc w:val="both"/>
        <w:rPr>
          <w:rFonts w:asciiTheme="minorHAnsi" w:hAnsiTheme="minorHAnsi" w:cstheme="minorHAnsi"/>
          <w:color w:val="1C1E21"/>
        </w:rPr>
      </w:pPr>
    </w:p>
    <w:p w:rsidR="00FC0838" w:rsidRDefault="00FC0838" w:rsidP="00E5713A">
      <w:pPr>
        <w:shd w:val="clear" w:color="auto" w:fill="FFFFFF"/>
        <w:jc w:val="both"/>
        <w:rPr>
          <w:rFonts w:asciiTheme="minorHAnsi" w:hAnsiTheme="minorHAnsi" w:cstheme="minorHAnsi"/>
          <w:color w:val="1C1E21"/>
        </w:rPr>
      </w:pPr>
    </w:p>
    <w:p w:rsidR="00FC0838" w:rsidRDefault="00FC0838" w:rsidP="00E5713A">
      <w:pPr>
        <w:shd w:val="clear" w:color="auto" w:fill="FFFFFF"/>
        <w:jc w:val="both"/>
        <w:rPr>
          <w:rFonts w:asciiTheme="minorHAnsi" w:hAnsiTheme="minorHAnsi" w:cstheme="minorHAnsi"/>
          <w:color w:val="1C1E21"/>
        </w:rPr>
      </w:pPr>
    </w:p>
    <w:p w:rsidR="00FC0838" w:rsidRDefault="00FC0838" w:rsidP="00E5713A">
      <w:pPr>
        <w:shd w:val="clear" w:color="auto" w:fill="FFFFFF"/>
        <w:jc w:val="both"/>
        <w:rPr>
          <w:rFonts w:asciiTheme="minorHAnsi" w:hAnsiTheme="minorHAnsi" w:cstheme="minorHAnsi"/>
          <w:color w:val="1C1E21"/>
        </w:rPr>
      </w:pPr>
    </w:p>
    <w:p w:rsidR="00E5713A" w:rsidRDefault="00E5713A" w:rsidP="00FC0838">
      <w:pPr>
        <w:pStyle w:val="Heading3"/>
        <w:shd w:val="clear" w:color="auto" w:fill="E2EFD9" w:themeFill="accent6" w:themeFillTint="33"/>
        <w:spacing w:before="0" w:beforeAutospacing="0" w:after="0" w:afterAutospacing="0"/>
        <w:jc w:val="center"/>
        <w:rPr>
          <w:rFonts w:asciiTheme="minorHAnsi" w:hAnsiTheme="minorHAnsi" w:cstheme="minorHAnsi"/>
          <w:color w:val="C00000"/>
          <w:sz w:val="24"/>
          <w:szCs w:val="24"/>
        </w:rPr>
      </w:pPr>
      <w:bookmarkStart w:id="64" w:name="_Toc43342396"/>
      <w:r w:rsidRPr="001B3870">
        <w:rPr>
          <w:rFonts w:asciiTheme="minorHAnsi" w:hAnsiTheme="minorHAnsi" w:cstheme="minorHAnsi"/>
          <w:color w:val="C00000"/>
          <w:sz w:val="24"/>
          <w:szCs w:val="24"/>
        </w:rPr>
        <w:lastRenderedPageBreak/>
        <w:t>COVID-19 in età avanzata</w:t>
      </w:r>
      <w:bookmarkEnd w:id="64"/>
    </w:p>
    <w:p w:rsidR="00FC0838" w:rsidRPr="001B3870" w:rsidRDefault="00FC0838" w:rsidP="00FC0838">
      <w:pPr>
        <w:pStyle w:val="Heading3"/>
        <w:spacing w:before="0" w:beforeAutospacing="0" w:after="0" w:afterAutospacing="0"/>
        <w:jc w:val="center"/>
        <w:rPr>
          <w:rFonts w:asciiTheme="minorHAnsi" w:hAnsiTheme="minorHAnsi" w:cstheme="minorHAnsi"/>
          <w:color w:val="C00000"/>
          <w:sz w:val="24"/>
          <w:szCs w:val="24"/>
        </w:rPr>
      </w:pPr>
    </w:p>
    <w:p w:rsidR="00E5713A" w:rsidRDefault="00E5713A" w:rsidP="00E5713A">
      <w:pPr>
        <w:shd w:val="clear" w:color="auto" w:fill="FFFFFF"/>
        <w:jc w:val="both"/>
        <w:rPr>
          <w:rFonts w:asciiTheme="minorHAnsi" w:hAnsiTheme="minorHAnsi" w:cstheme="minorHAnsi"/>
          <w:color w:val="1C1E21"/>
          <w:sz w:val="20"/>
          <w:szCs w:val="20"/>
        </w:rPr>
      </w:pPr>
      <w:r w:rsidRPr="008B42D4">
        <w:rPr>
          <w:rFonts w:asciiTheme="minorHAnsi" w:hAnsiTheme="minorHAnsi" w:cstheme="minorHAnsi"/>
          <w:color w:val="1C1E21"/>
          <w:sz w:val="20"/>
          <w:szCs w:val="20"/>
        </w:rPr>
        <w:t>Da quanto discusso finora</w:t>
      </w:r>
      <w:r w:rsidR="008B42D4">
        <w:rPr>
          <w:rFonts w:asciiTheme="minorHAnsi" w:hAnsiTheme="minorHAnsi" w:cstheme="minorHAnsi"/>
          <w:color w:val="1C1E21"/>
          <w:sz w:val="20"/>
          <w:szCs w:val="20"/>
        </w:rPr>
        <w:t xml:space="preserve">, </w:t>
      </w:r>
      <w:r w:rsidRPr="008B42D4">
        <w:rPr>
          <w:rFonts w:asciiTheme="minorHAnsi" w:hAnsiTheme="minorHAnsi" w:cstheme="minorHAnsi"/>
          <w:color w:val="1C1E21"/>
          <w:sz w:val="20"/>
          <w:szCs w:val="20"/>
        </w:rPr>
        <w:t xml:space="preserve">la complicazione che insorge dopo circa una settimana dai primi sintomi non è causata direttamente dall’infezione virale ma dalla risposta immunitaria eccessiva, alla quale non segue un riparo efficace del danno, motivo per cui sono colpite con più gravità le persone con più patologie gravemente invalidanti e la fascia di età over 65. </w:t>
      </w:r>
      <w:r w:rsidRPr="008B42D4">
        <w:rPr>
          <w:rStyle w:val="FootnoteReference"/>
          <w:rFonts w:asciiTheme="minorHAnsi" w:hAnsiTheme="minorHAnsi" w:cstheme="minorHAnsi"/>
          <w:color w:val="1C1E21"/>
          <w:sz w:val="20"/>
          <w:szCs w:val="20"/>
        </w:rPr>
        <w:footnoteReference w:id="117"/>
      </w:r>
      <w:r w:rsidRPr="008B42D4">
        <w:rPr>
          <w:rFonts w:asciiTheme="minorHAnsi" w:hAnsiTheme="minorHAnsi" w:cstheme="minorHAnsi"/>
          <w:color w:val="1C1E21"/>
          <w:sz w:val="20"/>
          <w:szCs w:val="20"/>
        </w:rPr>
        <w:t xml:space="preserve"> </w:t>
      </w:r>
    </w:p>
    <w:p w:rsidR="00FC0838" w:rsidRPr="008B42D4" w:rsidRDefault="00FC0838" w:rsidP="00E5713A">
      <w:pPr>
        <w:shd w:val="clear" w:color="auto" w:fill="FFFFFF"/>
        <w:jc w:val="both"/>
        <w:rPr>
          <w:rFonts w:asciiTheme="minorHAnsi" w:hAnsiTheme="minorHAnsi" w:cstheme="minorHAnsi"/>
          <w:color w:val="1C1E21"/>
          <w:sz w:val="20"/>
          <w:szCs w:val="20"/>
        </w:rPr>
      </w:pPr>
    </w:p>
    <w:p w:rsidR="00FC0838" w:rsidRDefault="00E5713A" w:rsidP="00E5713A">
      <w:pPr>
        <w:jc w:val="both"/>
        <w:rPr>
          <w:rFonts w:asciiTheme="minorHAnsi" w:hAnsiTheme="minorHAnsi" w:cstheme="minorHAnsi"/>
          <w:sz w:val="20"/>
          <w:szCs w:val="20"/>
        </w:rPr>
      </w:pPr>
      <w:r w:rsidRPr="008B42D4">
        <w:rPr>
          <w:rFonts w:asciiTheme="minorHAnsi" w:hAnsiTheme="minorHAnsi" w:cstheme="minorHAnsi"/>
          <w:sz w:val="20"/>
          <w:szCs w:val="20"/>
        </w:rPr>
        <w:t xml:space="preserve">Dal contesto delle conoscenze di base sul COVID-19 e l'interazione del sistema immunitario dell’ospite, la possibile spiegazione del decorso delle infezioni da COVID-19 è la seguente: </w:t>
      </w:r>
    </w:p>
    <w:p w:rsidR="00FC0838" w:rsidRDefault="00FC0838" w:rsidP="00E5713A">
      <w:pPr>
        <w:jc w:val="both"/>
        <w:rPr>
          <w:rFonts w:asciiTheme="minorHAnsi" w:hAnsiTheme="minorHAnsi" w:cstheme="minorHAnsi"/>
          <w:sz w:val="20"/>
          <w:szCs w:val="20"/>
        </w:rPr>
      </w:pPr>
    </w:p>
    <w:p w:rsidR="00E5713A" w:rsidRPr="00FC0838" w:rsidRDefault="00E5713A" w:rsidP="00FC0838">
      <w:pPr>
        <w:shd w:val="clear" w:color="auto" w:fill="FBF9E1"/>
        <w:ind w:left="851" w:right="701"/>
        <w:jc w:val="both"/>
        <w:rPr>
          <w:rFonts w:asciiTheme="minorHAnsi" w:hAnsiTheme="minorHAnsi" w:cstheme="minorHAnsi"/>
          <w:i/>
          <w:iCs/>
          <w:sz w:val="20"/>
          <w:szCs w:val="20"/>
        </w:rPr>
      </w:pPr>
      <w:r w:rsidRPr="00FC0838">
        <w:rPr>
          <w:rFonts w:asciiTheme="minorHAnsi" w:hAnsiTheme="minorHAnsi" w:cstheme="minorHAnsi"/>
          <w:i/>
          <w:iCs/>
          <w:sz w:val="20"/>
          <w:szCs w:val="20"/>
        </w:rPr>
        <w:t xml:space="preserve">gli adulti sani, a differenza degli individui anziani e indeboliti, hanno un’immunità innata intatta insieme ad un’immunità cellulo-mediata e umorale competente; il risultato netto è che il loro sistema immunitario può limitare l'infezione dalla progressione e portare al recupero entro 2-3 settimane dall'inizio dei sintomi. </w:t>
      </w:r>
    </w:p>
    <w:p w:rsidR="00FC0838" w:rsidRPr="008B42D4" w:rsidRDefault="00FC0838" w:rsidP="00FC0838">
      <w:pPr>
        <w:ind w:left="851" w:right="701"/>
        <w:jc w:val="both"/>
        <w:rPr>
          <w:rFonts w:asciiTheme="minorHAnsi" w:hAnsiTheme="minorHAnsi" w:cstheme="minorHAnsi"/>
          <w:sz w:val="20"/>
          <w:szCs w:val="20"/>
        </w:rPr>
      </w:pPr>
    </w:p>
    <w:p w:rsidR="00E5713A" w:rsidRPr="008B42D4" w:rsidRDefault="00E5713A" w:rsidP="00E5713A">
      <w:pPr>
        <w:jc w:val="both"/>
        <w:rPr>
          <w:rFonts w:asciiTheme="minorHAnsi" w:hAnsiTheme="minorHAnsi" w:cstheme="minorHAnsi"/>
          <w:sz w:val="20"/>
          <w:szCs w:val="20"/>
        </w:rPr>
      </w:pPr>
      <w:r w:rsidRPr="008B42D4">
        <w:rPr>
          <w:rFonts w:asciiTheme="minorHAnsi" w:hAnsiTheme="minorHAnsi" w:cstheme="minorHAnsi"/>
          <w:sz w:val="20"/>
          <w:szCs w:val="20"/>
        </w:rPr>
        <w:t>Negli anziani con co-morbilità e con un’immunità innata e umorale compromessa</w:t>
      </w:r>
      <w:r w:rsidR="00F13D89" w:rsidRPr="008B42D4">
        <w:rPr>
          <w:rFonts w:asciiTheme="minorHAnsi" w:hAnsiTheme="minorHAnsi" w:cstheme="minorHAnsi"/>
          <w:sz w:val="20"/>
          <w:szCs w:val="20"/>
        </w:rPr>
        <w:t>,</w:t>
      </w:r>
      <w:r w:rsidRPr="008B42D4">
        <w:rPr>
          <w:rFonts w:asciiTheme="minorHAnsi" w:hAnsiTheme="minorHAnsi" w:cstheme="minorHAnsi"/>
          <w:sz w:val="20"/>
          <w:szCs w:val="20"/>
        </w:rPr>
        <w:t xml:space="preserve"> il virus continua a replicarsi e ciò comporta una forte reazione infiammatoria da parte dell’immunità cellulo-mediata con l’attacco  di tutti i tessuti precedentemente infettati e un danno molto grave  a livello sistemico. </w:t>
      </w:r>
    </w:p>
    <w:p w:rsidR="00E5713A" w:rsidRDefault="00E5713A" w:rsidP="00E5713A">
      <w:pPr>
        <w:jc w:val="both"/>
        <w:rPr>
          <w:rFonts w:asciiTheme="minorHAnsi" w:hAnsiTheme="minorHAnsi" w:cstheme="minorHAnsi"/>
          <w:sz w:val="22"/>
          <w:szCs w:val="22"/>
        </w:rPr>
      </w:pPr>
    </w:p>
    <w:p w:rsidR="00E36B6C" w:rsidRDefault="00E36B6C" w:rsidP="00E5713A">
      <w:pPr>
        <w:jc w:val="both"/>
        <w:rPr>
          <w:rFonts w:asciiTheme="minorHAnsi" w:hAnsiTheme="minorHAnsi" w:cstheme="minorHAnsi"/>
          <w:sz w:val="22"/>
          <w:szCs w:val="22"/>
        </w:rPr>
      </w:pPr>
    </w:p>
    <w:p w:rsidR="00E36B6C" w:rsidRDefault="00E36B6C" w:rsidP="00E36B6C"/>
    <w:p w:rsidR="00E36B6C" w:rsidRDefault="00E36B6C" w:rsidP="00E36B6C"/>
    <w:p w:rsidR="00E36B6C" w:rsidRPr="00B80B1B" w:rsidRDefault="00E36B6C" w:rsidP="00E36B6C"/>
    <w:p w:rsidR="00E5713A" w:rsidRPr="001B3870" w:rsidRDefault="00E5713A" w:rsidP="00FC0838">
      <w:pPr>
        <w:pStyle w:val="Heading3"/>
        <w:shd w:val="clear" w:color="auto" w:fill="E2EFD9" w:themeFill="accent6" w:themeFillTint="33"/>
        <w:jc w:val="center"/>
        <w:rPr>
          <w:rFonts w:asciiTheme="minorHAnsi" w:hAnsiTheme="minorHAnsi" w:cstheme="minorHAnsi"/>
          <w:color w:val="C00000"/>
          <w:sz w:val="24"/>
          <w:szCs w:val="24"/>
        </w:rPr>
      </w:pPr>
      <w:bookmarkStart w:id="65" w:name="_Toc43342397"/>
      <w:r w:rsidRPr="001B3870">
        <w:rPr>
          <w:rFonts w:asciiTheme="minorHAnsi" w:hAnsiTheme="minorHAnsi" w:cstheme="minorHAnsi"/>
          <w:color w:val="C00000"/>
          <w:sz w:val="24"/>
          <w:szCs w:val="24"/>
        </w:rPr>
        <w:lastRenderedPageBreak/>
        <w:t>COVID-19 pediatrico</w:t>
      </w:r>
      <w:bookmarkEnd w:id="65"/>
    </w:p>
    <w:p w:rsidR="00FC0838" w:rsidRDefault="00FC0838" w:rsidP="00E5713A">
      <w:pPr>
        <w:jc w:val="both"/>
        <w:rPr>
          <w:rFonts w:asciiTheme="minorHAnsi" w:hAnsiTheme="minorHAnsi" w:cstheme="minorHAnsi"/>
          <w:sz w:val="20"/>
          <w:szCs w:val="20"/>
        </w:rPr>
      </w:pPr>
    </w:p>
    <w:p w:rsidR="00E5713A" w:rsidRDefault="00E5713A" w:rsidP="00E5713A">
      <w:pPr>
        <w:jc w:val="both"/>
        <w:rPr>
          <w:rFonts w:asciiTheme="minorHAnsi" w:hAnsiTheme="minorHAnsi" w:cstheme="minorHAnsi"/>
          <w:sz w:val="20"/>
          <w:szCs w:val="20"/>
        </w:rPr>
      </w:pPr>
      <w:r w:rsidRPr="001B3870">
        <w:rPr>
          <w:rFonts w:asciiTheme="minorHAnsi" w:hAnsiTheme="minorHAnsi" w:cstheme="minorHAnsi"/>
          <w:sz w:val="20"/>
          <w:szCs w:val="20"/>
        </w:rPr>
        <w:t xml:space="preserve">Come già accennato, l’infezione non sembra causare complicazioni gravi o fatali nella fascia di età pediatrica </w:t>
      </w:r>
      <w:r w:rsidRPr="001B3870">
        <w:rPr>
          <w:rStyle w:val="FootnoteReference"/>
          <w:rFonts w:asciiTheme="minorHAnsi" w:hAnsiTheme="minorHAnsi" w:cstheme="minorHAnsi"/>
          <w:sz w:val="20"/>
          <w:szCs w:val="20"/>
        </w:rPr>
        <w:footnoteReference w:id="118"/>
      </w:r>
      <w:r w:rsidRPr="001B3870">
        <w:rPr>
          <w:rFonts w:asciiTheme="minorHAnsi" w:hAnsiTheme="minorHAnsi" w:cstheme="minorHAnsi"/>
          <w:sz w:val="20"/>
          <w:szCs w:val="20"/>
        </w:rPr>
        <w:t xml:space="preserve"> </w:t>
      </w:r>
    </w:p>
    <w:p w:rsidR="001B3870" w:rsidRDefault="00E5713A" w:rsidP="00E5713A">
      <w:pPr>
        <w:jc w:val="both"/>
        <w:rPr>
          <w:rFonts w:asciiTheme="minorHAnsi" w:hAnsiTheme="minorHAnsi" w:cstheme="minorHAnsi"/>
          <w:color w:val="000000"/>
          <w:sz w:val="20"/>
          <w:szCs w:val="20"/>
          <w:shd w:val="clear" w:color="auto" w:fill="FFFFFF"/>
        </w:rPr>
      </w:pPr>
      <w:r w:rsidRPr="001B3870">
        <w:rPr>
          <w:rFonts w:asciiTheme="minorHAnsi" w:hAnsiTheme="minorHAnsi" w:cstheme="minorHAnsi"/>
          <w:color w:val="000000"/>
          <w:sz w:val="20"/>
          <w:szCs w:val="20"/>
          <w:shd w:val="clear" w:color="auto" w:fill="FFFFFF"/>
        </w:rPr>
        <w:t xml:space="preserve">Secondo il rapporto Centers for Disease Control and Prevention (CDC), un numero inferiore di bambini è stato ricoverato in ospedale e in terapia intensiva (ICU) (5,7% –20% e 0,58% –2,0%, rispettivamente) rispetto agli adulti di età compresa tra 18 e 64 anni ( 10% –33% e 1,4% –4,5%, rispettivamente). </w:t>
      </w:r>
    </w:p>
    <w:p w:rsidR="001B3870" w:rsidRDefault="001B3870" w:rsidP="00E5713A">
      <w:pPr>
        <w:jc w:val="both"/>
        <w:rPr>
          <w:rFonts w:asciiTheme="minorHAnsi" w:hAnsiTheme="minorHAnsi" w:cstheme="minorHAnsi"/>
          <w:color w:val="000000"/>
          <w:sz w:val="20"/>
          <w:szCs w:val="20"/>
          <w:shd w:val="clear" w:color="auto" w:fill="FFFFFF"/>
        </w:rPr>
      </w:pPr>
    </w:p>
    <w:p w:rsidR="001B3870" w:rsidRDefault="00F13D89" w:rsidP="00FC0838">
      <w:pPr>
        <w:shd w:val="clear" w:color="auto" w:fill="FBF9E1"/>
        <w:jc w:val="both"/>
        <w:rPr>
          <w:rFonts w:asciiTheme="minorHAnsi" w:hAnsiTheme="minorHAnsi" w:cstheme="minorHAnsi"/>
          <w:color w:val="000000"/>
          <w:sz w:val="20"/>
          <w:szCs w:val="20"/>
          <w:shd w:val="clear" w:color="auto" w:fill="FFFFFF"/>
        </w:rPr>
      </w:pPr>
      <w:r w:rsidRPr="00FC0838">
        <w:rPr>
          <w:rFonts w:asciiTheme="minorHAnsi" w:hAnsiTheme="minorHAnsi" w:cstheme="minorHAnsi"/>
          <w:color w:val="000000"/>
          <w:sz w:val="20"/>
          <w:szCs w:val="20"/>
          <w:shd w:val="clear" w:color="auto" w:fill="FBF9E1"/>
        </w:rPr>
        <w:t>Tuttavia,</w:t>
      </w:r>
      <w:r w:rsidR="00E5713A" w:rsidRPr="00FC0838">
        <w:rPr>
          <w:rFonts w:asciiTheme="minorHAnsi" w:hAnsiTheme="minorHAnsi" w:cstheme="minorHAnsi"/>
          <w:color w:val="000000"/>
          <w:sz w:val="20"/>
          <w:szCs w:val="20"/>
          <w:shd w:val="clear" w:color="auto" w:fill="FBF9E1"/>
        </w:rPr>
        <w:t xml:space="preserve"> </w:t>
      </w:r>
      <w:r w:rsidR="00E5713A" w:rsidRPr="00FC0838">
        <w:rPr>
          <w:rFonts w:asciiTheme="minorHAnsi" w:hAnsiTheme="minorHAnsi" w:cstheme="minorHAnsi"/>
          <w:b/>
          <w:bCs/>
          <w:color w:val="000000"/>
          <w:sz w:val="20"/>
          <w:szCs w:val="20"/>
          <w:shd w:val="clear" w:color="auto" w:fill="FBF9E1"/>
        </w:rPr>
        <w:t>i neonati presentavano tassi di ospedalizzazione più elevati (15% -62%) rispetto ai bambini più grandi (1-17 anni) (4,1% -14%) e adulti</w:t>
      </w:r>
      <w:r w:rsidR="00E5713A" w:rsidRPr="00FC0838">
        <w:rPr>
          <w:rFonts w:asciiTheme="minorHAnsi" w:hAnsiTheme="minorHAnsi" w:cstheme="minorHAnsi"/>
          <w:color w:val="000000"/>
          <w:sz w:val="20"/>
          <w:szCs w:val="20"/>
          <w:shd w:val="clear" w:color="auto" w:fill="FBF9E1"/>
        </w:rPr>
        <w:t>.</w:t>
      </w:r>
      <w:r w:rsidR="00E5713A" w:rsidRPr="001B3870">
        <w:rPr>
          <w:rFonts w:asciiTheme="minorHAnsi" w:hAnsiTheme="minorHAnsi" w:cstheme="minorHAnsi"/>
          <w:color w:val="000000"/>
          <w:sz w:val="20"/>
          <w:szCs w:val="20"/>
          <w:shd w:val="clear" w:color="auto" w:fill="FFFFFF"/>
        </w:rPr>
        <w:t xml:space="preserve"> </w:t>
      </w:r>
    </w:p>
    <w:p w:rsidR="001B3870" w:rsidRDefault="001B3870" w:rsidP="00E5713A">
      <w:pPr>
        <w:jc w:val="both"/>
        <w:rPr>
          <w:rFonts w:asciiTheme="minorHAnsi" w:hAnsiTheme="minorHAnsi" w:cstheme="minorHAnsi"/>
          <w:color w:val="000000"/>
          <w:sz w:val="20"/>
          <w:szCs w:val="20"/>
          <w:shd w:val="clear" w:color="auto" w:fill="FFFFFF"/>
        </w:rPr>
      </w:pPr>
    </w:p>
    <w:p w:rsidR="001B3870" w:rsidRDefault="00E5713A" w:rsidP="00E5713A">
      <w:pPr>
        <w:jc w:val="both"/>
        <w:rPr>
          <w:rFonts w:asciiTheme="minorHAnsi" w:hAnsiTheme="minorHAnsi" w:cstheme="minorHAnsi"/>
          <w:color w:val="000000"/>
          <w:sz w:val="20"/>
          <w:szCs w:val="20"/>
          <w:shd w:val="clear" w:color="auto" w:fill="FFFFFF"/>
        </w:rPr>
      </w:pPr>
      <w:r w:rsidRPr="001B3870">
        <w:rPr>
          <w:rFonts w:asciiTheme="minorHAnsi" w:hAnsiTheme="minorHAnsi" w:cstheme="minorHAnsi"/>
          <w:color w:val="000000"/>
          <w:sz w:val="20"/>
          <w:szCs w:val="20"/>
          <w:shd w:val="clear" w:color="auto" w:fill="FFFFFF"/>
        </w:rPr>
        <w:t>Ci sono stati 3 decessi (0,1%) nei bambini rispetto alla mortalità complessiva del 2,27%. La serie di casi cinesi di 171 bambini confermati in laboratorio ha riportato anche un decesso in un bambino di 10 mesi, che ha subito intussu</w:t>
      </w:r>
      <w:r w:rsidR="00F13D89" w:rsidRPr="001B3870">
        <w:rPr>
          <w:rFonts w:asciiTheme="minorHAnsi" w:hAnsiTheme="minorHAnsi" w:cstheme="minorHAnsi"/>
          <w:color w:val="000000"/>
          <w:sz w:val="20"/>
          <w:szCs w:val="20"/>
          <w:shd w:val="clear" w:color="auto" w:fill="FFFFFF"/>
        </w:rPr>
        <w:t>sc</w:t>
      </w:r>
      <w:r w:rsidRPr="001B3870">
        <w:rPr>
          <w:rFonts w:asciiTheme="minorHAnsi" w:hAnsiTheme="minorHAnsi" w:cstheme="minorHAnsi"/>
          <w:color w:val="000000"/>
          <w:sz w:val="20"/>
          <w:szCs w:val="20"/>
          <w:shd w:val="clear" w:color="auto" w:fill="FFFFFF"/>
        </w:rPr>
        <w:t xml:space="preserve">ezione e insufficienza multiorgano. </w:t>
      </w:r>
    </w:p>
    <w:p w:rsidR="00FC0838" w:rsidRDefault="00FC0838" w:rsidP="00E5713A">
      <w:pPr>
        <w:jc w:val="both"/>
        <w:rPr>
          <w:rFonts w:asciiTheme="minorHAnsi" w:hAnsiTheme="minorHAnsi" w:cstheme="minorHAnsi"/>
          <w:color w:val="000000"/>
          <w:sz w:val="20"/>
          <w:szCs w:val="20"/>
          <w:shd w:val="clear" w:color="auto" w:fill="FFFFFF"/>
        </w:rPr>
      </w:pPr>
    </w:p>
    <w:p w:rsidR="001B3870" w:rsidRDefault="00E5713A" w:rsidP="00E5713A">
      <w:pPr>
        <w:jc w:val="both"/>
        <w:rPr>
          <w:rFonts w:asciiTheme="minorHAnsi" w:hAnsiTheme="minorHAnsi" w:cstheme="minorHAnsi"/>
          <w:color w:val="000000"/>
          <w:sz w:val="20"/>
          <w:szCs w:val="20"/>
          <w:shd w:val="clear" w:color="auto" w:fill="FFFFFF"/>
        </w:rPr>
      </w:pPr>
      <w:r w:rsidRPr="001B3870">
        <w:rPr>
          <w:rFonts w:asciiTheme="minorHAnsi" w:hAnsiTheme="minorHAnsi" w:cstheme="minorHAnsi"/>
          <w:color w:val="000000"/>
          <w:sz w:val="20"/>
          <w:szCs w:val="20"/>
          <w:shd w:val="clear" w:color="auto" w:fill="FFFFFF"/>
        </w:rPr>
        <w:t>In un</w:t>
      </w:r>
      <w:r w:rsidR="00F13D89" w:rsidRPr="001B3870">
        <w:rPr>
          <w:rFonts w:asciiTheme="minorHAnsi" w:hAnsiTheme="minorHAnsi" w:cstheme="minorHAnsi"/>
          <w:color w:val="000000"/>
          <w:sz w:val="20"/>
          <w:szCs w:val="20"/>
          <w:shd w:val="clear" w:color="auto" w:fill="FFFFFF"/>
        </w:rPr>
        <w:t>’altra</w:t>
      </w:r>
      <w:r w:rsidRPr="001B3870">
        <w:rPr>
          <w:rFonts w:asciiTheme="minorHAnsi" w:hAnsiTheme="minorHAnsi" w:cstheme="minorHAnsi"/>
          <w:color w:val="000000"/>
          <w:sz w:val="20"/>
          <w:szCs w:val="20"/>
          <w:shd w:val="clear" w:color="auto" w:fill="FFFFFF"/>
        </w:rPr>
        <w:t xml:space="preserve"> serie cinese di 728 bambini confermati in laboratorio, la percentuale di casi "gravi e critici" era dell'8,2%, 2,1%, 0,6%, 1,1% e 5,1% per le fasce di età di ˂1, 1–5, 6– 10, 11–15 e&gt; 15 y, rispettivamente. </w:t>
      </w:r>
    </w:p>
    <w:p w:rsidR="00FC0838" w:rsidRDefault="00FC0838" w:rsidP="00E5713A">
      <w:pPr>
        <w:jc w:val="both"/>
        <w:rPr>
          <w:rFonts w:asciiTheme="minorHAnsi" w:hAnsiTheme="minorHAnsi" w:cstheme="minorHAnsi"/>
          <w:color w:val="000000"/>
          <w:sz w:val="20"/>
          <w:szCs w:val="20"/>
          <w:shd w:val="clear" w:color="auto" w:fill="FFFFFF"/>
        </w:rPr>
      </w:pPr>
    </w:p>
    <w:p w:rsidR="00FC0838" w:rsidRDefault="00FC0838" w:rsidP="00FC083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1127"/>
        <w:jc w:val="both"/>
        <w:rPr>
          <w:rFonts w:asciiTheme="minorHAnsi" w:hAnsiTheme="minorHAnsi" w:cstheme="minorHAnsi"/>
          <w:i/>
          <w:iCs/>
          <w:color w:val="000000"/>
          <w:sz w:val="20"/>
          <w:szCs w:val="20"/>
          <w:shd w:val="clear" w:color="auto" w:fill="FFFFFF"/>
        </w:rPr>
      </w:pPr>
    </w:p>
    <w:p w:rsidR="00E5713A" w:rsidRPr="00110FC0" w:rsidRDefault="00E5713A" w:rsidP="00FC083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1127"/>
        <w:jc w:val="both"/>
        <w:rPr>
          <w:rFonts w:asciiTheme="minorHAnsi" w:hAnsiTheme="minorHAnsi" w:cstheme="minorHAnsi"/>
          <w:i/>
          <w:iCs/>
          <w:color w:val="000000"/>
          <w:sz w:val="20"/>
          <w:szCs w:val="20"/>
          <w:shd w:val="clear" w:color="auto" w:fill="FFFFFF"/>
        </w:rPr>
      </w:pPr>
      <w:r w:rsidRPr="00FC0838">
        <w:rPr>
          <w:rFonts w:asciiTheme="minorHAnsi" w:hAnsiTheme="minorHAnsi" w:cstheme="minorHAnsi"/>
          <w:i/>
          <w:iCs/>
          <w:color w:val="000000"/>
          <w:sz w:val="20"/>
          <w:szCs w:val="20"/>
          <w:shd w:val="clear" w:color="auto" w:fill="FBF9E1"/>
        </w:rPr>
        <w:t xml:space="preserve">Questi risultati suggeriscono che </w:t>
      </w:r>
      <w:r w:rsidRPr="00FC0838">
        <w:rPr>
          <w:rFonts w:asciiTheme="minorHAnsi" w:hAnsiTheme="minorHAnsi" w:cstheme="minorHAnsi"/>
          <w:b/>
          <w:bCs/>
          <w:i/>
          <w:iCs/>
          <w:color w:val="000000"/>
          <w:sz w:val="20"/>
          <w:szCs w:val="20"/>
          <w:shd w:val="clear" w:color="auto" w:fill="FBF9E1"/>
        </w:rPr>
        <w:t>sebbene i bambini in generale siano meno colpiti e abbiano una malattia più lieve rispetto agli adulti, i neonati hanno una malattia più grave rispetto ai bambini più grandi</w:t>
      </w:r>
      <w:r w:rsidRPr="00FC0838">
        <w:rPr>
          <w:rFonts w:asciiTheme="minorHAnsi" w:hAnsiTheme="minorHAnsi" w:cstheme="minorHAnsi"/>
          <w:i/>
          <w:iCs/>
          <w:color w:val="000000"/>
          <w:sz w:val="20"/>
          <w:szCs w:val="20"/>
          <w:shd w:val="clear" w:color="auto" w:fill="FBF9E1"/>
        </w:rPr>
        <w:t xml:space="preserve">. </w:t>
      </w:r>
      <w:r w:rsidRPr="00FC0838">
        <w:rPr>
          <w:rStyle w:val="FootnoteReference"/>
          <w:rFonts w:asciiTheme="minorHAnsi" w:hAnsiTheme="minorHAnsi" w:cstheme="minorHAnsi"/>
          <w:i/>
          <w:iCs/>
          <w:color w:val="000000"/>
          <w:sz w:val="20"/>
          <w:szCs w:val="20"/>
          <w:shd w:val="clear" w:color="auto" w:fill="FBF9E1"/>
          <w:lang w:val="en-US"/>
        </w:rPr>
        <w:footnoteReference w:id="119"/>
      </w:r>
    </w:p>
    <w:p w:rsidR="00FC0838" w:rsidRPr="00110FC0" w:rsidRDefault="00FC0838" w:rsidP="00FC083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1127"/>
        <w:jc w:val="both"/>
        <w:rPr>
          <w:rFonts w:asciiTheme="minorHAnsi" w:hAnsiTheme="minorHAnsi" w:cstheme="minorHAnsi"/>
          <w:i/>
          <w:iCs/>
          <w:sz w:val="20"/>
          <w:szCs w:val="20"/>
        </w:rPr>
      </w:pPr>
    </w:p>
    <w:p w:rsidR="00FC0838" w:rsidRDefault="00FC0838" w:rsidP="00FC0838">
      <w:pPr>
        <w:ind w:left="709" w:right="560"/>
        <w:jc w:val="both"/>
        <w:rPr>
          <w:rFonts w:asciiTheme="minorHAnsi" w:hAnsiTheme="minorHAnsi" w:cstheme="minorHAnsi"/>
          <w:i/>
          <w:iCs/>
          <w:sz w:val="18"/>
          <w:szCs w:val="18"/>
        </w:rPr>
      </w:pPr>
    </w:p>
    <w:p w:rsidR="00FC0838" w:rsidRPr="00E21CB2" w:rsidRDefault="00FC0838" w:rsidP="00FC0838">
      <w:pPr>
        <w:ind w:right="-7"/>
        <w:jc w:val="both"/>
        <w:rPr>
          <w:rFonts w:asciiTheme="minorHAnsi" w:hAnsiTheme="minorHAnsi" w:cstheme="minorHAnsi"/>
          <w:i/>
          <w:iCs/>
          <w:sz w:val="18"/>
          <w:szCs w:val="18"/>
        </w:rPr>
      </w:pPr>
      <w:r w:rsidRPr="00FC0838">
        <w:rPr>
          <w:rFonts w:asciiTheme="minorHAnsi" w:hAnsiTheme="minorHAnsi" w:cstheme="minorHAnsi"/>
          <w:sz w:val="20"/>
          <w:szCs w:val="20"/>
        </w:rPr>
        <w:t xml:space="preserve">I medici hanno segnalato un </w:t>
      </w:r>
      <w:r w:rsidRPr="00FC0838">
        <w:rPr>
          <w:rFonts w:asciiTheme="minorHAnsi" w:hAnsiTheme="minorHAnsi" w:cstheme="minorHAnsi"/>
          <w:b/>
          <w:bCs/>
          <w:sz w:val="20"/>
          <w:szCs w:val="20"/>
          <w:shd w:val="clear" w:color="auto" w:fill="FBF9E1"/>
        </w:rPr>
        <w:t>aumento di vasculiti temporanee</w:t>
      </w:r>
      <w:r w:rsidRPr="00FC0838">
        <w:rPr>
          <w:rFonts w:asciiTheme="minorHAnsi" w:hAnsiTheme="minorHAnsi" w:cstheme="minorHAnsi"/>
          <w:sz w:val="20"/>
          <w:szCs w:val="20"/>
        </w:rPr>
        <w:t xml:space="preserve">  (lesioni acro-ischemiche) agli arti inferiori in bambini asintomatici </w:t>
      </w:r>
      <w:r w:rsidRPr="00FC0838">
        <w:rPr>
          <w:rStyle w:val="FootnoteReference"/>
          <w:rFonts w:asciiTheme="minorHAnsi" w:hAnsiTheme="minorHAnsi" w:cstheme="minorHAnsi"/>
          <w:sz w:val="20"/>
          <w:szCs w:val="20"/>
        </w:rPr>
        <w:footnoteReference w:id="120"/>
      </w:r>
      <w:r w:rsidRPr="00FC0838">
        <w:rPr>
          <w:rFonts w:asciiTheme="minorHAnsi" w:hAnsiTheme="minorHAnsi" w:cstheme="minorHAnsi"/>
          <w:sz w:val="20"/>
          <w:szCs w:val="20"/>
        </w:rPr>
        <w:t xml:space="preserve"> e casi della </w:t>
      </w:r>
      <w:r w:rsidRPr="00FC0838">
        <w:rPr>
          <w:rFonts w:asciiTheme="minorHAnsi" w:hAnsiTheme="minorHAnsi" w:cstheme="minorHAnsi"/>
          <w:b/>
          <w:bCs/>
          <w:sz w:val="20"/>
          <w:szCs w:val="20"/>
          <w:shd w:val="clear" w:color="auto" w:fill="FBF9E1"/>
        </w:rPr>
        <w:t>malattia di Kawasaki</w:t>
      </w:r>
      <w:r w:rsidRPr="00FC0838">
        <w:rPr>
          <w:rFonts w:asciiTheme="minorHAnsi" w:hAnsiTheme="minorHAnsi" w:cstheme="minorHAnsi"/>
          <w:sz w:val="20"/>
          <w:szCs w:val="20"/>
        </w:rPr>
        <w:t xml:space="preserve">, una forma di vasculite particolarmente grave, sottovalutata proprio a causa dell’assenza di sintomi dell’infezione nei bambini </w:t>
      </w:r>
      <w:r w:rsidRPr="00FC0838">
        <w:rPr>
          <w:rStyle w:val="FootnoteReference"/>
          <w:rFonts w:asciiTheme="minorHAnsi" w:hAnsiTheme="minorHAnsi" w:cstheme="minorHAnsi"/>
          <w:sz w:val="20"/>
          <w:szCs w:val="20"/>
        </w:rPr>
        <w:footnoteReference w:id="121"/>
      </w:r>
      <w:r w:rsidRPr="00E21CB2">
        <w:rPr>
          <w:rFonts w:asciiTheme="minorHAnsi" w:hAnsiTheme="minorHAnsi" w:cstheme="minorHAnsi"/>
          <w:i/>
          <w:iCs/>
          <w:sz w:val="18"/>
          <w:szCs w:val="18"/>
        </w:rPr>
        <w:t xml:space="preserve"> . </w:t>
      </w:r>
    </w:p>
    <w:p w:rsidR="00E5713A" w:rsidRDefault="00E5713A" w:rsidP="00E5713A">
      <w:pPr>
        <w:jc w:val="center"/>
        <w:rPr>
          <w:rFonts w:asciiTheme="minorHAnsi" w:hAnsiTheme="minorHAnsi" w:cstheme="minorHAnsi"/>
          <w:lang w:val="en-US"/>
        </w:rPr>
      </w:pPr>
      <w:r w:rsidRPr="00717D4D">
        <w:rPr>
          <w:rFonts w:asciiTheme="minorHAnsi" w:hAnsiTheme="minorHAnsi" w:cstheme="minorHAnsi"/>
          <w:noProof/>
          <w:lang w:val="en-US"/>
        </w:rPr>
        <w:lastRenderedPageBreak/>
        <w:drawing>
          <wp:inline distT="0" distB="0" distL="0" distR="0" wp14:anchorId="586DFF1F" wp14:editId="0EE124CD">
            <wp:extent cx="3720123" cy="4205996"/>
            <wp:effectExtent l="0" t="0" r="127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20-05-25 alle 12.44.04.png"/>
                    <pic:cNvPicPr/>
                  </pic:nvPicPr>
                  <pic:blipFill>
                    <a:blip r:embed="rId125">
                      <a:extLst>
                        <a:ext uri="{28A0092B-C50C-407E-A947-70E740481C1C}">
                          <a14:useLocalDpi xmlns:a14="http://schemas.microsoft.com/office/drawing/2010/main" val="0"/>
                        </a:ext>
                      </a:extLst>
                    </a:blip>
                    <a:stretch>
                      <a:fillRect/>
                    </a:stretch>
                  </pic:blipFill>
                  <pic:spPr>
                    <a:xfrm>
                      <a:off x="0" y="0"/>
                      <a:ext cx="3871847" cy="4377536"/>
                    </a:xfrm>
                    <a:prstGeom prst="rect">
                      <a:avLst/>
                    </a:prstGeom>
                  </pic:spPr>
                </pic:pic>
              </a:graphicData>
            </a:graphic>
          </wp:inline>
        </w:drawing>
      </w:r>
    </w:p>
    <w:p w:rsidR="00E5713A" w:rsidRPr="00A10783" w:rsidRDefault="00E5713A" w:rsidP="00FC0838">
      <w:pPr>
        <w:shd w:val="clear" w:color="auto" w:fill="F2F2F2" w:themeFill="background1" w:themeFillShade="F2"/>
        <w:rPr>
          <w:rFonts w:asciiTheme="minorHAnsi" w:hAnsiTheme="minorHAnsi" w:cstheme="minorHAnsi"/>
          <w:color w:val="000000" w:themeColor="text1"/>
          <w:sz w:val="18"/>
          <w:szCs w:val="18"/>
        </w:rPr>
      </w:pPr>
      <w:r w:rsidRPr="00A10783">
        <w:rPr>
          <w:rFonts w:asciiTheme="minorHAnsi" w:hAnsiTheme="minorHAnsi" w:cstheme="minorHAnsi"/>
          <w:color w:val="000000" w:themeColor="text1"/>
          <w:sz w:val="18"/>
          <w:szCs w:val="18"/>
        </w:rPr>
        <w:t xml:space="preserve">Tratta da </w:t>
      </w:r>
      <w:hyperlink r:id="rId126" w:history="1">
        <w:r w:rsidRPr="00A10783">
          <w:rPr>
            <w:rStyle w:val="Hyperlink"/>
            <w:rFonts w:asciiTheme="minorHAnsi" w:eastAsiaTheme="majorEastAsia" w:hAnsiTheme="minorHAnsi" w:cstheme="minorHAnsi"/>
            <w:color w:val="000000" w:themeColor="text1"/>
            <w:sz w:val="18"/>
            <w:szCs w:val="18"/>
            <w:u w:val="none"/>
          </w:rPr>
          <w:t>https://www.ncbi.nlm.nih.gov/pmc/articles/PMC7221011/</w:t>
        </w:r>
      </w:hyperlink>
    </w:p>
    <w:p w:rsidR="00F13D89" w:rsidRPr="00A10783" w:rsidRDefault="00E5713A" w:rsidP="00FC0838">
      <w:pPr>
        <w:shd w:val="clear" w:color="auto" w:fill="F2F2F2" w:themeFill="background1" w:themeFillShade="F2"/>
        <w:jc w:val="both"/>
        <w:rPr>
          <w:rFonts w:asciiTheme="minorHAnsi" w:hAnsiTheme="minorHAnsi" w:cstheme="minorHAnsi"/>
          <w:color w:val="000000"/>
          <w:sz w:val="18"/>
          <w:szCs w:val="18"/>
        </w:rPr>
      </w:pPr>
      <w:r w:rsidRPr="00A10783">
        <w:rPr>
          <w:rFonts w:asciiTheme="minorHAnsi" w:hAnsiTheme="minorHAnsi" w:cstheme="minorHAnsi"/>
          <w:color w:val="000000"/>
          <w:sz w:val="18"/>
          <w:szCs w:val="18"/>
        </w:rPr>
        <w:t>I dati sono riassunti come numero (%), se non diversamente specificato. @dati riassunti come mediana (IQR). * Il denominatore per la stima della frequenza dei sintomi era 291 (età &lt;18 anni) e 10.944 (età 18-64 anni), poiché i dettagli dei sintomi erano disponibili solo per questi pazienti; # Include tutti i pazienti di età pari o superiore a 18 anni; ¥ 49 bambini (28,7%) avevano tachipnea all'esame in ospedale. Centri CDC per il controllo e la prevenzione delle malattie</w:t>
      </w:r>
    </w:p>
    <w:p w:rsidR="00E5713A" w:rsidRPr="0052255F" w:rsidRDefault="00E5713A" w:rsidP="00FC0838">
      <w:pPr>
        <w:pStyle w:val="Heading3"/>
        <w:shd w:val="clear" w:color="auto" w:fill="E2EFD9" w:themeFill="accent6" w:themeFillTint="33"/>
        <w:jc w:val="center"/>
        <w:rPr>
          <w:rFonts w:asciiTheme="minorHAnsi" w:hAnsiTheme="minorHAnsi" w:cstheme="minorHAnsi"/>
          <w:color w:val="C00000"/>
          <w:sz w:val="24"/>
          <w:szCs w:val="24"/>
        </w:rPr>
      </w:pPr>
      <w:bookmarkStart w:id="66" w:name="_Toc43342398"/>
      <w:r w:rsidRPr="0052255F">
        <w:rPr>
          <w:rFonts w:asciiTheme="minorHAnsi" w:hAnsiTheme="minorHAnsi" w:cstheme="minorHAnsi"/>
          <w:color w:val="C00000"/>
          <w:sz w:val="24"/>
          <w:szCs w:val="24"/>
        </w:rPr>
        <w:lastRenderedPageBreak/>
        <w:t>COVID-19 in gravidanza</w:t>
      </w:r>
      <w:bookmarkEnd w:id="66"/>
    </w:p>
    <w:p w:rsidR="0052255F" w:rsidRDefault="00E5713A" w:rsidP="00E5713A">
      <w:pPr>
        <w:jc w:val="both"/>
        <w:rPr>
          <w:rFonts w:asciiTheme="minorHAnsi" w:hAnsiTheme="minorHAnsi" w:cstheme="minorHAnsi"/>
          <w:sz w:val="20"/>
          <w:szCs w:val="20"/>
        </w:rPr>
      </w:pPr>
      <w:r w:rsidRPr="0052255F">
        <w:rPr>
          <w:rFonts w:asciiTheme="minorHAnsi" w:hAnsiTheme="minorHAnsi" w:cstheme="minorHAnsi"/>
          <w:sz w:val="20"/>
          <w:szCs w:val="20"/>
        </w:rPr>
        <w:t xml:space="preserve">Per quanto riguarda la gravidanza dalla revisione della letteratura più recente </w:t>
      </w:r>
      <w:r w:rsidRPr="0052255F">
        <w:rPr>
          <w:rStyle w:val="FootnoteReference"/>
          <w:rFonts w:asciiTheme="minorHAnsi" w:hAnsiTheme="minorHAnsi" w:cstheme="minorHAnsi"/>
          <w:sz w:val="20"/>
          <w:szCs w:val="20"/>
        </w:rPr>
        <w:footnoteReference w:id="122"/>
      </w:r>
      <w:r w:rsidRPr="0052255F">
        <w:rPr>
          <w:rFonts w:asciiTheme="minorHAnsi" w:hAnsiTheme="minorHAnsi" w:cstheme="minorHAnsi"/>
          <w:sz w:val="20"/>
          <w:szCs w:val="20"/>
        </w:rPr>
        <w:t xml:space="preserve"> nei dati combinati delle otto serie di casi consecutivi esaminati, inclusi 211 (71,5%) casi confermati in laboratorio e 84 (28,5%) di COVID-19 diagnosticato clinicamente, l'età materna variava da 20 a 44 anni e l'età gestazionale al momento del ricovero da 5 a 41 settimane. </w:t>
      </w:r>
    </w:p>
    <w:p w:rsidR="0052255F" w:rsidRDefault="0052255F" w:rsidP="00E5713A">
      <w:pPr>
        <w:jc w:val="both"/>
        <w:rPr>
          <w:rFonts w:asciiTheme="minorHAnsi" w:hAnsiTheme="minorHAnsi" w:cstheme="minorHAnsi"/>
          <w:sz w:val="20"/>
          <w:szCs w:val="20"/>
        </w:rPr>
      </w:pPr>
    </w:p>
    <w:p w:rsidR="0052255F" w:rsidRDefault="00E5713A" w:rsidP="00E5713A">
      <w:pPr>
        <w:jc w:val="both"/>
        <w:rPr>
          <w:rFonts w:asciiTheme="minorHAnsi" w:hAnsiTheme="minorHAnsi" w:cstheme="minorHAnsi"/>
          <w:sz w:val="20"/>
          <w:szCs w:val="20"/>
        </w:rPr>
      </w:pPr>
      <w:r w:rsidRPr="0052255F">
        <w:rPr>
          <w:rFonts w:asciiTheme="minorHAnsi" w:hAnsiTheme="minorHAnsi" w:cstheme="minorHAnsi"/>
          <w:sz w:val="20"/>
          <w:szCs w:val="20"/>
        </w:rPr>
        <w:t xml:space="preserve">I sintomi più comuni alla presentazione sono stati febbre, tosse, dispnea / respiro corto, affaticamento e mialgia. </w:t>
      </w:r>
    </w:p>
    <w:p w:rsidR="0052255F" w:rsidRDefault="00E5713A" w:rsidP="00E5713A">
      <w:pPr>
        <w:jc w:val="both"/>
        <w:rPr>
          <w:rFonts w:asciiTheme="minorHAnsi" w:hAnsiTheme="minorHAnsi" w:cstheme="minorHAnsi"/>
          <w:sz w:val="20"/>
          <w:szCs w:val="20"/>
        </w:rPr>
      </w:pPr>
      <w:r w:rsidRPr="0052255F">
        <w:rPr>
          <w:rFonts w:asciiTheme="minorHAnsi" w:hAnsiTheme="minorHAnsi" w:cstheme="minorHAnsi"/>
          <w:sz w:val="20"/>
          <w:szCs w:val="20"/>
        </w:rPr>
        <w:t xml:space="preserve">Il tasso di polmonite grave riportato tra le serie di casi variava dallo 0 al 14%, </w:t>
      </w:r>
      <w:r w:rsidR="00364987" w:rsidRPr="0052255F">
        <w:rPr>
          <w:rFonts w:asciiTheme="minorHAnsi" w:hAnsiTheme="minorHAnsi" w:cstheme="minorHAnsi"/>
          <w:sz w:val="20"/>
          <w:szCs w:val="20"/>
        </w:rPr>
        <w:t>e</w:t>
      </w:r>
      <w:r w:rsidRPr="0052255F">
        <w:rPr>
          <w:rFonts w:asciiTheme="minorHAnsi" w:hAnsiTheme="minorHAnsi" w:cstheme="minorHAnsi"/>
          <w:sz w:val="20"/>
          <w:szCs w:val="20"/>
        </w:rPr>
        <w:t xml:space="preserve"> la maggior parte richiedeva l'ammissione al reparto di terapia intensiva. </w:t>
      </w:r>
    </w:p>
    <w:p w:rsidR="0052255F" w:rsidRDefault="00E5713A" w:rsidP="00E5713A">
      <w:pPr>
        <w:jc w:val="both"/>
        <w:rPr>
          <w:rFonts w:asciiTheme="minorHAnsi" w:hAnsiTheme="minorHAnsi" w:cstheme="minorHAnsi"/>
          <w:sz w:val="20"/>
          <w:szCs w:val="20"/>
        </w:rPr>
      </w:pPr>
      <w:r w:rsidRPr="0052255F">
        <w:rPr>
          <w:rFonts w:asciiTheme="minorHAnsi" w:hAnsiTheme="minorHAnsi" w:cstheme="minorHAnsi"/>
          <w:sz w:val="20"/>
          <w:szCs w:val="20"/>
        </w:rPr>
        <w:t xml:space="preserve">Quasi tutti i casi della serie presentavano risultati positivi </w:t>
      </w:r>
      <w:r w:rsidR="00364987" w:rsidRPr="0052255F">
        <w:rPr>
          <w:rFonts w:asciiTheme="minorHAnsi" w:hAnsiTheme="minorHAnsi" w:cstheme="minorHAnsi"/>
          <w:sz w:val="20"/>
          <w:szCs w:val="20"/>
        </w:rPr>
        <w:t>al</w:t>
      </w:r>
      <w:r w:rsidRPr="0052255F">
        <w:rPr>
          <w:rFonts w:asciiTheme="minorHAnsi" w:hAnsiTheme="minorHAnsi" w:cstheme="minorHAnsi"/>
          <w:sz w:val="20"/>
          <w:szCs w:val="20"/>
        </w:rPr>
        <w:t>la tomografia computerizzata</w:t>
      </w:r>
      <w:r w:rsidR="00364987" w:rsidRPr="0052255F">
        <w:rPr>
          <w:rFonts w:asciiTheme="minorHAnsi" w:hAnsiTheme="minorHAnsi" w:cstheme="minorHAnsi"/>
          <w:sz w:val="20"/>
          <w:szCs w:val="20"/>
        </w:rPr>
        <w:t xml:space="preserve"> al torace</w:t>
      </w:r>
      <w:r w:rsidRPr="0052255F">
        <w:rPr>
          <w:rFonts w:asciiTheme="minorHAnsi" w:hAnsiTheme="minorHAnsi" w:cstheme="minorHAnsi"/>
          <w:sz w:val="20"/>
          <w:szCs w:val="20"/>
        </w:rPr>
        <w:t xml:space="preserve">. </w:t>
      </w:r>
    </w:p>
    <w:p w:rsidR="00B757AA" w:rsidRDefault="00B757AA" w:rsidP="00E5713A">
      <w:pPr>
        <w:jc w:val="both"/>
        <w:rPr>
          <w:rFonts w:asciiTheme="minorHAnsi" w:hAnsiTheme="minorHAnsi" w:cstheme="minorHAnsi"/>
          <w:sz w:val="20"/>
          <w:szCs w:val="20"/>
        </w:rPr>
      </w:pPr>
    </w:p>
    <w:p w:rsidR="00B757AA" w:rsidRDefault="00E5713A" w:rsidP="00E5713A">
      <w:pPr>
        <w:jc w:val="both"/>
        <w:rPr>
          <w:rFonts w:asciiTheme="minorHAnsi" w:hAnsiTheme="minorHAnsi" w:cstheme="minorHAnsi"/>
          <w:sz w:val="20"/>
          <w:szCs w:val="20"/>
        </w:rPr>
      </w:pPr>
      <w:r w:rsidRPr="0052255F">
        <w:rPr>
          <w:rFonts w:asciiTheme="minorHAnsi" w:hAnsiTheme="minorHAnsi" w:cstheme="minorHAnsi"/>
          <w:sz w:val="20"/>
          <w:szCs w:val="20"/>
        </w:rPr>
        <w:t>I casi sottoposti a</w:t>
      </w:r>
      <w:r w:rsidR="00364987" w:rsidRPr="0052255F">
        <w:rPr>
          <w:rFonts w:asciiTheme="minorHAnsi" w:hAnsiTheme="minorHAnsi" w:cstheme="minorHAnsi"/>
          <w:sz w:val="20"/>
          <w:szCs w:val="20"/>
        </w:rPr>
        <w:t>l</w:t>
      </w:r>
      <w:r w:rsidRPr="0052255F">
        <w:rPr>
          <w:rFonts w:asciiTheme="minorHAnsi" w:hAnsiTheme="minorHAnsi" w:cstheme="minorHAnsi"/>
          <w:sz w:val="20"/>
          <w:szCs w:val="20"/>
        </w:rPr>
        <w:t xml:space="preserve"> test </w:t>
      </w:r>
      <w:r w:rsidR="00364987" w:rsidRPr="0052255F">
        <w:rPr>
          <w:rFonts w:asciiTheme="minorHAnsi" w:hAnsiTheme="minorHAnsi" w:cstheme="minorHAnsi"/>
          <w:sz w:val="20"/>
          <w:szCs w:val="20"/>
        </w:rPr>
        <w:t>RT-PCR</w:t>
      </w:r>
      <w:r w:rsidRPr="0052255F">
        <w:rPr>
          <w:rFonts w:asciiTheme="minorHAnsi" w:hAnsiTheme="minorHAnsi" w:cstheme="minorHAnsi"/>
          <w:sz w:val="20"/>
          <w:szCs w:val="20"/>
        </w:rPr>
        <w:t xml:space="preserve"> nei campioni di muco vaginale (6 casi) e latte materno (22 casi) erano negativi per SARS-CoV-2. </w:t>
      </w:r>
    </w:p>
    <w:p w:rsidR="0052255F" w:rsidRDefault="00E5713A" w:rsidP="00E5713A">
      <w:pPr>
        <w:jc w:val="both"/>
        <w:rPr>
          <w:rFonts w:asciiTheme="minorHAnsi" w:hAnsiTheme="minorHAnsi" w:cstheme="minorHAnsi"/>
          <w:sz w:val="20"/>
          <w:szCs w:val="20"/>
        </w:rPr>
      </w:pPr>
      <w:r w:rsidRPr="0052255F">
        <w:rPr>
          <w:rFonts w:asciiTheme="minorHAnsi" w:hAnsiTheme="minorHAnsi" w:cstheme="minorHAnsi"/>
          <w:sz w:val="20"/>
          <w:szCs w:val="20"/>
        </w:rPr>
        <w:t xml:space="preserve">Sono stati segnalati quattro casi di aborto. Nella serie di casi consecutivi, 219/295 donne avevano partorito al momento della segnalazione, e la maggior parte di queste ha effettuato un taglio cesareo. L'età gestazionale al parto variava dalle 28 alle 41 settimane. I punteggi di Apgar a 1 e 5 minuti variavano rispettivamente da 7 a 10 e da 7 a 10. </w:t>
      </w:r>
    </w:p>
    <w:p w:rsidR="0052255F" w:rsidRDefault="00E5713A" w:rsidP="00E5713A">
      <w:pPr>
        <w:jc w:val="both"/>
        <w:rPr>
          <w:rFonts w:asciiTheme="minorHAnsi" w:hAnsiTheme="minorHAnsi" w:cstheme="minorHAnsi"/>
          <w:sz w:val="20"/>
          <w:szCs w:val="20"/>
        </w:rPr>
      </w:pPr>
      <w:r w:rsidRPr="0052255F">
        <w:rPr>
          <w:rFonts w:asciiTheme="minorHAnsi" w:hAnsiTheme="minorHAnsi" w:cstheme="minorHAnsi"/>
          <w:sz w:val="20"/>
          <w:szCs w:val="20"/>
        </w:rPr>
        <w:t xml:space="preserve">Solo otto neonati avevano un peso alla nascita &lt;2500 g e quasi un terzo dei casi è stato trasferito al reparto di terapia intensiva neonatale. C'è stato un caso ciascuno di asfissia neonatale e morte neonatale. </w:t>
      </w:r>
    </w:p>
    <w:p w:rsidR="00B757AA" w:rsidRDefault="00B757AA" w:rsidP="00E5713A">
      <w:pPr>
        <w:jc w:val="both"/>
        <w:rPr>
          <w:rFonts w:asciiTheme="minorHAnsi" w:hAnsiTheme="minorHAnsi" w:cstheme="minorHAnsi"/>
          <w:sz w:val="20"/>
          <w:szCs w:val="20"/>
        </w:rPr>
      </w:pPr>
    </w:p>
    <w:p w:rsidR="0052255F" w:rsidRDefault="00E5713A" w:rsidP="00E5713A">
      <w:pPr>
        <w:jc w:val="both"/>
        <w:rPr>
          <w:rFonts w:asciiTheme="minorHAnsi" w:hAnsiTheme="minorHAnsi" w:cstheme="minorHAnsi"/>
          <w:sz w:val="20"/>
          <w:szCs w:val="20"/>
        </w:rPr>
      </w:pPr>
      <w:r w:rsidRPr="0052255F">
        <w:rPr>
          <w:rFonts w:asciiTheme="minorHAnsi" w:hAnsiTheme="minorHAnsi" w:cstheme="minorHAnsi"/>
          <w:sz w:val="20"/>
          <w:szCs w:val="20"/>
        </w:rPr>
        <w:t xml:space="preserve">In 155 neonati sottoposti al test </w:t>
      </w:r>
      <w:r w:rsidR="00364987" w:rsidRPr="0052255F">
        <w:rPr>
          <w:rFonts w:asciiTheme="minorHAnsi" w:hAnsiTheme="minorHAnsi" w:cstheme="minorHAnsi"/>
          <w:sz w:val="20"/>
          <w:szCs w:val="20"/>
        </w:rPr>
        <w:t>RT-PCR</w:t>
      </w:r>
      <w:r w:rsidRPr="0052255F">
        <w:rPr>
          <w:rFonts w:asciiTheme="minorHAnsi" w:hAnsiTheme="minorHAnsi" w:cstheme="minorHAnsi"/>
          <w:sz w:val="20"/>
          <w:szCs w:val="20"/>
        </w:rPr>
        <w:t xml:space="preserve"> nel tampone della gola, tutti, tranne tre casi, erano negativi per SARS-CoV-2. Sono stati segnalati in una serie non consecutiv</w:t>
      </w:r>
      <w:r w:rsidR="00364987" w:rsidRPr="0052255F">
        <w:rPr>
          <w:rFonts w:asciiTheme="minorHAnsi" w:hAnsiTheme="minorHAnsi" w:cstheme="minorHAnsi"/>
          <w:sz w:val="20"/>
          <w:szCs w:val="20"/>
        </w:rPr>
        <w:t>a</w:t>
      </w:r>
      <w:r w:rsidRPr="0052255F">
        <w:rPr>
          <w:rFonts w:asciiTheme="minorHAnsi" w:hAnsiTheme="minorHAnsi" w:cstheme="minorHAnsi"/>
          <w:sz w:val="20"/>
          <w:szCs w:val="20"/>
        </w:rPr>
        <w:t xml:space="preserve"> di nove casi con COVID-19 grave</w:t>
      </w:r>
      <w:r w:rsidR="00364987" w:rsidRPr="0052255F">
        <w:rPr>
          <w:rFonts w:asciiTheme="minorHAnsi" w:hAnsiTheme="minorHAnsi" w:cstheme="minorHAnsi"/>
          <w:sz w:val="20"/>
          <w:szCs w:val="20"/>
        </w:rPr>
        <w:t>,</w:t>
      </w:r>
      <w:r w:rsidRPr="0052255F">
        <w:rPr>
          <w:rFonts w:asciiTheme="minorHAnsi" w:hAnsiTheme="minorHAnsi" w:cstheme="minorHAnsi"/>
          <w:sz w:val="20"/>
          <w:szCs w:val="20"/>
        </w:rPr>
        <w:t xml:space="preserve"> sette decessi materni, quattro decessi fetali intrauterini (uno con gravidanza gemellare) e due decessi neonatali (gravidanza gemellare). </w:t>
      </w:r>
    </w:p>
    <w:p w:rsidR="00E5713A" w:rsidRPr="0052255F" w:rsidRDefault="00E5713A" w:rsidP="00E5713A">
      <w:pPr>
        <w:jc w:val="both"/>
        <w:rPr>
          <w:rFonts w:asciiTheme="minorHAnsi" w:hAnsiTheme="minorHAnsi" w:cstheme="minorHAnsi"/>
          <w:sz w:val="20"/>
          <w:szCs w:val="20"/>
        </w:rPr>
      </w:pPr>
      <w:r w:rsidRPr="0052255F">
        <w:rPr>
          <w:rFonts w:asciiTheme="minorHAnsi" w:hAnsiTheme="minorHAnsi" w:cstheme="minorHAnsi"/>
          <w:sz w:val="20"/>
          <w:szCs w:val="20"/>
        </w:rPr>
        <w:t>Dalle segnalazioni dei casi-controllo sono stati</w:t>
      </w:r>
      <w:r w:rsidR="00364987" w:rsidRPr="0052255F">
        <w:rPr>
          <w:rFonts w:asciiTheme="minorHAnsi" w:hAnsiTheme="minorHAnsi" w:cstheme="minorHAnsi"/>
          <w:sz w:val="20"/>
          <w:szCs w:val="20"/>
        </w:rPr>
        <w:t xml:space="preserve"> rilevati </w:t>
      </w:r>
      <w:r w:rsidRPr="0052255F">
        <w:rPr>
          <w:rFonts w:asciiTheme="minorHAnsi" w:hAnsiTheme="minorHAnsi" w:cstheme="minorHAnsi"/>
          <w:sz w:val="20"/>
          <w:szCs w:val="20"/>
        </w:rPr>
        <w:t>due decessi materni, un decesso neonatale e due casi di infezione da SARS-CoV-2 neonatale.</w:t>
      </w:r>
    </w:p>
    <w:p w:rsidR="00364987" w:rsidRPr="0052255F" w:rsidRDefault="00364987" w:rsidP="00E5713A">
      <w:pPr>
        <w:jc w:val="both"/>
        <w:rPr>
          <w:rFonts w:asciiTheme="minorHAnsi" w:hAnsiTheme="minorHAnsi" w:cstheme="minorHAnsi"/>
          <w:sz w:val="20"/>
          <w:szCs w:val="20"/>
        </w:rPr>
      </w:pPr>
    </w:p>
    <w:p w:rsidR="0052255F" w:rsidRPr="00A10783" w:rsidRDefault="0052255F"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985"/>
        <w:jc w:val="both"/>
        <w:rPr>
          <w:rFonts w:asciiTheme="minorHAnsi" w:hAnsiTheme="minorHAnsi" w:cstheme="minorHAnsi"/>
          <w:i/>
          <w:iCs/>
          <w:sz w:val="20"/>
          <w:szCs w:val="20"/>
        </w:rPr>
      </w:pPr>
    </w:p>
    <w:p w:rsidR="00E5713A" w:rsidRPr="00A10783" w:rsidRDefault="00364987"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985"/>
        <w:jc w:val="both"/>
        <w:rPr>
          <w:rFonts w:asciiTheme="minorHAnsi" w:hAnsiTheme="minorHAnsi" w:cstheme="minorHAnsi"/>
          <w:i/>
          <w:iCs/>
          <w:sz w:val="20"/>
          <w:szCs w:val="20"/>
        </w:rPr>
      </w:pPr>
      <w:r w:rsidRPr="00A10783">
        <w:rPr>
          <w:rFonts w:asciiTheme="minorHAnsi" w:hAnsiTheme="minorHAnsi" w:cstheme="minorHAnsi"/>
          <w:i/>
          <w:iCs/>
          <w:sz w:val="20"/>
          <w:szCs w:val="20"/>
        </w:rPr>
        <w:t>Attualmente</w:t>
      </w:r>
      <w:r w:rsidR="00E5713A" w:rsidRPr="00A10783">
        <w:rPr>
          <w:rFonts w:asciiTheme="minorHAnsi" w:hAnsiTheme="minorHAnsi" w:cstheme="minorHAnsi"/>
          <w:i/>
          <w:iCs/>
          <w:sz w:val="20"/>
          <w:szCs w:val="20"/>
        </w:rPr>
        <w:t xml:space="preserve"> non </w:t>
      </w:r>
      <w:r w:rsidRPr="00A10783">
        <w:rPr>
          <w:rFonts w:asciiTheme="minorHAnsi" w:hAnsiTheme="minorHAnsi" w:cstheme="minorHAnsi"/>
          <w:i/>
          <w:iCs/>
          <w:sz w:val="20"/>
          <w:szCs w:val="20"/>
        </w:rPr>
        <w:t>ci</w:t>
      </w:r>
      <w:r w:rsidR="00E5713A" w:rsidRPr="00A10783">
        <w:rPr>
          <w:rFonts w:asciiTheme="minorHAnsi" w:hAnsiTheme="minorHAnsi" w:cstheme="minorHAnsi"/>
          <w:i/>
          <w:iCs/>
          <w:sz w:val="20"/>
          <w:szCs w:val="20"/>
        </w:rPr>
        <w:t xml:space="preserve"> sono prove che il SARS-CoV-2 subisca una trasmissione intrauterina o transplacentare da donne in gravidanza infette ai loro feti, mentre resta plausibile la possibilità della trasmissione per contatto diretto durante l’allattamento </w:t>
      </w:r>
      <w:r w:rsidR="00E5713A" w:rsidRPr="00A10783">
        <w:rPr>
          <w:rStyle w:val="FootnoteReference"/>
          <w:rFonts w:asciiTheme="minorHAnsi" w:hAnsiTheme="minorHAnsi" w:cstheme="minorHAnsi"/>
          <w:i/>
          <w:iCs/>
          <w:sz w:val="20"/>
          <w:szCs w:val="20"/>
        </w:rPr>
        <w:footnoteReference w:id="123"/>
      </w:r>
      <w:r w:rsidRPr="00A10783">
        <w:rPr>
          <w:rFonts w:asciiTheme="minorHAnsi" w:hAnsiTheme="minorHAnsi" w:cstheme="minorHAnsi"/>
          <w:i/>
          <w:iCs/>
          <w:sz w:val="20"/>
          <w:szCs w:val="20"/>
        </w:rPr>
        <w:t>, e tutti i campioni neonatali testati, comprese in alcuni casi le placente, sono risultati negativi  all’RT-PCR per SARS-CoV-2.</w:t>
      </w:r>
    </w:p>
    <w:p w:rsidR="0052255F" w:rsidRPr="00A10783" w:rsidRDefault="0052255F"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985"/>
        <w:jc w:val="both"/>
        <w:rPr>
          <w:rFonts w:asciiTheme="minorHAnsi" w:hAnsiTheme="minorHAnsi" w:cstheme="minorHAnsi"/>
          <w:i/>
          <w:iCs/>
          <w:sz w:val="20"/>
          <w:szCs w:val="20"/>
        </w:rPr>
      </w:pPr>
    </w:p>
    <w:p w:rsidR="00821030" w:rsidRDefault="00821030" w:rsidP="0052255F">
      <w:pPr>
        <w:ind w:left="709" w:right="560"/>
        <w:jc w:val="both"/>
        <w:rPr>
          <w:rFonts w:asciiTheme="minorHAnsi" w:hAnsiTheme="minorHAnsi" w:cstheme="minorHAnsi"/>
          <w:sz w:val="22"/>
          <w:szCs w:val="22"/>
        </w:rPr>
      </w:pPr>
    </w:p>
    <w:p w:rsidR="00A10783" w:rsidRDefault="00A10783" w:rsidP="0052255F">
      <w:pPr>
        <w:ind w:left="709" w:right="560"/>
        <w:jc w:val="both"/>
        <w:rPr>
          <w:rFonts w:asciiTheme="minorHAnsi" w:hAnsiTheme="minorHAnsi" w:cstheme="minorHAnsi"/>
          <w:sz w:val="22"/>
          <w:szCs w:val="22"/>
        </w:rPr>
      </w:pPr>
    </w:p>
    <w:p w:rsidR="00A10783" w:rsidRDefault="00A10783" w:rsidP="0052255F">
      <w:pPr>
        <w:ind w:left="709" w:right="560"/>
        <w:jc w:val="both"/>
        <w:rPr>
          <w:rFonts w:asciiTheme="minorHAnsi" w:hAnsiTheme="minorHAnsi" w:cstheme="minorHAnsi"/>
          <w:sz w:val="22"/>
          <w:szCs w:val="22"/>
        </w:rPr>
      </w:pPr>
    </w:p>
    <w:p w:rsidR="00E5713A" w:rsidRDefault="00E5713A" w:rsidP="00E5713A">
      <w:pPr>
        <w:pStyle w:val="Heading1"/>
        <w:jc w:val="center"/>
        <w:rPr>
          <w:rFonts w:asciiTheme="minorHAnsi" w:hAnsiTheme="minorHAnsi" w:cstheme="minorHAnsi"/>
          <w:b/>
          <w:color w:val="000000" w:themeColor="text1"/>
          <w:sz w:val="24"/>
          <w:szCs w:val="24"/>
        </w:rPr>
      </w:pPr>
      <w:bookmarkStart w:id="67" w:name="_Toc43342399"/>
      <w:r w:rsidRPr="00717D4D">
        <w:rPr>
          <w:rFonts w:asciiTheme="minorHAnsi" w:hAnsiTheme="minorHAnsi" w:cstheme="minorHAnsi"/>
          <w:b/>
          <w:color w:val="000000" w:themeColor="text1"/>
          <w:sz w:val="24"/>
          <w:szCs w:val="24"/>
        </w:rPr>
        <w:lastRenderedPageBreak/>
        <w:t>RISPOSTA IMMUNITARIA</w:t>
      </w:r>
      <w:r w:rsidR="00CC2C53" w:rsidRPr="00717D4D">
        <w:rPr>
          <w:rFonts w:asciiTheme="minorHAnsi" w:hAnsiTheme="minorHAnsi" w:cstheme="minorHAnsi"/>
          <w:b/>
          <w:color w:val="000000" w:themeColor="text1"/>
          <w:sz w:val="24"/>
          <w:szCs w:val="24"/>
        </w:rPr>
        <w:t xml:space="preserve">, </w:t>
      </w:r>
      <w:r w:rsidRPr="00717D4D">
        <w:rPr>
          <w:rFonts w:asciiTheme="minorHAnsi" w:hAnsiTheme="minorHAnsi" w:cstheme="minorHAnsi"/>
          <w:b/>
          <w:color w:val="000000" w:themeColor="text1"/>
          <w:sz w:val="24"/>
          <w:szCs w:val="24"/>
        </w:rPr>
        <w:t>ETÀ</w:t>
      </w:r>
      <w:r w:rsidR="00CC2C53" w:rsidRPr="00717D4D">
        <w:rPr>
          <w:rFonts w:asciiTheme="minorHAnsi" w:hAnsiTheme="minorHAnsi" w:cstheme="minorHAnsi"/>
          <w:b/>
          <w:color w:val="000000" w:themeColor="text1"/>
          <w:sz w:val="24"/>
          <w:szCs w:val="24"/>
        </w:rPr>
        <w:t xml:space="preserve"> E DIFFERENZA DI GENERE</w:t>
      </w:r>
      <w:bookmarkEnd w:id="67"/>
    </w:p>
    <w:p w:rsidR="00A10783" w:rsidRPr="00A10783" w:rsidRDefault="00A10783" w:rsidP="00A10783"/>
    <w:p w:rsidR="00E5713A" w:rsidRPr="00717D4D" w:rsidRDefault="00E5713A" w:rsidP="00E5713A">
      <w:pPr>
        <w:autoSpaceDE w:val="0"/>
        <w:autoSpaceDN w:val="0"/>
        <w:adjustRightInd w:val="0"/>
        <w:jc w:val="both"/>
        <w:rPr>
          <w:rFonts w:asciiTheme="minorHAnsi" w:hAnsiTheme="minorHAnsi" w:cstheme="minorHAnsi"/>
          <w:b/>
        </w:rPr>
      </w:pPr>
    </w:p>
    <w:p w:rsidR="00E5713A" w:rsidRPr="00B80B1B" w:rsidRDefault="00E5713A" w:rsidP="00A10783">
      <w:pPr>
        <w:pStyle w:val="Heading2"/>
        <w:shd w:val="clear" w:color="auto" w:fill="E2EFD9" w:themeFill="accent6" w:themeFillTint="33"/>
        <w:jc w:val="center"/>
        <w:rPr>
          <w:rFonts w:asciiTheme="minorHAnsi" w:hAnsiTheme="minorHAnsi" w:cstheme="minorHAnsi"/>
          <w:b/>
          <w:color w:val="000000" w:themeColor="text1"/>
          <w:sz w:val="22"/>
          <w:szCs w:val="22"/>
        </w:rPr>
      </w:pPr>
      <w:bookmarkStart w:id="68" w:name="_Toc43342400"/>
      <w:r w:rsidRPr="00B757AA">
        <w:rPr>
          <w:rFonts w:asciiTheme="minorHAnsi" w:hAnsiTheme="minorHAnsi" w:cstheme="minorHAnsi"/>
          <w:b/>
          <w:color w:val="C00000"/>
          <w:sz w:val="24"/>
          <w:szCs w:val="24"/>
        </w:rPr>
        <w:t>Età pediatrica</w:t>
      </w:r>
      <w:r w:rsidRPr="00B757AA">
        <w:rPr>
          <w:rFonts w:asciiTheme="minorHAnsi" w:hAnsiTheme="minorHAnsi" w:cstheme="minorHAnsi"/>
          <w:b/>
          <w:color w:val="C00000"/>
          <w:sz w:val="22"/>
          <w:szCs w:val="22"/>
        </w:rPr>
        <w:t xml:space="preserve"> </w:t>
      </w:r>
      <w:r w:rsidRPr="00B80B1B">
        <w:rPr>
          <w:rStyle w:val="FootnoteReference"/>
          <w:rFonts w:asciiTheme="minorHAnsi" w:hAnsiTheme="minorHAnsi" w:cstheme="minorHAnsi"/>
          <w:b/>
          <w:color w:val="000000" w:themeColor="text1"/>
          <w:sz w:val="22"/>
          <w:szCs w:val="22"/>
        </w:rPr>
        <w:footnoteReference w:id="124"/>
      </w:r>
      <w:bookmarkEnd w:id="68"/>
    </w:p>
    <w:p w:rsidR="00BC0D1C" w:rsidRPr="00B80B1B" w:rsidRDefault="00BC0D1C" w:rsidP="00E5713A">
      <w:pPr>
        <w:autoSpaceDE w:val="0"/>
        <w:autoSpaceDN w:val="0"/>
        <w:adjustRightInd w:val="0"/>
        <w:jc w:val="both"/>
        <w:rPr>
          <w:rFonts w:asciiTheme="minorHAnsi" w:hAnsiTheme="minorHAnsi" w:cstheme="minorHAnsi"/>
          <w:sz w:val="22"/>
          <w:szCs w:val="22"/>
        </w:rPr>
      </w:pPr>
    </w:p>
    <w:p w:rsidR="00B757AA" w:rsidRDefault="00E5713A" w:rsidP="00E5713A">
      <w:pPr>
        <w:autoSpaceDE w:val="0"/>
        <w:autoSpaceDN w:val="0"/>
        <w:adjustRightInd w:val="0"/>
        <w:jc w:val="both"/>
        <w:rPr>
          <w:rFonts w:asciiTheme="minorHAnsi" w:hAnsiTheme="minorHAnsi" w:cstheme="minorHAnsi"/>
          <w:sz w:val="20"/>
          <w:szCs w:val="20"/>
        </w:rPr>
      </w:pPr>
      <w:r w:rsidRPr="00B757AA">
        <w:rPr>
          <w:rFonts w:asciiTheme="minorHAnsi" w:hAnsiTheme="minorHAnsi" w:cstheme="minorHAnsi"/>
          <w:b/>
          <w:bCs/>
          <w:sz w:val="20"/>
          <w:szCs w:val="20"/>
        </w:rPr>
        <w:t xml:space="preserve">Il sistema immunitario nei neonati presenta una </w:t>
      </w:r>
      <w:r w:rsidRPr="00A10783">
        <w:rPr>
          <w:rFonts w:asciiTheme="minorHAnsi" w:hAnsiTheme="minorHAnsi" w:cstheme="minorHAnsi"/>
          <w:b/>
          <w:bCs/>
          <w:sz w:val="20"/>
          <w:szCs w:val="20"/>
          <w:shd w:val="clear" w:color="auto" w:fill="FBF9E1"/>
        </w:rPr>
        <w:t>diminuita risposta innata</w:t>
      </w:r>
      <w:r w:rsidRPr="00B757AA">
        <w:rPr>
          <w:rFonts w:asciiTheme="minorHAnsi" w:hAnsiTheme="minorHAnsi" w:cstheme="minorHAnsi"/>
          <w:b/>
          <w:bCs/>
          <w:sz w:val="20"/>
          <w:szCs w:val="20"/>
        </w:rPr>
        <w:t xml:space="preserve"> con una maggiore suscettibilità alle infezioni viral</w:t>
      </w:r>
      <w:r w:rsidRPr="00A10783">
        <w:rPr>
          <w:rFonts w:asciiTheme="minorHAnsi" w:hAnsiTheme="minorHAnsi" w:cstheme="minorHAnsi"/>
          <w:b/>
          <w:bCs/>
          <w:sz w:val="20"/>
          <w:szCs w:val="20"/>
        </w:rPr>
        <w:t>i</w:t>
      </w:r>
      <w:r w:rsidRPr="00B757AA">
        <w:rPr>
          <w:rFonts w:asciiTheme="minorHAnsi" w:hAnsiTheme="minorHAnsi" w:cstheme="minorHAnsi"/>
          <w:sz w:val="20"/>
          <w:szCs w:val="20"/>
        </w:rPr>
        <w:t xml:space="preserve"> (</w:t>
      </w:r>
      <w:r w:rsidRPr="00B757AA">
        <w:rPr>
          <w:rFonts w:asciiTheme="minorHAnsi" w:hAnsiTheme="minorHAnsi" w:cstheme="minorHAnsi"/>
          <w:color w:val="231F20"/>
          <w:sz w:val="20"/>
          <w:szCs w:val="20"/>
        </w:rPr>
        <w:t>virus sinciziale respiratorio, herpes simplex virus and citomegalovirus)</w:t>
      </w:r>
      <w:r w:rsidRPr="00B757AA">
        <w:rPr>
          <w:rFonts w:asciiTheme="minorHAnsi" w:hAnsiTheme="minorHAnsi" w:cstheme="minorHAnsi"/>
          <w:sz w:val="20"/>
          <w:szCs w:val="20"/>
        </w:rPr>
        <w:t xml:space="preserve">, </w:t>
      </w:r>
      <w:r w:rsidR="00364987" w:rsidRPr="00B757AA">
        <w:rPr>
          <w:rFonts w:asciiTheme="minorHAnsi" w:hAnsiTheme="minorHAnsi" w:cstheme="minorHAnsi"/>
          <w:sz w:val="20"/>
          <w:szCs w:val="20"/>
        </w:rPr>
        <w:t>M</w:t>
      </w:r>
      <w:r w:rsidRPr="00B757AA">
        <w:rPr>
          <w:rFonts w:asciiTheme="minorHAnsi" w:hAnsiTheme="minorHAnsi" w:cstheme="minorHAnsi"/>
          <w:iCs/>
          <w:sz w:val="20"/>
          <w:szCs w:val="20"/>
        </w:rPr>
        <w:t>ycobacterium tubercolosis e Salmonella sp</w:t>
      </w:r>
      <w:r w:rsidRPr="00B757AA">
        <w:rPr>
          <w:rFonts w:asciiTheme="minorHAnsi" w:hAnsiTheme="minorHAnsi" w:cstheme="minorHAnsi"/>
          <w:sz w:val="20"/>
          <w:szCs w:val="20"/>
        </w:rPr>
        <w:t xml:space="preserve">. </w:t>
      </w:r>
    </w:p>
    <w:p w:rsidR="00B757AA" w:rsidRDefault="00B757AA" w:rsidP="00E5713A">
      <w:pPr>
        <w:autoSpaceDE w:val="0"/>
        <w:autoSpaceDN w:val="0"/>
        <w:adjustRightInd w:val="0"/>
        <w:jc w:val="both"/>
        <w:rPr>
          <w:rFonts w:asciiTheme="minorHAnsi" w:hAnsiTheme="minorHAnsi" w:cstheme="minorHAnsi"/>
          <w:sz w:val="20"/>
          <w:szCs w:val="20"/>
        </w:rPr>
      </w:pPr>
    </w:p>
    <w:p w:rsidR="00B757AA" w:rsidRDefault="00E5713A" w:rsidP="00E5713A">
      <w:pPr>
        <w:autoSpaceDE w:val="0"/>
        <w:autoSpaceDN w:val="0"/>
        <w:adjustRightInd w:val="0"/>
        <w:jc w:val="both"/>
        <w:rPr>
          <w:rFonts w:asciiTheme="minorHAnsi" w:hAnsiTheme="minorHAnsi" w:cstheme="minorHAnsi"/>
          <w:sz w:val="20"/>
          <w:szCs w:val="20"/>
        </w:rPr>
      </w:pPr>
      <w:r w:rsidRPr="00A10783">
        <w:rPr>
          <w:rFonts w:asciiTheme="minorHAnsi" w:hAnsiTheme="minorHAnsi" w:cstheme="minorHAnsi"/>
          <w:b/>
          <w:bCs/>
          <w:sz w:val="20"/>
          <w:szCs w:val="20"/>
          <w:shd w:val="clear" w:color="auto" w:fill="FBF9E1"/>
        </w:rPr>
        <w:t>Le cellule T nei neonati promuovono la tolleranza nei confronti delle proteine del self e presentano un profilo spostato verso il Th2</w:t>
      </w:r>
      <w:r w:rsidRPr="00B757AA">
        <w:rPr>
          <w:rFonts w:asciiTheme="minorHAnsi" w:hAnsiTheme="minorHAnsi" w:cstheme="minorHAnsi"/>
          <w:sz w:val="20"/>
          <w:szCs w:val="20"/>
        </w:rPr>
        <w:t xml:space="preserve"> con una scarsa risposta verso gli antigeni estranei, dovuto alla necessità di poter creare una simbiosi con il microbiota e il viroma fisiologico e per evitare il danno tissutale in un periodo di rapida crescita dell’organismo. </w:t>
      </w:r>
      <w:r w:rsidR="003F5F91" w:rsidRPr="00B757AA">
        <w:rPr>
          <w:rStyle w:val="FootnoteReference"/>
          <w:rFonts w:asciiTheme="minorHAnsi" w:hAnsiTheme="minorHAnsi" w:cstheme="minorHAnsi"/>
          <w:sz w:val="20"/>
          <w:szCs w:val="20"/>
        </w:rPr>
        <w:footnoteReference w:id="125"/>
      </w:r>
      <w:r w:rsidR="003F5F91" w:rsidRPr="00B757AA">
        <w:rPr>
          <w:rFonts w:asciiTheme="minorHAnsi" w:hAnsiTheme="minorHAnsi" w:cstheme="minorHAnsi"/>
          <w:sz w:val="20"/>
          <w:szCs w:val="20"/>
        </w:rPr>
        <w:t xml:space="preserve"> </w:t>
      </w:r>
    </w:p>
    <w:p w:rsidR="00340DBD" w:rsidRDefault="00E5713A" w:rsidP="00E5713A">
      <w:pPr>
        <w:autoSpaceDE w:val="0"/>
        <w:autoSpaceDN w:val="0"/>
        <w:adjustRightInd w:val="0"/>
        <w:jc w:val="both"/>
        <w:rPr>
          <w:rFonts w:asciiTheme="minorHAnsi" w:hAnsiTheme="minorHAnsi" w:cstheme="minorHAnsi"/>
          <w:sz w:val="20"/>
          <w:szCs w:val="20"/>
        </w:rPr>
      </w:pPr>
      <w:r w:rsidRPr="00B757AA">
        <w:rPr>
          <w:rFonts w:asciiTheme="minorHAnsi" w:hAnsiTheme="minorHAnsi" w:cstheme="minorHAnsi"/>
          <w:sz w:val="20"/>
          <w:szCs w:val="20"/>
        </w:rPr>
        <w:lastRenderedPageBreak/>
        <w:t xml:space="preserve">Alla nascita le cellule B1 costituiscono il 40% delle cellule B del sangue periferico e questa frequenza rimane alta per qualche mese. </w:t>
      </w:r>
      <w:r w:rsidR="00AC79F4" w:rsidRPr="00B757AA">
        <w:rPr>
          <w:rStyle w:val="FootnoteReference"/>
          <w:rFonts w:asciiTheme="minorHAnsi" w:hAnsiTheme="minorHAnsi" w:cstheme="minorHAnsi"/>
          <w:sz w:val="20"/>
          <w:szCs w:val="20"/>
        </w:rPr>
        <w:footnoteReference w:id="126"/>
      </w:r>
      <w:r w:rsidR="00C25FC3" w:rsidRPr="00B757AA">
        <w:rPr>
          <w:rFonts w:asciiTheme="minorHAnsi" w:hAnsiTheme="minorHAnsi" w:cstheme="minorHAnsi"/>
          <w:sz w:val="20"/>
          <w:szCs w:val="20"/>
        </w:rPr>
        <w:t xml:space="preserve"> </w:t>
      </w:r>
      <w:r w:rsidRPr="00B757AA">
        <w:rPr>
          <w:rFonts w:asciiTheme="minorHAnsi" w:hAnsiTheme="minorHAnsi" w:cstheme="minorHAnsi"/>
          <w:sz w:val="20"/>
          <w:szCs w:val="20"/>
        </w:rPr>
        <w:t>L'efficienza del sistema immunitario adatt</w:t>
      </w:r>
      <w:r w:rsidR="00364987" w:rsidRPr="00B757AA">
        <w:rPr>
          <w:rFonts w:asciiTheme="minorHAnsi" w:hAnsiTheme="minorHAnsi" w:cstheme="minorHAnsi"/>
          <w:sz w:val="20"/>
          <w:szCs w:val="20"/>
        </w:rPr>
        <w:t>at</w:t>
      </w:r>
      <w:r w:rsidRPr="00B757AA">
        <w:rPr>
          <w:rFonts w:asciiTheme="minorHAnsi" w:hAnsiTheme="minorHAnsi" w:cstheme="minorHAnsi"/>
          <w:sz w:val="20"/>
          <w:szCs w:val="20"/>
        </w:rPr>
        <w:t xml:space="preserve">ivo </w:t>
      </w:r>
      <w:r w:rsidR="00364987" w:rsidRPr="00B757AA">
        <w:rPr>
          <w:rFonts w:asciiTheme="minorHAnsi" w:hAnsiTheme="minorHAnsi" w:cstheme="minorHAnsi"/>
          <w:sz w:val="20"/>
          <w:szCs w:val="20"/>
        </w:rPr>
        <w:t xml:space="preserve">necessario </w:t>
      </w:r>
      <w:r w:rsidRPr="00B757AA">
        <w:rPr>
          <w:rFonts w:asciiTheme="minorHAnsi" w:hAnsiTheme="minorHAnsi" w:cstheme="minorHAnsi"/>
          <w:sz w:val="20"/>
          <w:szCs w:val="20"/>
        </w:rPr>
        <w:t>per rispondere agli antigeni cellulari T-dipendenti in maniera precoce</w:t>
      </w:r>
      <w:r w:rsidR="00364987" w:rsidRPr="00B757AA">
        <w:rPr>
          <w:rFonts w:asciiTheme="minorHAnsi" w:hAnsiTheme="minorHAnsi" w:cstheme="minorHAnsi"/>
          <w:sz w:val="20"/>
          <w:szCs w:val="20"/>
        </w:rPr>
        <w:t>,</w:t>
      </w:r>
      <w:r w:rsidRPr="00B757AA">
        <w:rPr>
          <w:rFonts w:asciiTheme="minorHAnsi" w:hAnsiTheme="minorHAnsi" w:cstheme="minorHAnsi"/>
          <w:sz w:val="20"/>
          <w:szCs w:val="20"/>
        </w:rPr>
        <w:t xml:space="preserve"> è notevolmente limitata nei neonati rispetto ai bambini più grandi e agli adulti.</w:t>
      </w:r>
      <w:r w:rsidR="00340DBD" w:rsidRPr="00B757AA">
        <w:rPr>
          <w:rFonts w:asciiTheme="minorHAnsi" w:hAnsiTheme="minorHAnsi" w:cstheme="minorHAnsi"/>
          <w:sz w:val="20"/>
          <w:szCs w:val="20"/>
        </w:rPr>
        <w:t xml:space="preserve"> </w:t>
      </w:r>
    </w:p>
    <w:p w:rsidR="00B757AA" w:rsidRDefault="00B757AA" w:rsidP="00E5713A">
      <w:pPr>
        <w:autoSpaceDE w:val="0"/>
        <w:autoSpaceDN w:val="0"/>
        <w:adjustRightInd w:val="0"/>
        <w:jc w:val="both"/>
        <w:rPr>
          <w:rFonts w:asciiTheme="minorHAnsi" w:hAnsiTheme="minorHAnsi" w:cstheme="minorHAnsi"/>
          <w:sz w:val="20"/>
          <w:szCs w:val="20"/>
        </w:rPr>
      </w:pPr>
    </w:p>
    <w:p w:rsidR="00B757AA" w:rsidRPr="00A10783" w:rsidRDefault="00B757AA"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autoSpaceDE w:val="0"/>
        <w:autoSpaceDN w:val="0"/>
        <w:adjustRightInd w:val="0"/>
        <w:ind w:left="426" w:right="843"/>
        <w:jc w:val="both"/>
        <w:rPr>
          <w:rFonts w:asciiTheme="minorHAnsi" w:hAnsiTheme="minorHAnsi" w:cstheme="minorHAnsi"/>
          <w:i/>
          <w:iCs/>
          <w:sz w:val="20"/>
          <w:szCs w:val="20"/>
        </w:rPr>
      </w:pPr>
    </w:p>
    <w:p w:rsidR="00B635F5" w:rsidRPr="00A10783" w:rsidRDefault="00E5713A"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autoSpaceDE w:val="0"/>
        <w:autoSpaceDN w:val="0"/>
        <w:adjustRightInd w:val="0"/>
        <w:ind w:left="426" w:right="843"/>
        <w:jc w:val="both"/>
        <w:rPr>
          <w:rFonts w:asciiTheme="minorHAnsi" w:hAnsiTheme="minorHAnsi" w:cstheme="minorHAnsi"/>
          <w:i/>
          <w:iCs/>
          <w:sz w:val="20"/>
          <w:szCs w:val="20"/>
        </w:rPr>
      </w:pPr>
      <w:r w:rsidRPr="00A10783">
        <w:rPr>
          <w:rFonts w:asciiTheme="minorHAnsi" w:hAnsiTheme="minorHAnsi" w:cstheme="minorHAnsi"/>
          <w:i/>
          <w:iCs/>
          <w:sz w:val="20"/>
          <w:szCs w:val="20"/>
        </w:rPr>
        <w:t>Insieme alla ridotta immunità innata, le risposte deboli dei Th1 e anticorpali spiegano perché la mortalità neonatale può essere elevata in condizioni di aumentata esposizione ai patogeni</w:t>
      </w:r>
      <w:r w:rsidR="00C25FC3" w:rsidRPr="00A10783">
        <w:rPr>
          <w:rFonts w:asciiTheme="minorHAnsi" w:hAnsiTheme="minorHAnsi" w:cstheme="minorHAnsi"/>
          <w:i/>
          <w:iCs/>
          <w:sz w:val="20"/>
          <w:szCs w:val="20"/>
        </w:rPr>
        <w:t xml:space="preserve"> </w:t>
      </w:r>
      <w:r w:rsidR="00C25FC3" w:rsidRPr="00A10783">
        <w:rPr>
          <w:rStyle w:val="FootnoteReference"/>
          <w:rFonts w:asciiTheme="minorHAnsi" w:hAnsiTheme="minorHAnsi" w:cstheme="minorHAnsi"/>
          <w:i/>
          <w:iCs/>
          <w:sz w:val="20"/>
          <w:szCs w:val="20"/>
        </w:rPr>
        <w:footnoteReference w:id="127"/>
      </w:r>
      <w:r w:rsidRPr="00A10783">
        <w:rPr>
          <w:rFonts w:asciiTheme="minorHAnsi" w:hAnsiTheme="minorHAnsi" w:cstheme="minorHAnsi"/>
          <w:i/>
          <w:iCs/>
          <w:sz w:val="20"/>
          <w:szCs w:val="20"/>
        </w:rPr>
        <w:t xml:space="preserve"> e perché le vaccinazioni sono scarsamente efficaci. </w:t>
      </w:r>
    </w:p>
    <w:p w:rsidR="00B757AA" w:rsidRPr="001D6E3E" w:rsidRDefault="00B757AA"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autoSpaceDE w:val="0"/>
        <w:autoSpaceDN w:val="0"/>
        <w:adjustRightInd w:val="0"/>
        <w:ind w:left="426" w:right="843"/>
        <w:jc w:val="both"/>
        <w:rPr>
          <w:rFonts w:asciiTheme="minorHAnsi" w:hAnsiTheme="minorHAnsi" w:cstheme="minorHAnsi"/>
          <w:i/>
          <w:iCs/>
          <w:sz w:val="18"/>
          <w:szCs w:val="18"/>
        </w:rPr>
      </w:pPr>
    </w:p>
    <w:p w:rsidR="00097D67" w:rsidRPr="00B757AA" w:rsidRDefault="00097D67" w:rsidP="00E5713A">
      <w:pPr>
        <w:autoSpaceDE w:val="0"/>
        <w:autoSpaceDN w:val="0"/>
        <w:adjustRightInd w:val="0"/>
        <w:jc w:val="both"/>
        <w:rPr>
          <w:rFonts w:asciiTheme="minorHAnsi" w:hAnsiTheme="minorHAnsi" w:cstheme="minorHAnsi"/>
          <w:sz w:val="20"/>
          <w:szCs w:val="20"/>
        </w:rPr>
      </w:pPr>
    </w:p>
    <w:p w:rsidR="00097D67" w:rsidRPr="00B757AA" w:rsidRDefault="00097D67" w:rsidP="00097D67">
      <w:pPr>
        <w:rPr>
          <w:rFonts w:asciiTheme="minorHAnsi" w:hAnsiTheme="minorHAnsi"/>
          <w:sz w:val="20"/>
          <w:szCs w:val="20"/>
        </w:rPr>
      </w:pPr>
      <w:r w:rsidRPr="00B757AA">
        <w:rPr>
          <w:rFonts w:asciiTheme="minorHAnsi" w:hAnsiTheme="minorHAnsi" w:cstheme="minorHAnsi"/>
          <w:sz w:val="20"/>
          <w:szCs w:val="20"/>
        </w:rPr>
        <w:t>In particolare:</w:t>
      </w:r>
      <w:r w:rsidRPr="00B757AA">
        <w:rPr>
          <w:rStyle w:val="FootnoteReference"/>
          <w:rFonts w:asciiTheme="minorHAnsi" w:hAnsiTheme="minorHAnsi" w:cstheme="minorHAnsi"/>
          <w:sz w:val="20"/>
          <w:szCs w:val="20"/>
        </w:rPr>
        <w:footnoteReference w:id="128"/>
      </w:r>
      <w:r w:rsidRPr="00B757AA">
        <w:rPr>
          <w:rFonts w:asciiTheme="minorHAnsi" w:hAnsiTheme="minorHAnsi" w:cstheme="minorHAnsi"/>
          <w:sz w:val="20"/>
          <w:szCs w:val="20"/>
        </w:rPr>
        <w:t xml:space="preserve"> </w:t>
      </w:r>
    </w:p>
    <w:p w:rsidR="00097D67" w:rsidRDefault="00097D67" w:rsidP="00097D67">
      <w:pPr>
        <w:jc w:val="both"/>
        <w:rPr>
          <w:rFonts w:asciiTheme="minorHAnsi" w:hAnsiTheme="minorHAnsi"/>
          <w:sz w:val="20"/>
          <w:szCs w:val="20"/>
        </w:rPr>
      </w:pPr>
      <w:r w:rsidRPr="00A13443">
        <w:rPr>
          <w:rFonts w:asciiTheme="minorHAnsi" w:hAnsiTheme="minorHAnsi"/>
          <w:sz w:val="20"/>
          <w:szCs w:val="20"/>
        </w:rPr>
        <w:t xml:space="preserve">Il sistema immunitario fetale e neonatale è associato ad esigenze fisiologiche </w:t>
      </w:r>
      <w:r w:rsidR="00350CA4" w:rsidRPr="00A13443">
        <w:rPr>
          <w:rFonts w:asciiTheme="minorHAnsi" w:hAnsiTheme="minorHAnsi"/>
          <w:sz w:val="20"/>
          <w:szCs w:val="20"/>
        </w:rPr>
        <w:t>su</w:t>
      </w:r>
      <w:r w:rsidRPr="00A13443">
        <w:rPr>
          <w:rFonts w:asciiTheme="minorHAnsi" w:hAnsiTheme="minorHAnsi"/>
          <w:sz w:val="20"/>
          <w:szCs w:val="20"/>
        </w:rPr>
        <w:t xml:space="preserve"> tre livelli:</w:t>
      </w:r>
    </w:p>
    <w:p w:rsidR="00A13443" w:rsidRPr="00A13443" w:rsidRDefault="00A13443" w:rsidP="00097D67">
      <w:pPr>
        <w:jc w:val="both"/>
        <w:rPr>
          <w:rFonts w:asciiTheme="minorHAnsi" w:hAnsiTheme="minorHAnsi"/>
          <w:sz w:val="20"/>
          <w:szCs w:val="20"/>
        </w:rPr>
      </w:pPr>
    </w:p>
    <w:p w:rsidR="00097D67" w:rsidRPr="00A13443" w:rsidRDefault="00097D67" w:rsidP="009A3865">
      <w:pPr>
        <w:pStyle w:val="ListParagraph"/>
        <w:numPr>
          <w:ilvl w:val="0"/>
          <w:numId w:val="5"/>
        </w:numPr>
        <w:jc w:val="both"/>
        <w:rPr>
          <w:rFonts w:asciiTheme="minorHAnsi" w:hAnsiTheme="minorHAnsi" w:cstheme="minorHAnsi"/>
          <w:sz w:val="20"/>
          <w:szCs w:val="20"/>
        </w:rPr>
      </w:pPr>
      <w:r w:rsidRPr="00A10783">
        <w:rPr>
          <w:rFonts w:asciiTheme="minorHAnsi" w:hAnsiTheme="minorHAnsi"/>
          <w:b/>
          <w:bCs/>
          <w:sz w:val="20"/>
          <w:szCs w:val="20"/>
          <w:shd w:val="clear" w:color="auto" w:fill="FBF9E1"/>
        </w:rPr>
        <w:t>protezione contro le infezioni</w:t>
      </w:r>
      <w:r w:rsidRPr="00A13443">
        <w:rPr>
          <w:rFonts w:asciiTheme="minorHAnsi" w:hAnsiTheme="minorHAnsi"/>
          <w:sz w:val="20"/>
          <w:szCs w:val="20"/>
        </w:rPr>
        <w:t xml:space="preserve">, compresi i patogeni virali e batterici </w:t>
      </w:r>
      <w:r w:rsidR="00350CA4" w:rsidRPr="00A13443">
        <w:rPr>
          <w:rFonts w:asciiTheme="minorHAnsi" w:hAnsiTheme="minorHAnsi"/>
          <w:sz w:val="20"/>
          <w:szCs w:val="20"/>
        </w:rPr>
        <w:t xml:space="preserve">presenti </w:t>
      </w:r>
      <w:r w:rsidRPr="00A13443">
        <w:rPr>
          <w:rFonts w:asciiTheme="minorHAnsi" w:hAnsiTheme="minorHAnsi"/>
          <w:sz w:val="20"/>
          <w:szCs w:val="20"/>
        </w:rPr>
        <w:t xml:space="preserve">nell'interfaccia materno-fetale </w:t>
      </w:r>
      <w:r w:rsidR="00C16CA6" w:rsidRPr="00A13443">
        <w:rPr>
          <w:rFonts w:asciiTheme="minorHAnsi" w:hAnsiTheme="minorHAnsi"/>
          <w:color w:val="C00000"/>
          <w:sz w:val="20"/>
          <w:szCs w:val="20"/>
          <w:vertAlign w:val="superscript"/>
        </w:rPr>
        <w:t>[</w:t>
      </w:r>
      <w:r w:rsidRPr="00A13443">
        <w:rPr>
          <w:rFonts w:asciiTheme="minorHAnsi" w:hAnsiTheme="minorHAnsi"/>
          <w:color w:val="C00000"/>
          <w:sz w:val="20"/>
          <w:szCs w:val="20"/>
          <w:vertAlign w:val="superscript"/>
        </w:rPr>
        <w:t>1,2</w:t>
      </w:r>
      <w:r w:rsidR="00C16CA6" w:rsidRPr="00A13443">
        <w:rPr>
          <w:rFonts w:asciiTheme="minorHAnsi" w:hAnsiTheme="minorHAnsi"/>
          <w:color w:val="C00000"/>
          <w:sz w:val="20"/>
          <w:szCs w:val="20"/>
          <w:vertAlign w:val="superscript"/>
        </w:rPr>
        <w:t>]</w:t>
      </w:r>
    </w:p>
    <w:p w:rsidR="00A13443" w:rsidRPr="00A13443" w:rsidRDefault="00A13443" w:rsidP="00A13443">
      <w:pPr>
        <w:pStyle w:val="ListParagraph"/>
        <w:jc w:val="both"/>
        <w:rPr>
          <w:rFonts w:asciiTheme="minorHAnsi" w:hAnsiTheme="minorHAnsi" w:cstheme="minorHAnsi"/>
          <w:sz w:val="20"/>
          <w:szCs w:val="20"/>
        </w:rPr>
      </w:pPr>
    </w:p>
    <w:p w:rsidR="00097D67" w:rsidRPr="00A13443" w:rsidRDefault="00097D67" w:rsidP="009A3865">
      <w:pPr>
        <w:pStyle w:val="ListParagraph"/>
        <w:numPr>
          <w:ilvl w:val="0"/>
          <w:numId w:val="5"/>
        </w:numPr>
        <w:jc w:val="both"/>
        <w:rPr>
          <w:rFonts w:asciiTheme="minorHAnsi" w:hAnsiTheme="minorHAnsi" w:cstheme="minorHAnsi"/>
          <w:sz w:val="20"/>
          <w:szCs w:val="20"/>
        </w:rPr>
      </w:pPr>
      <w:r w:rsidRPr="00A10783">
        <w:rPr>
          <w:rFonts w:asciiTheme="minorHAnsi" w:hAnsiTheme="minorHAnsi"/>
          <w:b/>
          <w:bCs/>
          <w:sz w:val="20"/>
          <w:szCs w:val="20"/>
          <w:shd w:val="clear" w:color="auto" w:fill="FBF9E1"/>
        </w:rPr>
        <w:t>prevenzione di risposte pro-infiammatorie / (Th1)-polarizzate</w:t>
      </w:r>
      <w:r w:rsidRPr="00A13443">
        <w:rPr>
          <w:rFonts w:asciiTheme="minorHAnsi" w:hAnsiTheme="minorHAnsi"/>
          <w:sz w:val="20"/>
          <w:szCs w:val="20"/>
        </w:rPr>
        <w:t xml:space="preserve"> potenzialmente dannose che possono indurre reazioni allo-immuni, cioè di attacco da parte del sistema immunitario della madre verso il feto  </w:t>
      </w:r>
      <w:r w:rsidR="00C16CA6" w:rsidRPr="00A13443">
        <w:rPr>
          <w:rFonts w:asciiTheme="minorHAnsi" w:hAnsiTheme="minorHAnsi"/>
          <w:color w:val="C00000"/>
          <w:sz w:val="20"/>
          <w:szCs w:val="20"/>
          <w:vertAlign w:val="superscript"/>
        </w:rPr>
        <w:t>[</w:t>
      </w:r>
      <w:r w:rsidRPr="00A13443">
        <w:rPr>
          <w:rFonts w:asciiTheme="minorHAnsi" w:hAnsiTheme="minorHAnsi"/>
          <w:color w:val="C00000"/>
          <w:sz w:val="20"/>
          <w:szCs w:val="20"/>
          <w:vertAlign w:val="superscript"/>
        </w:rPr>
        <w:t>3</w:t>
      </w:r>
      <w:r w:rsidR="00C16CA6" w:rsidRPr="00A13443">
        <w:rPr>
          <w:rFonts w:asciiTheme="minorHAnsi" w:hAnsiTheme="minorHAnsi"/>
          <w:color w:val="C00000"/>
          <w:sz w:val="20"/>
          <w:szCs w:val="20"/>
          <w:vertAlign w:val="superscript"/>
        </w:rPr>
        <w:t>]</w:t>
      </w:r>
      <w:r w:rsidRPr="00A13443">
        <w:rPr>
          <w:rFonts w:asciiTheme="minorHAnsi" w:hAnsiTheme="minorHAnsi"/>
          <w:color w:val="C00000"/>
          <w:sz w:val="20"/>
          <w:szCs w:val="20"/>
        </w:rPr>
        <w:t xml:space="preserve"> </w:t>
      </w:r>
    </w:p>
    <w:p w:rsidR="00A13443" w:rsidRPr="00A13443" w:rsidRDefault="00A13443" w:rsidP="00A13443">
      <w:pPr>
        <w:jc w:val="both"/>
        <w:rPr>
          <w:rFonts w:asciiTheme="minorHAnsi" w:hAnsiTheme="minorHAnsi" w:cstheme="minorHAnsi"/>
          <w:sz w:val="20"/>
          <w:szCs w:val="20"/>
        </w:rPr>
      </w:pPr>
    </w:p>
    <w:p w:rsidR="00097D67" w:rsidRPr="00A13443" w:rsidRDefault="00097D67" w:rsidP="009A3865">
      <w:pPr>
        <w:pStyle w:val="ListParagraph"/>
        <w:numPr>
          <w:ilvl w:val="0"/>
          <w:numId w:val="5"/>
        </w:numPr>
        <w:jc w:val="both"/>
        <w:rPr>
          <w:rFonts w:asciiTheme="minorHAnsi" w:hAnsiTheme="minorHAnsi" w:cstheme="minorHAnsi"/>
          <w:sz w:val="20"/>
          <w:szCs w:val="20"/>
        </w:rPr>
      </w:pPr>
      <w:r w:rsidRPr="00A10783">
        <w:rPr>
          <w:rFonts w:asciiTheme="minorHAnsi" w:hAnsiTheme="minorHAnsi"/>
          <w:b/>
          <w:bCs/>
          <w:sz w:val="20"/>
          <w:szCs w:val="20"/>
          <w:shd w:val="clear" w:color="auto" w:fill="FBF9E1"/>
        </w:rPr>
        <w:t xml:space="preserve">mediazione della transizione </w:t>
      </w:r>
      <w:r w:rsidR="00350CA4" w:rsidRPr="00A10783">
        <w:rPr>
          <w:rFonts w:asciiTheme="minorHAnsi" w:hAnsiTheme="minorHAnsi"/>
          <w:b/>
          <w:bCs/>
          <w:sz w:val="20"/>
          <w:szCs w:val="20"/>
          <w:shd w:val="clear" w:color="auto" w:fill="FBF9E1"/>
        </w:rPr>
        <w:t>dal</w:t>
      </w:r>
      <w:r w:rsidRPr="00A10783">
        <w:rPr>
          <w:rFonts w:asciiTheme="minorHAnsi" w:hAnsiTheme="minorHAnsi"/>
          <w:b/>
          <w:bCs/>
          <w:sz w:val="20"/>
          <w:szCs w:val="20"/>
          <w:shd w:val="clear" w:color="auto" w:fill="FBF9E1"/>
        </w:rPr>
        <w:t>l'ambiente intrauterino</w:t>
      </w:r>
      <w:r w:rsidRPr="00A10783">
        <w:rPr>
          <w:rFonts w:asciiTheme="minorHAnsi" w:hAnsiTheme="minorHAnsi"/>
          <w:sz w:val="20"/>
          <w:szCs w:val="20"/>
          <w:shd w:val="clear" w:color="auto" w:fill="FBF9E1"/>
        </w:rPr>
        <w:t xml:space="preserve">, normalmente privo di agenti patogeni, </w:t>
      </w:r>
      <w:r w:rsidRPr="00A10783">
        <w:rPr>
          <w:rFonts w:asciiTheme="minorHAnsi" w:hAnsiTheme="minorHAnsi"/>
          <w:b/>
          <w:bCs/>
          <w:sz w:val="20"/>
          <w:szCs w:val="20"/>
          <w:shd w:val="clear" w:color="auto" w:fill="FBF9E1"/>
        </w:rPr>
        <w:t>verso l'ambiente esterno</w:t>
      </w:r>
      <w:r w:rsidRPr="00A10783">
        <w:rPr>
          <w:rFonts w:asciiTheme="minorHAnsi" w:hAnsiTheme="minorHAnsi"/>
          <w:sz w:val="20"/>
          <w:szCs w:val="20"/>
          <w:shd w:val="clear" w:color="auto" w:fill="FBF9E1"/>
        </w:rPr>
        <w:t xml:space="preserve"> ricco di antigeni</w:t>
      </w:r>
      <w:r w:rsidRPr="00A13443">
        <w:rPr>
          <w:rFonts w:asciiTheme="minorHAnsi" w:hAnsiTheme="minorHAnsi"/>
          <w:sz w:val="20"/>
          <w:szCs w:val="20"/>
        </w:rPr>
        <w:t>, inclusa la colonizzazione primaria della pelle</w:t>
      </w:r>
      <w:r w:rsidR="00C16CA6" w:rsidRPr="00A13443">
        <w:rPr>
          <w:rFonts w:asciiTheme="minorHAnsi" w:hAnsiTheme="minorHAnsi"/>
          <w:sz w:val="20"/>
          <w:szCs w:val="20"/>
        </w:rPr>
        <w:t xml:space="preserve"> </w:t>
      </w:r>
      <w:r w:rsidR="00C16CA6" w:rsidRPr="00A13443">
        <w:rPr>
          <w:rFonts w:asciiTheme="minorHAnsi" w:hAnsiTheme="minorHAnsi"/>
          <w:color w:val="C00000"/>
          <w:sz w:val="20"/>
          <w:szCs w:val="20"/>
          <w:vertAlign w:val="superscript"/>
        </w:rPr>
        <w:t>[</w:t>
      </w:r>
      <w:r w:rsidRPr="00A13443">
        <w:rPr>
          <w:rFonts w:asciiTheme="minorHAnsi" w:hAnsiTheme="minorHAnsi"/>
          <w:color w:val="C00000"/>
          <w:sz w:val="20"/>
          <w:szCs w:val="20"/>
          <w:vertAlign w:val="superscript"/>
        </w:rPr>
        <w:t>4</w:t>
      </w:r>
      <w:r w:rsidR="00C16CA6" w:rsidRPr="00A13443">
        <w:rPr>
          <w:rFonts w:asciiTheme="minorHAnsi" w:hAnsiTheme="minorHAnsi"/>
          <w:color w:val="C00000"/>
          <w:sz w:val="20"/>
          <w:szCs w:val="20"/>
          <w:vertAlign w:val="superscript"/>
        </w:rPr>
        <w:t>]</w:t>
      </w:r>
      <w:r w:rsidRPr="00A13443">
        <w:rPr>
          <w:rFonts w:asciiTheme="minorHAnsi" w:hAnsiTheme="minorHAnsi"/>
          <w:color w:val="C00000"/>
          <w:sz w:val="20"/>
          <w:szCs w:val="20"/>
        </w:rPr>
        <w:t xml:space="preserve"> </w:t>
      </w:r>
      <w:r w:rsidRPr="00A13443">
        <w:rPr>
          <w:rFonts w:asciiTheme="minorHAnsi" w:hAnsiTheme="minorHAnsi"/>
          <w:sz w:val="20"/>
          <w:szCs w:val="20"/>
        </w:rPr>
        <w:t xml:space="preserve">e del tratto intestinale </w:t>
      </w:r>
      <w:r w:rsidR="00C16CA6" w:rsidRPr="00A13443">
        <w:rPr>
          <w:rFonts w:asciiTheme="minorHAnsi" w:hAnsiTheme="minorHAnsi"/>
          <w:color w:val="C00000"/>
          <w:sz w:val="20"/>
          <w:szCs w:val="20"/>
          <w:vertAlign w:val="superscript"/>
        </w:rPr>
        <w:t>[</w:t>
      </w:r>
      <w:r w:rsidRPr="00A13443">
        <w:rPr>
          <w:rFonts w:asciiTheme="minorHAnsi" w:hAnsiTheme="minorHAnsi"/>
          <w:color w:val="C00000"/>
          <w:sz w:val="20"/>
          <w:szCs w:val="20"/>
          <w:vertAlign w:val="superscript"/>
        </w:rPr>
        <w:t>5</w:t>
      </w:r>
      <w:r w:rsidR="00C16CA6" w:rsidRPr="00A13443">
        <w:rPr>
          <w:rFonts w:asciiTheme="minorHAnsi" w:hAnsiTheme="minorHAnsi"/>
          <w:color w:val="C00000"/>
          <w:sz w:val="20"/>
          <w:szCs w:val="20"/>
          <w:vertAlign w:val="superscript"/>
        </w:rPr>
        <w:t>]</w:t>
      </w:r>
      <w:r w:rsidRPr="00A13443">
        <w:rPr>
          <w:rFonts w:asciiTheme="minorHAnsi" w:hAnsiTheme="minorHAnsi"/>
          <w:color w:val="C00000"/>
          <w:sz w:val="20"/>
          <w:szCs w:val="20"/>
        </w:rPr>
        <w:t xml:space="preserve"> </w:t>
      </w:r>
      <w:r w:rsidRPr="00A13443">
        <w:rPr>
          <w:rFonts w:asciiTheme="minorHAnsi" w:hAnsiTheme="minorHAnsi"/>
          <w:sz w:val="20"/>
          <w:szCs w:val="20"/>
        </w:rPr>
        <w:t>da parte d</w:t>
      </w:r>
      <w:r w:rsidR="00350CA4" w:rsidRPr="00A13443">
        <w:rPr>
          <w:rFonts w:asciiTheme="minorHAnsi" w:hAnsiTheme="minorHAnsi"/>
          <w:sz w:val="20"/>
          <w:szCs w:val="20"/>
        </w:rPr>
        <w:t>e</w:t>
      </w:r>
      <w:r w:rsidRPr="00A13443">
        <w:rPr>
          <w:rFonts w:asciiTheme="minorHAnsi" w:hAnsiTheme="minorHAnsi"/>
          <w:sz w:val="20"/>
          <w:szCs w:val="20"/>
        </w:rPr>
        <w:t>i microrganismi</w:t>
      </w:r>
      <w:r w:rsidR="00350CA4" w:rsidRPr="00A13443">
        <w:rPr>
          <w:rFonts w:asciiTheme="minorHAnsi" w:hAnsiTheme="minorHAnsi"/>
          <w:sz w:val="20"/>
          <w:szCs w:val="20"/>
        </w:rPr>
        <w:t>.</w:t>
      </w:r>
      <w:r w:rsidR="00651DD3" w:rsidRPr="00A13443">
        <w:rPr>
          <w:rFonts w:asciiTheme="minorHAnsi" w:hAnsiTheme="minorHAnsi"/>
          <w:sz w:val="20"/>
          <w:szCs w:val="20"/>
        </w:rPr>
        <w:t xml:space="preserve"> </w:t>
      </w:r>
    </w:p>
    <w:p w:rsidR="00097D67" w:rsidRPr="00A13443" w:rsidRDefault="00097D67" w:rsidP="00097D67">
      <w:pPr>
        <w:jc w:val="both"/>
        <w:rPr>
          <w:rFonts w:asciiTheme="minorHAnsi" w:hAnsiTheme="minorHAnsi" w:cstheme="minorHAnsi"/>
          <w:sz w:val="20"/>
          <w:szCs w:val="20"/>
        </w:rPr>
      </w:pPr>
    </w:p>
    <w:p w:rsidR="00097D67" w:rsidRDefault="00097D67" w:rsidP="00097D67">
      <w:pPr>
        <w:jc w:val="both"/>
        <w:rPr>
          <w:rFonts w:asciiTheme="minorHAnsi" w:hAnsiTheme="minorHAnsi" w:cstheme="minorHAnsi"/>
          <w:sz w:val="20"/>
          <w:szCs w:val="20"/>
        </w:rPr>
      </w:pPr>
      <w:r w:rsidRPr="00A13443">
        <w:rPr>
          <w:rFonts w:asciiTheme="minorHAnsi" w:hAnsiTheme="minorHAnsi" w:cstheme="minorHAnsi"/>
          <w:sz w:val="20"/>
          <w:szCs w:val="20"/>
        </w:rPr>
        <w:t xml:space="preserve">Il feto è un allotrapianto sulla madre ed è a rischio di rigetto, quindi c'è un </w:t>
      </w:r>
      <w:r w:rsidRPr="00A13443">
        <w:rPr>
          <w:rFonts w:asciiTheme="minorHAnsi" w:hAnsiTheme="minorHAnsi" w:cstheme="minorHAnsi"/>
          <w:b/>
          <w:bCs/>
          <w:sz w:val="20"/>
          <w:szCs w:val="20"/>
        </w:rPr>
        <w:t xml:space="preserve">forte spostamento </w:t>
      </w:r>
      <w:r w:rsidR="00350CA4" w:rsidRPr="00A13443">
        <w:rPr>
          <w:rFonts w:asciiTheme="minorHAnsi" w:hAnsiTheme="minorHAnsi" w:cstheme="minorHAnsi"/>
          <w:b/>
          <w:bCs/>
          <w:sz w:val="20"/>
          <w:szCs w:val="20"/>
        </w:rPr>
        <w:t>verso le</w:t>
      </w:r>
      <w:r w:rsidRPr="00A13443">
        <w:rPr>
          <w:rFonts w:asciiTheme="minorHAnsi" w:hAnsiTheme="minorHAnsi" w:cstheme="minorHAnsi"/>
          <w:b/>
          <w:bCs/>
          <w:sz w:val="20"/>
          <w:szCs w:val="20"/>
        </w:rPr>
        <w:t xml:space="preserve"> cellule T helper 2</w:t>
      </w:r>
      <w:r w:rsidRPr="00A13443">
        <w:rPr>
          <w:rFonts w:asciiTheme="minorHAnsi" w:hAnsiTheme="minorHAnsi" w:cstheme="minorHAnsi"/>
          <w:sz w:val="20"/>
          <w:szCs w:val="20"/>
        </w:rPr>
        <w:t xml:space="preserve"> (Th2) nelle risposte immunitarie fetali, una tendenza che si man</w:t>
      </w:r>
      <w:r w:rsidR="00350CA4" w:rsidRPr="00A13443">
        <w:rPr>
          <w:rFonts w:asciiTheme="minorHAnsi" w:hAnsiTheme="minorHAnsi" w:cstheme="minorHAnsi"/>
          <w:sz w:val="20"/>
          <w:szCs w:val="20"/>
        </w:rPr>
        <w:t>tiene</w:t>
      </w:r>
      <w:r w:rsidRPr="00A13443">
        <w:rPr>
          <w:rFonts w:asciiTheme="minorHAnsi" w:hAnsiTheme="minorHAnsi" w:cstheme="minorHAnsi"/>
          <w:sz w:val="20"/>
          <w:szCs w:val="20"/>
        </w:rPr>
        <w:t xml:space="preserve"> anche nel </w:t>
      </w:r>
      <w:r w:rsidR="00350CA4" w:rsidRPr="00A13443">
        <w:rPr>
          <w:rFonts w:asciiTheme="minorHAnsi" w:hAnsiTheme="minorHAnsi" w:cstheme="minorHAnsi"/>
          <w:sz w:val="20"/>
          <w:szCs w:val="20"/>
        </w:rPr>
        <w:t>periodo neonatale</w:t>
      </w:r>
      <w:r w:rsidRPr="00A13443">
        <w:rPr>
          <w:rFonts w:asciiTheme="minorHAnsi" w:hAnsiTheme="minorHAnsi" w:cstheme="minorHAnsi"/>
          <w:sz w:val="20"/>
          <w:szCs w:val="20"/>
        </w:rPr>
        <w:t xml:space="preserve">. </w:t>
      </w:r>
    </w:p>
    <w:p w:rsidR="00A13443" w:rsidRPr="00A13443" w:rsidRDefault="00A13443" w:rsidP="00097D67">
      <w:pPr>
        <w:jc w:val="both"/>
        <w:rPr>
          <w:rFonts w:asciiTheme="minorHAnsi" w:hAnsiTheme="minorHAnsi" w:cstheme="minorHAnsi"/>
          <w:sz w:val="20"/>
          <w:szCs w:val="20"/>
        </w:rPr>
      </w:pPr>
    </w:p>
    <w:p w:rsidR="00A13443" w:rsidRPr="00A10783" w:rsidRDefault="00A13443"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sz w:val="20"/>
          <w:szCs w:val="20"/>
        </w:rPr>
      </w:pPr>
    </w:p>
    <w:p w:rsidR="00A13443" w:rsidRPr="00A10783" w:rsidRDefault="00097D67"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vertAlign w:val="superscript"/>
        </w:rPr>
      </w:pPr>
      <w:r w:rsidRPr="00A10783">
        <w:rPr>
          <w:rFonts w:asciiTheme="minorHAnsi" w:hAnsiTheme="minorHAnsi" w:cstheme="minorHAnsi"/>
          <w:i/>
          <w:iCs/>
          <w:sz w:val="20"/>
          <w:szCs w:val="20"/>
        </w:rPr>
        <w:t xml:space="preserve">A causa della ridotta produzione di citochine associate alle cellule Th1, inizialmente si pensava che il sistema immunitario neonatale fosse immaturo o depresso; in realtà, i monociti neonatali e le cellule presentanti l'antigene (APC) mostrano una produzione ridotta di TNF, IL-12 e IFNγ, ma conservano la produzione di IL-6, IL-10 e IL-23, indice che il sistema immunitario è efficiente. </w:t>
      </w:r>
      <w:r w:rsidR="00C16CA6" w:rsidRPr="00A10783">
        <w:rPr>
          <w:rFonts w:asciiTheme="minorHAnsi" w:hAnsiTheme="minorHAnsi" w:cstheme="minorHAnsi"/>
          <w:i/>
          <w:iCs/>
          <w:color w:val="C00000"/>
          <w:sz w:val="20"/>
          <w:szCs w:val="20"/>
          <w:vertAlign w:val="superscript"/>
        </w:rPr>
        <w:t>[</w:t>
      </w:r>
      <w:r w:rsidRPr="00A10783">
        <w:rPr>
          <w:rFonts w:asciiTheme="minorHAnsi" w:hAnsiTheme="minorHAnsi" w:cstheme="minorHAnsi"/>
          <w:i/>
          <w:iCs/>
          <w:color w:val="C00000"/>
          <w:sz w:val="20"/>
          <w:szCs w:val="20"/>
          <w:vertAlign w:val="superscript"/>
        </w:rPr>
        <w:t>12-14</w:t>
      </w:r>
      <w:r w:rsidR="00C16CA6" w:rsidRPr="00A10783">
        <w:rPr>
          <w:rFonts w:asciiTheme="minorHAnsi" w:hAnsiTheme="minorHAnsi" w:cstheme="minorHAnsi"/>
          <w:i/>
          <w:iCs/>
          <w:color w:val="C00000"/>
          <w:sz w:val="20"/>
          <w:szCs w:val="20"/>
          <w:vertAlign w:val="superscript"/>
        </w:rPr>
        <w:t>]</w:t>
      </w:r>
      <w:r w:rsidRPr="00A10783">
        <w:rPr>
          <w:rFonts w:asciiTheme="minorHAnsi" w:hAnsiTheme="minorHAnsi" w:cstheme="minorHAnsi"/>
          <w:i/>
          <w:iCs/>
          <w:color w:val="C00000"/>
          <w:sz w:val="20"/>
          <w:szCs w:val="20"/>
          <w:vertAlign w:val="superscript"/>
        </w:rPr>
        <w:t xml:space="preserve"> </w:t>
      </w:r>
    </w:p>
    <w:p w:rsidR="00A13443" w:rsidRPr="00A10783" w:rsidRDefault="00A13443"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sz w:val="20"/>
          <w:szCs w:val="20"/>
          <w:vertAlign w:val="superscript"/>
        </w:rPr>
      </w:pPr>
    </w:p>
    <w:p w:rsidR="00A13443" w:rsidRDefault="00A13443" w:rsidP="00097D67">
      <w:pPr>
        <w:jc w:val="both"/>
        <w:rPr>
          <w:rFonts w:asciiTheme="minorHAnsi" w:hAnsiTheme="minorHAnsi" w:cstheme="minorHAnsi"/>
          <w:sz w:val="20"/>
          <w:szCs w:val="20"/>
          <w:vertAlign w:val="superscript"/>
        </w:rPr>
      </w:pPr>
    </w:p>
    <w:p w:rsidR="00A10783" w:rsidRDefault="00097D67" w:rsidP="00097D67">
      <w:pPr>
        <w:jc w:val="both"/>
        <w:rPr>
          <w:rFonts w:asciiTheme="minorHAnsi" w:hAnsiTheme="minorHAnsi" w:cstheme="minorHAnsi"/>
          <w:sz w:val="20"/>
          <w:szCs w:val="20"/>
        </w:rPr>
      </w:pPr>
      <w:r w:rsidRPr="00A13443">
        <w:rPr>
          <w:rFonts w:asciiTheme="minorHAnsi" w:hAnsiTheme="minorHAnsi" w:cstheme="minorHAnsi"/>
          <w:b/>
          <w:bCs/>
          <w:sz w:val="20"/>
          <w:szCs w:val="20"/>
        </w:rPr>
        <w:t xml:space="preserve">La nascita inizia una risposta </w:t>
      </w:r>
      <w:r w:rsidR="00A13443" w:rsidRPr="00A13443">
        <w:rPr>
          <w:rFonts w:asciiTheme="minorHAnsi" w:hAnsiTheme="minorHAnsi" w:cstheme="minorHAnsi"/>
          <w:b/>
          <w:bCs/>
          <w:sz w:val="20"/>
          <w:szCs w:val="20"/>
        </w:rPr>
        <w:t xml:space="preserve">infiammatoria </w:t>
      </w:r>
      <w:r w:rsidRPr="00A13443">
        <w:rPr>
          <w:rFonts w:asciiTheme="minorHAnsi" w:hAnsiTheme="minorHAnsi" w:cstheme="minorHAnsi"/>
          <w:b/>
          <w:bCs/>
          <w:sz w:val="20"/>
          <w:szCs w:val="20"/>
        </w:rPr>
        <w:t>acuta</w:t>
      </w:r>
      <w:r w:rsidRPr="00A13443">
        <w:rPr>
          <w:rFonts w:asciiTheme="minorHAnsi" w:hAnsiTheme="minorHAnsi" w:cstheme="minorHAnsi"/>
          <w:sz w:val="20"/>
          <w:szCs w:val="20"/>
        </w:rPr>
        <w:t xml:space="preserve"> caratterizzata dall'aumento dei livelli sierici di </w:t>
      </w:r>
      <w:r w:rsidRPr="00A13443">
        <w:rPr>
          <w:rFonts w:asciiTheme="minorHAnsi" w:hAnsiTheme="minorHAnsi" w:cstheme="minorHAnsi"/>
          <w:b/>
          <w:bCs/>
          <w:sz w:val="20"/>
          <w:szCs w:val="20"/>
        </w:rPr>
        <w:t>IL-6</w:t>
      </w:r>
      <w:r w:rsidRPr="00A13443">
        <w:rPr>
          <w:rFonts w:asciiTheme="minorHAnsi" w:hAnsiTheme="minorHAnsi" w:cstheme="minorHAnsi"/>
          <w:sz w:val="20"/>
          <w:szCs w:val="20"/>
        </w:rPr>
        <w:t xml:space="preserve"> e dall'aumento dei prodotti degli epatociti inducibili dall’IL-6 come la </w:t>
      </w:r>
      <w:r w:rsidRPr="00A13443">
        <w:rPr>
          <w:rFonts w:asciiTheme="minorHAnsi" w:hAnsiTheme="minorHAnsi" w:cstheme="minorHAnsi"/>
          <w:b/>
          <w:bCs/>
          <w:sz w:val="20"/>
          <w:szCs w:val="20"/>
        </w:rPr>
        <w:t>proteina C-reattiva</w:t>
      </w:r>
      <w:r w:rsidRPr="00A13443">
        <w:rPr>
          <w:rFonts w:asciiTheme="minorHAnsi" w:hAnsiTheme="minorHAnsi" w:cstheme="minorHAnsi"/>
          <w:sz w:val="20"/>
          <w:szCs w:val="20"/>
        </w:rPr>
        <w:t xml:space="preserve"> (CRP) e la proteina legante i lipopolisaccaridi (</w:t>
      </w:r>
      <w:r w:rsidRPr="00A13443">
        <w:rPr>
          <w:rFonts w:asciiTheme="minorHAnsi" w:hAnsiTheme="minorHAnsi" w:cstheme="minorHAnsi"/>
          <w:b/>
          <w:bCs/>
          <w:sz w:val="20"/>
          <w:szCs w:val="20"/>
        </w:rPr>
        <w:t>LPS</w:t>
      </w:r>
      <w:r w:rsidRPr="00A13443">
        <w:rPr>
          <w:rFonts w:asciiTheme="minorHAnsi" w:hAnsiTheme="minorHAnsi" w:cstheme="minorHAnsi"/>
          <w:sz w:val="20"/>
          <w:szCs w:val="20"/>
        </w:rPr>
        <w:t xml:space="preserve">). </w:t>
      </w:r>
    </w:p>
    <w:p w:rsidR="00097D67" w:rsidRPr="00A13443" w:rsidRDefault="00097D67" w:rsidP="00A10783">
      <w:pPr>
        <w:jc w:val="both"/>
        <w:rPr>
          <w:rFonts w:asciiTheme="minorHAnsi" w:hAnsiTheme="minorHAnsi" w:cstheme="minorHAnsi"/>
          <w:sz w:val="20"/>
          <w:szCs w:val="20"/>
        </w:rPr>
      </w:pPr>
      <w:r w:rsidRPr="00A13443">
        <w:rPr>
          <w:rFonts w:asciiTheme="minorHAnsi" w:hAnsiTheme="minorHAnsi" w:cstheme="minorHAnsi"/>
          <w:sz w:val="20"/>
          <w:szCs w:val="20"/>
        </w:rPr>
        <w:t xml:space="preserve">Si ipotizza che questa risposta possa servire ad eliminare microbi </w:t>
      </w:r>
      <w:r w:rsidR="00350CA4" w:rsidRPr="00A13443">
        <w:rPr>
          <w:rFonts w:asciiTheme="minorHAnsi" w:hAnsiTheme="minorHAnsi" w:cstheme="minorHAnsi"/>
          <w:sz w:val="20"/>
          <w:szCs w:val="20"/>
        </w:rPr>
        <w:t xml:space="preserve">dannosi e i loro prodotti </w:t>
      </w:r>
      <w:r w:rsidRPr="00A13443">
        <w:rPr>
          <w:rFonts w:asciiTheme="minorHAnsi" w:hAnsiTheme="minorHAnsi" w:cstheme="minorHAnsi"/>
          <w:sz w:val="20"/>
          <w:szCs w:val="20"/>
        </w:rPr>
        <w:t xml:space="preserve">che potrebbero passare attraverso le barriere della mucosa durante la nascita </w:t>
      </w:r>
      <w:r w:rsidR="00350CA4" w:rsidRPr="00A13443">
        <w:rPr>
          <w:rFonts w:asciiTheme="minorHAnsi" w:hAnsiTheme="minorHAnsi" w:cstheme="minorHAnsi"/>
          <w:sz w:val="20"/>
          <w:szCs w:val="20"/>
        </w:rPr>
        <w:t>o nella fase del</w:t>
      </w:r>
      <w:r w:rsidRPr="00A13443">
        <w:rPr>
          <w:rFonts w:asciiTheme="minorHAnsi" w:hAnsiTheme="minorHAnsi" w:cstheme="minorHAnsi"/>
          <w:sz w:val="20"/>
          <w:szCs w:val="20"/>
        </w:rPr>
        <w:t>la colonizzazione iniziale</w:t>
      </w:r>
      <w:r w:rsidRPr="00A13443">
        <w:rPr>
          <w:rFonts w:asciiTheme="minorHAnsi" w:hAnsiTheme="minorHAnsi" w:cstheme="minorHAnsi"/>
          <w:color w:val="000000" w:themeColor="text1"/>
          <w:sz w:val="20"/>
          <w:szCs w:val="20"/>
        </w:rPr>
        <w:t>.</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color w:val="C00000"/>
          <w:sz w:val="20"/>
          <w:szCs w:val="20"/>
          <w:vertAlign w:val="superscript"/>
        </w:rPr>
        <w:t>81, 12</w:t>
      </w:r>
      <w:r w:rsidR="00C16CA6" w:rsidRPr="00A13443">
        <w:rPr>
          <w:rFonts w:asciiTheme="minorHAnsi" w:hAnsiTheme="minorHAnsi" w:cstheme="minorHAnsi"/>
          <w:color w:val="C00000"/>
          <w:sz w:val="20"/>
          <w:szCs w:val="20"/>
          <w:vertAlign w:val="superscript"/>
        </w:rPr>
        <w:t>]</w:t>
      </w:r>
    </w:p>
    <w:p w:rsidR="00A13443" w:rsidRDefault="00097D67" w:rsidP="00097D67">
      <w:pPr>
        <w:jc w:val="both"/>
        <w:rPr>
          <w:rFonts w:asciiTheme="minorHAnsi" w:hAnsiTheme="minorHAnsi" w:cstheme="minorHAnsi"/>
          <w:sz w:val="20"/>
          <w:szCs w:val="20"/>
        </w:rPr>
      </w:pPr>
      <w:r w:rsidRPr="00A13443">
        <w:rPr>
          <w:rFonts w:asciiTheme="minorHAnsi" w:hAnsiTheme="minorHAnsi" w:cstheme="minorHAnsi"/>
          <w:sz w:val="20"/>
          <w:szCs w:val="20"/>
        </w:rPr>
        <w:lastRenderedPageBreak/>
        <w:t>Il significato fisiologico del profilo delle citochine prodotte nel neonato è osservabile studiando le conseguenze potenzialmente negative di una produzione eccessiva di citochine pro-infiammatorie</w:t>
      </w:r>
      <w:r w:rsidR="00350CA4" w:rsidRPr="00A13443">
        <w:rPr>
          <w:rFonts w:asciiTheme="minorHAnsi" w:hAnsiTheme="minorHAnsi" w:cstheme="minorHAnsi"/>
          <w:sz w:val="20"/>
          <w:szCs w:val="20"/>
        </w:rPr>
        <w:t>,</w:t>
      </w:r>
      <w:r w:rsidRPr="00A13443">
        <w:rPr>
          <w:rFonts w:asciiTheme="minorHAnsi" w:hAnsiTheme="minorHAnsi" w:cstheme="minorHAnsi"/>
          <w:sz w:val="20"/>
          <w:szCs w:val="20"/>
        </w:rPr>
        <w:t xml:space="preserve"> come il TNF, </w:t>
      </w:r>
      <w:r w:rsidR="00350CA4" w:rsidRPr="00A13443">
        <w:rPr>
          <w:rFonts w:asciiTheme="minorHAnsi" w:hAnsiTheme="minorHAnsi" w:cstheme="minorHAnsi"/>
          <w:sz w:val="20"/>
          <w:szCs w:val="20"/>
        </w:rPr>
        <w:t>quali la</w:t>
      </w:r>
      <w:r w:rsidRPr="00A13443">
        <w:rPr>
          <w:rFonts w:asciiTheme="minorHAnsi" w:hAnsiTheme="minorHAnsi" w:cstheme="minorHAnsi"/>
          <w:sz w:val="20"/>
          <w:szCs w:val="20"/>
        </w:rPr>
        <w:t xml:space="preserve"> ridotta crescita intrauterina </w:t>
      </w:r>
      <w:r w:rsidR="00C16CA6" w:rsidRPr="00A13443">
        <w:rPr>
          <w:rFonts w:asciiTheme="minorHAnsi" w:hAnsiTheme="minorHAnsi" w:cstheme="minorHAnsi"/>
          <w:sz w:val="20"/>
          <w:szCs w:val="20"/>
          <w:vertAlign w:val="superscript"/>
        </w:rPr>
        <w:t>[</w:t>
      </w:r>
      <w:r w:rsidRPr="00A13443">
        <w:rPr>
          <w:rFonts w:asciiTheme="minorHAnsi" w:hAnsiTheme="minorHAnsi" w:cstheme="minorHAnsi"/>
          <w:sz w:val="20"/>
          <w:szCs w:val="20"/>
          <w:vertAlign w:val="superscript"/>
        </w:rPr>
        <w:t>117</w:t>
      </w:r>
      <w:r w:rsidR="00C16CA6" w:rsidRPr="00A13443">
        <w:rPr>
          <w:rFonts w:asciiTheme="minorHAnsi" w:hAnsiTheme="minorHAnsi" w:cstheme="minorHAnsi"/>
          <w:sz w:val="20"/>
          <w:szCs w:val="20"/>
          <w:vertAlign w:val="superscript"/>
        </w:rPr>
        <w:t>]</w:t>
      </w:r>
      <w:r w:rsidRPr="00A13443">
        <w:rPr>
          <w:rFonts w:asciiTheme="minorHAnsi" w:hAnsiTheme="minorHAnsi" w:cstheme="minorHAnsi"/>
          <w:sz w:val="20"/>
          <w:szCs w:val="20"/>
        </w:rPr>
        <w:t xml:space="preserve"> e l’aborto spontaneo </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color w:val="C00000"/>
          <w:sz w:val="20"/>
          <w:szCs w:val="20"/>
          <w:vertAlign w:val="superscript"/>
        </w:rPr>
        <w:t>10</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sz w:val="20"/>
          <w:szCs w:val="20"/>
        </w:rPr>
        <w:t xml:space="preserve">. </w:t>
      </w:r>
    </w:p>
    <w:p w:rsidR="00A10783" w:rsidRDefault="00A10783" w:rsidP="00097D67">
      <w:pPr>
        <w:jc w:val="both"/>
        <w:rPr>
          <w:rFonts w:asciiTheme="minorHAnsi" w:hAnsiTheme="minorHAnsi" w:cstheme="minorHAnsi"/>
          <w:sz w:val="20"/>
          <w:szCs w:val="20"/>
        </w:rPr>
      </w:pPr>
    </w:p>
    <w:p w:rsidR="00097D67" w:rsidRPr="00A13443" w:rsidRDefault="00097D67" w:rsidP="00097D67">
      <w:pPr>
        <w:jc w:val="both"/>
        <w:rPr>
          <w:rFonts w:asciiTheme="minorHAnsi" w:hAnsiTheme="minorHAnsi" w:cstheme="minorHAnsi"/>
          <w:sz w:val="20"/>
          <w:szCs w:val="20"/>
        </w:rPr>
      </w:pPr>
      <w:r w:rsidRPr="00A13443">
        <w:rPr>
          <w:rFonts w:asciiTheme="minorHAnsi" w:hAnsiTheme="minorHAnsi" w:cstheme="minorHAnsi"/>
          <w:sz w:val="20"/>
          <w:szCs w:val="20"/>
        </w:rPr>
        <w:t xml:space="preserve">Inoltre, nuove prove indicano che l’induzione di citochine </w:t>
      </w:r>
      <w:r w:rsidR="00350CA4" w:rsidRPr="00A13443">
        <w:rPr>
          <w:rFonts w:asciiTheme="minorHAnsi" w:hAnsiTheme="minorHAnsi" w:cstheme="minorHAnsi"/>
          <w:sz w:val="20"/>
          <w:szCs w:val="20"/>
        </w:rPr>
        <w:t xml:space="preserve">pro-infiammatorie </w:t>
      </w:r>
      <w:r w:rsidRPr="00A13443">
        <w:rPr>
          <w:rFonts w:asciiTheme="minorHAnsi" w:hAnsiTheme="minorHAnsi" w:cstheme="minorHAnsi"/>
          <w:sz w:val="20"/>
          <w:szCs w:val="20"/>
        </w:rPr>
        <w:t xml:space="preserve">mediata dai TLR da parte della microglia </w:t>
      </w:r>
      <w:r w:rsidR="00350CA4" w:rsidRPr="00A13443">
        <w:rPr>
          <w:rFonts w:asciiTheme="minorHAnsi" w:hAnsiTheme="minorHAnsi" w:cstheme="minorHAnsi"/>
          <w:sz w:val="20"/>
          <w:szCs w:val="20"/>
        </w:rPr>
        <w:t xml:space="preserve">(i macrofagi del SNC) </w:t>
      </w:r>
      <w:r w:rsidRPr="00A13443">
        <w:rPr>
          <w:rFonts w:asciiTheme="minorHAnsi" w:hAnsiTheme="minorHAnsi" w:cstheme="minorHAnsi"/>
          <w:sz w:val="20"/>
          <w:szCs w:val="20"/>
        </w:rPr>
        <w:t xml:space="preserve">potrebbe contribuire al danno del sistema nervoso centrale nei neonati prematuri che può culminare </w:t>
      </w:r>
      <w:r w:rsidR="00350CA4" w:rsidRPr="00A13443">
        <w:rPr>
          <w:rFonts w:asciiTheme="minorHAnsi" w:hAnsiTheme="minorHAnsi" w:cstheme="minorHAnsi"/>
          <w:sz w:val="20"/>
          <w:szCs w:val="20"/>
        </w:rPr>
        <w:t>nella</w:t>
      </w:r>
      <w:r w:rsidRPr="00A13443">
        <w:rPr>
          <w:rFonts w:asciiTheme="minorHAnsi" w:hAnsiTheme="minorHAnsi" w:cstheme="minorHAnsi"/>
          <w:sz w:val="20"/>
          <w:szCs w:val="20"/>
        </w:rPr>
        <w:t xml:space="preserve"> paralisi cerebrale </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color w:val="C00000"/>
          <w:sz w:val="20"/>
          <w:szCs w:val="20"/>
          <w:vertAlign w:val="superscript"/>
        </w:rPr>
        <w:t>118,119</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sz w:val="20"/>
          <w:szCs w:val="20"/>
        </w:rPr>
        <w:t xml:space="preserve">, fornendo così ulteriori conferme </w:t>
      </w:r>
      <w:r w:rsidR="00350CA4" w:rsidRPr="00A13443">
        <w:rPr>
          <w:rFonts w:asciiTheme="minorHAnsi" w:hAnsiTheme="minorHAnsi" w:cstheme="minorHAnsi"/>
          <w:sz w:val="20"/>
          <w:szCs w:val="20"/>
        </w:rPr>
        <w:t>sulla funzione delle citochine prodotte</w:t>
      </w:r>
      <w:r w:rsidRPr="00A13443">
        <w:rPr>
          <w:rFonts w:asciiTheme="minorHAnsi" w:hAnsiTheme="minorHAnsi" w:cstheme="minorHAnsi"/>
          <w:sz w:val="20"/>
          <w:szCs w:val="20"/>
        </w:rPr>
        <w:t>.</w:t>
      </w:r>
    </w:p>
    <w:p w:rsidR="00097D67" w:rsidRPr="00A13443" w:rsidRDefault="00097D67" w:rsidP="00097D67">
      <w:pPr>
        <w:pStyle w:val="ListParagraph"/>
        <w:ind w:left="0"/>
        <w:jc w:val="both"/>
        <w:rPr>
          <w:rFonts w:asciiTheme="minorHAnsi" w:hAnsiTheme="minorHAnsi" w:cstheme="minorHAnsi"/>
          <w:sz w:val="20"/>
          <w:szCs w:val="20"/>
        </w:rPr>
      </w:pPr>
    </w:p>
    <w:p w:rsidR="00A13443" w:rsidRDefault="00097D67" w:rsidP="00097D67">
      <w:pPr>
        <w:jc w:val="both"/>
        <w:rPr>
          <w:rFonts w:asciiTheme="minorHAnsi" w:hAnsiTheme="minorHAnsi" w:cstheme="minorHAnsi"/>
          <w:sz w:val="20"/>
          <w:szCs w:val="20"/>
        </w:rPr>
      </w:pPr>
      <w:r w:rsidRPr="00A13443">
        <w:rPr>
          <w:rFonts w:asciiTheme="minorHAnsi" w:hAnsiTheme="minorHAnsi" w:cstheme="minorHAnsi"/>
          <w:sz w:val="20"/>
          <w:szCs w:val="20"/>
        </w:rPr>
        <w:t xml:space="preserve">Poco dopo la nascita, in seguito alla colonizzazione microbica iniziale, </w:t>
      </w:r>
      <w:r w:rsidRPr="00A13443">
        <w:rPr>
          <w:rFonts w:asciiTheme="minorHAnsi" w:hAnsiTheme="minorHAnsi" w:cstheme="minorHAnsi"/>
          <w:b/>
          <w:bCs/>
          <w:sz w:val="20"/>
          <w:szCs w:val="20"/>
        </w:rPr>
        <w:t>il tratto intestinale neonatale inibisce le sue risposte infiammatorie alle endotossine per evitare reazioni eccessive e potenzialmente dannose alla comune flora batterica Gram-negativa</w:t>
      </w:r>
      <w:r w:rsidRPr="00A13443">
        <w:rPr>
          <w:rFonts w:asciiTheme="minorHAnsi" w:hAnsiTheme="minorHAnsi" w:cstheme="minorHAnsi"/>
          <w:sz w:val="20"/>
          <w:szCs w:val="20"/>
        </w:rPr>
        <w:t xml:space="preserve">. </w:t>
      </w:r>
    </w:p>
    <w:p w:rsidR="00097D67" w:rsidRPr="00A13443" w:rsidRDefault="00097D67" w:rsidP="00097D67">
      <w:pPr>
        <w:jc w:val="both"/>
        <w:rPr>
          <w:rFonts w:asciiTheme="minorHAnsi" w:hAnsiTheme="minorHAnsi" w:cstheme="minorHAnsi"/>
          <w:sz w:val="20"/>
          <w:szCs w:val="20"/>
        </w:rPr>
      </w:pPr>
      <w:r w:rsidRPr="00A13443">
        <w:rPr>
          <w:rFonts w:asciiTheme="minorHAnsi" w:hAnsiTheme="minorHAnsi" w:cstheme="minorHAnsi"/>
          <w:sz w:val="20"/>
          <w:szCs w:val="20"/>
        </w:rPr>
        <w:t xml:space="preserve">L'immunità intestinale neonatale può essere significativamente modificata dall'allattamento al seno, ed è ipotizzato che </w:t>
      </w:r>
      <w:r w:rsidRPr="00A13443">
        <w:rPr>
          <w:rFonts w:asciiTheme="minorHAnsi" w:hAnsiTheme="minorHAnsi" w:cstheme="minorHAnsi"/>
          <w:b/>
          <w:bCs/>
          <w:sz w:val="20"/>
          <w:szCs w:val="20"/>
        </w:rPr>
        <w:t>l'effetto immunomodulante mediato dal latte materno sia quello di provocare infezioni subcliniche nell’intestino che stimolano gradualmente la memoria immunologica ad agenti patogeni</w:t>
      </w:r>
      <w:r w:rsidRPr="00A13443">
        <w:rPr>
          <w:rFonts w:asciiTheme="minorHAnsi" w:hAnsiTheme="minorHAnsi" w:cstheme="minorHAnsi"/>
          <w:sz w:val="20"/>
          <w:szCs w:val="20"/>
        </w:rPr>
        <w:t xml:space="preserve"> </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color w:val="C00000"/>
          <w:sz w:val="20"/>
          <w:szCs w:val="20"/>
          <w:vertAlign w:val="superscript"/>
        </w:rPr>
        <w:t>43</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sz w:val="20"/>
          <w:szCs w:val="20"/>
        </w:rPr>
        <w:t>.</w:t>
      </w:r>
    </w:p>
    <w:p w:rsidR="00097D67" w:rsidRPr="00A13443" w:rsidRDefault="00097D67" w:rsidP="00097D67">
      <w:pPr>
        <w:pStyle w:val="ListParagraph"/>
        <w:ind w:left="0"/>
        <w:jc w:val="both"/>
        <w:rPr>
          <w:rFonts w:asciiTheme="minorHAnsi" w:hAnsiTheme="minorHAnsi" w:cstheme="minorHAnsi"/>
          <w:sz w:val="20"/>
          <w:szCs w:val="20"/>
        </w:rPr>
      </w:pPr>
    </w:p>
    <w:p w:rsidR="00A13443" w:rsidRDefault="00097D67" w:rsidP="00097D67">
      <w:pPr>
        <w:jc w:val="both"/>
        <w:rPr>
          <w:rFonts w:asciiTheme="minorHAnsi" w:hAnsiTheme="minorHAnsi" w:cstheme="minorHAnsi"/>
          <w:sz w:val="20"/>
          <w:szCs w:val="20"/>
        </w:rPr>
      </w:pPr>
      <w:r w:rsidRPr="00A13443">
        <w:rPr>
          <w:rFonts w:asciiTheme="minorHAnsi" w:hAnsiTheme="minorHAnsi" w:cstheme="minorHAnsi"/>
          <w:sz w:val="20"/>
          <w:szCs w:val="20"/>
        </w:rPr>
        <w:t>Il tratto respiratorio neonatale manifesta una maturazione dipendente dall'età delle risposte mediate dai recettor</w:t>
      </w:r>
      <w:r w:rsidR="002840CC" w:rsidRPr="00A13443">
        <w:rPr>
          <w:rFonts w:asciiTheme="minorHAnsi" w:hAnsiTheme="minorHAnsi" w:cstheme="minorHAnsi"/>
          <w:sz w:val="20"/>
          <w:szCs w:val="20"/>
        </w:rPr>
        <w:t>i</w:t>
      </w:r>
      <w:r w:rsidRPr="00A13443">
        <w:rPr>
          <w:rFonts w:asciiTheme="minorHAnsi" w:hAnsiTheme="minorHAnsi" w:cstheme="minorHAnsi"/>
          <w:sz w:val="20"/>
          <w:szCs w:val="20"/>
        </w:rPr>
        <w:t xml:space="preserve"> Toll-like (TLR) e d</w:t>
      </w:r>
      <w:r w:rsidR="002840CC" w:rsidRPr="00A13443">
        <w:rPr>
          <w:rFonts w:asciiTheme="minorHAnsi" w:hAnsiTheme="minorHAnsi" w:cstheme="minorHAnsi"/>
          <w:sz w:val="20"/>
          <w:szCs w:val="20"/>
        </w:rPr>
        <w:t>a</w:t>
      </w:r>
      <w:r w:rsidRPr="00A13443">
        <w:rPr>
          <w:rFonts w:asciiTheme="minorHAnsi" w:hAnsiTheme="minorHAnsi" w:cstheme="minorHAnsi"/>
          <w:sz w:val="20"/>
          <w:szCs w:val="20"/>
        </w:rPr>
        <w:t xml:space="preserve">ll'espressione delle proteine ​​e dei peptidi antimicrobici (APP). </w:t>
      </w:r>
    </w:p>
    <w:p w:rsidR="00097D67" w:rsidRDefault="00097D67" w:rsidP="00097D67">
      <w:pPr>
        <w:jc w:val="both"/>
        <w:rPr>
          <w:rFonts w:asciiTheme="minorHAnsi" w:hAnsiTheme="minorHAnsi" w:cstheme="minorHAnsi"/>
          <w:sz w:val="20"/>
          <w:szCs w:val="20"/>
        </w:rPr>
      </w:pPr>
      <w:r w:rsidRPr="00A13443">
        <w:rPr>
          <w:rFonts w:asciiTheme="minorHAnsi" w:hAnsiTheme="minorHAnsi" w:cstheme="minorHAnsi"/>
          <w:sz w:val="20"/>
          <w:szCs w:val="20"/>
        </w:rPr>
        <w:t>Come porta d’ingresso principale per gli adiuvanti ambientali (aeroadiuvanti</w:t>
      </w:r>
      <w:r w:rsidR="002840CC" w:rsidRPr="00A13443">
        <w:rPr>
          <w:rFonts w:asciiTheme="minorHAnsi" w:hAnsiTheme="minorHAnsi" w:cstheme="minorHAnsi"/>
          <w:sz w:val="20"/>
          <w:szCs w:val="20"/>
        </w:rPr>
        <w:t>:</w:t>
      </w:r>
      <w:r w:rsidRPr="00A13443">
        <w:rPr>
          <w:rFonts w:asciiTheme="minorHAnsi" w:hAnsiTheme="minorHAnsi" w:cstheme="minorHAnsi"/>
          <w:sz w:val="20"/>
          <w:szCs w:val="20"/>
        </w:rPr>
        <w:t xml:space="preserve"> prodotti microbici agonisti de</w:t>
      </w:r>
      <w:r w:rsidR="002840CC" w:rsidRPr="00A13443">
        <w:rPr>
          <w:rFonts w:asciiTheme="minorHAnsi" w:hAnsiTheme="minorHAnsi" w:cstheme="minorHAnsi"/>
          <w:sz w:val="20"/>
          <w:szCs w:val="20"/>
        </w:rPr>
        <w:t>i</w:t>
      </w:r>
      <w:r w:rsidRPr="00A13443">
        <w:rPr>
          <w:rFonts w:asciiTheme="minorHAnsi" w:hAnsiTheme="minorHAnsi" w:cstheme="minorHAnsi"/>
          <w:sz w:val="20"/>
          <w:szCs w:val="20"/>
        </w:rPr>
        <w:t xml:space="preserve"> TLR) e gli antigeni (aeroallergeni), </w:t>
      </w:r>
      <w:r w:rsidRPr="00A13443">
        <w:rPr>
          <w:rFonts w:asciiTheme="minorHAnsi" w:hAnsiTheme="minorHAnsi" w:cstheme="minorHAnsi"/>
          <w:b/>
          <w:bCs/>
          <w:sz w:val="20"/>
          <w:szCs w:val="20"/>
        </w:rPr>
        <w:t>il tratto respiratorio potrebbe mediare la maturazione delle risposte cellulari di tipo Th1 neonatali e negli infanti</w:t>
      </w:r>
      <w:r w:rsidRPr="00A13443">
        <w:rPr>
          <w:rFonts w:asciiTheme="minorHAnsi" w:hAnsiTheme="minorHAnsi" w:cstheme="minorHAnsi"/>
          <w:sz w:val="20"/>
          <w:szCs w:val="20"/>
        </w:rPr>
        <w:t xml:space="preserve"> in seguito ad un'esposizione ripetuta a basse dosi agli agonisti TLR ambientali, come sostenuto dalla teoria dell’igiene</w:t>
      </w:r>
      <w:r w:rsidR="002840CC" w:rsidRPr="00A13443">
        <w:rPr>
          <w:rFonts w:asciiTheme="minorHAnsi" w:hAnsiTheme="minorHAnsi" w:cstheme="minorHAnsi"/>
          <w:sz w:val="20"/>
          <w:szCs w:val="20"/>
        </w:rPr>
        <w:t>.</w:t>
      </w:r>
      <w:r w:rsidRPr="00A13443">
        <w:rPr>
          <w:rFonts w:asciiTheme="minorHAnsi" w:hAnsiTheme="minorHAnsi" w:cstheme="minorHAnsi"/>
          <w:sz w:val="20"/>
          <w:szCs w:val="20"/>
        </w:rPr>
        <w:t xml:space="preserve"> </w:t>
      </w:r>
    </w:p>
    <w:p w:rsidR="00A13443" w:rsidRPr="00A13443" w:rsidRDefault="00A13443" w:rsidP="00097D67">
      <w:pPr>
        <w:jc w:val="both"/>
        <w:rPr>
          <w:rFonts w:asciiTheme="minorHAnsi" w:hAnsiTheme="minorHAnsi" w:cstheme="minorHAnsi"/>
          <w:sz w:val="20"/>
          <w:szCs w:val="20"/>
        </w:rPr>
      </w:pPr>
    </w:p>
    <w:p w:rsidR="00A13443" w:rsidRPr="00A10783" w:rsidRDefault="00A13443"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985"/>
        <w:jc w:val="both"/>
        <w:rPr>
          <w:rFonts w:asciiTheme="minorHAnsi" w:hAnsiTheme="minorHAnsi" w:cstheme="minorHAnsi"/>
          <w:i/>
          <w:iCs/>
          <w:sz w:val="20"/>
          <w:szCs w:val="20"/>
        </w:rPr>
      </w:pPr>
    </w:p>
    <w:p w:rsidR="00097D67" w:rsidRPr="00A10783" w:rsidRDefault="00A13443"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985"/>
        <w:jc w:val="both"/>
        <w:rPr>
          <w:rFonts w:asciiTheme="minorHAnsi" w:hAnsiTheme="minorHAnsi"/>
          <w:i/>
          <w:iCs/>
          <w:color w:val="C00000"/>
          <w:sz w:val="20"/>
          <w:szCs w:val="20"/>
          <w:vertAlign w:val="superscript"/>
        </w:rPr>
      </w:pPr>
      <w:r w:rsidRPr="00A10783">
        <w:rPr>
          <w:rFonts w:asciiTheme="minorHAnsi" w:hAnsiTheme="minorHAnsi" w:cstheme="minorHAnsi"/>
          <w:i/>
          <w:iCs/>
          <w:sz w:val="20"/>
          <w:szCs w:val="20"/>
        </w:rPr>
        <w:t xml:space="preserve">La </w:t>
      </w:r>
      <w:r w:rsidRPr="00A10783">
        <w:rPr>
          <w:rFonts w:asciiTheme="minorHAnsi" w:hAnsiTheme="minorHAnsi" w:cstheme="minorHAnsi"/>
          <w:b/>
          <w:bCs/>
          <w:i/>
          <w:iCs/>
          <w:sz w:val="20"/>
          <w:szCs w:val="20"/>
        </w:rPr>
        <w:t>teoria dell’igiene</w:t>
      </w:r>
      <w:r w:rsidRPr="00A10783">
        <w:rPr>
          <w:rFonts w:asciiTheme="minorHAnsi" w:hAnsiTheme="minorHAnsi" w:cstheme="minorHAnsi"/>
          <w:i/>
          <w:iCs/>
          <w:sz w:val="20"/>
          <w:szCs w:val="20"/>
        </w:rPr>
        <w:t xml:space="preserve"> </w:t>
      </w:r>
      <w:r w:rsidR="00097D67" w:rsidRPr="00A10783">
        <w:rPr>
          <w:rFonts w:asciiTheme="minorHAnsi" w:hAnsiTheme="minorHAnsi" w:cstheme="minorHAnsi"/>
          <w:i/>
          <w:iCs/>
          <w:sz w:val="20"/>
          <w:szCs w:val="20"/>
        </w:rPr>
        <w:t xml:space="preserve"> sostiene che l'esposizione ai componenti microbici, inclusi gli agonisti dei recettori Toll-like (TLR) durante le fasi di sviluppo neonatale, infanzia e pre-adolescenza, serva per polarizzare la risposta del sistema immunitario verso le cellule T helper 1 (TH1) rispetto ai Th2, riducendo così la probabilità di allergia e/o atopia. Coerente con questa ipotesi, ci sono risultati </w:t>
      </w:r>
      <w:r w:rsidR="002840CC" w:rsidRPr="00A10783">
        <w:rPr>
          <w:rFonts w:asciiTheme="minorHAnsi" w:hAnsiTheme="minorHAnsi" w:cstheme="minorHAnsi"/>
          <w:i/>
          <w:iCs/>
          <w:sz w:val="20"/>
          <w:szCs w:val="20"/>
        </w:rPr>
        <w:t>provenienti da</w:t>
      </w:r>
      <w:r w:rsidR="00097D67" w:rsidRPr="00A10783">
        <w:rPr>
          <w:rFonts w:asciiTheme="minorHAnsi" w:hAnsiTheme="minorHAnsi" w:cstheme="minorHAnsi"/>
          <w:i/>
          <w:iCs/>
          <w:sz w:val="20"/>
          <w:szCs w:val="20"/>
        </w:rPr>
        <w:t xml:space="preserve"> studi epidemiologici che dimostrano un’associazione inversa tra l’incidenza delle infezioni e l’autoimmunità/allergie</w:t>
      </w:r>
      <w:r w:rsidR="002840CC" w:rsidRPr="00A10783">
        <w:rPr>
          <w:rFonts w:asciiTheme="minorHAnsi" w:hAnsiTheme="minorHAnsi" w:cstheme="minorHAnsi"/>
          <w:i/>
          <w:iCs/>
          <w:sz w:val="20"/>
          <w:szCs w:val="20"/>
        </w:rPr>
        <w:t>.</w:t>
      </w:r>
      <w:r w:rsidR="00097D67" w:rsidRPr="00A10783">
        <w:rPr>
          <w:rFonts w:asciiTheme="minorHAnsi" w:hAnsiTheme="minorHAnsi" w:cstheme="minorHAnsi"/>
          <w:i/>
          <w:iCs/>
          <w:sz w:val="20"/>
          <w:szCs w:val="20"/>
        </w:rPr>
        <w:t xml:space="preserve"> </w:t>
      </w:r>
      <w:r w:rsidR="00C16CA6" w:rsidRPr="00A10783">
        <w:rPr>
          <w:rFonts w:asciiTheme="minorHAnsi" w:hAnsiTheme="minorHAnsi" w:cstheme="minorHAnsi"/>
          <w:i/>
          <w:iCs/>
          <w:color w:val="C00000"/>
          <w:sz w:val="20"/>
          <w:szCs w:val="20"/>
          <w:vertAlign w:val="superscript"/>
        </w:rPr>
        <w:t>[</w:t>
      </w:r>
      <w:r w:rsidR="00097D67" w:rsidRPr="00A10783">
        <w:rPr>
          <w:rFonts w:asciiTheme="minorHAnsi" w:hAnsiTheme="minorHAnsi"/>
          <w:i/>
          <w:iCs/>
          <w:color w:val="C00000"/>
          <w:sz w:val="20"/>
          <w:szCs w:val="20"/>
          <w:vertAlign w:val="superscript"/>
        </w:rPr>
        <w:t>18,63</w:t>
      </w:r>
      <w:r w:rsidR="00C16CA6" w:rsidRPr="00A10783">
        <w:rPr>
          <w:rFonts w:asciiTheme="minorHAnsi" w:hAnsiTheme="minorHAnsi"/>
          <w:i/>
          <w:iCs/>
          <w:color w:val="C00000"/>
          <w:sz w:val="20"/>
          <w:szCs w:val="20"/>
          <w:vertAlign w:val="superscript"/>
        </w:rPr>
        <w:t>]</w:t>
      </w:r>
    </w:p>
    <w:p w:rsidR="00A13443" w:rsidRPr="00A10783" w:rsidRDefault="00A13443"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985"/>
        <w:jc w:val="both"/>
        <w:rPr>
          <w:rFonts w:asciiTheme="minorHAnsi" w:hAnsiTheme="minorHAnsi" w:cstheme="minorHAnsi"/>
          <w:i/>
          <w:iCs/>
          <w:color w:val="C00000"/>
          <w:sz w:val="20"/>
          <w:szCs w:val="20"/>
        </w:rPr>
      </w:pPr>
    </w:p>
    <w:p w:rsidR="001D6E3E" w:rsidRDefault="001D6E3E" w:rsidP="00097D67">
      <w:pPr>
        <w:jc w:val="both"/>
        <w:rPr>
          <w:rFonts w:asciiTheme="minorHAnsi" w:hAnsiTheme="minorHAnsi" w:cstheme="minorHAnsi"/>
          <w:b/>
          <w:bCs/>
          <w:sz w:val="20"/>
          <w:szCs w:val="20"/>
        </w:rPr>
      </w:pPr>
    </w:p>
    <w:p w:rsidR="00A13443" w:rsidRPr="00A37F2D" w:rsidRDefault="00A37F2D" w:rsidP="00097D67">
      <w:pPr>
        <w:jc w:val="both"/>
        <w:rPr>
          <w:rFonts w:asciiTheme="minorHAnsi" w:hAnsiTheme="minorHAnsi" w:cstheme="minorHAnsi"/>
          <w:b/>
          <w:bCs/>
          <w:sz w:val="20"/>
          <w:szCs w:val="20"/>
        </w:rPr>
      </w:pPr>
      <w:r w:rsidRPr="00A10783">
        <w:rPr>
          <w:rFonts w:asciiTheme="minorHAnsi" w:hAnsiTheme="minorHAnsi" w:cstheme="minorHAnsi"/>
          <w:b/>
          <w:bCs/>
          <w:color w:val="C00000"/>
          <w:sz w:val="20"/>
          <w:szCs w:val="20"/>
        </w:rPr>
        <w:t>Caratteristiche immunitarie nei neonati:</w:t>
      </w:r>
    </w:p>
    <w:p w:rsidR="00A37F2D" w:rsidRDefault="00A37F2D" w:rsidP="00097D67">
      <w:pPr>
        <w:jc w:val="both"/>
        <w:rPr>
          <w:rFonts w:asciiTheme="minorHAnsi" w:hAnsiTheme="minorHAnsi" w:cstheme="minorHAnsi"/>
          <w:sz w:val="20"/>
          <w:szCs w:val="20"/>
        </w:rPr>
      </w:pPr>
    </w:p>
    <w:p w:rsidR="00A10783" w:rsidRDefault="00A10783" w:rsidP="00A10783">
      <w:pPr>
        <w:pStyle w:val="ListParagraph"/>
        <w:pBdr>
          <w:top w:val="dashSmallGap" w:sz="4" w:space="1" w:color="auto"/>
          <w:left w:val="dashSmallGap" w:sz="4" w:space="4" w:color="auto"/>
          <w:bottom w:val="dashSmallGap" w:sz="4" w:space="1" w:color="auto"/>
          <w:right w:val="dashSmallGap" w:sz="4" w:space="4" w:color="auto"/>
        </w:pBdr>
        <w:tabs>
          <w:tab w:val="left" w:pos="0"/>
        </w:tabs>
        <w:ind w:left="0"/>
        <w:jc w:val="both"/>
        <w:rPr>
          <w:rFonts w:asciiTheme="minorHAnsi" w:hAnsiTheme="minorHAnsi" w:cstheme="minorHAnsi"/>
          <w:sz w:val="20"/>
          <w:szCs w:val="20"/>
        </w:rPr>
      </w:pPr>
    </w:p>
    <w:p w:rsidR="00A13443" w:rsidRDefault="00097D67" w:rsidP="00A10783">
      <w:pPr>
        <w:pStyle w:val="ListParagraph"/>
        <w:numPr>
          <w:ilvl w:val="0"/>
          <w:numId w:val="20"/>
        </w:numPr>
        <w:pBdr>
          <w:top w:val="dashSmallGap" w:sz="4" w:space="1" w:color="auto"/>
          <w:left w:val="dashSmallGap" w:sz="4" w:space="4" w:color="auto"/>
          <w:bottom w:val="dashSmallGap" w:sz="4" w:space="1" w:color="auto"/>
          <w:right w:val="dashSmallGap" w:sz="4" w:space="4" w:color="auto"/>
        </w:pBdr>
        <w:tabs>
          <w:tab w:val="left" w:pos="284"/>
        </w:tabs>
        <w:ind w:left="284" w:hanging="284"/>
        <w:jc w:val="both"/>
        <w:rPr>
          <w:rFonts w:asciiTheme="minorHAnsi" w:hAnsiTheme="minorHAnsi" w:cstheme="minorHAnsi"/>
          <w:sz w:val="20"/>
          <w:szCs w:val="20"/>
        </w:rPr>
      </w:pPr>
      <w:r w:rsidRPr="00A10783">
        <w:rPr>
          <w:rFonts w:asciiTheme="minorHAnsi" w:hAnsiTheme="minorHAnsi" w:cstheme="minorHAnsi"/>
          <w:sz w:val="20"/>
          <w:szCs w:val="20"/>
          <w:u w:val="single"/>
        </w:rPr>
        <w:t>I livelli di più proteine plasmatiche solubili</w:t>
      </w:r>
      <w:r w:rsidRPr="00A13443">
        <w:rPr>
          <w:rFonts w:asciiTheme="minorHAnsi" w:hAnsiTheme="minorHAnsi" w:cstheme="minorHAnsi"/>
          <w:sz w:val="20"/>
          <w:szCs w:val="20"/>
        </w:rPr>
        <w:t xml:space="preserve"> che hanno un ruolo nell'immunità innata </w:t>
      </w:r>
      <w:r w:rsidRPr="00A10783">
        <w:rPr>
          <w:rFonts w:asciiTheme="minorHAnsi" w:hAnsiTheme="minorHAnsi" w:cstheme="minorHAnsi"/>
          <w:b/>
          <w:bCs/>
          <w:sz w:val="20"/>
          <w:szCs w:val="20"/>
        </w:rPr>
        <w:t>sono più bassi</w:t>
      </w:r>
      <w:r w:rsidRPr="00A13443">
        <w:rPr>
          <w:rFonts w:asciiTheme="minorHAnsi" w:hAnsiTheme="minorHAnsi" w:cstheme="minorHAnsi"/>
          <w:sz w:val="20"/>
          <w:szCs w:val="20"/>
        </w:rPr>
        <w:t xml:space="preserve"> nei neonati che negli adulti. </w:t>
      </w:r>
    </w:p>
    <w:p w:rsidR="00A10783" w:rsidRDefault="00A10783" w:rsidP="00A10783">
      <w:pPr>
        <w:pStyle w:val="ListParagraph"/>
        <w:pBdr>
          <w:top w:val="dashSmallGap" w:sz="4" w:space="1" w:color="auto"/>
          <w:left w:val="dashSmallGap" w:sz="4" w:space="4" w:color="auto"/>
          <w:bottom w:val="dashSmallGap" w:sz="4" w:space="1" w:color="auto"/>
          <w:right w:val="dashSmallGap" w:sz="4" w:space="4" w:color="auto"/>
        </w:pBdr>
        <w:tabs>
          <w:tab w:val="left" w:pos="284"/>
        </w:tabs>
        <w:ind w:left="0"/>
        <w:jc w:val="both"/>
        <w:rPr>
          <w:rFonts w:asciiTheme="minorHAnsi" w:hAnsiTheme="minorHAnsi" w:cstheme="minorHAnsi"/>
          <w:sz w:val="20"/>
          <w:szCs w:val="20"/>
        </w:rPr>
      </w:pPr>
    </w:p>
    <w:p w:rsidR="00A13443" w:rsidRDefault="00097D67" w:rsidP="00A10783">
      <w:pPr>
        <w:pStyle w:val="ListParagraph"/>
        <w:numPr>
          <w:ilvl w:val="0"/>
          <w:numId w:val="20"/>
        </w:numPr>
        <w:pBdr>
          <w:top w:val="dashSmallGap" w:sz="4" w:space="1" w:color="auto"/>
          <w:left w:val="dashSmallGap" w:sz="4" w:space="4" w:color="auto"/>
          <w:bottom w:val="dashSmallGap" w:sz="4" w:space="1" w:color="auto"/>
          <w:right w:val="dashSmallGap" w:sz="4" w:space="4" w:color="auto"/>
        </w:pBdr>
        <w:tabs>
          <w:tab w:val="left" w:pos="284"/>
        </w:tabs>
        <w:ind w:left="284" w:hanging="284"/>
        <w:jc w:val="both"/>
        <w:rPr>
          <w:rFonts w:asciiTheme="minorHAnsi" w:hAnsiTheme="minorHAnsi" w:cstheme="minorHAnsi"/>
          <w:sz w:val="20"/>
          <w:szCs w:val="20"/>
        </w:rPr>
      </w:pPr>
      <w:r w:rsidRPr="00A10783">
        <w:rPr>
          <w:rFonts w:asciiTheme="minorHAnsi" w:hAnsiTheme="minorHAnsi" w:cstheme="minorHAnsi"/>
          <w:sz w:val="20"/>
          <w:szCs w:val="20"/>
          <w:u w:val="single"/>
        </w:rPr>
        <w:t>Le concentrazioni plasmatiche neonatali dei componenti del compl</w:t>
      </w:r>
      <w:r w:rsidRPr="00A13443">
        <w:rPr>
          <w:rFonts w:asciiTheme="minorHAnsi" w:hAnsiTheme="minorHAnsi" w:cstheme="minorHAnsi"/>
          <w:sz w:val="20"/>
          <w:szCs w:val="20"/>
        </w:rPr>
        <w:t xml:space="preserve">emento </w:t>
      </w:r>
      <w:r w:rsidR="00363FFE" w:rsidRPr="00A10783">
        <w:rPr>
          <w:rFonts w:asciiTheme="minorHAnsi" w:hAnsiTheme="minorHAnsi" w:cstheme="minorHAnsi"/>
          <w:b/>
          <w:bCs/>
          <w:sz w:val="20"/>
          <w:szCs w:val="20"/>
        </w:rPr>
        <w:t>sono diminuite</w:t>
      </w:r>
      <w:r w:rsidRPr="00A13443">
        <w:rPr>
          <w:rFonts w:asciiTheme="minorHAnsi" w:hAnsiTheme="minorHAnsi" w:cstheme="minorHAnsi"/>
          <w:sz w:val="20"/>
          <w:szCs w:val="20"/>
        </w:rPr>
        <w:t xml:space="preserve"> dal 10 al 70% rispetto a quelle negli adulti </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color w:val="C00000"/>
          <w:sz w:val="20"/>
          <w:szCs w:val="20"/>
          <w:vertAlign w:val="superscript"/>
        </w:rPr>
        <w:t>8</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sz w:val="20"/>
          <w:szCs w:val="20"/>
        </w:rPr>
        <w:t xml:space="preserve">. </w:t>
      </w:r>
    </w:p>
    <w:p w:rsidR="00A13443" w:rsidRPr="00A13443" w:rsidRDefault="00A13443" w:rsidP="00A10783">
      <w:pPr>
        <w:pBdr>
          <w:top w:val="dashSmallGap" w:sz="4" w:space="1" w:color="auto"/>
          <w:left w:val="dashSmallGap" w:sz="4" w:space="4" w:color="auto"/>
          <w:bottom w:val="dashSmallGap" w:sz="4" w:space="1" w:color="auto"/>
          <w:right w:val="dashSmallGap" w:sz="4" w:space="4" w:color="auto"/>
        </w:pBdr>
        <w:tabs>
          <w:tab w:val="left" w:pos="284"/>
        </w:tabs>
        <w:jc w:val="both"/>
        <w:rPr>
          <w:rFonts w:asciiTheme="minorHAnsi" w:hAnsiTheme="minorHAnsi" w:cstheme="minorHAnsi"/>
          <w:sz w:val="20"/>
          <w:szCs w:val="20"/>
        </w:rPr>
      </w:pPr>
    </w:p>
    <w:p w:rsidR="00097D67" w:rsidRPr="00A13443" w:rsidRDefault="00097D67" w:rsidP="00A10783">
      <w:pPr>
        <w:pStyle w:val="ListParagraph"/>
        <w:numPr>
          <w:ilvl w:val="0"/>
          <w:numId w:val="20"/>
        </w:numPr>
        <w:pBdr>
          <w:top w:val="dashSmallGap" w:sz="4" w:space="1" w:color="auto"/>
          <w:left w:val="dashSmallGap" w:sz="4" w:space="4" w:color="auto"/>
          <w:bottom w:val="dashSmallGap" w:sz="4" w:space="1" w:color="auto"/>
          <w:right w:val="dashSmallGap" w:sz="4" w:space="4" w:color="auto"/>
        </w:pBdr>
        <w:tabs>
          <w:tab w:val="left" w:pos="284"/>
        </w:tabs>
        <w:ind w:left="284" w:hanging="284"/>
        <w:jc w:val="both"/>
        <w:rPr>
          <w:rFonts w:asciiTheme="minorHAnsi" w:hAnsiTheme="minorHAnsi" w:cstheme="minorHAnsi"/>
          <w:sz w:val="20"/>
          <w:szCs w:val="20"/>
        </w:rPr>
      </w:pPr>
      <w:r w:rsidRPr="00A13443">
        <w:rPr>
          <w:rFonts w:asciiTheme="minorHAnsi" w:hAnsiTheme="minorHAnsi" w:cstheme="minorHAnsi"/>
          <w:sz w:val="20"/>
          <w:szCs w:val="20"/>
        </w:rPr>
        <w:t xml:space="preserve">Una carenza delle proteine del complemento potrebbe contribuire all'incapacità dei neonati di limitare la replicazione di molti ceppi batterici nel sangue </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color w:val="C00000"/>
          <w:sz w:val="20"/>
          <w:szCs w:val="20"/>
          <w:vertAlign w:val="superscript"/>
        </w:rPr>
        <w:t>67</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sz w:val="20"/>
          <w:szCs w:val="20"/>
        </w:rPr>
        <w:t xml:space="preserve"> e poiché i componenti del complemento hanno un ruolo </w:t>
      </w:r>
      <w:r w:rsidR="002840CC" w:rsidRPr="00A13443">
        <w:rPr>
          <w:rFonts w:asciiTheme="minorHAnsi" w:hAnsiTheme="minorHAnsi" w:cstheme="minorHAnsi"/>
          <w:sz w:val="20"/>
          <w:szCs w:val="20"/>
        </w:rPr>
        <w:t xml:space="preserve">anche </w:t>
      </w:r>
      <w:r w:rsidRPr="00A13443">
        <w:rPr>
          <w:rFonts w:asciiTheme="minorHAnsi" w:hAnsiTheme="minorHAnsi" w:cstheme="minorHAnsi"/>
          <w:sz w:val="20"/>
          <w:szCs w:val="20"/>
        </w:rPr>
        <w:t xml:space="preserve">nell'immunità adattativa </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color w:val="C00000"/>
          <w:sz w:val="20"/>
          <w:szCs w:val="20"/>
          <w:vertAlign w:val="superscript"/>
        </w:rPr>
        <w:t>68</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sz w:val="20"/>
          <w:szCs w:val="20"/>
        </w:rPr>
        <w:t xml:space="preserve">, questo potrebbe contribuire alla </w:t>
      </w:r>
      <w:r w:rsidRPr="00A10783">
        <w:rPr>
          <w:rFonts w:asciiTheme="minorHAnsi" w:hAnsiTheme="minorHAnsi" w:cstheme="minorHAnsi"/>
          <w:b/>
          <w:bCs/>
          <w:sz w:val="20"/>
          <w:szCs w:val="20"/>
        </w:rPr>
        <w:t>compromissione delle risposte neonatali</w:t>
      </w:r>
      <w:r w:rsidRPr="00A13443">
        <w:rPr>
          <w:rFonts w:asciiTheme="minorHAnsi" w:hAnsiTheme="minorHAnsi" w:cstheme="minorHAnsi"/>
          <w:sz w:val="20"/>
          <w:szCs w:val="20"/>
        </w:rPr>
        <w:t xml:space="preserve"> </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color w:val="C00000"/>
          <w:sz w:val="20"/>
          <w:szCs w:val="20"/>
          <w:vertAlign w:val="superscript"/>
        </w:rPr>
        <w:t>69</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sz w:val="20"/>
          <w:szCs w:val="20"/>
        </w:rPr>
        <w:t>.</w:t>
      </w:r>
    </w:p>
    <w:p w:rsidR="00097D67" w:rsidRPr="00A13443" w:rsidRDefault="00097D67" w:rsidP="00A10783">
      <w:pPr>
        <w:pStyle w:val="ListParagraph"/>
        <w:pBdr>
          <w:top w:val="dashSmallGap" w:sz="4" w:space="1" w:color="auto"/>
          <w:left w:val="dashSmallGap" w:sz="4" w:space="4" w:color="auto"/>
          <w:bottom w:val="dashSmallGap" w:sz="4" w:space="1" w:color="auto"/>
          <w:right w:val="dashSmallGap" w:sz="4" w:space="4" w:color="auto"/>
        </w:pBdr>
        <w:ind w:left="0"/>
        <w:jc w:val="both"/>
        <w:rPr>
          <w:rFonts w:asciiTheme="minorHAnsi" w:hAnsiTheme="minorHAnsi" w:cstheme="minorHAnsi"/>
          <w:sz w:val="20"/>
          <w:szCs w:val="20"/>
        </w:rPr>
      </w:pPr>
    </w:p>
    <w:p w:rsidR="00097D67" w:rsidRPr="00A10783" w:rsidRDefault="00097D67" w:rsidP="00A10783">
      <w:pPr>
        <w:pStyle w:val="ListParagraph"/>
        <w:numPr>
          <w:ilvl w:val="0"/>
          <w:numId w:val="20"/>
        </w:numPr>
        <w:pBdr>
          <w:top w:val="dashSmallGap" w:sz="4" w:space="1" w:color="auto"/>
          <w:left w:val="dashSmallGap" w:sz="4" w:space="4" w:color="auto"/>
          <w:bottom w:val="dashSmallGap" w:sz="4" w:space="1" w:color="auto"/>
          <w:right w:val="dashSmallGap" w:sz="4" w:space="4" w:color="auto"/>
        </w:pBdr>
        <w:tabs>
          <w:tab w:val="left" w:pos="284"/>
        </w:tabs>
        <w:ind w:left="284" w:hanging="284"/>
        <w:jc w:val="both"/>
        <w:rPr>
          <w:rFonts w:asciiTheme="minorHAnsi" w:hAnsiTheme="minorHAnsi" w:cstheme="minorHAnsi"/>
          <w:sz w:val="20"/>
          <w:szCs w:val="20"/>
        </w:rPr>
      </w:pPr>
      <w:r w:rsidRPr="00A10783">
        <w:rPr>
          <w:rFonts w:asciiTheme="minorHAnsi" w:hAnsiTheme="minorHAnsi" w:cstheme="minorHAnsi"/>
          <w:sz w:val="20"/>
          <w:szCs w:val="20"/>
          <w:u w:val="single"/>
        </w:rPr>
        <w:t>I neutrofili neonatali</w:t>
      </w:r>
      <w:r w:rsidRPr="00A13443">
        <w:rPr>
          <w:rFonts w:asciiTheme="minorHAnsi" w:hAnsiTheme="minorHAnsi" w:cstheme="minorHAnsi"/>
          <w:sz w:val="20"/>
          <w:szCs w:val="20"/>
        </w:rPr>
        <w:t xml:space="preserve"> mostrano </w:t>
      </w:r>
      <w:r w:rsidRPr="00A10783">
        <w:rPr>
          <w:rFonts w:asciiTheme="minorHAnsi" w:hAnsiTheme="minorHAnsi" w:cstheme="minorHAnsi"/>
          <w:b/>
          <w:bCs/>
          <w:sz w:val="20"/>
          <w:szCs w:val="20"/>
        </w:rPr>
        <w:t>difetti qualitativi</w:t>
      </w:r>
      <w:r w:rsidRPr="00A13443">
        <w:rPr>
          <w:rFonts w:asciiTheme="minorHAnsi" w:hAnsiTheme="minorHAnsi" w:cstheme="minorHAnsi"/>
          <w:sz w:val="20"/>
          <w:szCs w:val="20"/>
        </w:rPr>
        <w:t xml:space="preserve"> nella ridotta espressione di integrina e selettina, di alcune proteine ​​antimicrobiche e dell’induzione dell’ossidasi dei fagociti. Inoltre, i neonati sperimentano un </w:t>
      </w:r>
      <w:r w:rsidRPr="00A10783">
        <w:rPr>
          <w:rFonts w:asciiTheme="minorHAnsi" w:hAnsiTheme="minorHAnsi" w:cstheme="minorHAnsi"/>
          <w:b/>
          <w:bCs/>
          <w:sz w:val="20"/>
          <w:szCs w:val="20"/>
        </w:rPr>
        <w:t>deficit quantitativo</w:t>
      </w:r>
      <w:r w:rsidRPr="00A13443">
        <w:rPr>
          <w:rFonts w:asciiTheme="minorHAnsi" w:hAnsiTheme="minorHAnsi" w:cstheme="minorHAnsi"/>
          <w:sz w:val="20"/>
          <w:szCs w:val="20"/>
        </w:rPr>
        <w:t xml:space="preserve"> di neutrofili durante le condizioni di stress.</w:t>
      </w:r>
      <w:r w:rsidR="00C16CA6" w:rsidRPr="00A13443">
        <w:rPr>
          <w:rFonts w:asciiTheme="minorHAnsi" w:hAnsiTheme="minorHAnsi" w:cstheme="minorHAnsi"/>
          <w:color w:val="C00000"/>
          <w:sz w:val="20"/>
          <w:szCs w:val="20"/>
          <w:vertAlign w:val="superscript"/>
        </w:rPr>
        <w:t>[</w:t>
      </w:r>
      <w:r w:rsidRPr="00A13443">
        <w:rPr>
          <w:rFonts w:asciiTheme="minorHAnsi" w:hAnsiTheme="minorHAnsi" w:cstheme="minorHAnsi"/>
          <w:color w:val="C00000"/>
          <w:sz w:val="20"/>
          <w:szCs w:val="20"/>
          <w:vertAlign w:val="superscript"/>
        </w:rPr>
        <w:t>88,90</w:t>
      </w:r>
      <w:r w:rsidR="00C16CA6" w:rsidRPr="00A13443">
        <w:rPr>
          <w:rFonts w:asciiTheme="minorHAnsi" w:hAnsiTheme="minorHAnsi" w:cstheme="minorHAnsi"/>
          <w:color w:val="C00000"/>
          <w:sz w:val="20"/>
          <w:szCs w:val="20"/>
          <w:vertAlign w:val="superscript"/>
        </w:rPr>
        <w:t>]</w:t>
      </w:r>
    </w:p>
    <w:p w:rsidR="00A10783" w:rsidRPr="00A10783" w:rsidRDefault="00A10783" w:rsidP="00A10783">
      <w:pPr>
        <w:pBdr>
          <w:top w:val="dashSmallGap" w:sz="4" w:space="1" w:color="auto"/>
          <w:left w:val="dashSmallGap" w:sz="4" w:space="4" w:color="auto"/>
          <w:bottom w:val="dashSmallGap" w:sz="4" w:space="1" w:color="auto"/>
          <w:right w:val="dashSmallGap" w:sz="4" w:space="4" w:color="auto"/>
        </w:pBdr>
        <w:tabs>
          <w:tab w:val="left" w:pos="284"/>
        </w:tabs>
        <w:jc w:val="both"/>
        <w:rPr>
          <w:rFonts w:asciiTheme="minorHAnsi" w:hAnsiTheme="minorHAnsi" w:cstheme="minorHAnsi"/>
          <w:sz w:val="20"/>
          <w:szCs w:val="20"/>
        </w:rPr>
      </w:pPr>
    </w:p>
    <w:p w:rsidR="00097D67" w:rsidRPr="00A13443" w:rsidRDefault="00097D67" w:rsidP="00097D67">
      <w:pPr>
        <w:pStyle w:val="ListParagraph"/>
        <w:ind w:left="0"/>
        <w:jc w:val="both"/>
        <w:rPr>
          <w:rFonts w:asciiTheme="minorHAnsi" w:hAnsiTheme="minorHAnsi" w:cstheme="minorHAnsi"/>
          <w:sz w:val="20"/>
          <w:szCs w:val="20"/>
        </w:rPr>
      </w:pPr>
    </w:p>
    <w:p w:rsidR="00A37F2D" w:rsidRDefault="00097D67" w:rsidP="00097D67">
      <w:pPr>
        <w:jc w:val="both"/>
        <w:rPr>
          <w:rFonts w:asciiTheme="minorHAnsi" w:hAnsiTheme="minorHAnsi"/>
          <w:sz w:val="20"/>
          <w:szCs w:val="20"/>
        </w:rPr>
      </w:pPr>
      <w:r w:rsidRPr="00A13443">
        <w:rPr>
          <w:rFonts w:asciiTheme="minorHAnsi" w:hAnsiTheme="minorHAnsi" w:cstheme="minorHAnsi"/>
          <w:sz w:val="20"/>
          <w:szCs w:val="20"/>
        </w:rPr>
        <w:t>Risposte solide a determinati stimoli microbici, inclusi RNA virali a singolo filamento che attivano le cellule attraverso i TLR8, rappresentano eccezioni alla produzione generalmente compromessa delle citochine pro-infiammatorie e delle citochine Th1-polarizzanti.</w:t>
      </w:r>
      <w:r w:rsidRPr="00A13443">
        <w:rPr>
          <w:rFonts w:asciiTheme="minorHAnsi" w:hAnsiTheme="minorHAnsi"/>
          <w:sz w:val="20"/>
          <w:szCs w:val="20"/>
        </w:rPr>
        <w:t xml:space="preserve"> </w:t>
      </w:r>
      <w:r w:rsidR="00C16CA6" w:rsidRPr="00A37F2D">
        <w:rPr>
          <w:rFonts w:asciiTheme="minorHAnsi" w:hAnsiTheme="minorHAnsi"/>
          <w:color w:val="C00000"/>
          <w:sz w:val="20"/>
          <w:szCs w:val="20"/>
          <w:vertAlign w:val="superscript"/>
        </w:rPr>
        <w:t>[</w:t>
      </w:r>
      <w:r w:rsidRPr="00A37F2D">
        <w:rPr>
          <w:rFonts w:asciiTheme="minorHAnsi" w:hAnsiTheme="minorHAnsi"/>
          <w:color w:val="C00000"/>
          <w:sz w:val="20"/>
          <w:szCs w:val="20"/>
          <w:vertAlign w:val="superscript"/>
        </w:rPr>
        <w:t>75,100</w:t>
      </w:r>
      <w:r w:rsidR="00C16CA6" w:rsidRPr="00A37F2D">
        <w:rPr>
          <w:rFonts w:asciiTheme="minorHAnsi" w:hAnsiTheme="minorHAnsi"/>
          <w:color w:val="C00000"/>
          <w:sz w:val="20"/>
          <w:szCs w:val="20"/>
          <w:vertAlign w:val="superscript"/>
        </w:rPr>
        <w:t>]</w:t>
      </w:r>
      <w:r w:rsidRPr="00A37F2D">
        <w:rPr>
          <w:rFonts w:asciiTheme="minorHAnsi" w:hAnsiTheme="minorHAnsi"/>
          <w:sz w:val="20"/>
          <w:szCs w:val="20"/>
        </w:rPr>
        <w:t xml:space="preserve"> </w:t>
      </w:r>
    </w:p>
    <w:p w:rsidR="00A37F2D" w:rsidRDefault="00097D67" w:rsidP="00097D67">
      <w:pPr>
        <w:jc w:val="both"/>
        <w:rPr>
          <w:rFonts w:asciiTheme="minorHAnsi" w:hAnsiTheme="minorHAnsi"/>
          <w:sz w:val="20"/>
          <w:szCs w:val="20"/>
        </w:rPr>
      </w:pPr>
      <w:r w:rsidRPr="00A13443">
        <w:rPr>
          <w:rFonts w:asciiTheme="minorHAnsi" w:hAnsiTheme="minorHAnsi"/>
          <w:sz w:val="20"/>
          <w:szCs w:val="20"/>
        </w:rPr>
        <w:t>Il Mycobacterium bovis bacillus Calmette – Guérin (BCG) è un vaccino somministrato alla nascita che può indurre una forte risposta di citochine che inducono la polarizzazione delle cellule Th1, inclusa l'espressione di IFNγ da parte delle cellule T CD4</w:t>
      </w:r>
      <w:r w:rsidRPr="00A13443">
        <w:rPr>
          <w:rFonts w:asciiTheme="minorHAnsi" w:hAnsiTheme="minorHAnsi"/>
          <w:sz w:val="20"/>
          <w:szCs w:val="20"/>
          <w:vertAlign w:val="superscript"/>
        </w:rPr>
        <w:t>+</w:t>
      </w:r>
      <w:r w:rsidRPr="00A13443">
        <w:rPr>
          <w:rFonts w:asciiTheme="minorHAnsi" w:hAnsiTheme="minorHAnsi"/>
          <w:sz w:val="20"/>
          <w:szCs w:val="20"/>
        </w:rPr>
        <w:t xml:space="preserve"> in risposta a un derivato della proteina purificata micobatterica (PPD) </w:t>
      </w:r>
      <w:r w:rsidR="00C16CA6" w:rsidRPr="00A37F2D">
        <w:rPr>
          <w:rFonts w:asciiTheme="minorHAnsi" w:hAnsiTheme="minorHAnsi"/>
          <w:color w:val="C00000"/>
          <w:sz w:val="20"/>
          <w:szCs w:val="20"/>
          <w:vertAlign w:val="superscript"/>
        </w:rPr>
        <w:t>[</w:t>
      </w:r>
      <w:r w:rsidRPr="00A37F2D">
        <w:rPr>
          <w:rFonts w:asciiTheme="minorHAnsi" w:hAnsiTheme="minorHAnsi"/>
          <w:color w:val="C00000"/>
          <w:sz w:val="20"/>
          <w:szCs w:val="20"/>
          <w:vertAlign w:val="superscript"/>
        </w:rPr>
        <w:t>130</w:t>
      </w:r>
      <w:r w:rsidR="00C16CA6" w:rsidRPr="00A37F2D">
        <w:rPr>
          <w:rFonts w:asciiTheme="minorHAnsi" w:hAnsiTheme="minorHAnsi"/>
          <w:color w:val="C00000"/>
          <w:sz w:val="20"/>
          <w:szCs w:val="20"/>
          <w:vertAlign w:val="superscript"/>
        </w:rPr>
        <w:t>]</w:t>
      </w:r>
      <w:r w:rsidRPr="00A13443">
        <w:rPr>
          <w:rFonts w:asciiTheme="minorHAnsi" w:hAnsiTheme="minorHAnsi"/>
          <w:sz w:val="20"/>
          <w:szCs w:val="20"/>
        </w:rPr>
        <w:t xml:space="preserve">. </w:t>
      </w:r>
    </w:p>
    <w:p w:rsidR="00A37F2D" w:rsidRDefault="00A37F2D" w:rsidP="00097D67">
      <w:pPr>
        <w:jc w:val="both"/>
        <w:rPr>
          <w:rFonts w:asciiTheme="minorHAnsi" w:hAnsiTheme="minorHAnsi"/>
          <w:sz w:val="20"/>
          <w:szCs w:val="20"/>
        </w:rPr>
      </w:pPr>
    </w:p>
    <w:p w:rsidR="00097D67" w:rsidRPr="00A13443" w:rsidRDefault="00097D67" w:rsidP="00097D67">
      <w:pPr>
        <w:jc w:val="both"/>
        <w:rPr>
          <w:rFonts w:asciiTheme="minorHAnsi" w:hAnsiTheme="minorHAnsi" w:cstheme="minorHAnsi"/>
          <w:sz w:val="20"/>
          <w:szCs w:val="20"/>
        </w:rPr>
      </w:pPr>
      <w:r w:rsidRPr="00A13443">
        <w:rPr>
          <w:rFonts w:asciiTheme="minorHAnsi" w:hAnsiTheme="minorHAnsi"/>
          <w:sz w:val="20"/>
          <w:szCs w:val="20"/>
        </w:rPr>
        <w:lastRenderedPageBreak/>
        <w:t xml:space="preserve">Questi esempi indicano che stimoli con determinate caratteristiche, inclusa la capacità di attivare in modo efficace determinati percorsi </w:t>
      </w:r>
      <w:r w:rsidR="002840CC" w:rsidRPr="00A13443">
        <w:rPr>
          <w:rFonts w:asciiTheme="minorHAnsi" w:hAnsiTheme="minorHAnsi"/>
          <w:sz w:val="20"/>
          <w:szCs w:val="20"/>
        </w:rPr>
        <w:t xml:space="preserve">mediati dai </w:t>
      </w:r>
      <w:r w:rsidRPr="00A13443">
        <w:rPr>
          <w:rFonts w:asciiTheme="minorHAnsi" w:hAnsiTheme="minorHAnsi"/>
          <w:sz w:val="20"/>
          <w:szCs w:val="20"/>
        </w:rPr>
        <w:t>TLR e / o il sistema del complemento, sono in grado di superare la tolleranza immunitaria del neonato e di indurre una robusta risposta Th1.</w:t>
      </w:r>
    </w:p>
    <w:p w:rsidR="00097D67" w:rsidRPr="00717D4D" w:rsidRDefault="00097D67" w:rsidP="00097D67">
      <w:pPr>
        <w:rPr>
          <w:rFonts w:asciiTheme="minorHAnsi" w:hAnsiTheme="minorHAnsi"/>
        </w:rPr>
      </w:pPr>
    </w:p>
    <w:p w:rsidR="00B635F5" w:rsidRPr="00717D4D" w:rsidRDefault="00B635F5" w:rsidP="00E5713A">
      <w:pPr>
        <w:autoSpaceDE w:val="0"/>
        <w:autoSpaceDN w:val="0"/>
        <w:adjustRightInd w:val="0"/>
        <w:jc w:val="both"/>
        <w:rPr>
          <w:rFonts w:asciiTheme="minorHAnsi" w:hAnsiTheme="minorHAnsi" w:cstheme="minorHAnsi"/>
        </w:rPr>
      </w:pPr>
    </w:p>
    <w:p w:rsidR="00766BCF" w:rsidRPr="00A37F2D" w:rsidRDefault="00766BCF" w:rsidP="00A10783">
      <w:pPr>
        <w:pStyle w:val="Heading2"/>
        <w:rPr>
          <w:rFonts w:asciiTheme="minorHAnsi" w:hAnsiTheme="minorHAnsi"/>
          <w:b/>
          <w:i/>
          <w:iCs/>
          <w:color w:val="C00000"/>
          <w:sz w:val="24"/>
          <w:szCs w:val="24"/>
        </w:rPr>
      </w:pPr>
      <w:bookmarkStart w:id="69" w:name="_Toc43342401"/>
      <w:r w:rsidRPr="00A37F2D">
        <w:rPr>
          <w:rFonts w:asciiTheme="minorHAnsi" w:hAnsiTheme="minorHAnsi"/>
          <w:b/>
          <w:i/>
          <w:iCs/>
          <w:color w:val="C00000"/>
          <w:sz w:val="24"/>
          <w:szCs w:val="24"/>
        </w:rPr>
        <w:t>L’iporesponsività ai vaccini</w:t>
      </w:r>
      <w:r w:rsidR="002840CC" w:rsidRPr="00A37F2D">
        <w:rPr>
          <w:rFonts w:asciiTheme="minorHAnsi" w:hAnsiTheme="minorHAnsi"/>
          <w:b/>
          <w:i/>
          <w:iCs/>
          <w:color w:val="C00000"/>
          <w:sz w:val="24"/>
          <w:szCs w:val="24"/>
        </w:rPr>
        <w:t xml:space="preserve"> pediatrici</w:t>
      </w:r>
      <w:bookmarkEnd w:id="69"/>
    </w:p>
    <w:p w:rsidR="00C16CA6" w:rsidRPr="002840CC" w:rsidRDefault="00C16CA6" w:rsidP="00C16CA6">
      <w:pPr>
        <w:jc w:val="both"/>
        <w:rPr>
          <w:rFonts w:asciiTheme="minorHAnsi" w:hAnsiTheme="minorHAnsi"/>
          <w:color w:val="000000" w:themeColor="text1"/>
        </w:rPr>
      </w:pPr>
    </w:p>
    <w:p w:rsidR="00A10783" w:rsidRDefault="00A10783"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autoSpaceDE w:val="0"/>
        <w:autoSpaceDN w:val="0"/>
        <w:adjustRightInd w:val="0"/>
        <w:ind w:left="851" w:right="843"/>
        <w:jc w:val="both"/>
        <w:rPr>
          <w:rFonts w:asciiTheme="minorHAnsi" w:hAnsiTheme="minorHAnsi" w:cstheme="minorHAnsi"/>
          <w:i/>
          <w:iCs/>
          <w:color w:val="000000" w:themeColor="text1"/>
          <w:sz w:val="20"/>
          <w:szCs w:val="20"/>
        </w:rPr>
      </w:pPr>
    </w:p>
    <w:p w:rsidR="00A37F2D" w:rsidRDefault="002E4137"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autoSpaceDE w:val="0"/>
        <w:autoSpaceDN w:val="0"/>
        <w:adjustRightInd w:val="0"/>
        <w:ind w:left="851" w:right="843"/>
        <w:jc w:val="both"/>
        <w:rPr>
          <w:rFonts w:asciiTheme="minorHAnsi" w:hAnsiTheme="minorHAnsi" w:cstheme="minorHAnsi"/>
          <w:i/>
          <w:iCs/>
          <w:color w:val="000000" w:themeColor="text1"/>
          <w:sz w:val="20"/>
          <w:szCs w:val="20"/>
        </w:rPr>
      </w:pPr>
      <w:r w:rsidRPr="00A10783">
        <w:rPr>
          <w:rFonts w:asciiTheme="minorHAnsi" w:hAnsiTheme="minorHAnsi" w:cstheme="minorHAnsi"/>
          <w:i/>
          <w:iCs/>
          <w:color w:val="000000" w:themeColor="text1"/>
          <w:sz w:val="20"/>
          <w:szCs w:val="20"/>
        </w:rPr>
        <w:t>L’</w:t>
      </w:r>
      <w:r w:rsidRPr="00A10783">
        <w:rPr>
          <w:rFonts w:asciiTheme="minorHAnsi" w:hAnsiTheme="minorHAnsi" w:cstheme="minorHAnsi"/>
          <w:b/>
          <w:bCs/>
          <w:i/>
          <w:iCs/>
          <w:color w:val="000000" w:themeColor="text1"/>
          <w:sz w:val="20"/>
          <w:szCs w:val="20"/>
        </w:rPr>
        <w:t>i</w:t>
      </w:r>
      <w:r w:rsidR="00B635F5" w:rsidRPr="00A10783">
        <w:rPr>
          <w:rFonts w:asciiTheme="minorHAnsi" w:hAnsiTheme="minorHAnsi" w:cstheme="minorHAnsi"/>
          <w:b/>
          <w:bCs/>
          <w:i/>
          <w:iCs/>
          <w:color w:val="000000" w:themeColor="text1"/>
          <w:sz w:val="20"/>
          <w:szCs w:val="20"/>
        </w:rPr>
        <w:t>poresponsività</w:t>
      </w:r>
      <w:r w:rsidR="00B635F5" w:rsidRPr="00A10783">
        <w:rPr>
          <w:rFonts w:asciiTheme="minorHAnsi" w:hAnsiTheme="minorHAnsi" w:cstheme="minorHAnsi"/>
          <w:i/>
          <w:iCs/>
          <w:color w:val="000000" w:themeColor="text1"/>
          <w:sz w:val="20"/>
          <w:szCs w:val="20"/>
        </w:rPr>
        <w:t xml:space="preserve"> (tolleranza immunitaria) </w:t>
      </w:r>
      <w:r w:rsidRPr="00A10783">
        <w:rPr>
          <w:rFonts w:asciiTheme="minorHAnsi" w:hAnsiTheme="minorHAnsi" w:cstheme="minorHAnsi"/>
          <w:i/>
          <w:iCs/>
          <w:color w:val="000000" w:themeColor="text1"/>
          <w:sz w:val="20"/>
          <w:szCs w:val="20"/>
        </w:rPr>
        <w:t xml:space="preserve">è definita come </w:t>
      </w:r>
      <w:r w:rsidR="00B635F5" w:rsidRPr="00A10783">
        <w:rPr>
          <w:rFonts w:asciiTheme="minorHAnsi" w:hAnsiTheme="minorHAnsi" w:cstheme="minorHAnsi"/>
          <w:b/>
          <w:bCs/>
          <w:i/>
          <w:iCs/>
          <w:color w:val="000000" w:themeColor="text1"/>
          <w:sz w:val="20"/>
          <w:szCs w:val="20"/>
        </w:rPr>
        <w:t xml:space="preserve">l'incapacità dell'individuo di </w:t>
      </w:r>
      <w:r w:rsidRPr="00A10783">
        <w:rPr>
          <w:rFonts w:asciiTheme="minorHAnsi" w:hAnsiTheme="minorHAnsi" w:cstheme="minorHAnsi"/>
          <w:b/>
          <w:bCs/>
          <w:i/>
          <w:iCs/>
          <w:color w:val="000000" w:themeColor="text1"/>
          <w:sz w:val="20"/>
          <w:szCs w:val="20"/>
        </w:rPr>
        <w:t>sviluppare</w:t>
      </w:r>
      <w:r w:rsidR="00B635F5" w:rsidRPr="00A10783">
        <w:rPr>
          <w:rFonts w:asciiTheme="minorHAnsi" w:hAnsiTheme="minorHAnsi" w:cstheme="minorHAnsi"/>
          <w:b/>
          <w:bCs/>
          <w:i/>
          <w:iCs/>
          <w:color w:val="000000" w:themeColor="text1"/>
          <w:sz w:val="20"/>
          <w:szCs w:val="20"/>
        </w:rPr>
        <w:t xml:space="preserve"> una risposta immunitaria dopo </w:t>
      </w:r>
      <w:r w:rsidRPr="00A10783">
        <w:rPr>
          <w:rFonts w:asciiTheme="minorHAnsi" w:hAnsiTheme="minorHAnsi" w:cstheme="minorHAnsi"/>
          <w:b/>
          <w:bCs/>
          <w:i/>
          <w:iCs/>
          <w:color w:val="000000" w:themeColor="text1"/>
          <w:sz w:val="20"/>
          <w:szCs w:val="20"/>
        </w:rPr>
        <w:t>il richiamo della</w:t>
      </w:r>
      <w:r w:rsidR="00B635F5" w:rsidRPr="00A10783">
        <w:rPr>
          <w:rFonts w:asciiTheme="minorHAnsi" w:hAnsiTheme="minorHAnsi" w:cstheme="minorHAnsi"/>
          <w:b/>
          <w:bCs/>
          <w:i/>
          <w:iCs/>
          <w:color w:val="000000" w:themeColor="text1"/>
          <w:sz w:val="20"/>
          <w:szCs w:val="20"/>
        </w:rPr>
        <w:t xml:space="preserve"> vaccinazione almeno uguale, o di grandezza maggiore, rispetto a</w:t>
      </w:r>
      <w:r w:rsidRPr="00A10783">
        <w:rPr>
          <w:rFonts w:asciiTheme="minorHAnsi" w:hAnsiTheme="minorHAnsi" w:cstheme="minorHAnsi"/>
          <w:b/>
          <w:bCs/>
          <w:i/>
          <w:iCs/>
          <w:color w:val="000000" w:themeColor="text1"/>
          <w:sz w:val="20"/>
          <w:szCs w:val="20"/>
        </w:rPr>
        <w:t>l</w:t>
      </w:r>
      <w:r w:rsidR="00B635F5" w:rsidRPr="00A10783">
        <w:rPr>
          <w:rFonts w:asciiTheme="minorHAnsi" w:hAnsiTheme="minorHAnsi" w:cstheme="minorHAnsi"/>
          <w:b/>
          <w:bCs/>
          <w:i/>
          <w:iCs/>
          <w:color w:val="000000" w:themeColor="text1"/>
          <w:sz w:val="20"/>
          <w:szCs w:val="20"/>
        </w:rPr>
        <w:t>la risposta che è stata indotta dopo la vaccinazione primaria</w:t>
      </w:r>
      <w:r w:rsidR="00B635F5" w:rsidRPr="00A10783">
        <w:rPr>
          <w:rFonts w:asciiTheme="minorHAnsi" w:hAnsiTheme="minorHAnsi" w:cstheme="minorHAnsi"/>
          <w:i/>
          <w:iCs/>
          <w:color w:val="000000" w:themeColor="text1"/>
          <w:sz w:val="20"/>
          <w:szCs w:val="20"/>
        </w:rPr>
        <w:t xml:space="preserve">. </w:t>
      </w:r>
    </w:p>
    <w:p w:rsidR="00A10783" w:rsidRPr="00A10783" w:rsidRDefault="00A10783" w:rsidP="00A10783">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autoSpaceDE w:val="0"/>
        <w:autoSpaceDN w:val="0"/>
        <w:adjustRightInd w:val="0"/>
        <w:ind w:left="851" w:right="843"/>
        <w:jc w:val="both"/>
        <w:rPr>
          <w:rFonts w:asciiTheme="minorHAnsi" w:hAnsiTheme="minorHAnsi" w:cstheme="minorHAnsi"/>
          <w:i/>
          <w:iCs/>
          <w:color w:val="000000" w:themeColor="text1"/>
          <w:sz w:val="20"/>
          <w:szCs w:val="20"/>
        </w:rPr>
      </w:pPr>
    </w:p>
    <w:p w:rsidR="00A37F2D" w:rsidRDefault="00A37F2D" w:rsidP="00766BCF">
      <w:pPr>
        <w:autoSpaceDE w:val="0"/>
        <w:autoSpaceDN w:val="0"/>
        <w:adjustRightInd w:val="0"/>
        <w:jc w:val="both"/>
        <w:rPr>
          <w:rFonts w:asciiTheme="minorHAnsi" w:hAnsiTheme="minorHAnsi" w:cstheme="minorHAnsi"/>
          <w:color w:val="000000" w:themeColor="text1"/>
          <w:sz w:val="20"/>
          <w:szCs w:val="20"/>
        </w:rPr>
      </w:pPr>
    </w:p>
    <w:p w:rsidR="00674B49" w:rsidRPr="00A37F2D" w:rsidRDefault="002E4137" w:rsidP="00A10783">
      <w:pPr>
        <w:autoSpaceDE w:val="0"/>
        <w:autoSpaceDN w:val="0"/>
        <w:adjustRightInd w:val="0"/>
        <w:jc w:val="both"/>
        <w:rPr>
          <w:rFonts w:asciiTheme="minorHAnsi" w:hAnsiTheme="minorHAnsi" w:cstheme="minorHAnsi"/>
          <w:color w:val="000000" w:themeColor="text1"/>
          <w:sz w:val="20"/>
          <w:szCs w:val="20"/>
        </w:rPr>
      </w:pPr>
      <w:r w:rsidRPr="001D6E3E">
        <w:rPr>
          <w:rFonts w:asciiTheme="minorHAnsi" w:hAnsiTheme="minorHAnsi" w:cstheme="minorHAnsi"/>
          <w:b/>
          <w:bCs/>
          <w:color w:val="000000" w:themeColor="text1"/>
          <w:sz w:val="20"/>
          <w:szCs w:val="20"/>
        </w:rPr>
        <w:t>L’i</w:t>
      </w:r>
      <w:r w:rsidR="00B635F5" w:rsidRPr="001D6E3E">
        <w:rPr>
          <w:rFonts w:asciiTheme="minorHAnsi" w:hAnsiTheme="minorHAnsi" w:cstheme="minorHAnsi"/>
          <w:b/>
          <w:bCs/>
          <w:color w:val="000000" w:themeColor="text1"/>
          <w:sz w:val="20"/>
          <w:szCs w:val="20"/>
        </w:rPr>
        <w:t>poresponsività può verifica</w:t>
      </w:r>
      <w:r w:rsidRPr="001D6E3E">
        <w:rPr>
          <w:rFonts w:asciiTheme="minorHAnsi" w:hAnsiTheme="minorHAnsi" w:cstheme="minorHAnsi"/>
          <w:b/>
          <w:bCs/>
          <w:color w:val="000000" w:themeColor="text1"/>
          <w:sz w:val="20"/>
          <w:szCs w:val="20"/>
        </w:rPr>
        <w:t>rsi</w:t>
      </w:r>
      <w:r w:rsidR="00B635F5" w:rsidRPr="001D6E3E">
        <w:rPr>
          <w:rFonts w:asciiTheme="minorHAnsi" w:hAnsiTheme="minorHAnsi" w:cstheme="minorHAnsi"/>
          <w:b/>
          <w:bCs/>
          <w:color w:val="000000" w:themeColor="text1"/>
          <w:sz w:val="20"/>
          <w:szCs w:val="20"/>
        </w:rPr>
        <w:t xml:space="preserve"> quando la vaccinazione inizia molto presto</w:t>
      </w:r>
      <w:r w:rsidRPr="001D6E3E">
        <w:rPr>
          <w:rFonts w:asciiTheme="minorHAnsi" w:hAnsiTheme="minorHAnsi" w:cstheme="minorHAnsi"/>
          <w:b/>
          <w:bCs/>
          <w:color w:val="000000" w:themeColor="text1"/>
          <w:sz w:val="20"/>
          <w:szCs w:val="20"/>
        </w:rPr>
        <w:t xml:space="preserve"> nella</w:t>
      </w:r>
      <w:r w:rsidR="00B635F5" w:rsidRPr="001D6E3E">
        <w:rPr>
          <w:rFonts w:asciiTheme="minorHAnsi" w:hAnsiTheme="minorHAnsi" w:cstheme="minorHAnsi"/>
          <w:b/>
          <w:bCs/>
          <w:color w:val="000000" w:themeColor="text1"/>
          <w:sz w:val="20"/>
          <w:szCs w:val="20"/>
        </w:rPr>
        <w:t xml:space="preserve"> vita</w:t>
      </w:r>
      <w:r w:rsidR="00B635F5" w:rsidRPr="00A37F2D">
        <w:rPr>
          <w:rFonts w:asciiTheme="minorHAnsi" w:hAnsiTheme="minorHAnsi" w:cstheme="minorHAnsi"/>
          <w:color w:val="000000" w:themeColor="text1"/>
          <w:sz w:val="20"/>
          <w:szCs w:val="20"/>
        </w:rPr>
        <w:t xml:space="preserve"> ed è stat</w:t>
      </w:r>
      <w:r w:rsidR="002840CC" w:rsidRPr="00A37F2D">
        <w:rPr>
          <w:rFonts w:asciiTheme="minorHAnsi" w:hAnsiTheme="minorHAnsi" w:cstheme="minorHAnsi"/>
          <w:color w:val="000000" w:themeColor="text1"/>
          <w:sz w:val="20"/>
          <w:szCs w:val="20"/>
        </w:rPr>
        <w:t>a</w:t>
      </w:r>
      <w:r w:rsidR="00B635F5" w:rsidRPr="00A37F2D">
        <w:rPr>
          <w:rFonts w:asciiTheme="minorHAnsi" w:hAnsiTheme="minorHAnsi" w:cstheme="minorHAnsi"/>
          <w:color w:val="000000" w:themeColor="text1"/>
          <w:sz w:val="20"/>
          <w:szCs w:val="20"/>
        </w:rPr>
        <w:t xml:space="preserve"> osservat</w:t>
      </w:r>
      <w:r w:rsidRPr="00A37F2D">
        <w:rPr>
          <w:rFonts w:asciiTheme="minorHAnsi" w:hAnsiTheme="minorHAnsi" w:cstheme="minorHAnsi"/>
          <w:color w:val="000000" w:themeColor="text1"/>
          <w:sz w:val="20"/>
          <w:szCs w:val="20"/>
        </w:rPr>
        <w:t>a</w:t>
      </w:r>
      <w:r w:rsidR="00B635F5" w:rsidRPr="00A37F2D">
        <w:rPr>
          <w:rFonts w:asciiTheme="minorHAnsi" w:hAnsiTheme="minorHAnsi" w:cstheme="minorHAnsi"/>
          <w:color w:val="000000" w:themeColor="text1"/>
          <w:sz w:val="20"/>
          <w:szCs w:val="20"/>
        </w:rPr>
        <w:t xml:space="preserve">, ad esempio, dopo </w:t>
      </w:r>
      <w:r w:rsidRPr="00A37F2D">
        <w:rPr>
          <w:rFonts w:asciiTheme="minorHAnsi" w:hAnsiTheme="minorHAnsi" w:cstheme="minorHAnsi"/>
          <w:color w:val="000000" w:themeColor="text1"/>
          <w:sz w:val="20"/>
          <w:szCs w:val="20"/>
        </w:rPr>
        <w:t xml:space="preserve">la </w:t>
      </w:r>
      <w:r w:rsidR="00B635F5" w:rsidRPr="00A37F2D">
        <w:rPr>
          <w:rFonts w:asciiTheme="minorHAnsi" w:hAnsiTheme="minorHAnsi" w:cstheme="minorHAnsi"/>
          <w:color w:val="000000" w:themeColor="text1"/>
          <w:sz w:val="20"/>
          <w:szCs w:val="20"/>
        </w:rPr>
        <w:t xml:space="preserve">somministrazione </w:t>
      </w:r>
      <w:r w:rsidRPr="00A37F2D">
        <w:rPr>
          <w:rFonts w:asciiTheme="minorHAnsi" w:hAnsiTheme="minorHAnsi" w:cstheme="minorHAnsi"/>
          <w:color w:val="000000" w:themeColor="text1"/>
          <w:sz w:val="20"/>
          <w:szCs w:val="20"/>
        </w:rPr>
        <w:t>del vaccino DTP,</w:t>
      </w:r>
      <w:r w:rsidR="00B635F5" w:rsidRPr="00A37F2D">
        <w:rPr>
          <w:rFonts w:asciiTheme="minorHAnsi" w:hAnsiTheme="minorHAnsi" w:cstheme="minorHAnsi"/>
          <w:color w:val="000000" w:themeColor="text1"/>
          <w:sz w:val="20"/>
          <w:szCs w:val="20"/>
        </w:rPr>
        <w:t xml:space="preserve"> </w:t>
      </w:r>
      <w:r w:rsidRPr="00A37F2D">
        <w:rPr>
          <w:rFonts w:asciiTheme="minorHAnsi" w:hAnsiTheme="minorHAnsi" w:cstheme="minorHAnsi"/>
          <w:color w:val="000000" w:themeColor="text1"/>
          <w:sz w:val="20"/>
          <w:szCs w:val="20"/>
        </w:rPr>
        <w:t xml:space="preserve">DTaP </w:t>
      </w:r>
      <w:r w:rsidR="00B635F5" w:rsidRPr="00A37F2D">
        <w:rPr>
          <w:rFonts w:asciiTheme="minorHAnsi" w:hAnsiTheme="minorHAnsi" w:cstheme="minorHAnsi"/>
          <w:color w:val="000000" w:themeColor="text1"/>
          <w:sz w:val="20"/>
          <w:szCs w:val="20"/>
        </w:rPr>
        <w:t xml:space="preserve">o </w:t>
      </w:r>
      <w:r w:rsidRPr="00A37F2D">
        <w:rPr>
          <w:rFonts w:asciiTheme="minorHAnsi" w:hAnsiTheme="minorHAnsi" w:cstheme="minorHAnsi"/>
          <w:color w:val="000000" w:themeColor="text1"/>
          <w:sz w:val="20"/>
          <w:szCs w:val="20"/>
        </w:rPr>
        <w:t>DT</w:t>
      </w:r>
      <w:r w:rsidR="00B635F5" w:rsidRPr="00A37F2D">
        <w:rPr>
          <w:rFonts w:asciiTheme="minorHAnsi" w:hAnsiTheme="minorHAnsi" w:cstheme="minorHAnsi"/>
          <w:color w:val="000000" w:themeColor="text1"/>
          <w:sz w:val="20"/>
          <w:szCs w:val="20"/>
        </w:rPr>
        <w:t xml:space="preserve"> </w:t>
      </w:r>
      <w:r w:rsidRPr="00A37F2D">
        <w:rPr>
          <w:rFonts w:asciiTheme="minorHAnsi" w:hAnsiTheme="minorHAnsi" w:cstheme="minorHAnsi"/>
          <w:color w:val="000000" w:themeColor="text1"/>
          <w:sz w:val="20"/>
          <w:szCs w:val="20"/>
        </w:rPr>
        <w:t xml:space="preserve"> ai </w:t>
      </w:r>
      <w:r w:rsidR="00B635F5" w:rsidRPr="00A37F2D">
        <w:rPr>
          <w:rFonts w:asciiTheme="minorHAnsi" w:hAnsiTheme="minorHAnsi" w:cstheme="minorHAnsi"/>
          <w:color w:val="000000" w:themeColor="text1"/>
          <w:sz w:val="20"/>
          <w:szCs w:val="20"/>
        </w:rPr>
        <w:t>neonati</w:t>
      </w:r>
      <w:r w:rsidR="007D0BBF" w:rsidRPr="00A37F2D">
        <w:rPr>
          <w:rFonts w:asciiTheme="minorHAnsi" w:hAnsiTheme="minorHAnsi" w:cstheme="minorHAnsi"/>
          <w:color w:val="000000" w:themeColor="text1"/>
          <w:sz w:val="20"/>
          <w:szCs w:val="20"/>
        </w:rPr>
        <w:t xml:space="preserve">, </w:t>
      </w:r>
      <w:r w:rsidR="007D0BBF" w:rsidRPr="001D6E3E">
        <w:rPr>
          <w:rFonts w:asciiTheme="minorHAnsi" w:hAnsiTheme="minorHAnsi" w:cstheme="minorHAnsi"/>
          <w:b/>
          <w:bCs/>
          <w:color w:val="000000" w:themeColor="text1"/>
          <w:sz w:val="20"/>
          <w:szCs w:val="20"/>
        </w:rPr>
        <w:t>ma a</w:t>
      </w:r>
      <w:r w:rsidRPr="001D6E3E">
        <w:rPr>
          <w:rFonts w:asciiTheme="minorHAnsi" w:hAnsiTheme="minorHAnsi" w:cstheme="minorHAnsi"/>
          <w:b/>
          <w:bCs/>
          <w:color w:val="000000" w:themeColor="text1"/>
          <w:sz w:val="20"/>
          <w:szCs w:val="20"/>
        </w:rPr>
        <w:t xml:space="preserve">nche </w:t>
      </w:r>
      <w:r w:rsidR="007D0BBF" w:rsidRPr="001D6E3E">
        <w:rPr>
          <w:rFonts w:asciiTheme="minorHAnsi" w:hAnsiTheme="minorHAnsi" w:cstheme="minorHAnsi"/>
          <w:b/>
          <w:bCs/>
          <w:color w:val="000000" w:themeColor="text1"/>
          <w:sz w:val="20"/>
          <w:szCs w:val="20"/>
        </w:rPr>
        <w:t xml:space="preserve">dopo </w:t>
      </w:r>
      <w:r w:rsidRPr="001D6E3E">
        <w:rPr>
          <w:rFonts w:asciiTheme="minorHAnsi" w:hAnsiTheme="minorHAnsi" w:cstheme="minorHAnsi"/>
          <w:b/>
          <w:bCs/>
          <w:color w:val="000000" w:themeColor="text1"/>
          <w:sz w:val="20"/>
          <w:szCs w:val="20"/>
        </w:rPr>
        <w:t>d</w:t>
      </w:r>
      <w:r w:rsidR="00B635F5" w:rsidRPr="001D6E3E">
        <w:rPr>
          <w:rFonts w:asciiTheme="minorHAnsi" w:hAnsiTheme="minorHAnsi" w:cstheme="minorHAnsi"/>
          <w:b/>
          <w:bCs/>
          <w:color w:val="000000" w:themeColor="text1"/>
          <w:sz w:val="20"/>
          <w:szCs w:val="20"/>
        </w:rPr>
        <w:t xml:space="preserve">osi ripetute </w:t>
      </w:r>
      <w:r w:rsidR="007D0BBF" w:rsidRPr="001D6E3E">
        <w:rPr>
          <w:rFonts w:asciiTheme="minorHAnsi" w:hAnsiTheme="minorHAnsi" w:cstheme="minorHAnsi"/>
          <w:b/>
          <w:bCs/>
          <w:color w:val="000000" w:themeColor="text1"/>
          <w:sz w:val="20"/>
          <w:szCs w:val="20"/>
        </w:rPr>
        <w:t>d</w:t>
      </w:r>
      <w:r w:rsidR="00B635F5" w:rsidRPr="001D6E3E">
        <w:rPr>
          <w:rFonts w:asciiTheme="minorHAnsi" w:hAnsiTheme="minorHAnsi" w:cstheme="minorHAnsi"/>
          <w:b/>
          <w:bCs/>
          <w:color w:val="000000" w:themeColor="text1"/>
          <w:sz w:val="20"/>
          <w:szCs w:val="20"/>
        </w:rPr>
        <w:t xml:space="preserve">i vaccini </w:t>
      </w:r>
      <w:r w:rsidRPr="001D6E3E">
        <w:rPr>
          <w:rFonts w:asciiTheme="minorHAnsi" w:hAnsiTheme="minorHAnsi" w:cstheme="minorHAnsi"/>
          <w:b/>
          <w:bCs/>
          <w:color w:val="000000" w:themeColor="text1"/>
          <w:sz w:val="20"/>
          <w:szCs w:val="20"/>
        </w:rPr>
        <w:t>coniugati con i polisaccaridi batterici</w:t>
      </w:r>
      <w:r w:rsidRPr="00A37F2D">
        <w:rPr>
          <w:rFonts w:asciiTheme="minorHAnsi" w:hAnsiTheme="minorHAnsi" w:cstheme="minorHAnsi"/>
          <w:color w:val="000000" w:themeColor="text1"/>
          <w:sz w:val="20"/>
          <w:szCs w:val="20"/>
        </w:rPr>
        <w:t xml:space="preserve"> (</w:t>
      </w:r>
      <w:r w:rsidR="00B635F5" w:rsidRPr="00A37F2D">
        <w:rPr>
          <w:rFonts w:asciiTheme="minorHAnsi" w:hAnsiTheme="minorHAnsi" w:cstheme="minorHAnsi"/>
          <w:color w:val="000000" w:themeColor="text1"/>
          <w:sz w:val="20"/>
          <w:szCs w:val="20"/>
        </w:rPr>
        <w:t>PS</w:t>
      </w:r>
      <w:r w:rsidRPr="00A37F2D">
        <w:rPr>
          <w:rFonts w:asciiTheme="minorHAnsi" w:hAnsiTheme="minorHAnsi" w:cstheme="minorHAnsi"/>
          <w:color w:val="000000" w:themeColor="text1"/>
          <w:sz w:val="20"/>
          <w:szCs w:val="20"/>
        </w:rPr>
        <w:t>)</w:t>
      </w:r>
      <w:r w:rsidR="002840CC" w:rsidRPr="00A37F2D">
        <w:rPr>
          <w:rFonts w:asciiTheme="minorHAnsi" w:hAnsiTheme="minorHAnsi" w:cstheme="minorHAnsi"/>
          <w:color w:val="000000" w:themeColor="text1"/>
          <w:sz w:val="20"/>
          <w:szCs w:val="20"/>
        </w:rPr>
        <w:t>,</w:t>
      </w:r>
      <w:r w:rsidR="00B635F5" w:rsidRPr="00A37F2D">
        <w:rPr>
          <w:rFonts w:asciiTheme="minorHAnsi" w:hAnsiTheme="minorHAnsi" w:cstheme="minorHAnsi"/>
          <w:color w:val="000000" w:themeColor="text1"/>
          <w:sz w:val="20"/>
          <w:szCs w:val="20"/>
        </w:rPr>
        <w:t xml:space="preserve"> in particolare </w:t>
      </w:r>
      <w:r w:rsidRPr="00A37F2D">
        <w:rPr>
          <w:rFonts w:asciiTheme="minorHAnsi" w:hAnsiTheme="minorHAnsi" w:cstheme="minorHAnsi"/>
          <w:color w:val="000000" w:themeColor="text1"/>
          <w:sz w:val="20"/>
          <w:szCs w:val="20"/>
        </w:rPr>
        <w:t xml:space="preserve">contro il </w:t>
      </w:r>
      <w:r w:rsidR="00B635F5" w:rsidRPr="00A37F2D">
        <w:rPr>
          <w:rFonts w:asciiTheme="minorHAnsi" w:hAnsiTheme="minorHAnsi" w:cstheme="minorHAnsi"/>
          <w:color w:val="000000" w:themeColor="text1"/>
          <w:sz w:val="20"/>
          <w:szCs w:val="20"/>
        </w:rPr>
        <w:t xml:space="preserve">meningococco </w:t>
      </w:r>
      <w:r w:rsidRPr="00A37F2D">
        <w:rPr>
          <w:rFonts w:asciiTheme="minorHAnsi" w:hAnsiTheme="minorHAnsi" w:cstheme="minorHAnsi"/>
          <w:color w:val="000000" w:themeColor="text1"/>
          <w:sz w:val="20"/>
          <w:szCs w:val="20"/>
        </w:rPr>
        <w:t xml:space="preserve">del sierogruppo C (MencC) </w:t>
      </w:r>
      <w:r w:rsidRPr="001D6E3E">
        <w:rPr>
          <w:rFonts w:asciiTheme="minorHAnsi" w:hAnsiTheme="minorHAnsi" w:cstheme="minorHAnsi"/>
          <w:b/>
          <w:bCs/>
          <w:color w:val="000000" w:themeColor="text1"/>
          <w:sz w:val="20"/>
          <w:szCs w:val="20"/>
        </w:rPr>
        <w:t>e  altri vaccini coniugati con polisaccaridi e glicoconiugati</w:t>
      </w:r>
      <w:r w:rsidRPr="00A37F2D">
        <w:rPr>
          <w:rFonts w:asciiTheme="minorHAnsi" w:hAnsiTheme="minorHAnsi" w:cstheme="minorHAnsi"/>
          <w:color w:val="000000" w:themeColor="text1"/>
          <w:sz w:val="20"/>
          <w:szCs w:val="20"/>
        </w:rPr>
        <w:t xml:space="preserve"> (es. anti-pneumococco, anti-Haemophylus influenzae b</w:t>
      </w:r>
      <w:r w:rsidR="00B635F5" w:rsidRPr="00A37F2D">
        <w:rPr>
          <w:rFonts w:asciiTheme="minorHAnsi" w:hAnsiTheme="minorHAnsi" w:cstheme="minorHAnsi"/>
          <w:color w:val="000000" w:themeColor="text1"/>
          <w:sz w:val="20"/>
          <w:szCs w:val="20"/>
        </w:rPr>
        <w:t>,</w:t>
      </w:r>
      <w:r w:rsidR="002840CC" w:rsidRPr="00A37F2D">
        <w:rPr>
          <w:rFonts w:asciiTheme="minorHAnsi" w:hAnsiTheme="minorHAnsi" w:cstheme="minorHAnsi"/>
          <w:color w:val="000000" w:themeColor="text1"/>
          <w:sz w:val="20"/>
          <w:szCs w:val="20"/>
        </w:rPr>
        <w:t>)</w:t>
      </w:r>
      <w:r w:rsidR="00B635F5" w:rsidRPr="00A37F2D">
        <w:rPr>
          <w:rFonts w:asciiTheme="minorHAnsi" w:hAnsiTheme="minorHAnsi" w:cstheme="minorHAnsi"/>
          <w:color w:val="000000" w:themeColor="text1"/>
          <w:sz w:val="20"/>
          <w:szCs w:val="20"/>
        </w:rPr>
        <w:t xml:space="preserve"> </w:t>
      </w:r>
      <w:r w:rsidR="00B635F5" w:rsidRPr="001D6E3E">
        <w:rPr>
          <w:rFonts w:asciiTheme="minorHAnsi" w:hAnsiTheme="minorHAnsi" w:cstheme="minorHAnsi"/>
          <w:b/>
          <w:bCs/>
          <w:color w:val="000000" w:themeColor="text1"/>
          <w:sz w:val="20"/>
          <w:szCs w:val="20"/>
        </w:rPr>
        <w:t>indipendentemente dal</w:t>
      </w:r>
      <w:r w:rsidR="007D0BBF" w:rsidRPr="001D6E3E">
        <w:rPr>
          <w:rFonts w:asciiTheme="minorHAnsi" w:hAnsiTheme="minorHAnsi" w:cstheme="minorHAnsi"/>
          <w:b/>
          <w:bCs/>
          <w:color w:val="000000" w:themeColor="text1"/>
          <w:sz w:val="20"/>
          <w:szCs w:val="20"/>
        </w:rPr>
        <w:t>l’</w:t>
      </w:r>
      <w:r w:rsidR="00B635F5" w:rsidRPr="001D6E3E">
        <w:rPr>
          <w:rFonts w:asciiTheme="minorHAnsi" w:hAnsiTheme="minorHAnsi" w:cstheme="minorHAnsi"/>
          <w:b/>
          <w:bCs/>
          <w:color w:val="000000" w:themeColor="text1"/>
          <w:sz w:val="20"/>
          <w:szCs w:val="20"/>
        </w:rPr>
        <w:t>età in cui si</w:t>
      </w:r>
      <w:r w:rsidR="007D0BBF" w:rsidRPr="001D6E3E">
        <w:rPr>
          <w:rFonts w:asciiTheme="minorHAnsi" w:hAnsiTheme="minorHAnsi" w:cstheme="minorHAnsi"/>
          <w:b/>
          <w:bCs/>
          <w:color w:val="000000" w:themeColor="text1"/>
          <w:sz w:val="20"/>
          <w:szCs w:val="20"/>
        </w:rPr>
        <w:t xml:space="preserve"> effettuava</w:t>
      </w:r>
      <w:r w:rsidR="00B635F5" w:rsidRPr="001D6E3E">
        <w:rPr>
          <w:rFonts w:asciiTheme="minorHAnsi" w:hAnsiTheme="minorHAnsi" w:cstheme="minorHAnsi"/>
          <w:b/>
          <w:bCs/>
          <w:color w:val="000000" w:themeColor="text1"/>
          <w:sz w:val="20"/>
          <w:szCs w:val="20"/>
        </w:rPr>
        <w:t xml:space="preserve"> la vaccinazione</w:t>
      </w:r>
      <w:r w:rsidR="00B635F5" w:rsidRPr="00A37F2D">
        <w:rPr>
          <w:rFonts w:asciiTheme="minorHAnsi" w:hAnsiTheme="minorHAnsi" w:cstheme="minorHAnsi"/>
          <w:color w:val="000000" w:themeColor="text1"/>
          <w:sz w:val="20"/>
          <w:szCs w:val="20"/>
        </w:rPr>
        <w:t>.</w:t>
      </w:r>
      <w:r w:rsidR="007D0BBF" w:rsidRPr="00A37F2D">
        <w:rPr>
          <w:rFonts w:asciiTheme="minorHAnsi" w:hAnsiTheme="minorHAnsi" w:cstheme="minorHAnsi"/>
          <w:color w:val="000000" w:themeColor="text1"/>
          <w:sz w:val="20"/>
          <w:szCs w:val="20"/>
        </w:rPr>
        <w:t xml:space="preserve"> </w:t>
      </w:r>
      <w:r w:rsidR="00475FF6" w:rsidRPr="00A37F2D">
        <w:rPr>
          <w:rStyle w:val="FootnoteReference"/>
          <w:rFonts w:asciiTheme="minorHAnsi" w:hAnsiTheme="minorHAnsi" w:cstheme="minorHAnsi"/>
          <w:color w:val="000000" w:themeColor="text1"/>
          <w:sz w:val="20"/>
          <w:szCs w:val="20"/>
        </w:rPr>
        <w:footnoteReference w:id="129"/>
      </w:r>
    </w:p>
    <w:p w:rsidR="001D6E3E" w:rsidRDefault="004267F0" w:rsidP="0045201B">
      <w:pPr>
        <w:jc w:val="both"/>
        <w:rPr>
          <w:rFonts w:asciiTheme="minorHAnsi" w:hAnsiTheme="minorHAnsi" w:cstheme="minorHAnsi"/>
          <w:color w:val="000000" w:themeColor="text1"/>
          <w:sz w:val="20"/>
          <w:szCs w:val="20"/>
        </w:rPr>
      </w:pPr>
      <w:r w:rsidRPr="00A37F2D">
        <w:rPr>
          <w:rFonts w:asciiTheme="minorHAnsi" w:hAnsiTheme="minorHAnsi" w:cstheme="minorHAnsi"/>
          <w:color w:val="000000" w:themeColor="text1"/>
          <w:sz w:val="20"/>
          <w:szCs w:val="20"/>
        </w:rPr>
        <w:lastRenderedPageBreak/>
        <w:t>Come già discusso, d</w:t>
      </w:r>
      <w:r w:rsidR="00340DBD" w:rsidRPr="00A37F2D">
        <w:rPr>
          <w:rFonts w:asciiTheme="minorHAnsi" w:hAnsiTheme="minorHAnsi" w:cstheme="minorHAnsi"/>
          <w:color w:val="000000" w:themeColor="text1"/>
          <w:sz w:val="20"/>
          <w:szCs w:val="20"/>
        </w:rPr>
        <w:t xml:space="preserve">ata la limitata esposizione agli antigeni nell'utero, i neonati dipendono in modo particolare dalla loro immunità innata per stimolare le risposte immunitarie adattative. </w:t>
      </w:r>
    </w:p>
    <w:p w:rsidR="001D6E3E" w:rsidRDefault="001D6E3E" w:rsidP="0045201B">
      <w:pPr>
        <w:jc w:val="both"/>
        <w:rPr>
          <w:rFonts w:asciiTheme="minorHAnsi" w:hAnsiTheme="minorHAnsi" w:cstheme="minorHAnsi"/>
          <w:color w:val="000000" w:themeColor="text1"/>
          <w:sz w:val="20"/>
          <w:szCs w:val="20"/>
        </w:rPr>
      </w:pPr>
    </w:p>
    <w:p w:rsidR="0045201B" w:rsidRPr="00A37F2D" w:rsidRDefault="00340DBD" w:rsidP="0045201B">
      <w:pPr>
        <w:jc w:val="both"/>
        <w:rPr>
          <w:rFonts w:asciiTheme="minorHAnsi" w:hAnsiTheme="minorHAnsi" w:cstheme="minorHAnsi"/>
          <w:color w:val="000000" w:themeColor="text1"/>
          <w:sz w:val="20"/>
          <w:szCs w:val="20"/>
        </w:rPr>
      </w:pPr>
      <w:r w:rsidRPr="00A37F2D">
        <w:rPr>
          <w:rFonts w:asciiTheme="minorHAnsi" w:hAnsiTheme="minorHAnsi" w:cstheme="minorHAnsi"/>
          <w:color w:val="000000" w:themeColor="text1"/>
          <w:sz w:val="20"/>
          <w:szCs w:val="20"/>
        </w:rPr>
        <w:t>Le caratteristiche uniche dell'immunità innata del neonato sono quindi fondamentali per spiegare perché hanno risposte al vaccino non ottimali rispetto ai bambini più grandi.</w:t>
      </w:r>
      <w:r w:rsidR="00E966DC" w:rsidRPr="00A37F2D">
        <w:rPr>
          <w:rFonts w:asciiTheme="minorHAnsi" w:hAnsiTheme="minorHAnsi" w:cstheme="minorHAnsi"/>
          <w:color w:val="000000" w:themeColor="text1"/>
          <w:sz w:val="20"/>
          <w:szCs w:val="20"/>
        </w:rPr>
        <w:t xml:space="preserve"> </w:t>
      </w:r>
      <w:r w:rsidRPr="00A37F2D">
        <w:rPr>
          <w:rStyle w:val="FootnoteReference"/>
          <w:rFonts w:asciiTheme="minorHAnsi" w:hAnsiTheme="minorHAnsi" w:cstheme="minorHAnsi"/>
          <w:color w:val="000000" w:themeColor="text1"/>
          <w:sz w:val="20"/>
          <w:szCs w:val="20"/>
        </w:rPr>
        <w:footnoteReference w:id="130"/>
      </w:r>
    </w:p>
    <w:p w:rsidR="00D94CA0" w:rsidRPr="00A37F2D" w:rsidRDefault="00D94CA0" w:rsidP="0045201B">
      <w:pPr>
        <w:jc w:val="both"/>
        <w:rPr>
          <w:rFonts w:asciiTheme="minorHAnsi" w:hAnsiTheme="minorHAnsi"/>
          <w:color w:val="000000" w:themeColor="text1"/>
          <w:sz w:val="20"/>
          <w:szCs w:val="20"/>
        </w:rPr>
      </w:pPr>
    </w:p>
    <w:p w:rsidR="0045201B" w:rsidRPr="002840CC" w:rsidRDefault="0045201B" w:rsidP="0045201B">
      <w:pPr>
        <w:rPr>
          <w:rFonts w:asciiTheme="minorHAnsi" w:hAnsiTheme="minorHAnsi"/>
          <w:color w:val="000000" w:themeColor="text1"/>
        </w:rPr>
      </w:pPr>
      <w:r w:rsidRPr="002840CC">
        <w:rPr>
          <w:rFonts w:asciiTheme="minorHAnsi" w:hAnsiTheme="minorHAnsi"/>
          <w:color w:val="000000" w:themeColor="text1"/>
        </w:rPr>
        <w:fldChar w:fldCharType="begin"/>
      </w:r>
      <w:r w:rsidRPr="002840CC">
        <w:rPr>
          <w:rFonts w:asciiTheme="minorHAnsi" w:hAnsiTheme="minorHAnsi"/>
          <w:color w:val="000000" w:themeColor="text1"/>
        </w:rPr>
        <w:instrText xml:space="preserve"> INCLUDEPICTURE "https://journals.plos.org/plospathogens/article/file?id=10.1371/journal.ppat.1005997.g001&amp;type=large" \* MERGEFORMATINET </w:instrText>
      </w:r>
      <w:r w:rsidRPr="002840CC">
        <w:rPr>
          <w:rFonts w:asciiTheme="minorHAnsi" w:hAnsiTheme="minorHAnsi"/>
          <w:color w:val="000000" w:themeColor="text1"/>
        </w:rPr>
        <w:fldChar w:fldCharType="separate"/>
      </w:r>
      <w:r w:rsidRPr="002840CC">
        <w:rPr>
          <w:rFonts w:asciiTheme="minorHAnsi" w:hAnsiTheme="minorHAnsi"/>
          <w:noProof/>
          <w:color w:val="000000" w:themeColor="text1"/>
        </w:rPr>
        <w:drawing>
          <wp:inline distT="0" distB="0" distL="0" distR="0" wp14:anchorId="0754ED63" wp14:editId="602399BF">
            <wp:extent cx="5927637" cy="2151380"/>
            <wp:effectExtent l="0" t="0" r="3810" b="0"/>
            <wp:docPr id="44" name="Immagine 44"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3078" b="49982"/>
                    <a:stretch/>
                  </pic:blipFill>
                  <pic:spPr bwMode="auto">
                    <a:xfrm>
                      <a:off x="0" y="0"/>
                      <a:ext cx="5928048" cy="2151529"/>
                    </a:xfrm>
                    <a:prstGeom prst="rect">
                      <a:avLst/>
                    </a:prstGeom>
                    <a:noFill/>
                    <a:ln>
                      <a:noFill/>
                    </a:ln>
                    <a:extLst>
                      <a:ext uri="{53640926-AAD7-44D8-BBD7-CCE9431645EC}">
                        <a14:shadowObscured xmlns:a14="http://schemas.microsoft.com/office/drawing/2010/main"/>
                      </a:ext>
                    </a:extLst>
                  </pic:spPr>
                </pic:pic>
              </a:graphicData>
            </a:graphic>
          </wp:inline>
        </w:drawing>
      </w:r>
      <w:r w:rsidRPr="002840CC">
        <w:rPr>
          <w:rFonts w:asciiTheme="minorHAnsi" w:hAnsiTheme="minorHAnsi"/>
          <w:color w:val="000000" w:themeColor="text1"/>
        </w:rPr>
        <w:fldChar w:fldCharType="end"/>
      </w:r>
    </w:p>
    <w:p w:rsidR="00B13932" w:rsidRPr="00A10783" w:rsidRDefault="00B13932" w:rsidP="00A10783">
      <w:pPr>
        <w:shd w:val="clear" w:color="auto" w:fill="F2F2F2" w:themeFill="background1" w:themeFillShade="F2"/>
        <w:jc w:val="both"/>
        <w:rPr>
          <w:rFonts w:asciiTheme="minorHAnsi" w:hAnsiTheme="minorHAnsi"/>
          <w:color w:val="000000" w:themeColor="text1"/>
          <w:sz w:val="18"/>
          <w:szCs w:val="18"/>
        </w:rPr>
      </w:pPr>
      <w:r w:rsidRPr="00A10783">
        <w:rPr>
          <w:rFonts w:asciiTheme="minorHAnsi" w:hAnsiTheme="minorHAnsi"/>
          <w:color w:val="000000" w:themeColor="text1"/>
          <w:sz w:val="18"/>
          <w:szCs w:val="18"/>
        </w:rPr>
        <w:t xml:space="preserve">Tratta da </w:t>
      </w:r>
      <w:hyperlink r:id="rId128" w:history="1">
        <w:r w:rsidRPr="00A10783">
          <w:rPr>
            <w:rStyle w:val="Hyperlink"/>
            <w:rFonts w:asciiTheme="minorHAnsi" w:hAnsiTheme="minorHAnsi"/>
            <w:color w:val="000000" w:themeColor="text1"/>
            <w:sz w:val="18"/>
            <w:szCs w:val="18"/>
            <w:u w:val="none"/>
          </w:rPr>
          <w:t>https://www.ncbi.nlm.nih.gov/pmc/articles/PMC5179050/pdf/ppat.1005997.pdf</w:t>
        </w:r>
      </w:hyperlink>
      <w:r w:rsidRPr="00A10783">
        <w:rPr>
          <w:rFonts w:asciiTheme="minorHAnsi" w:hAnsiTheme="minorHAnsi"/>
          <w:color w:val="000000" w:themeColor="text1"/>
          <w:sz w:val="18"/>
          <w:szCs w:val="18"/>
        </w:rPr>
        <w:t xml:space="preserve"> </w:t>
      </w:r>
      <w:r w:rsidRPr="00A10783">
        <w:rPr>
          <w:rStyle w:val="FootnoteReference"/>
          <w:rFonts w:asciiTheme="minorHAnsi" w:hAnsiTheme="minorHAnsi"/>
          <w:color w:val="000000" w:themeColor="text1"/>
          <w:sz w:val="18"/>
          <w:szCs w:val="18"/>
        </w:rPr>
        <w:footnoteReference w:id="131"/>
      </w:r>
    </w:p>
    <w:p w:rsidR="00B13932" w:rsidRPr="00A10783" w:rsidRDefault="00DB06E1" w:rsidP="00A10783">
      <w:pPr>
        <w:shd w:val="clear" w:color="auto" w:fill="F2F2F2" w:themeFill="background1" w:themeFillShade="F2"/>
        <w:jc w:val="both"/>
        <w:rPr>
          <w:rFonts w:asciiTheme="minorHAnsi" w:hAnsiTheme="minorHAnsi"/>
          <w:color w:val="000000" w:themeColor="text1"/>
          <w:sz w:val="18"/>
          <w:szCs w:val="18"/>
        </w:rPr>
      </w:pPr>
      <w:r w:rsidRPr="00A10783">
        <w:rPr>
          <w:rFonts w:asciiTheme="minorHAnsi" w:hAnsiTheme="minorHAnsi"/>
          <w:color w:val="000000" w:themeColor="text1"/>
          <w:sz w:val="18"/>
          <w:szCs w:val="18"/>
        </w:rPr>
        <w:t>Le curve rappresentano vari livelli di risposta delle cellule T e B nei neonati, con il limite superiore pari al 100% dei livelli degli adulti.</w:t>
      </w:r>
    </w:p>
    <w:p w:rsidR="001D6E3E" w:rsidRDefault="001D6E3E" w:rsidP="001D6E3E">
      <w:pPr>
        <w:pStyle w:val="BodyText"/>
        <w:spacing w:before="0"/>
        <w:ind w:left="0"/>
        <w:jc w:val="both"/>
        <w:rPr>
          <w:rFonts w:asciiTheme="minorHAnsi" w:hAnsiTheme="minorHAnsi"/>
          <w:color w:val="000000" w:themeColor="text1"/>
          <w:sz w:val="16"/>
          <w:szCs w:val="16"/>
        </w:rPr>
      </w:pPr>
    </w:p>
    <w:p w:rsidR="009E5073" w:rsidRDefault="009E5073" w:rsidP="00A10783">
      <w:pPr>
        <w:pStyle w:val="BodyText"/>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tabs>
          <w:tab w:val="left" w:pos="567"/>
        </w:tabs>
        <w:spacing w:before="0"/>
        <w:ind w:left="567" w:right="985"/>
        <w:jc w:val="both"/>
        <w:rPr>
          <w:rFonts w:asciiTheme="minorHAnsi" w:hAnsiTheme="minorHAnsi"/>
          <w:i/>
          <w:iCs/>
          <w:color w:val="000000" w:themeColor="text1"/>
          <w:sz w:val="18"/>
          <w:szCs w:val="18"/>
        </w:rPr>
      </w:pPr>
    </w:p>
    <w:p w:rsidR="00795BBE" w:rsidRPr="00A10783" w:rsidRDefault="00795BBE" w:rsidP="00A10783">
      <w:pPr>
        <w:pStyle w:val="BodyText"/>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tabs>
          <w:tab w:val="left" w:pos="567"/>
        </w:tabs>
        <w:spacing w:before="0"/>
        <w:ind w:left="567" w:right="985"/>
        <w:jc w:val="both"/>
        <w:rPr>
          <w:rFonts w:asciiTheme="minorHAnsi" w:hAnsiTheme="minorHAnsi"/>
          <w:i/>
          <w:iCs/>
          <w:color w:val="000000" w:themeColor="text1"/>
          <w:spacing w:val="-5"/>
          <w:sz w:val="20"/>
          <w:szCs w:val="20"/>
        </w:rPr>
      </w:pPr>
      <w:r w:rsidRPr="00A10783">
        <w:rPr>
          <w:rFonts w:asciiTheme="minorHAnsi" w:hAnsiTheme="minorHAnsi"/>
          <w:i/>
          <w:iCs/>
          <w:color w:val="000000" w:themeColor="text1"/>
          <w:sz w:val="20"/>
          <w:szCs w:val="20"/>
        </w:rPr>
        <w:t>A</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4"/>
          <w:sz w:val="20"/>
          <w:szCs w:val="20"/>
        </w:rPr>
        <w:t>scopo</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6"/>
          <w:sz w:val="20"/>
          <w:szCs w:val="20"/>
        </w:rPr>
        <w:t>riassuntivo</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z w:val="20"/>
          <w:szCs w:val="20"/>
        </w:rPr>
        <w:t xml:space="preserve">si </w:t>
      </w:r>
      <w:r w:rsidRPr="00A10783">
        <w:rPr>
          <w:rFonts w:asciiTheme="minorHAnsi" w:hAnsiTheme="minorHAnsi"/>
          <w:i/>
          <w:iCs/>
          <w:color w:val="000000" w:themeColor="text1"/>
          <w:spacing w:val="-6"/>
          <w:sz w:val="20"/>
          <w:szCs w:val="20"/>
        </w:rPr>
        <w:t>ricorda</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pacing w:val="-5"/>
          <w:sz w:val="20"/>
          <w:szCs w:val="20"/>
        </w:rPr>
        <w:t>che:</w:t>
      </w:r>
    </w:p>
    <w:p w:rsidR="00795BBE" w:rsidRPr="00A10783" w:rsidRDefault="00795BBE" w:rsidP="00A10783">
      <w:pPr>
        <w:pStyle w:val="BodyText"/>
        <w:widowControl w:val="0"/>
        <w:numPr>
          <w:ilvl w:val="0"/>
          <w:numId w:val="6"/>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tabs>
          <w:tab w:val="left" w:pos="242"/>
          <w:tab w:val="left" w:pos="567"/>
        </w:tabs>
        <w:autoSpaceDE/>
        <w:autoSpaceDN/>
        <w:adjustRightInd/>
        <w:spacing w:before="0"/>
        <w:ind w:left="567" w:right="985" w:firstLine="0"/>
        <w:jc w:val="both"/>
        <w:rPr>
          <w:rFonts w:asciiTheme="minorHAnsi" w:hAnsiTheme="minorHAnsi"/>
          <w:i/>
          <w:iCs/>
          <w:color w:val="000000" w:themeColor="text1"/>
          <w:sz w:val="20"/>
          <w:szCs w:val="20"/>
        </w:rPr>
      </w:pPr>
      <w:r w:rsidRPr="00A10783">
        <w:rPr>
          <w:rFonts w:asciiTheme="minorHAnsi" w:hAnsiTheme="minorHAnsi"/>
          <w:i/>
          <w:iCs/>
          <w:color w:val="000000" w:themeColor="text1"/>
          <w:spacing w:val="-2"/>
          <w:sz w:val="20"/>
          <w:szCs w:val="20"/>
        </w:rPr>
        <w:t>Le</w:t>
      </w:r>
      <w:r w:rsidRPr="00A10783">
        <w:rPr>
          <w:rFonts w:asciiTheme="minorHAnsi" w:hAnsiTheme="minorHAnsi"/>
          <w:i/>
          <w:iCs/>
          <w:color w:val="000000" w:themeColor="text1"/>
          <w:spacing w:val="7"/>
          <w:sz w:val="20"/>
          <w:szCs w:val="20"/>
        </w:rPr>
        <w:t xml:space="preserve"> </w:t>
      </w:r>
      <w:r w:rsidRPr="00A10783">
        <w:rPr>
          <w:rFonts w:asciiTheme="minorHAnsi" w:hAnsiTheme="minorHAnsi" w:cs="Times New Roman"/>
          <w:b/>
          <w:bCs/>
          <w:i/>
          <w:iCs/>
          <w:color w:val="000000" w:themeColor="text1"/>
          <w:spacing w:val="-4"/>
          <w:sz w:val="20"/>
          <w:szCs w:val="20"/>
        </w:rPr>
        <w:t>IgM</w:t>
      </w:r>
      <w:r w:rsidRPr="00A10783">
        <w:rPr>
          <w:rFonts w:asciiTheme="minorHAnsi" w:hAnsiTheme="minorHAnsi" w:cs="Times New Roman"/>
          <w:i/>
          <w:iCs/>
          <w:color w:val="000000" w:themeColor="text1"/>
          <w:spacing w:val="9"/>
          <w:sz w:val="20"/>
          <w:szCs w:val="20"/>
        </w:rPr>
        <w:t xml:space="preserve"> </w:t>
      </w:r>
      <w:r w:rsidRPr="00A10783">
        <w:rPr>
          <w:rFonts w:asciiTheme="minorHAnsi" w:hAnsiTheme="minorHAnsi"/>
          <w:i/>
          <w:iCs/>
          <w:color w:val="000000" w:themeColor="text1"/>
          <w:spacing w:val="-3"/>
          <w:sz w:val="20"/>
          <w:szCs w:val="20"/>
        </w:rPr>
        <w:t>sono</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5"/>
          <w:sz w:val="20"/>
          <w:szCs w:val="20"/>
        </w:rPr>
        <w:t>imm</w:t>
      </w:r>
      <w:r w:rsidRPr="00A10783">
        <w:rPr>
          <w:rFonts w:asciiTheme="minorHAnsi" w:hAnsiTheme="minorHAnsi"/>
          <w:i/>
          <w:iCs/>
          <w:color w:val="000000" w:themeColor="text1"/>
          <w:spacing w:val="-4"/>
          <w:sz w:val="20"/>
          <w:szCs w:val="20"/>
        </w:rPr>
        <w:t>unog</w:t>
      </w:r>
      <w:r w:rsidRPr="00A10783">
        <w:rPr>
          <w:rFonts w:asciiTheme="minorHAnsi" w:hAnsiTheme="minorHAnsi"/>
          <w:i/>
          <w:iCs/>
          <w:color w:val="000000" w:themeColor="text1"/>
          <w:spacing w:val="-5"/>
          <w:sz w:val="20"/>
          <w:szCs w:val="20"/>
        </w:rPr>
        <w:t>lobuline</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pacing w:val="-4"/>
          <w:sz w:val="20"/>
          <w:szCs w:val="20"/>
        </w:rPr>
        <w:t>prodo</w:t>
      </w:r>
      <w:r w:rsidRPr="00A10783">
        <w:rPr>
          <w:rFonts w:asciiTheme="minorHAnsi" w:hAnsiTheme="minorHAnsi"/>
          <w:i/>
          <w:iCs/>
          <w:color w:val="000000" w:themeColor="text1"/>
          <w:spacing w:val="-5"/>
          <w:sz w:val="20"/>
          <w:szCs w:val="20"/>
        </w:rPr>
        <w:t>tte</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2"/>
          <w:sz w:val="20"/>
          <w:szCs w:val="20"/>
        </w:rPr>
        <w:t>al</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pacing w:val="-5"/>
          <w:sz w:val="20"/>
          <w:szCs w:val="20"/>
        </w:rPr>
        <w:t>pr</w:t>
      </w:r>
      <w:r w:rsidRPr="00A10783">
        <w:rPr>
          <w:rFonts w:asciiTheme="minorHAnsi" w:hAnsiTheme="minorHAnsi"/>
          <w:i/>
          <w:iCs/>
          <w:color w:val="000000" w:themeColor="text1"/>
          <w:spacing w:val="-6"/>
          <w:sz w:val="20"/>
          <w:szCs w:val="20"/>
        </w:rPr>
        <w:t>im</w:t>
      </w:r>
      <w:r w:rsidRPr="00A10783">
        <w:rPr>
          <w:rFonts w:asciiTheme="minorHAnsi" w:hAnsiTheme="minorHAnsi"/>
          <w:i/>
          <w:iCs/>
          <w:color w:val="000000" w:themeColor="text1"/>
          <w:spacing w:val="-5"/>
          <w:sz w:val="20"/>
          <w:szCs w:val="20"/>
        </w:rPr>
        <w:t>o</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5"/>
          <w:sz w:val="20"/>
          <w:szCs w:val="20"/>
        </w:rPr>
        <w:t>contatto</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3"/>
          <w:sz w:val="20"/>
          <w:szCs w:val="20"/>
        </w:rPr>
        <w:t>con</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5"/>
          <w:sz w:val="20"/>
          <w:szCs w:val="20"/>
        </w:rPr>
        <w:t>l’antigene;</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pacing w:val="-5"/>
          <w:sz w:val="20"/>
          <w:szCs w:val="20"/>
        </w:rPr>
        <w:t>circolano</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4"/>
          <w:sz w:val="20"/>
          <w:szCs w:val="20"/>
        </w:rPr>
        <w:t>so</w:t>
      </w:r>
      <w:r w:rsidRPr="00A10783">
        <w:rPr>
          <w:rFonts w:asciiTheme="minorHAnsi" w:hAnsiTheme="minorHAnsi"/>
          <w:i/>
          <w:iCs/>
          <w:color w:val="000000" w:themeColor="text1"/>
          <w:spacing w:val="-5"/>
          <w:sz w:val="20"/>
          <w:szCs w:val="20"/>
        </w:rPr>
        <w:t>lo</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3"/>
          <w:sz w:val="20"/>
          <w:szCs w:val="20"/>
        </w:rPr>
        <w:t>nel</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pacing w:val="-6"/>
          <w:sz w:val="20"/>
          <w:szCs w:val="20"/>
        </w:rPr>
        <w:t>sangue</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z w:val="20"/>
          <w:szCs w:val="20"/>
        </w:rPr>
        <w:t>e</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6"/>
          <w:sz w:val="20"/>
          <w:szCs w:val="20"/>
        </w:rPr>
        <w:t>proteggon</w:t>
      </w:r>
      <w:r w:rsidRPr="00A10783">
        <w:rPr>
          <w:rFonts w:asciiTheme="minorHAnsi" w:hAnsiTheme="minorHAnsi"/>
          <w:i/>
          <w:iCs/>
          <w:color w:val="000000" w:themeColor="text1"/>
          <w:spacing w:val="-5"/>
          <w:sz w:val="20"/>
          <w:szCs w:val="20"/>
        </w:rPr>
        <w:t>o</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5"/>
          <w:sz w:val="20"/>
          <w:szCs w:val="20"/>
        </w:rPr>
        <w:t>qu</w:t>
      </w:r>
      <w:r w:rsidRPr="00A10783">
        <w:rPr>
          <w:rFonts w:asciiTheme="minorHAnsi" w:hAnsiTheme="minorHAnsi"/>
          <w:i/>
          <w:iCs/>
          <w:color w:val="000000" w:themeColor="text1"/>
          <w:spacing w:val="-6"/>
          <w:sz w:val="20"/>
          <w:szCs w:val="20"/>
        </w:rPr>
        <w:t>est’ultim</w:t>
      </w:r>
      <w:r w:rsidRPr="00A10783">
        <w:rPr>
          <w:rFonts w:asciiTheme="minorHAnsi" w:hAnsiTheme="minorHAnsi"/>
          <w:i/>
          <w:iCs/>
          <w:color w:val="000000" w:themeColor="text1"/>
          <w:spacing w:val="-5"/>
          <w:sz w:val="20"/>
          <w:szCs w:val="20"/>
        </w:rPr>
        <w:t>o</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pacing w:val="-4"/>
          <w:sz w:val="20"/>
          <w:szCs w:val="20"/>
        </w:rPr>
        <w:t>d</w:t>
      </w:r>
      <w:r w:rsidRPr="00A10783">
        <w:rPr>
          <w:rFonts w:asciiTheme="minorHAnsi" w:hAnsiTheme="minorHAnsi"/>
          <w:i/>
          <w:iCs/>
          <w:color w:val="000000" w:themeColor="text1"/>
          <w:spacing w:val="-5"/>
          <w:sz w:val="20"/>
          <w:szCs w:val="20"/>
        </w:rPr>
        <w:t>alle</w:t>
      </w:r>
      <w:r w:rsidRPr="00A10783">
        <w:rPr>
          <w:rFonts w:asciiTheme="minorHAnsi" w:hAnsiTheme="minorHAnsi"/>
          <w:i/>
          <w:iCs/>
          <w:color w:val="000000" w:themeColor="text1"/>
          <w:spacing w:val="-7"/>
          <w:sz w:val="20"/>
          <w:szCs w:val="20"/>
        </w:rPr>
        <w:t xml:space="preserve"> malattie.</w:t>
      </w:r>
    </w:p>
    <w:p w:rsidR="00A10783" w:rsidRPr="00A10783" w:rsidRDefault="00795BBE" w:rsidP="00A10783">
      <w:pPr>
        <w:pStyle w:val="ListParagraph"/>
        <w:numPr>
          <w:ilvl w:val="0"/>
          <w:numId w:val="6"/>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tabs>
          <w:tab w:val="left" w:pos="284"/>
          <w:tab w:val="left" w:pos="567"/>
        </w:tabs>
        <w:ind w:left="567" w:right="985" w:firstLine="0"/>
        <w:jc w:val="both"/>
        <w:rPr>
          <w:rFonts w:asciiTheme="minorHAnsi" w:hAnsiTheme="minorHAnsi"/>
          <w:i/>
          <w:iCs/>
          <w:color w:val="000000" w:themeColor="text1"/>
          <w:spacing w:val="-5"/>
          <w:sz w:val="20"/>
          <w:szCs w:val="20"/>
        </w:rPr>
      </w:pPr>
      <w:r w:rsidRPr="00A10783">
        <w:rPr>
          <w:rFonts w:asciiTheme="minorHAnsi" w:hAnsiTheme="minorHAnsi"/>
          <w:i/>
          <w:iCs/>
          <w:color w:val="000000" w:themeColor="text1"/>
          <w:spacing w:val="-2"/>
          <w:sz w:val="20"/>
          <w:szCs w:val="20"/>
        </w:rPr>
        <w:t>Le</w:t>
      </w:r>
      <w:r w:rsidRPr="00A10783">
        <w:rPr>
          <w:rFonts w:asciiTheme="minorHAnsi" w:hAnsiTheme="minorHAnsi"/>
          <w:i/>
          <w:iCs/>
          <w:color w:val="000000" w:themeColor="text1"/>
          <w:spacing w:val="15"/>
          <w:sz w:val="20"/>
          <w:szCs w:val="20"/>
        </w:rPr>
        <w:t xml:space="preserve"> </w:t>
      </w:r>
      <w:r w:rsidRPr="00A10783">
        <w:rPr>
          <w:rFonts w:asciiTheme="minorHAnsi" w:hAnsiTheme="minorHAnsi"/>
          <w:b/>
          <w:bCs/>
          <w:i/>
          <w:iCs/>
          <w:color w:val="000000" w:themeColor="text1"/>
          <w:spacing w:val="-3"/>
          <w:sz w:val="20"/>
          <w:szCs w:val="20"/>
        </w:rPr>
        <w:t>IgG</w:t>
      </w:r>
      <w:r w:rsidRPr="00A10783">
        <w:rPr>
          <w:rFonts w:asciiTheme="minorHAnsi" w:hAnsiTheme="minorHAnsi"/>
          <w:i/>
          <w:iCs/>
          <w:color w:val="000000" w:themeColor="text1"/>
          <w:spacing w:val="15"/>
          <w:sz w:val="20"/>
          <w:szCs w:val="20"/>
        </w:rPr>
        <w:t xml:space="preserve"> </w:t>
      </w:r>
      <w:r w:rsidRPr="00A10783">
        <w:rPr>
          <w:rFonts w:asciiTheme="minorHAnsi" w:hAnsiTheme="minorHAnsi"/>
          <w:i/>
          <w:iCs/>
          <w:color w:val="000000" w:themeColor="text1"/>
          <w:spacing w:val="-4"/>
          <w:sz w:val="20"/>
          <w:szCs w:val="20"/>
        </w:rPr>
        <w:t>sono</w:t>
      </w:r>
      <w:r w:rsidRPr="00A10783">
        <w:rPr>
          <w:rFonts w:asciiTheme="minorHAnsi" w:hAnsiTheme="minorHAnsi"/>
          <w:i/>
          <w:iCs/>
          <w:color w:val="000000" w:themeColor="text1"/>
          <w:spacing w:val="15"/>
          <w:sz w:val="20"/>
          <w:szCs w:val="20"/>
        </w:rPr>
        <w:t xml:space="preserve"> </w:t>
      </w:r>
      <w:r w:rsidRPr="00A10783">
        <w:rPr>
          <w:rFonts w:asciiTheme="minorHAnsi" w:hAnsiTheme="minorHAnsi"/>
          <w:i/>
          <w:iCs/>
          <w:color w:val="000000" w:themeColor="text1"/>
          <w:spacing w:val="-2"/>
          <w:sz w:val="20"/>
          <w:szCs w:val="20"/>
        </w:rPr>
        <w:t>le</w:t>
      </w:r>
      <w:r w:rsidRPr="00A10783">
        <w:rPr>
          <w:rFonts w:asciiTheme="minorHAnsi" w:hAnsiTheme="minorHAnsi"/>
          <w:i/>
          <w:iCs/>
          <w:color w:val="000000" w:themeColor="text1"/>
          <w:spacing w:val="14"/>
          <w:sz w:val="20"/>
          <w:szCs w:val="20"/>
        </w:rPr>
        <w:t xml:space="preserve"> </w:t>
      </w:r>
      <w:r w:rsidRPr="00A10783">
        <w:rPr>
          <w:rFonts w:asciiTheme="minorHAnsi" w:hAnsiTheme="minorHAnsi"/>
          <w:i/>
          <w:iCs/>
          <w:color w:val="000000" w:themeColor="text1"/>
          <w:spacing w:val="-5"/>
          <w:sz w:val="20"/>
          <w:szCs w:val="20"/>
        </w:rPr>
        <w:t>imm</w:t>
      </w:r>
      <w:r w:rsidRPr="00A10783">
        <w:rPr>
          <w:rFonts w:asciiTheme="minorHAnsi" w:hAnsiTheme="minorHAnsi"/>
          <w:i/>
          <w:iCs/>
          <w:color w:val="000000" w:themeColor="text1"/>
          <w:spacing w:val="-4"/>
          <w:sz w:val="20"/>
          <w:szCs w:val="20"/>
        </w:rPr>
        <w:t>unog</w:t>
      </w:r>
      <w:r w:rsidRPr="00A10783">
        <w:rPr>
          <w:rFonts w:asciiTheme="minorHAnsi" w:hAnsiTheme="minorHAnsi"/>
          <w:i/>
          <w:iCs/>
          <w:color w:val="000000" w:themeColor="text1"/>
          <w:spacing w:val="-5"/>
          <w:sz w:val="20"/>
          <w:szCs w:val="20"/>
        </w:rPr>
        <w:t>l</w:t>
      </w:r>
      <w:r w:rsidRPr="00A10783">
        <w:rPr>
          <w:rFonts w:asciiTheme="minorHAnsi" w:hAnsiTheme="minorHAnsi"/>
          <w:i/>
          <w:iCs/>
          <w:color w:val="000000" w:themeColor="text1"/>
          <w:spacing w:val="-4"/>
          <w:sz w:val="20"/>
          <w:szCs w:val="20"/>
        </w:rPr>
        <w:t>obu</w:t>
      </w:r>
      <w:r w:rsidRPr="00A10783">
        <w:rPr>
          <w:rFonts w:asciiTheme="minorHAnsi" w:hAnsiTheme="minorHAnsi"/>
          <w:i/>
          <w:iCs/>
          <w:color w:val="000000" w:themeColor="text1"/>
          <w:spacing w:val="-5"/>
          <w:sz w:val="20"/>
          <w:szCs w:val="20"/>
        </w:rPr>
        <w:t>line</w:t>
      </w:r>
      <w:r w:rsidRPr="00A10783">
        <w:rPr>
          <w:rFonts w:asciiTheme="minorHAnsi" w:hAnsiTheme="minorHAnsi"/>
          <w:i/>
          <w:iCs/>
          <w:color w:val="000000" w:themeColor="text1"/>
          <w:spacing w:val="14"/>
          <w:sz w:val="20"/>
          <w:szCs w:val="20"/>
        </w:rPr>
        <w:t xml:space="preserve"> </w:t>
      </w:r>
      <w:r w:rsidRPr="00A10783">
        <w:rPr>
          <w:rFonts w:asciiTheme="minorHAnsi" w:hAnsiTheme="minorHAnsi"/>
          <w:i/>
          <w:iCs/>
          <w:color w:val="000000" w:themeColor="text1"/>
          <w:spacing w:val="-5"/>
          <w:sz w:val="20"/>
          <w:szCs w:val="20"/>
        </w:rPr>
        <w:t>plasmatiche</w:t>
      </w:r>
      <w:r w:rsidRPr="00A10783">
        <w:rPr>
          <w:rFonts w:asciiTheme="minorHAnsi" w:hAnsiTheme="minorHAnsi"/>
          <w:i/>
          <w:iCs/>
          <w:color w:val="000000" w:themeColor="text1"/>
          <w:spacing w:val="14"/>
          <w:sz w:val="20"/>
          <w:szCs w:val="20"/>
        </w:rPr>
        <w:t xml:space="preserve"> </w:t>
      </w:r>
      <w:r w:rsidRPr="00A10783">
        <w:rPr>
          <w:rFonts w:asciiTheme="minorHAnsi" w:hAnsiTheme="minorHAnsi"/>
          <w:i/>
          <w:iCs/>
          <w:color w:val="000000" w:themeColor="text1"/>
          <w:spacing w:val="-3"/>
          <w:sz w:val="20"/>
          <w:szCs w:val="20"/>
        </w:rPr>
        <w:t>più</w:t>
      </w:r>
      <w:r w:rsidRPr="00A10783">
        <w:rPr>
          <w:rFonts w:asciiTheme="minorHAnsi" w:hAnsiTheme="minorHAnsi"/>
          <w:i/>
          <w:iCs/>
          <w:color w:val="000000" w:themeColor="text1"/>
          <w:spacing w:val="15"/>
          <w:sz w:val="20"/>
          <w:szCs w:val="20"/>
        </w:rPr>
        <w:t xml:space="preserve"> </w:t>
      </w:r>
      <w:r w:rsidRPr="00A10783">
        <w:rPr>
          <w:rFonts w:asciiTheme="minorHAnsi" w:hAnsiTheme="minorHAnsi"/>
          <w:i/>
          <w:iCs/>
          <w:color w:val="000000" w:themeColor="text1"/>
          <w:spacing w:val="-4"/>
          <w:sz w:val="20"/>
          <w:szCs w:val="20"/>
        </w:rPr>
        <w:t>nu</w:t>
      </w:r>
      <w:r w:rsidRPr="00A10783">
        <w:rPr>
          <w:rFonts w:asciiTheme="minorHAnsi" w:hAnsiTheme="minorHAnsi"/>
          <w:i/>
          <w:iCs/>
          <w:color w:val="000000" w:themeColor="text1"/>
          <w:spacing w:val="-5"/>
          <w:sz w:val="20"/>
          <w:szCs w:val="20"/>
        </w:rPr>
        <w:t>me</w:t>
      </w:r>
      <w:r w:rsidRPr="00A10783">
        <w:rPr>
          <w:rFonts w:asciiTheme="minorHAnsi" w:hAnsiTheme="minorHAnsi"/>
          <w:i/>
          <w:iCs/>
          <w:color w:val="000000" w:themeColor="text1"/>
          <w:spacing w:val="-4"/>
          <w:sz w:val="20"/>
          <w:szCs w:val="20"/>
        </w:rPr>
        <w:t>ro</w:t>
      </w:r>
      <w:r w:rsidRPr="00A10783">
        <w:rPr>
          <w:rFonts w:asciiTheme="minorHAnsi" w:hAnsiTheme="minorHAnsi"/>
          <w:i/>
          <w:iCs/>
          <w:color w:val="000000" w:themeColor="text1"/>
          <w:spacing w:val="-5"/>
          <w:sz w:val="20"/>
          <w:szCs w:val="20"/>
        </w:rPr>
        <w:t>se;</w:t>
      </w:r>
      <w:r w:rsidRPr="00A10783">
        <w:rPr>
          <w:rFonts w:asciiTheme="minorHAnsi" w:hAnsiTheme="minorHAnsi"/>
          <w:i/>
          <w:iCs/>
          <w:color w:val="000000" w:themeColor="text1"/>
          <w:spacing w:val="15"/>
          <w:sz w:val="20"/>
          <w:szCs w:val="20"/>
        </w:rPr>
        <w:t xml:space="preserve"> </w:t>
      </w:r>
      <w:r w:rsidRPr="00A10783">
        <w:rPr>
          <w:rFonts w:asciiTheme="minorHAnsi" w:hAnsiTheme="minorHAnsi"/>
          <w:i/>
          <w:iCs/>
          <w:color w:val="000000" w:themeColor="text1"/>
          <w:spacing w:val="-5"/>
          <w:sz w:val="20"/>
          <w:szCs w:val="20"/>
        </w:rPr>
        <w:t>veng</w:t>
      </w:r>
      <w:r w:rsidRPr="00A10783">
        <w:rPr>
          <w:rFonts w:asciiTheme="minorHAnsi" w:hAnsiTheme="minorHAnsi"/>
          <w:i/>
          <w:iCs/>
          <w:color w:val="000000" w:themeColor="text1"/>
          <w:spacing w:val="-4"/>
          <w:sz w:val="20"/>
          <w:szCs w:val="20"/>
        </w:rPr>
        <w:t>ono</w:t>
      </w:r>
      <w:r w:rsidRPr="00A10783">
        <w:rPr>
          <w:rFonts w:asciiTheme="minorHAnsi" w:hAnsiTheme="minorHAnsi"/>
          <w:i/>
          <w:iCs/>
          <w:color w:val="000000" w:themeColor="text1"/>
          <w:spacing w:val="15"/>
          <w:sz w:val="20"/>
          <w:szCs w:val="20"/>
        </w:rPr>
        <w:t xml:space="preserve"> </w:t>
      </w:r>
      <w:r w:rsidRPr="00A10783">
        <w:rPr>
          <w:rFonts w:asciiTheme="minorHAnsi" w:hAnsiTheme="minorHAnsi"/>
          <w:i/>
          <w:iCs/>
          <w:color w:val="000000" w:themeColor="text1"/>
          <w:spacing w:val="-4"/>
          <w:sz w:val="20"/>
          <w:szCs w:val="20"/>
        </w:rPr>
        <w:t>prod</w:t>
      </w:r>
      <w:r w:rsidRPr="00A10783">
        <w:rPr>
          <w:rFonts w:asciiTheme="minorHAnsi" w:hAnsiTheme="minorHAnsi"/>
          <w:i/>
          <w:iCs/>
          <w:color w:val="000000" w:themeColor="text1"/>
          <w:spacing w:val="-5"/>
          <w:sz w:val="20"/>
          <w:szCs w:val="20"/>
        </w:rPr>
        <w:t>otte</w:t>
      </w:r>
      <w:r w:rsidRPr="00A10783">
        <w:rPr>
          <w:rFonts w:asciiTheme="minorHAnsi" w:hAnsiTheme="minorHAnsi"/>
          <w:i/>
          <w:iCs/>
          <w:color w:val="000000" w:themeColor="text1"/>
          <w:spacing w:val="26"/>
          <w:w w:val="99"/>
          <w:sz w:val="20"/>
          <w:szCs w:val="20"/>
        </w:rPr>
        <w:t xml:space="preserve"> </w:t>
      </w:r>
      <w:r w:rsidRPr="00A10783">
        <w:rPr>
          <w:rFonts w:asciiTheme="minorHAnsi" w:hAnsiTheme="minorHAnsi"/>
          <w:i/>
          <w:iCs/>
          <w:color w:val="000000" w:themeColor="text1"/>
          <w:spacing w:val="-5"/>
          <w:sz w:val="20"/>
          <w:szCs w:val="20"/>
        </w:rPr>
        <w:t>qua</w:t>
      </w:r>
      <w:r w:rsidRPr="00A10783">
        <w:rPr>
          <w:rFonts w:asciiTheme="minorHAnsi" w:hAnsiTheme="minorHAnsi"/>
          <w:i/>
          <w:iCs/>
          <w:color w:val="000000" w:themeColor="text1"/>
          <w:spacing w:val="-4"/>
          <w:sz w:val="20"/>
          <w:szCs w:val="20"/>
        </w:rPr>
        <w:t>ndo</w:t>
      </w:r>
      <w:r w:rsidRPr="00A10783">
        <w:rPr>
          <w:rFonts w:asciiTheme="minorHAnsi" w:hAnsiTheme="minorHAnsi"/>
          <w:i/>
          <w:iCs/>
          <w:color w:val="000000" w:themeColor="text1"/>
          <w:spacing w:val="23"/>
          <w:sz w:val="20"/>
          <w:szCs w:val="20"/>
        </w:rPr>
        <w:t xml:space="preserve"> </w:t>
      </w:r>
      <w:r w:rsidRPr="00A10783">
        <w:rPr>
          <w:rFonts w:asciiTheme="minorHAnsi" w:hAnsiTheme="minorHAnsi"/>
          <w:i/>
          <w:iCs/>
          <w:color w:val="000000" w:themeColor="text1"/>
          <w:spacing w:val="-3"/>
          <w:sz w:val="20"/>
          <w:szCs w:val="20"/>
        </w:rPr>
        <w:t>la</w:t>
      </w:r>
      <w:r w:rsidRPr="00A10783">
        <w:rPr>
          <w:rFonts w:asciiTheme="minorHAnsi" w:hAnsiTheme="minorHAnsi"/>
          <w:i/>
          <w:iCs/>
          <w:color w:val="000000" w:themeColor="text1"/>
          <w:spacing w:val="22"/>
          <w:sz w:val="20"/>
          <w:szCs w:val="20"/>
        </w:rPr>
        <w:t xml:space="preserve"> </w:t>
      </w:r>
      <w:r w:rsidRPr="00A10783">
        <w:rPr>
          <w:rFonts w:asciiTheme="minorHAnsi" w:hAnsiTheme="minorHAnsi"/>
          <w:i/>
          <w:iCs/>
          <w:color w:val="000000" w:themeColor="text1"/>
          <w:spacing w:val="-6"/>
          <w:sz w:val="20"/>
          <w:szCs w:val="20"/>
        </w:rPr>
        <w:t>conce</w:t>
      </w:r>
      <w:r w:rsidRPr="00A10783">
        <w:rPr>
          <w:rFonts w:asciiTheme="minorHAnsi" w:hAnsiTheme="minorHAnsi"/>
          <w:i/>
          <w:iCs/>
          <w:color w:val="000000" w:themeColor="text1"/>
          <w:spacing w:val="-5"/>
          <w:sz w:val="20"/>
          <w:szCs w:val="20"/>
        </w:rPr>
        <w:t>n</w:t>
      </w:r>
      <w:r w:rsidRPr="00A10783">
        <w:rPr>
          <w:rFonts w:asciiTheme="minorHAnsi" w:hAnsiTheme="minorHAnsi"/>
          <w:i/>
          <w:iCs/>
          <w:color w:val="000000" w:themeColor="text1"/>
          <w:spacing w:val="-6"/>
          <w:sz w:val="20"/>
          <w:szCs w:val="20"/>
        </w:rPr>
        <w:t>trazi</w:t>
      </w:r>
      <w:r w:rsidRPr="00A10783">
        <w:rPr>
          <w:rFonts w:asciiTheme="minorHAnsi" w:hAnsiTheme="minorHAnsi"/>
          <w:i/>
          <w:iCs/>
          <w:color w:val="000000" w:themeColor="text1"/>
          <w:spacing w:val="-5"/>
          <w:sz w:val="20"/>
          <w:szCs w:val="20"/>
        </w:rPr>
        <w:t>o</w:t>
      </w:r>
      <w:r w:rsidRPr="00A10783">
        <w:rPr>
          <w:rFonts w:asciiTheme="minorHAnsi" w:hAnsiTheme="minorHAnsi"/>
          <w:i/>
          <w:iCs/>
          <w:color w:val="000000" w:themeColor="text1"/>
          <w:spacing w:val="-6"/>
          <w:sz w:val="20"/>
          <w:szCs w:val="20"/>
        </w:rPr>
        <w:t>ne</w:t>
      </w:r>
      <w:r w:rsidRPr="00A10783">
        <w:rPr>
          <w:rFonts w:asciiTheme="minorHAnsi" w:hAnsiTheme="minorHAnsi"/>
          <w:i/>
          <w:iCs/>
          <w:color w:val="000000" w:themeColor="text1"/>
          <w:spacing w:val="22"/>
          <w:sz w:val="20"/>
          <w:szCs w:val="20"/>
        </w:rPr>
        <w:t xml:space="preserve"> </w:t>
      </w:r>
      <w:r w:rsidRPr="00A10783">
        <w:rPr>
          <w:rFonts w:asciiTheme="minorHAnsi" w:hAnsiTheme="minorHAnsi"/>
          <w:i/>
          <w:iCs/>
          <w:color w:val="000000" w:themeColor="text1"/>
          <w:spacing w:val="-5"/>
          <w:sz w:val="20"/>
          <w:szCs w:val="20"/>
        </w:rPr>
        <w:t>delle</w:t>
      </w:r>
      <w:r w:rsidRPr="00A10783">
        <w:rPr>
          <w:rFonts w:asciiTheme="minorHAnsi" w:hAnsiTheme="minorHAnsi"/>
          <w:i/>
          <w:iCs/>
          <w:color w:val="000000" w:themeColor="text1"/>
          <w:spacing w:val="23"/>
          <w:sz w:val="20"/>
          <w:szCs w:val="20"/>
        </w:rPr>
        <w:t xml:space="preserve"> </w:t>
      </w:r>
      <w:r w:rsidRPr="00A10783">
        <w:rPr>
          <w:rFonts w:asciiTheme="minorHAnsi" w:hAnsiTheme="minorHAnsi"/>
          <w:i/>
          <w:iCs/>
          <w:color w:val="000000" w:themeColor="text1"/>
          <w:spacing w:val="-4"/>
          <w:sz w:val="20"/>
          <w:szCs w:val="20"/>
        </w:rPr>
        <w:t>IgM</w:t>
      </w:r>
      <w:r w:rsidRPr="00A10783">
        <w:rPr>
          <w:rFonts w:asciiTheme="minorHAnsi" w:hAnsiTheme="minorHAnsi"/>
          <w:i/>
          <w:iCs/>
          <w:color w:val="000000" w:themeColor="text1"/>
          <w:spacing w:val="24"/>
          <w:sz w:val="20"/>
          <w:szCs w:val="20"/>
        </w:rPr>
        <w:t xml:space="preserve"> </w:t>
      </w:r>
      <w:r w:rsidRPr="00A10783">
        <w:rPr>
          <w:rFonts w:asciiTheme="minorHAnsi" w:hAnsiTheme="minorHAnsi"/>
          <w:i/>
          <w:iCs/>
          <w:color w:val="000000" w:themeColor="text1"/>
          <w:spacing w:val="-5"/>
          <w:sz w:val="20"/>
          <w:szCs w:val="20"/>
        </w:rPr>
        <w:t>i</w:t>
      </w:r>
      <w:r w:rsidRPr="00A10783">
        <w:rPr>
          <w:rFonts w:asciiTheme="minorHAnsi" w:hAnsiTheme="minorHAnsi"/>
          <w:i/>
          <w:iCs/>
          <w:color w:val="000000" w:themeColor="text1"/>
          <w:spacing w:val="-4"/>
          <w:sz w:val="20"/>
          <w:szCs w:val="20"/>
        </w:rPr>
        <w:t>n</w:t>
      </w:r>
      <w:r w:rsidRPr="00A10783">
        <w:rPr>
          <w:rFonts w:asciiTheme="minorHAnsi" w:hAnsiTheme="minorHAnsi"/>
          <w:i/>
          <w:iCs/>
          <w:color w:val="000000" w:themeColor="text1"/>
          <w:spacing w:val="-5"/>
          <w:sz w:val="20"/>
          <w:szCs w:val="20"/>
        </w:rPr>
        <w:t>izia</w:t>
      </w:r>
      <w:r w:rsidRPr="00A10783">
        <w:rPr>
          <w:rFonts w:asciiTheme="minorHAnsi" w:hAnsiTheme="minorHAnsi"/>
          <w:i/>
          <w:iCs/>
          <w:color w:val="000000" w:themeColor="text1"/>
          <w:spacing w:val="22"/>
          <w:sz w:val="20"/>
          <w:szCs w:val="20"/>
        </w:rPr>
        <w:t xml:space="preserve"> </w:t>
      </w:r>
      <w:r w:rsidRPr="00A10783">
        <w:rPr>
          <w:rFonts w:asciiTheme="minorHAnsi" w:hAnsiTheme="minorHAnsi"/>
          <w:i/>
          <w:iCs/>
          <w:color w:val="000000" w:themeColor="text1"/>
          <w:sz w:val="20"/>
          <w:szCs w:val="20"/>
        </w:rPr>
        <w:t>a</w:t>
      </w:r>
      <w:r w:rsidRPr="00A10783">
        <w:rPr>
          <w:rFonts w:asciiTheme="minorHAnsi" w:hAnsiTheme="minorHAnsi"/>
          <w:i/>
          <w:iCs/>
          <w:color w:val="000000" w:themeColor="text1"/>
          <w:spacing w:val="23"/>
          <w:sz w:val="20"/>
          <w:szCs w:val="20"/>
        </w:rPr>
        <w:t xml:space="preserve"> </w:t>
      </w:r>
      <w:r w:rsidRPr="00A10783">
        <w:rPr>
          <w:rFonts w:asciiTheme="minorHAnsi" w:hAnsiTheme="minorHAnsi"/>
          <w:i/>
          <w:iCs/>
          <w:color w:val="000000" w:themeColor="text1"/>
          <w:spacing w:val="-5"/>
          <w:sz w:val="20"/>
          <w:szCs w:val="20"/>
        </w:rPr>
        <w:t>calare</w:t>
      </w:r>
      <w:r w:rsidRPr="00A10783">
        <w:rPr>
          <w:rFonts w:asciiTheme="minorHAnsi" w:hAnsiTheme="minorHAnsi"/>
          <w:i/>
          <w:iCs/>
          <w:color w:val="000000" w:themeColor="text1"/>
          <w:spacing w:val="23"/>
          <w:sz w:val="20"/>
          <w:szCs w:val="20"/>
        </w:rPr>
        <w:t xml:space="preserve"> </w:t>
      </w:r>
      <w:r w:rsidRPr="00A10783">
        <w:rPr>
          <w:rFonts w:asciiTheme="minorHAnsi" w:hAnsiTheme="minorHAnsi"/>
          <w:i/>
          <w:iCs/>
          <w:color w:val="000000" w:themeColor="text1"/>
          <w:sz w:val="20"/>
          <w:szCs w:val="20"/>
        </w:rPr>
        <w:t>e</w:t>
      </w:r>
      <w:r w:rsidRPr="00A10783">
        <w:rPr>
          <w:rFonts w:asciiTheme="minorHAnsi" w:hAnsiTheme="minorHAnsi"/>
          <w:i/>
          <w:iCs/>
          <w:color w:val="000000" w:themeColor="text1"/>
          <w:spacing w:val="22"/>
          <w:sz w:val="20"/>
          <w:szCs w:val="20"/>
        </w:rPr>
        <w:t xml:space="preserve"> </w:t>
      </w:r>
      <w:r w:rsidRPr="00A10783">
        <w:rPr>
          <w:rFonts w:asciiTheme="minorHAnsi" w:hAnsiTheme="minorHAnsi"/>
          <w:i/>
          <w:iCs/>
          <w:color w:val="000000" w:themeColor="text1"/>
          <w:spacing w:val="-5"/>
          <w:sz w:val="20"/>
          <w:szCs w:val="20"/>
        </w:rPr>
        <w:t>spe</w:t>
      </w:r>
      <w:r w:rsidRPr="00A10783">
        <w:rPr>
          <w:rFonts w:asciiTheme="minorHAnsi" w:hAnsiTheme="minorHAnsi"/>
          <w:i/>
          <w:iCs/>
          <w:color w:val="000000" w:themeColor="text1"/>
          <w:spacing w:val="-6"/>
          <w:sz w:val="20"/>
          <w:szCs w:val="20"/>
        </w:rPr>
        <w:t>cialmente</w:t>
      </w:r>
      <w:r w:rsidRPr="00A10783">
        <w:rPr>
          <w:rFonts w:asciiTheme="minorHAnsi" w:hAnsiTheme="minorHAnsi"/>
          <w:i/>
          <w:iCs/>
          <w:color w:val="000000" w:themeColor="text1"/>
          <w:spacing w:val="23"/>
          <w:sz w:val="20"/>
          <w:szCs w:val="20"/>
        </w:rPr>
        <w:t xml:space="preserve"> </w:t>
      </w:r>
      <w:r w:rsidRPr="00A10783">
        <w:rPr>
          <w:rFonts w:asciiTheme="minorHAnsi" w:hAnsiTheme="minorHAnsi"/>
          <w:i/>
          <w:iCs/>
          <w:color w:val="000000" w:themeColor="text1"/>
          <w:spacing w:val="-5"/>
          <w:sz w:val="20"/>
          <w:szCs w:val="20"/>
        </w:rPr>
        <w:t>qua</w:t>
      </w:r>
      <w:r w:rsidRPr="00A10783">
        <w:rPr>
          <w:rFonts w:asciiTheme="minorHAnsi" w:hAnsiTheme="minorHAnsi"/>
          <w:i/>
          <w:iCs/>
          <w:color w:val="000000" w:themeColor="text1"/>
          <w:spacing w:val="-4"/>
          <w:sz w:val="20"/>
          <w:szCs w:val="20"/>
        </w:rPr>
        <w:t>ndo</w:t>
      </w:r>
      <w:r w:rsidRPr="00A10783">
        <w:rPr>
          <w:rFonts w:asciiTheme="minorHAnsi" w:hAnsiTheme="minorHAnsi"/>
          <w:i/>
          <w:iCs/>
          <w:color w:val="000000" w:themeColor="text1"/>
          <w:spacing w:val="23"/>
          <w:sz w:val="20"/>
          <w:szCs w:val="20"/>
        </w:rPr>
        <w:t xml:space="preserve"> </w:t>
      </w:r>
      <w:r w:rsidRPr="00A10783">
        <w:rPr>
          <w:rFonts w:asciiTheme="minorHAnsi" w:hAnsiTheme="minorHAnsi"/>
          <w:i/>
          <w:iCs/>
          <w:color w:val="000000" w:themeColor="text1"/>
          <w:spacing w:val="-5"/>
          <w:sz w:val="20"/>
          <w:szCs w:val="20"/>
        </w:rPr>
        <w:t>c’è</w:t>
      </w:r>
      <w:r w:rsidRPr="00A10783">
        <w:rPr>
          <w:rFonts w:asciiTheme="minorHAnsi" w:hAnsiTheme="minorHAnsi"/>
          <w:i/>
          <w:iCs/>
          <w:color w:val="000000" w:themeColor="text1"/>
          <w:spacing w:val="65"/>
          <w:w w:val="99"/>
          <w:sz w:val="20"/>
          <w:szCs w:val="20"/>
        </w:rPr>
        <w:t xml:space="preserve"> </w:t>
      </w:r>
      <w:r w:rsidR="002840CC" w:rsidRPr="00A10783">
        <w:rPr>
          <w:rFonts w:asciiTheme="minorHAnsi" w:hAnsiTheme="minorHAnsi"/>
          <w:i/>
          <w:iCs/>
          <w:color w:val="000000" w:themeColor="text1"/>
          <w:spacing w:val="-3"/>
          <w:sz w:val="20"/>
          <w:szCs w:val="20"/>
        </w:rPr>
        <w:t>in richiamo</w:t>
      </w:r>
      <w:r w:rsidRPr="00A10783">
        <w:rPr>
          <w:rFonts w:asciiTheme="minorHAnsi" w:hAnsiTheme="minorHAnsi"/>
          <w:i/>
          <w:iCs/>
          <w:color w:val="000000" w:themeColor="text1"/>
          <w:spacing w:val="-4"/>
          <w:sz w:val="20"/>
          <w:szCs w:val="20"/>
        </w:rPr>
        <w:t>,</w:t>
      </w:r>
      <w:r w:rsidRPr="00A10783">
        <w:rPr>
          <w:rFonts w:asciiTheme="minorHAnsi" w:hAnsiTheme="minorHAnsi"/>
          <w:i/>
          <w:iCs/>
          <w:color w:val="000000" w:themeColor="text1"/>
          <w:spacing w:val="4"/>
          <w:sz w:val="20"/>
          <w:szCs w:val="20"/>
        </w:rPr>
        <w:t xml:space="preserve"> </w:t>
      </w:r>
      <w:r w:rsidRPr="00A10783">
        <w:rPr>
          <w:rFonts w:asciiTheme="minorHAnsi" w:hAnsiTheme="minorHAnsi"/>
          <w:i/>
          <w:iCs/>
          <w:color w:val="000000" w:themeColor="text1"/>
          <w:spacing w:val="-5"/>
          <w:sz w:val="20"/>
          <w:szCs w:val="20"/>
        </w:rPr>
        <w:t>ci</w:t>
      </w:r>
      <w:r w:rsidRPr="00A10783">
        <w:rPr>
          <w:rFonts w:asciiTheme="minorHAnsi" w:hAnsiTheme="minorHAnsi"/>
          <w:i/>
          <w:iCs/>
          <w:color w:val="000000" w:themeColor="text1"/>
          <w:spacing w:val="-4"/>
          <w:sz w:val="20"/>
          <w:szCs w:val="20"/>
        </w:rPr>
        <w:t>o</w:t>
      </w:r>
      <w:r w:rsidRPr="00A10783">
        <w:rPr>
          <w:rFonts w:asciiTheme="minorHAnsi" w:hAnsiTheme="minorHAnsi"/>
          <w:i/>
          <w:iCs/>
          <w:color w:val="000000" w:themeColor="text1"/>
          <w:spacing w:val="-5"/>
          <w:sz w:val="20"/>
          <w:szCs w:val="20"/>
        </w:rPr>
        <w:t>è</w:t>
      </w:r>
      <w:r w:rsidRPr="00A10783">
        <w:rPr>
          <w:rFonts w:asciiTheme="minorHAnsi" w:hAnsiTheme="minorHAnsi"/>
          <w:i/>
          <w:iCs/>
          <w:color w:val="000000" w:themeColor="text1"/>
          <w:spacing w:val="4"/>
          <w:sz w:val="20"/>
          <w:szCs w:val="20"/>
        </w:rPr>
        <w:t xml:space="preserve"> </w:t>
      </w:r>
      <w:r w:rsidRPr="00A10783">
        <w:rPr>
          <w:rFonts w:asciiTheme="minorHAnsi" w:hAnsiTheme="minorHAnsi"/>
          <w:i/>
          <w:iCs/>
          <w:color w:val="000000" w:themeColor="text1"/>
          <w:spacing w:val="-3"/>
          <w:sz w:val="20"/>
          <w:szCs w:val="20"/>
        </w:rPr>
        <w:t>una</w:t>
      </w:r>
      <w:r w:rsidRPr="00A10783">
        <w:rPr>
          <w:rFonts w:asciiTheme="minorHAnsi" w:hAnsiTheme="minorHAnsi"/>
          <w:i/>
          <w:iCs/>
          <w:color w:val="000000" w:themeColor="text1"/>
          <w:spacing w:val="4"/>
          <w:sz w:val="20"/>
          <w:szCs w:val="20"/>
        </w:rPr>
        <w:t xml:space="preserve"> </w:t>
      </w:r>
      <w:r w:rsidRPr="00A10783">
        <w:rPr>
          <w:rFonts w:asciiTheme="minorHAnsi" w:hAnsiTheme="minorHAnsi"/>
          <w:i/>
          <w:iCs/>
          <w:color w:val="000000" w:themeColor="text1"/>
          <w:spacing w:val="-5"/>
          <w:sz w:val="20"/>
          <w:szCs w:val="20"/>
        </w:rPr>
        <w:t>r</w:t>
      </w:r>
      <w:r w:rsidRPr="00A10783">
        <w:rPr>
          <w:rFonts w:asciiTheme="minorHAnsi" w:hAnsiTheme="minorHAnsi"/>
          <w:i/>
          <w:iCs/>
          <w:color w:val="000000" w:themeColor="text1"/>
          <w:spacing w:val="-6"/>
          <w:sz w:val="20"/>
          <w:szCs w:val="20"/>
        </w:rPr>
        <w:t>i</w:t>
      </w:r>
      <w:r w:rsidRPr="00A10783">
        <w:rPr>
          <w:rFonts w:asciiTheme="minorHAnsi" w:hAnsiTheme="minorHAnsi"/>
          <w:i/>
          <w:iCs/>
          <w:color w:val="000000" w:themeColor="text1"/>
          <w:spacing w:val="-5"/>
          <w:sz w:val="20"/>
          <w:szCs w:val="20"/>
        </w:rPr>
        <w:t>sp</w:t>
      </w:r>
      <w:r w:rsidRPr="00A10783">
        <w:rPr>
          <w:rFonts w:asciiTheme="minorHAnsi" w:hAnsiTheme="minorHAnsi"/>
          <w:i/>
          <w:iCs/>
          <w:color w:val="000000" w:themeColor="text1"/>
          <w:spacing w:val="-6"/>
          <w:sz w:val="20"/>
          <w:szCs w:val="20"/>
        </w:rPr>
        <w:t>osta</w:t>
      </w:r>
      <w:r w:rsidRPr="00A10783">
        <w:rPr>
          <w:rFonts w:asciiTheme="minorHAnsi" w:hAnsiTheme="minorHAnsi"/>
          <w:i/>
          <w:iCs/>
          <w:color w:val="000000" w:themeColor="text1"/>
          <w:spacing w:val="4"/>
          <w:sz w:val="20"/>
          <w:szCs w:val="20"/>
        </w:rPr>
        <w:t xml:space="preserve"> </w:t>
      </w:r>
      <w:r w:rsidRPr="00A10783">
        <w:rPr>
          <w:rFonts w:asciiTheme="minorHAnsi" w:hAnsiTheme="minorHAnsi"/>
          <w:i/>
          <w:iCs/>
          <w:color w:val="000000" w:themeColor="text1"/>
          <w:spacing w:val="-6"/>
          <w:sz w:val="20"/>
          <w:szCs w:val="20"/>
        </w:rPr>
        <w:t>immunitaria</w:t>
      </w:r>
      <w:r w:rsidRPr="00A10783">
        <w:rPr>
          <w:rFonts w:asciiTheme="minorHAnsi" w:hAnsiTheme="minorHAnsi"/>
          <w:i/>
          <w:iCs/>
          <w:color w:val="000000" w:themeColor="text1"/>
          <w:spacing w:val="3"/>
          <w:sz w:val="20"/>
          <w:szCs w:val="20"/>
        </w:rPr>
        <w:t xml:space="preserve"> </w:t>
      </w:r>
      <w:r w:rsidRPr="00A10783">
        <w:rPr>
          <w:rFonts w:asciiTheme="minorHAnsi" w:hAnsiTheme="minorHAnsi"/>
          <w:i/>
          <w:iCs/>
          <w:color w:val="000000" w:themeColor="text1"/>
          <w:spacing w:val="-3"/>
          <w:sz w:val="20"/>
          <w:szCs w:val="20"/>
        </w:rPr>
        <w:t>di</w:t>
      </w:r>
      <w:r w:rsidRPr="00A10783">
        <w:rPr>
          <w:rFonts w:asciiTheme="minorHAnsi" w:hAnsiTheme="minorHAnsi"/>
          <w:i/>
          <w:iCs/>
          <w:color w:val="000000" w:themeColor="text1"/>
          <w:spacing w:val="4"/>
          <w:sz w:val="20"/>
          <w:szCs w:val="20"/>
        </w:rPr>
        <w:t xml:space="preserve"> </w:t>
      </w:r>
      <w:r w:rsidRPr="00A10783">
        <w:rPr>
          <w:rFonts w:asciiTheme="minorHAnsi" w:hAnsiTheme="minorHAnsi"/>
          <w:i/>
          <w:iCs/>
          <w:color w:val="000000" w:themeColor="text1"/>
          <w:spacing w:val="-5"/>
          <w:sz w:val="20"/>
          <w:szCs w:val="20"/>
        </w:rPr>
        <w:t>mem</w:t>
      </w:r>
      <w:r w:rsidRPr="00A10783">
        <w:rPr>
          <w:rFonts w:asciiTheme="minorHAnsi" w:hAnsiTheme="minorHAnsi"/>
          <w:i/>
          <w:iCs/>
          <w:color w:val="000000" w:themeColor="text1"/>
          <w:spacing w:val="-4"/>
          <w:sz w:val="20"/>
          <w:szCs w:val="20"/>
        </w:rPr>
        <w:t>o</w:t>
      </w:r>
      <w:r w:rsidRPr="00A10783">
        <w:rPr>
          <w:rFonts w:asciiTheme="minorHAnsi" w:hAnsiTheme="minorHAnsi"/>
          <w:i/>
          <w:iCs/>
          <w:color w:val="000000" w:themeColor="text1"/>
          <w:spacing w:val="-5"/>
          <w:sz w:val="20"/>
          <w:szCs w:val="20"/>
        </w:rPr>
        <w:t>ria</w:t>
      </w:r>
      <w:r w:rsidRPr="00A10783">
        <w:rPr>
          <w:rFonts w:asciiTheme="minorHAnsi" w:hAnsiTheme="minorHAnsi"/>
          <w:i/>
          <w:iCs/>
          <w:color w:val="000000" w:themeColor="text1"/>
          <w:spacing w:val="4"/>
          <w:sz w:val="20"/>
          <w:szCs w:val="20"/>
        </w:rPr>
        <w:t xml:space="preserve"> </w:t>
      </w:r>
      <w:r w:rsidRPr="00A10783">
        <w:rPr>
          <w:rFonts w:asciiTheme="minorHAnsi" w:hAnsiTheme="minorHAnsi"/>
          <w:i/>
          <w:iCs/>
          <w:color w:val="000000" w:themeColor="text1"/>
          <w:spacing w:val="-3"/>
          <w:sz w:val="20"/>
          <w:szCs w:val="20"/>
        </w:rPr>
        <w:t>per</w:t>
      </w:r>
      <w:r w:rsidRPr="00A10783">
        <w:rPr>
          <w:rFonts w:asciiTheme="minorHAnsi" w:hAnsiTheme="minorHAnsi"/>
          <w:i/>
          <w:iCs/>
          <w:color w:val="000000" w:themeColor="text1"/>
          <w:spacing w:val="3"/>
          <w:sz w:val="20"/>
          <w:szCs w:val="20"/>
        </w:rPr>
        <w:t xml:space="preserve"> </w:t>
      </w:r>
      <w:r w:rsidRPr="00A10783">
        <w:rPr>
          <w:rFonts w:asciiTheme="minorHAnsi" w:hAnsiTheme="minorHAnsi"/>
          <w:i/>
          <w:iCs/>
          <w:color w:val="000000" w:themeColor="text1"/>
          <w:spacing w:val="-3"/>
          <w:sz w:val="20"/>
          <w:szCs w:val="20"/>
        </w:rPr>
        <w:t>un</w:t>
      </w:r>
      <w:r w:rsidRPr="00A10783">
        <w:rPr>
          <w:rFonts w:asciiTheme="minorHAnsi" w:hAnsiTheme="minorHAnsi"/>
          <w:i/>
          <w:iCs/>
          <w:color w:val="000000" w:themeColor="text1"/>
          <w:spacing w:val="4"/>
          <w:sz w:val="20"/>
          <w:szCs w:val="20"/>
        </w:rPr>
        <w:t xml:space="preserve"> </w:t>
      </w:r>
      <w:r w:rsidRPr="00A10783">
        <w:rPr>
          <w:rFonts w:asciiTheme="minorHAnsi" w:hAnsiTheme="minorHAnsi"/>
          <w:i/>
          <w:iCs/>
          <w:color w:val="000000" w:themeColor="text1"/>
          <w:spacing w:val="-5"/>
          <w:sz w:val="20"/>
          <w:szCs w:val="20"/>
        </w:rPr>
        <w:t>se</w:t>
      </w:r>
      <w:r w:rsidRPr="00A10783">
        <w:rPr>
          <w:rFonts w:asciiTheme="minorHAnsi" w:hAnsiTheme="minorHAnsi"/>
          <w:i/>
          <w:iCs/>
          <w:color w:val="000000" w:themeColor="text1"/>
          <w:spacing w:val="-6"/>
          <w:sz w:val="20"/>
          <w:szCs w:val="20"/>
        </w:rPr>
        <w:t>c</w:t>
      </w:r>
      <w:r w:rsidRPr="00A10783">
        <w:rPr>
          <w:rFonts w:asciiTheme="minorHAnsi" w:hAnsiTheme="minorHAnsi"/>
          <w:i/>
          <w:iCs/>
          <w:color w:val="000000" w:themeColor="text1"/>
          <w:spacing w:val="-5"/>
          <w:sz w:val="20"/>
          <w:szCs w:val="20"/>
        </w:rPr>
        <w:t>on</w:t>
      </w:r>
      <w:r w:rsidRPr="00A10783">
        <w:rPr>
          <w:rFonts w:asciiTheme="minorHAnsi" w:hAnsiTheme="minorHAnsi"/>
          <w:i/>
          <w:iCs/>
          <w:color w:val="000000" w:themeColor="text1"/>
          <w:spacing w:val="-3"/>
          <w:sz w:val="20"/>
          <w:szCs w:val="20"/>
        </w:rPr>
        <w:t>do</w:t>
      </w:r>
      <w:r w:rsidRPr="00A10783">
        <w:rPr>
          <w:rFonts w:asciiTheme="minorHAnsi" w:hAnsiTheme="minorHAnsi"/>
          <w:i/>
          <w:iCs/>
          <w:color w:val="000000" w:themeColor="text1"/>
          <w:spacing w:val="16"/>
          <w:sz w:val="20"/>
          <w:szCs w:val="20"/>
        </w:rPr>
        <w:t xml:space="preserve"> </w:t>
      </w:r>
      <w:r w:rsidRPr="00A10783">
        <w:rPr>
          <w:rFonts w:asciiTheme="minorHAnsi" w:hAnsiTheme="minorHAnsi"/>
          <w:i/>
          <w:iCs/>
          <w:color w:val="000000" w:themeColor="text1"/>
          <w:spacing w:val="-5"/>
          <w:sz w:val="20"/>
          <w:szCs w:val="20"/>
        </w:rPr>
        <w:t>contatto</w:t>
      </w:r>
      <w:r w:rsidRPr="00A10783">
        <w:rPr>
          <w:rFonts w:asciiTheme="minorHAnsi" w:hAnsiTheme="minorHAnsi"/>
          <w:i/>
          <w:iCs/>
          <w:color w:val="000000" w:themeColor="text1"/>
          <w:spacing w:val="15"/>
          <w:sz w:val="20"/>
          <w:szCs w:val="20"/>
        </w:rPr>
        <w:t xml:space="preserve"> </w:t>
      </w:r>
      <w:r w:rsidRPr="00A10783">
        <w:rPr>
          <w:rFonts w:asciiTheme="minorHAnsi" w:hAnsiTheme="minorHAnsi"/>
          <w:i/>
          <w:iCs/>
          <w:color w:val="000000" w:themeColor="text1"/>
          <w:spacing w:val="-3"/>
          <w:sz w:val="20"/>
          <w:szCs w:val="20"/>
        </w:rPr>
        <w:t>con</w:t>
      </w:r>
      <w:r w:rsidRPr="00A10783">
        <w:rPr>
          <w:rFonts w:asciiTheme="minorHAnsi" w:hAnsiTheme="minorHAnsi"/>
          <w:i/>
          <w:iCs/>
          <w:color w:val="000000" w:themeColor="text1"/>
          <w:spacing w:val="15"/>
          <w:sz w:val="20"/>
          <w:szCs w:val="20"/>
        </w:rPr>
        <w:t xml:space="preserve"> </w:t>
      </w:r>
      <w:r w:rsidRPr="00A10783">
        <w:rPr>
          <w:rFonts w:asciiTheme="minorHAnsi" w:hAnsiTheme="minorHAnsi"/>
          <w:i/>
          <w:iCs/>
          <w:color w:val="000000" w:themeColor="text1"/>
          <w:spacing w:val="-3"/>
          <w:sz w:val="20"/>
          <w:szCs w:val="20"/>
        </w:rPr>
        <w:t>un</w:t>
      </w:r>
      <w:r w:rsidRPr="00A10783">
        <w:rPr>
          <w:rFonts w:asciiTheme="minorHAnsi" w:hAnsiTheme="minorHAnsi"/>
          <w:i/>
          <w:iCs/>
          <w:color w:val="000000" w:themeColor="text1"/>
          <w:spacing w:val="16"/>
          <w:sz w:val="20"/>
          <w:szCs w:val="20"/>
        </w:rPr>
        <w:t xml:space="preserve"> </w:t>
      </w:r>
      <w:r w:rsidRPr="00A10783">
        <w:rPr>
          <w:rFonts w:asciiTheme="minorHAnsi" w:hAnsiTheme="minorHAnsi"/>
          <w:i/>
          <w:iCs/>
          <w:color w:val="000000" w:themeColor="text1"/>
          <w:spacing w:val="-5"/>
          <w:sz w:val="20"/>
          <w:szCs w:val="20"/>
        </w:rPr>
        <w:t>antigene</w:t>
      </w:r>
      <w:r w:rsidRPr="00A10783">
        <w:rPr>
          <w:rFonts w:asciiTheme="minorHAnsi" w:hAnsiTheme="minorHAnsi"/>
          <w:i/>
          <w:iCs/>
          <w:color w:val="000000" w:themeColor="text1"/>
          <w:spacing w:val="14"/>
          <w:sz w:val="20"/>
          <w:szCs w:val="20"/>
        </w:rPr>
        <w:t xml:space="preserve"> </w:t>
      </w:r>
      <w:r w:rsidRPr="00A10783">
        <w:rPr>
          <w:rFonts w:asciiTheme="minorHAnsi" w:hAnsiTheme="minorHAnsi"/>
          <w:i/>
          <w:iCs/>
          <w:color w:val="000000" w:themeColor="text1"/>
          <w:spacing w:val="-6"/>
          <w:sz w:val="20"/>
          <w:szCs w:val="20"/>
        </w:rPr>
        <w:t>(estraneo</w:t>
      </w:r>
      <w:r w:rsidRPr="00A10783">
        <w:rPr>
          <w:rFonts w:asciiTheme="minorHAnsi" w:hAnsiTheme="minorHAnsi"/>
          <w:i/>
          <w:iCs/>
          <w:color w:val="000000" w:themeColor="text1"/>
          <w:spacing w:val="15"/>
          <w:sz w:val="20"/>
          <w:szCs w:val="20"/>
        </w:rPr>
        <w:t xml:space="preserve"> </w:t>
      </w:r>
      <w:r w:rsidRPr="00A10783">
        <w:rPr>
          <w:rFonts w:asciiTheme="minorHAnsi" w:hAnsiTheme="minorHAnsi"/>
          <w:i/>
          <w:iCs/>
          <w:color w:val="000000" w:themeColor="text1"/>
          <w:spacing w:val="-5"/>
          <w:sz w:val="20"/>
          <w:szCs w:val="20"/>
        </w:rPr>
        <w:t>all’organism</w:t>
      </w:r>
      <w:r w:rsidRPr="00A10783">
        <w:rPr>
          <w:rFonts w:asciiTheme="minorHAnsi" w:hAnsiTheme="minorHAnsi"/>
          <w:i/>
          <w:iCs/>
          <w:color w:val="000000" w:themeColor="text1"/>
          <w:spacing w:val="-4"/>
          <w:sz w:val="20"/>
          <w:szCs w:val="20"/>
        </w:rPr>
        <w:t>o</w:t>
      </w:r>
      <w:r w:rsidRPr="00A10783">
        <w:rPr>
          <w:rFonts w:asciiTheme="minorHAnsi" w:hAnsiTheme="minorHAnsi"/>
          <w:i/>
          <w:iCs/>
          <w:color w:val="000000" w:themeColor="text1"/>
          <w:spacing w:val="-5"/>
          <w:sz w:val="20"/>
          <w:szCs w:val="20"/>
        </w:rPr>
        <w:t>);</w:t>
      </w:r>
      <w:r w:rsidRPr="00A10783">
        <w:rPr>
          <w:rFonts w:asciiTheme="minorHAnsi" w:hAnsiTheme="minorHAnsi"/>
          <w:i/>
          <w:iCs/>
          <w:color w:val="000000" w:themeColor="text1"/>
          <w:spacing w:val="14"/>
          <w:sz w:val="20"/>
          <w:szCs w:val="20"/>
        </w:rPr>
        <w:t xml:space="preserve"> </w:t>
      </w:r>
      <w:r w:rsidRPr="00A10783">
        <w:rPr>
          <w:rFonts w:asciiTheme="minorHAnsi" w:hAnsiTheme="minorHAnsi"/>
          <w:i/>
          <w:iCs/>
          <w:color w:val="000000" w:themeColor="text1"/>
          <w:spacing w:val="-3"/>
          <w:sz w:val="20"/>
          <w:szCs w:val="20"/>
        </w:rPr>
        <w:t>si</w:t>
      </w:r>
      <w:r w:rsidRPr="00A10783">
        <w:rPr>
          <w:rFonts w:asciiTheme="minorHAnsi" w:hAnsiTheme="minorHAnsi"/>
          <w:i/>
          <w:iCs/>
          <w:color w:val="000000" w:themeColor="text1"/>
          <w:spacing w:val="14"/>
          <w:sz w:val="20"/>
          <w:szCs w:val="20"/>
        </w:rPr>
        <w:t xml:space="preserve"> </w:t>
      </w:r>
      <w:r w:rsidRPr="00A10783">
        <w:rPr>
          <w:rFonts w:asciiTheme="minorHAnsi" w:hAnsiTheme="minorHAnsi"/>
          <w:i/>
          <w:iCs/>
          <w:color w:val="000000" w:themeColor="text1"/>
          <w:spacing w:val="-5"/>
          <w:sz w:val="20"/>
          <w:szCs w:val="20"/>
        </w:rPr>
        <w:t>trovano</w:t>
      </w:r>
      <w:r w:rsidRPr="00A10783">
        <w:rPr>
          <w:rFonts w:asciiTheme="minorHAnsi" w:hAnsiTheme="minorHAnsi"/>
          <w:i/>
          <w:iCs/>
          <w:color w:val="000000" w:themeColor="text1"/>
          <w:spacing w:val="16"/>
          <w:sz w:val="20"/>
          <w:szCs w:val="20"/>
        </w:rPr>
        <w:t xml:space="preserve"> </w:t>
      </w:r>
      <w:r w:rsidRPr="00A10783">
        <w:rPr>
          <w:rFonts w:asciiTheme="minorHAnsi" w:hAnsiTheme="minorHAnsi"/>
          <w:i/>
          <w:iCs/>
          <w:color w:val="000000" w:themeColor="text1"/>
          <w:spacing w:val="-5"/>
          <w:sz w:val="20"/>
          <w:szCs w:val="20"/>
        </w:rPr>
        <w:t>sia</w:t>
      </w:r>
      <w:r w:rsidRPr="00A10783">
        <w:rPr>
          <w:rFonts w:asciiTheme="minorHAnsi" w:hAnsiTheme="minorHAnsi"/>
          <w:i/>
          <w:iCs/>
          <w:color w:val="000000" w:themeColor="text1"/>
          <w:spacing w:val="14"/>
          <w:sz w:val="20"/>
          <w:szCs w:val="20"/>
        </w:rPr>
        <w:t xml:space="preserve"> </w:t>
      </w:r>
      <w:r w:rsidRPr="00A10783">
        <w:rPr>
          <w:rFonts w:asciiTheme="minorHAnsi" w:hAnsiTheme="minorHAnsi"/>
          <w:i/>
          <w:iCs/>
          <w:color w:val="000000" w:themeColor="text1"/>
          <w:spacing w:val="-3"/>
          <w:sz w:val="20"/>
          <w:szCs w:val="20"/>
        </w:rPr>
        <w:t>nel</w:t>
      </w:r>
      <w:r w:rsidRPr="00A10783">
        <w:rPr>
          <w:rFonts w:asciiTheme="minorHAnsi" w:hAnsiTheme="minorHAnsi"/>
          <w:i/>
          <w:iCs/>
          <w:color w:val="000000" w:themeColor="text1"/>
          <w:spacing w:val="15"/>
          <w:sz w:val="20"/>
          <w:szCs w:val="20"/>
        </w:rPr>
        <w:t xml:space="preserve"> </w:t>
      </w:r>
      <w:r w:rsidRPr="00A10783">
        <w:rPr>
          <w:rFonts w:asciiTheme="minorHAnsi" w:hAnsiTheme="minorHAnsi"/>
          <w:i/>
          <w:iCs/>
          <w:color w:val="000000" w:themeColor="text1"/>
          <w:spacing w:val="-4"/>
          <w:sz w:val="20"/>
          <w:szCs w:val="20"/>
        </w:rPr>
        <w:t>sangu</w:t>
      </w:r>
      <w:r w:rsidRPr="00A10783">
        <w:rPr>
          <w:rFonts w:asciiTheme="minorHAnsi" w:hAnsiTheme="minorHAnsi"/>
          <w:i/>
          <w:iCs/>
          <w:color w:val="000000" w:themeColor="text1"/>
          <w:spacing w:val="-5"/>
          <w:sz w:val="20"/>
          <w:szCs w:val="20"/>
        </w:rPr>
        <w:t>e</w:t>
      </w:r>
      <w:r w:rsidRPr="00A10783">
        <w:rPr>
          <w:rFonts w:asciiTheme="minorHAnsi" w:hAnsiTheme="minorHAnsi"/>
          <w:i/>
          <w:iCs/>
          <w:color w:val="000000" w:themeColor="text1"/>
          <w:spacing w:val="64"/>
          <w:w w:val="99"/>
          <w:sz w:val="20"/>
          <w:szCs w:val="20"/>
        </w:rPr>
        <w:t xml:space="preserve"> </w:t>
      </w:r>
      <w:r w:rsidRPr="00A10783">
        <w:rPr>
          <w:rFonts w:asciiTheme="minorHAnsi" w:hAnsiTheme="minorHAnsi"/>
          <w:i/>
          <w:iCs/>
          <w:color w:val="000000" w:themeColor="text1"/>
          <w:spacing w:val="-3"/>
          <w:sz w:val="20"/>
          <w:szCs w:val="20"/>
        </w:rPr>
        <w:t>che</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pacing w:val="-5"/>
          <w:sz w:val="20"/>
          <w:szCs w:val="20"/>
        </w:rPr>
        <w:t>negli</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4"/>
          <w:sz w:val="20"/>
          <w:szCs w:val="20"/>
        </w:rPr>
        <w:t>sp</w:t>
      </w:r>
      <w:r w:rsidRPr="00A10783">
        <w:rPr>
          <w:rFonts w:asciiTheme="minorHAnsi" w:hAnsiTheme="minorHAnsi"/>
          <w:i/>
          <w:iCs/>
          <w:color w:val="000000" w:themeColor="text1"/>
          <w:spacing w:val="-5"/>
          <w:sz w:val="20"/>
          <w:szCs w:val="20"/>
        </w:rPr>
        <w:t>azi</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6"/>
          <w:sz w:val="20"/>
          <w:szCs w:val="20"/>
        </w:rPr>
        <w:t>e</w:t>
      </w:r>
      <w:r w:rsidRPr="00A10783">
        <w:rPr>
          <w:rFonts w:asciiTheme="minorHAnsi" w:hAnsiTheme="minorHAnsi"/>
          <w:i/>
          <w:iCs/>
          <w:color w:val="000000" w:themeColor="text1"/>
          <w:spacing w:val="-5"/>
          <w:sz w:val="20"/>
          <w:szCs w:val="20"/>
        </w:rPr>
        <w:t>x</w:t>
      </w:r>
      <w:r w:rsidRPr="00A10783">
        <w:rPr>
          <w:rFonts w:asciiTheme="minorHAnsi" w:hAnsiTheme="minorHAnsi"/>
          <w:i/>
          <w:iCs/>
          <w:color w:val="000000" w:themeColor="text1"/>
          <w:spacing w:val="-6"/>
          <w:sz w:val="20"/>
          <w:szCs w:val="20"/>
        </w:rPr>
        <w:t>t</w:t>
      </w:r>
      <w:r w:rsidRPr="00A10783">
        <w:rPr>
          <w:rFonts w:asciiTheme="minorHAnsi" w:hAnsiTheme="minorHAnsi"/>
          <w:i/>
          <w:iCs/>
          <w:color w:val="000000" w:themeColor="text1"/>
          <w:spacing w:val="-5"/>
          <w:sz w:val="20"/>
          <w:szCs w:val="20"/>
        </w:rPr>
        <w:t>r</w:t>
      </w:r>
      <w:r w:rsidRPr="00A10783">
        <w:rPr>
          <w:rFonts w:asciiTheme="minorHAnsi" w:hAnsiTheme="minorHAnsi"/>
          <w:i/>
          <w:iCs/>
          <w:color w:val="000000" w:themeColor="text1"/>
          <w:spacing w:val="-6"/>
          <w:sz w:val="20"/>
          <w:szCs w:val="20"/>
        </w:rPr>
        <w:t>a</w:t>
      </w:r>
      <w:r w:rsidRPr="00A10783">
        <w:rPr>
          <w:rFonts w:asciiTheme="minorHAnsi" w:hAnsiTheme="minorHAnsi"/>
          <w:i/>
          <w:iCs/>
          <w:color w:val="000000" w:themeColor="text1"/>
          <w:spacing w:val="-5"/>
          <w:sz w:val="20"/>
          <w:szCs w:val="20"/>
        </w:rPr>
        <w:t>vas</w:t>
      </w:r>
      <w:r w:rsidRPr="00A10783">
        <w:rPr>
          <w:rFonts w:asciiTheme="minorHAnsi" w:hAnsiTheme="minorHAnsi"/>
          <w:i/>
          <w:iCs/>
          <w:color w:val="000000" w:themeColor="text1"/>
          <w:spacing w:val="-6"/>
          <w:sz w:val="20"/>
          <w:szCs w:val="20"/>
        </w:rPr>
        <w:t>cola</w:t>
      </w:r>
      <w:r w:rsidRPr="00A10783">
        <w:rPr>
          <w:rFonts w:asciiTheme="minorHAnsi" w:hAnsiTheme="minorHAnsi"/>
          <w:i/>
          <w:iCs/>
          <w:color w:val="000000" w:themeColor="text1"/>
          <w:spacing w:val="-5"/>
          <w:sz w:val="20"/>
          <w:szCs w:val="20"/>
        </w:rPr>
        <w:t>r</w:t>
      </w:r>
      <w:r w:rsidRPr="00A10783">
        <w:rPr>
          <w:rFonts w:asciiTheme="minorHAnsi" w:hAnsiTheme="minorHAnsi"/>
          <w:i/>
          <w:iCs/>
          <w:color w:val="000000" w:themeColor="text1"/>
          <w:spacing w:val="-6"/>
          <w:sz w:val="20"/>
          <w:szCs w:val="20"/>
        </w:rPr>
        <w:t>i</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z w:val="20"/>
          <w:szCs w:val="20"/>
        </w:rPr>
        <w:t>e</w:t>
      </w:r>
      <w:r w:rsidRPr="00A10783">
        <w:rPr>
          <w:rFonts w:asciiTheme="minorHAnsi" w:hAnsiTheme="minorHAnsi"/>
          <w:i/>
          <w:iCs/>
          <w:color w:val="000000" w:themeColor="text1"/>
          <w:spacing w:val="10"/>
          <w:sz w:val="20"/>
          <w:szCs w:val="20"/>
        </w:rPr>
        <w:t xml:space="preserve"> </w:t>
      </w:r>
      <w:r w:rsidRPr="00A10783">
        <w:rPr>
          <w:rFonts w:asciiTheme="minorHAnsi" w:hAnsiTheme="minorHAnsi"/>
          <w:i/>
          <w:iCs/>
          <w:color w:val="000000" w:themeColor="text1"/>
          <w:spacing w:val="-4"/>
          <w:sz w:val="20"/>
          <w:szCs w:val="20"/>
        </w:rPr>
        <w:t>sono</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pacing w:val="-3"/>
          <w:sz w:val="20"/>
          <w:szCs w:val="20"/>
        </w:rPr>
        <w:t>le</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5"/>
          <w:sz w:val="20"/>
          <w:szCs w:val="20"/>
        </w:rPr>
        <w:t>uniche</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5"/>
          <w:sz w:val="20"/>
          <w:szCs w:val="20"/>
        </w:rPr>
        <w:t>ca</w:t>
      </w:r>
      <w:r w:rsidRPr="00A10783">
        <w:rPr>
          <w:rFonts w:asciiTheme="minorHAnsi" w:hAnsiTheme="minorHAnsi"/>
          <w:i/>
          <w:iCs/>
          <w:color w:val="000000" w:themeColor="text1"/>
          <w:spacing w:val="-4"/>
          <w:sz w:val="20"/>
          <w:szCs w:val="20"/>
        </w:rPr>
        <w:t>p</w:t>
      </w:r>
      <w:r w:rsidRPr="00A10783">
        <w:rPr>
          <w:rFonts w:asciiTheme="minorHAnsi" w:hAnsiTheme="minorHAnsi"/>
          <w:i/>
          <w:iCs/>
          <w:color w:val="000000" w:themeColor="text1"/>
          <w:spacing w:val="-5"/>
          <w:sz w:val="20"/>
          <w:szCs w:val="20"/>
        </w:rPr>
        <w:t>aci</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pacing w:val="-2"/>
          <w:sz w:val="20"/>
          <w:szCs w:val="20"/>
        </w:rPr>
        <w:t>di</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4"/>
          <w:sz w:val="20"/>
          <w:szCs w:val="20"/>
        </w:rPr>
        <w:t>pass</w:t>
      </w:r>
      <w:r w:rsidRPr="00A10783">
        <w:rPr>
          <w:rFonts w:asciiTheme="minorHAnsi" w:hAnsiTheme="minorHAnsi"/>
          <w:i/>
          <w:iCs/>
          <w:color w:val="000000" w:themeColor="text1"/>
          <w:spacing w:val="-5"/>
          <w:sz w:val="20"/>
          <w:szCs w:val="20"/>
        </w:rPr>
        <w:t>are</w:t>
      </w:r>
      <w:r w:rsidRPr="00A10783">
        <w:rPr>
          <w:rFonts w:asciiTheme="minorHAnsi" w:hAnsiTheme="minorHAnsi"/>
          <w:i/>
          <w:iCs/>
          <w:color w:val="000000" w:themeColor="text1"/>
          <w:spacing w:val="10"/>
          <w:sz w:val="20"/>
          <w:szCs w:val="20"/>
        </w:rPr>
        <w:t xml:space="preserve"> </w:t>
      </w:r>
      <w:r w:rsidRPr="00A10783">
        <w:rPr>
          <w:rFonts w:asciiTheme="minorHAnsi" w:hAnsiTheme="minorHAnsi"/>
          <w:i/>
          <w:iCs/>
          <w:color w:val="000000" w:themeColor="text1"/>
          <w:spacing w:val="-3"/>
          <w:sz w:val="20"/>
          <w:szCs w:val="20"/>
        </w:rPr>
        <w:t>la</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5"/>
          <w:sz w:val="20"/>
          <w:szCs w:val="20"/>
        </w:rPr>
        <w:t>barriera</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3"/>
          <w:sz w:val="20"/>
          <w:szCs w:val="20"/>
        </w:rPr>
        <w:t>pla</w:t>
      </w:r>
      <w:r w:rsidRPr="00A10783">
        <w:rPr>
          <w:rFonts w:asciiTheme="minorHAnsi" w:hAnsiTheme="minorHAnsi"/>
          <w:i/>
          <w:iCs/>
          <w:color w:val="000000" w:themeColor="text1"/>
          <w:spacing w:val="-5"/>
          <w:sz w:val="20"/>
          <w:szCs w:val="20"/>
        </w:rPr>
        <w:t>centare;</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5"/>
          <w:sz w:val="20"/>
          <w:szCs w:val="20"/>
        </w:rPr>
        <w:t>pr</w:t>
      </w:r>
      <w:r w:rsidRPr="00A10783">
        <w:rPr>
          <w:rFonts w:asciiTheme="minorHAnsi" w:hAnsiTheme="minorHAnsi"/>
          <w:i/>
          <w:iCs/>
          <w:color w:val="000000" w:themeColor="text1"/>
          <w:spacing w:val="-6"/>
          <w:sz w:val="20"/>
          <w:szCs w:val="20"/>
        </w:rPr>
        <w:t>oteggon</w:t>
      </w:r>
      <w:r w:rsidRPr="00A10783">
        <w:rPr>
          <w:rFonts w:asciiTheme="minorHAnsi" w:hAnsiTheme="minorHAnsi"/>
          <w:i/>
          <w:iCs/>
          <w:color w:val="000000" w:themeColor="text1"/>
          <w:spacing w:val="-5"/>
          <w:sz w:val="20"/>
          <w:szCs w:val="20"/>
        </w:rPr>
        <w:t>o</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2"/>
          <w:sz w:val="20"/>
          <w:szCs w:val="20"/>
        </w:rPr>
        <w:t>da</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5"/>
          <w:sz w:val="20"/>
          <w:szCs w:val="20"/>
        </w:rPr>
        <w:t>batteri,</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5"/>
          <w:sz w:val="20"/>
          <w:szCs w:val="20"/>
        </w:rPr>
        <w:t>viru</w:t>
      </w:r>
      <w:r w:rsidRPr="00A10783">
        <w:rPr>
          <w:rFonts w:asciiTheme="minorHAnsi" w:hAnsiTheme="minorHAnsi"/>
          <w:i/>
          <w:iCs/>
          <w:color w:val="000000" w:themeColor="text1"/>
          <w:spacing w:val="-4"/>
          <w:sz w:val="20"/>
          <w:szCs w:val="20"/>
        </w:rPr>
        <w:t>s</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z w:val="20"/>
          <w:szCs w:val="20"/>
        </w:rPr>
        <w:t>e</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6"/>
          <w:sz w:val="20"/>
          <w:szCs w:val="20"/>
        </w:rPr>
        <w:t>to</w:t>
      </w:r>
      <w:r w:rsidRPr="00A10783">
        <w:rPr>
          <w:rFonts w:asciiTheme="minorHAnsi" w:hAnsiTheme="minorHAnsi"/>
          <w:i/>
          <w:iCs/>
          <w:color w:val="000000" w:themeColor="text1"/>
          <w:spacing w:val="-5"/>
          <w:sz w:val="20"/>
          <w:szCs w:val="20"/>
        </w:rPr>
        <w:t>ssine</w:t>
      </w:r>
    </w:p>
    <w:p w:rsidR="00795BBE" w:rsidRPr="00A10783" w:rsidRDefault="00795BBE" w:rsidP="00A10783">
      <w:pPr>
        <w:pStyle w:val="BodyText"/>
        <w:widowControl w:val="0"/>
        <w:numPr>
          <w:ilvl w:val="0"/>
          <w:numId w:val="6"/>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tabs>
          <w:tab w:val="left" w:pos="254"/>
          <w:tab w:val="left" w:pos="567"/>
        </w:tabs>
        <w:autoSpaceDE/>
        <w:autoSpaceDN/>
        <w:adjustRightInd/>
        <w:spacing w:before="0"/>
        <w:ind w:left="567" w:right="985" w:firstLine="0"/>
        <w:jc w:val="both"/>
        <w:rPr>
          <w:rFonts w:asciiTheme="minorHAnsi" w:hAnsiTheme="minorHAnsi"/>
          <w:i/>
          <w:iCs/>
          <w:color w:val="000000" w:themeColor="text1"/>
          <w:sz w:val="20"/>
          <w:szCs w:val="20"/>
        </w:rPr>
      </w:pPr>
      <w:r w:rsidRPr="00A10783">
        <w:rPr>
          <w:rFonts w:asciiTheme="minorHAnsi" w:hAnsiTheme="minorHAnsi"/>
          <w:i/>
          <w:iCs/>
          <w:color w:val="000000" w:themeColor="text1"/>
          <w:spacing w:val="-2"/>
          <w:sz w:val="20"/>
          <w:szCs w:val="20"/>
        </w:rPr>
        <w:t xml:space="preserve">Le </w:t>
      </w:r>
      <w:r w:rsidRPr="00A10783">
        <w:rPr>
          <w:rFonts w:asciiTheme="minorHAnsi" w:hAnsiTheme="minorHAnsi"/>
          <w:b/>
          <w:bCs/>
          <w:i/>
          <w:iCs/>
          <w:color w:val="000000" w:themeColor="text1"/>
          <w:spacing w:val="-4"/>
          <w:sz w:val="20"/>
          <w:szCs w:val="20"/>
        </w:rPr>
        <w:t>Ig</w:t>
      </w:r>
      <w:r w:rsidRPr="00A10783">
        <w:rPr>
          <w:rFonts w:asciiTheme="minorHAnsi" w:hAnsiTheme="minorHAnsi"/>
          <w:b/>
          <w:bCs/>
          <w:i/>
          <w:iCs/>
          <w:color w:val="000000" w:themeColor="text1"/>
          <w:spacing w:val="-5"/>
          <w:sz w:val="20"/>
          <w:szCs w:val="20"/>
        </w:rPr>
        <w:t>A</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4"/>
          <w:sz w:val="20"/>
          <w:szCs w:val="20"/>
        </w:rPr>
        <w:t>sono</w:t>
      </w:r>
      <w:r w:rsidRPr="00A10783">
        <w:rPr>
          <w:rFonts w:asciiTheme="minorHAnsi" w:hAnsiTheme="minorHAnsi"/>
          <w:i/>
          <w:iCs/>
          <w:color w:val="000000" w:themeColor="text1"/>
          <w:spacing w:val="-3"/>
          <w:sz w:val="20"/>
          <w:szCs w:val="20"/>
        </w:rPr>
        <w:t xml:space="preserve"> </w:t>
      </w:r>
      <w:r w:rsidRPr="00A10783">
        <w:rPr>
          <w:rFonts w:asciiTheme="minorHAnsi" w:hAnsiTheme="minorHAnsi"/>
          <w:i/>
          <w:iCs/>
          <w:color w:val="000000" w:themeColor="text1"/>
          <w:spacing w:val="-2"/>
          <w:sz w:val="20"/>
          <w:szCs w:val="20"/>
        </w:rPr>
        <w:t>le</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6"/>
          <w:sz w:val="20"/>
          <w:szCs w:val="20"/>
        </w:rPr>
        <w:t>imm</w:t>
      </w:r>
      <w:r w:rsidRPr="00A10783">
        <w:rPr>
          <w:rFonts w:asciiTheme="minorHAnsi" w:hAnsiTheme="minorHAnsi"/>
          <w:i/>
          <w:iCs/>
          <w:color w:val="000000" w:themeColor="text1"/>
          <w:spacing w:val="-5"/>
          <w:sz w:val="20"/>
          <w:szCs w:val="20"/>
        </w:rPr>
        <w:t>un</w:t>
      </w:r>
      <w:r w:rsidRPr="00A10783">
        <w:rPr>
          <w:rFonts w:asciiTheme="minorHAnsi" w:hAnsiTheme="minorHAnsi"/>
          <w:i/>
          <w:iCs/>
          <w:color w:val="000000" w:themeColor="text1"/>
          <w:spacing w:val="-6"/>
          <w:sz w:val="20"/>
          <w:szCs w:val="20"/>
        </w:rPr>
        <w:t>oglobuline</w:t>
      </w:r>
      <w:r w:rsidRPr="00A10783">
        <w:rPr>
          <w:rFonts w:asciiTheme="minorHAnsi" w:hAnsiTheme="minorHAnsi"/>
          <w:i/>
          <w:iCs/>
          <w:color w:val="000000" w:themeColor="text1"/>
          <w:spacing w:val="-2"/>
          <w:sz w:val="20"/>
          <w:szCs w:val="20"/>
        </w:rPr>
        <w:t xml:space="preserve"> </w:t>
      </w:r>
      <w:r w:rsidRPr="00A10783">
        <w:rPr>
          <w:rFonts w:asciiTheme="minorHAnsi" w:hAnsiTheme="minorHAnsi"/>
          <w:i/>
          <w:iCs/>
          <w:color w:val="000000" w:themeColor="text1"/>
          <w:spacing w:val="-3"/>
          <w:sz w:val="20"/>
          <w:szCs w:val="20"/>
        </w:rPr>
        <w:t xml:space="preserve">che </w:t>
      </w:r>
      <w:r w:rsidRPr="00A10783">
        <w:rPr>
          <w:rFonts w:asciiTheme="minorHAnsi" w:hAnsiTheme="minorHAnsi"/>
          <w:i/>
          <w:iCs/>
          <w:color w:val="000000" w:themeColor="text1"/>
          <w:spacing w:val="-6"/>
          <w:sz w:val="20"/>
          <w:szCs w:val="20"/>
        </w:rPr>
        <w:t>difendo</w:t>
      </w:r>
      <w:r w:rsidRPr="00A10783">
        <w:rPr>
          <w:rFonts w:asciiTheme="minorHAnsi" w:hAnsiTheme="minorHAnsi"/>
          <w:i/>
          <w:iCs/>
          <w:color w:val="000000" w:themeColor="text1"/>
          <w:spacing w:val="-5"/>
          <w:sz w:val="20"/>
          <w:szCs w:val="20"/>
        </w:rPr>
        <w:t>no</w:t>
      </w:r>
      <w:r w:rsidRPr="00A10783">
        <w:rPr>
          <w:rFonts w:asciiTheme="minorHAnsi" w:hAnsiTheme="minorHAnsi"/>
          <w:i/>
          <w:iCs/>
          <w:color w:val="000000" w:themeColor="text1"/>
          <w:spacing w:val="-2"/>
          <w:sz w:val="20"/>
          <w:szCs w:val="20"/>
        </w:rPr>
        <w:t xml:space="preserve"> </w:t>
      </w:r>
      <w:r w:rsidRPr="00A10783">
        <w:rPr>
          <w:rFonts w:asciiTheme="minorHAnsi" w:hAnsiTheme="minorHAnsi"/>
          <w:i/>
          <w:iCs/>
          <w:color w:val="000000" w:themeColor="text1"/>
          <w:spacing w:val="-3"/>
          <w:sz w:val="20"/>
          <w:szCs w:val="20"/>
        </w:rPr>
        <w:t>le</w:t>
      </w:r>
      <w:r w:rsidRPr="00A10783">
        <w:rPr>
          <w:rFonts w:asciiTheme="minorHAnsi" w:hAnsiTheme="minorHAnsi"/>
          <w:i/>
          <w:iCs/>
          <w:color w:val="000000" w:themeColor="text1"/>
          <w:sz w:val="20"/>
          <w:szCs w:val="20"/>
        </w:rPr>
        <w:t xml:space="preserve"> </w:t>
      </w:r>
      <w:r w:rsidRPr="00A10783">
        <w:rPr>
          <w:rFonts w:asciiTheme="minorHAnsi" w:hAnsiTheme="minorHAnsi"/>
          <w:i/>
          <w:iCs/>
          <w:color w:val="000000" w:themeColor="text1"/>
          <w:spacing w:val="-6"/>
          <w:sz w:val="20"/>
          <w:szCs w:val="20"/>
        </w:rPr>
        <w:t>m</w:t>
      </w:r>
      <w:r w:rsidRPr="00A10783">
        <w:rPr>
          <w:rFonts w:asciiTheme="minorHAnsi" w:hAnsiTheme="minorHAnsi"/>
          <w:i/>
          <w:iCs/>
          <w:color w:val="000000" w:themeColor="text1"/>
          <w:spacing w:val="-5"/>
          <w:sz w:val="20"/>
          <w:szCs w:val="20"/>
        </w:rPr>
        <w:t>u</w:t>
      </w:r>
      <w:r w:rsidRPr="00A10783">
        <w:rPr>
          <w:rFonts w:asciiTheme="minorHAnsi" w:hAnsiTheme="minorHAnsi"/>
          <w:i/>
          <w:iCs/>
          <w:color w:val="000000" w:themeColor="text1"/>
          <w:spacing w:val="-6"/>
          <w:sz w:val="20"/>
          <w:szCs w:val="20"/>
        </w:rPr>
        <w:t>cose</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6"/>
          <w:sz w:val="20"/>
          <w:szCs w:val="20"/>
        </w:rPr>
        <w:t>(re</w:t>
      </w:r>
      <w:r w:rsidRPr="00A10783">
        <w:rPr>
          <w:rFonts w:asciiTheme="minorHAnsi" w:hAnsiTheme="minorHAnsi"/>
          <w:i/>
          <w:iCs/>
          <w:color w:val="000000" w:themeColor="text1"/>
          <w:spacing w:val="-5"/>
          <w:sz w:val="20"/>
          <w:szCs w:val="20"/>
        </w:rPr>
        <w:t>s</w:t>
      </w:r>
      <w:r w:rsidRPr="00A10783">
        <w:rPr>
          <w:rFonts w:asciiTheme="minorHAnsi" w:hAnsiTheme="minorHAnsi"/>
          <w:i/>
          <w:iCs/>
          <w:color w:val="000000" w:themeColor="text1"/>
          <w:spacing w:val="-6"/>
          <w:sz w:val="20"/>
          <w:szCs w:val="20"/>
        </w:rPr>
        <w:t>piratorie,</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5"/>
          <w:sz w:val="20"/>
          <w:szCs w:val="20"/>
        </w:rPr>
        <w:t>digerenti,</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6"/>
          <w:sz w:val="20"/>
          <w:szCs w:val="20"/>
        </w:rPr>
        <w:t>genito</w:t>
      </w:r>
      <w:r w:rsidRPr="00A10783">
        <w:rPr>
          <w:rFonts w:asciiTheme="minorHAnsi" w:hAnsiTheme="minorHAnsi"/>
          <w:i/>
          <w:iCs/>
          <w:color w:val="000000" w:themeColor="text1"/>
          <w:spacing w:val="-5"/>
          <w:sz w:val="20"/>
          <w:szCs w:val="20"/>
        </w:rPr>
        <w:t>-u</w:t>
      </w:r>
      <w:r w:rsidRPr="00A10783">
        <w:rPr>
          <w:rFonts w:asciiTheme="minorHAnsi" w:hAnsiTheme="minorHAnsi"/>
          <w:i/>
          <w:iCs/>
          <w:color w:val="000000" w:themeColor="text1"/>
          <w:spacing w:val="-6"/>
          <w:sz w:val="20"/>
          <w:szCs w:val="20"/>
        </w:rPr>
        <w:t>rinarie)</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z w:val="20"/>
          <w:szCs w:val="20"/>
        </w:rPr>
        <w:t>e</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3"/>
          <w:sz w:val="20"/>
          <w:szCs w:val="20"/>
        </w:rPr>
        <w:t>che</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6"/>
          <w:sz w:val="20"/>
          <w:szCs w:val="20"/>
        </w:rPr>
        <w:t>pertanto</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3"/>
          <w:sz w:val="20"/>
          <w:szCs w:val="20"/>
        </w:rPr>
        <w:t>si</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5"/>
          <w:sz w:val="20"/>
          <w:szCs w:val="20"/>
        </w:rPr>
        <w:t>trova</w:t>
      </w:r>
      <w:r w:rsidRPr="00A10783">
        <w:rPr>
          <w:rFonts w:asciiTheme="minorHAnsi" w:hAnsiTheme="minorHAnsi"/>
          <w:i/>
          <w:iCs/>
          <w:color w:val="000000" w:themeColor="text1"/>
          <w:spacing w:val="-4"/>
          <w:sz w:val="20"/>
          <w:szCs w:val="20"/>
        </w:rPr>
        <w:t>no</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3"/>
          <w:sz w:val="20"/>
          <w:szCs w:val="20"/>
        </w:rPr>
        <w:t>in</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5"/>
          <w:sz w:val="20"/>
          <w:szCs w:val="20"/>
        </w:rPr>
        <w:t>tutte</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3"/>
          <w:sz w:val="20"/>
          <w:szCs w:val="20"/>
        </w:rPr>
        <w:t>le</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6"/>
          <w:sz w:val="20"/>
          <w:szCs w:val="20"/>
        </w:rPr>
        <w:t>secrezioni</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5"/>
          <w:sz w:val="20"/>
          <w:szCs w:val="20"/>
        </w:rPr>
        <w:t>delle</w:t>
      </w:r>
      <w:r w:rsidRPr="00A10783">
        <w:rPr>
          <w:rFonts w:asciiTheme="minorHAnsi" w:hAnsiTheme="minorHAnsi"/>
          <w:i/>
          <w:iCs/>
          <w:color w:val="000000" w:themeColor="text1"/>
          <w:spacing w:val="-7"/>
          <w:sz w:val="20"/>
          <w:szCs w:val="20"/>
        </w:rPr>
        <w:t xml:space="preserve"> m</w:t>
      </w:r>
      <w:r w:rsidRPr="00A10783">
        <w:rPr>
          <w:rFonts w:asciiTheme="minorHAnsi" w:hAnsiTheme="minorHAnsi"/>
          <w:i/>
          <w:iCs/>
          <w:color w:val="000000" w:themeColor="text1"/>
          <w:spacing w:val="-6"/>
          <w:sz w:val="20"/>
          <w:szCs w:val="20"/>
        </w:rPr>
        <w:t>u</w:t>
      </w:r>
      <w:r w:rsidRPr="00A10783">
        <w:rPr>
          <w:rFonts w:asciiTheme="minorHAnsi" w:hAnsiTheme="minorHAnsi"/>
          <w:i/>
          <w:iCs/>
          <w:color w:val="000000" w:themeColor="text1"/>
          <w:spacing w:val="-7"/>
          <w:sz w:val="20"/>
          <w:szCs w:val="20"/>
        </w:rPr>
        <w:t>cose.</w:t>
      </w:r>
    </w:p>
    <w:p w:rsidR="00795BBE" w:rsidRPr="00A10783" w:rsidRDefault="00795BBE" w:rsidP="00A10783">
      <w:pPr>
        <w:pStyle w:val="BodyText"/>
        <w:widowControl w:val="0"/>
        <w:numPr>
          <w:ilvl w:val="0"/>
          <w:numId w:val="6"/>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tabs>
          <w:tab w:val="left" w:pos="255"/>
          <w:tab w:val="left" w:pos="567"/>
        </w:tabs>
        <w:autoSpaceDE/>
        <w:autoSpaceDN/>
        <w:adjustRightInd/>
        <w:spacing w:before="0"/>
        <w:ind w:left="567" w:right="985" w:firstLine="0"/>
        <w:jc w:val="both"/>
        <w:rPr>
          <w:rFonts w:asciiTheme="minorHAnsi" w:hAnsiTheme="minorHAnsi"/>
          <w:i/>
          <w:iCs/>
          <w:color w:val="000000" w:themeColor="text1"/>
          <w:sz w:val="20"/>
          <w:szCs w:val="20"/>
        </w:rPr>
      </w:pPr>
      <w:r w:rsidRPr="00A10783">
        <w:rPr>
          <w:rFonts w:asciiTheme="minorHAnsi" w:hAnsiTheme="minorHAnsi"/>
          <w:i/>
          <w:iCs/>
          <w:color w:val="000000" w:themeColor="text1"/>
          <w:spacing w:val="-2"/>
          <w:sz w:val="20"/>
          <w:szCs w:val="20"/>
        </w:rPr>
        <w:t>Le</w:t>
      </w:r>
      <w:r w:rsidRPr="00A10783">
        <w:rPr>
          <w:rFonts w:asciiTheme="minorHAnsi" w:hAnsiTheme="minorHAnsi"/>
          <w:i/>
          <w:iCs/>
          <w:color w:val="000000" w:themeColor="text1"/>
          <w:sz w:val="20"/>
          <w:szCs w:val="20"/>
        </w:rPr>
        <w:t xml:space="preserve"> </w:t>
      </w:r>
      <w:r w:rsidRPr="00A10783">
        <w:rPr>
          <w:rFonts w:asciiTheme="minorHAnsi" w:hAnsiTheme="minorHAnsi"/>
          <w:b/>
          <w:bCs/>
          <w:i/>
          <w:iCs/>
          <w:color w:val="000000" w:themeColor="text1"/>
          <w:spacing w:val="-4"/>
          <w:sz w:val="20"/>
          <w:szCs w:val="20"/>
        </w:rPr>
        <w:t>Ig</w:t>
      </w:r>
      <w:r w:rsidRPr="00A10783">
        <w:rPr>
          <w:rFonts w:asciiTheme="minorHAnsi" w:hAnsiTheme="minorHAnsi"/>
          <w:b/>
          <w:bCs/>
          <w:i/>
          <w:iCs/>
          <w:color w:val="000000" w:themeColor="text1"/>
          <w:spacing w:val="-5"/>
          <w:sz w:val="20"/>
          <w:szCs w:val="20"/>
        </w:rPr>
        <w:t>E</w:t>
      </w:r>
      <w:r w:rsidRPr="00A10783">
        <w:rPr>
          <w:rFonts w:asciiTheme="minorHAnsi" w:hAnsiTheme="minorHAnsi"/>
          <w:i/>
          <w:iCs/>
          <w:color w:val="000000" w:themeColor="text1"/>
          <w:spacing w:val="-4"/>
          <w:sz w:val="20"/>
          <w:szCs w:val="20"/>
        </w:rPr>
        <w:t>,</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5"/>
          <w:sz w:val="20"/>
          <w:szCs w:val="20"/>
        </w:rPr>
        <w:t>c</w:t>
      </w:r>
      <w:r w:rsidRPr="00A10783">
        <w:rPr>
          <w:rFonts w:asciiTheme="minorHAnsi" w:hAnsiTheme="minorHAnsi"/>
          <w:i/>
          <w:iCs/>
          <w:color w:val="000000" w:themeColor="text1"/>
          <w:spacing w:val="-4"/>
          <w:sz w:val="20"/>
          <w:szCs w:val="20"/>
        </w:rPr>
        <w:t>o</w:t>
      </w:r>
      <w:r w:rsidRPr="00A10783">
        <w:rPr>
          <w:rFonts w:asciiTheme="minorHAnsi" w:hAnsiTheme="minorHAnsi"/>
          <w:i/>
          <w:iCs/>
          <w:color w:val="000000" w:themeColor="text1"/>
          <w:spacing w:val="-5"/>
          <w:sz w:val="20"/>
          <w:szCs w:val="20"/>
        </w:rPr>
        <w:t>me</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3"/>
          <w:sz w:val="20"/>
          <w:szCs w:val="20"/>
        </w:rPr>
        <w:t>le</w:t>
      </w:r>
      <w:r w:rsidRPr="00A10783">
        <w:rPr>
          <w:rFonts w:asciiTheme="minorHAnsi" w:hAnsiTheme="minorHAnsi"/>
          <w:i/>
          <w:iCs/>
          <w:color w:val="000000" w:themeColor="text1"/>
          <w:spacing w:val="2"/>
          <w:sz w:val="20"/>
          <w:szCs w:val="20"/>
        </w:rPr>
        <w:t xml:space="preserve"> </w:t>
      </w:r>
      <w:r w:rsidRPr="00A10783">
        <w:rPr>
          <w:rFonts w:asciiTheme="minorHAnsi" w:hAnsiTheme="minorHAnsi"/>
          <w:i/>
          <w:iCs/>
          <w:color w:val="000000" w:themeColor="text1"/>
          <w:spacing w:val="-4"/>
          <w:sz w:val="20"/>
          <w:szCs w:val="20"/>
        </w:rPr>
        <w:t>IgA,</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4"/>
          <w:sz w:val="20"/>
          <w:szCs w:val="20"/>
        </w:rPr>
        <w:t>sono</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6"/>
          <w:sz w:val="20"/>
          <w:szCs w:val="20"/>
        </w:rPr>
        <w:t>imm</w:t>
      </w:r>
      <w:r w:rsidRPr="00A10783">
        <w:rPr>
          <w:rFonts w:asciiTheme="minorHAnsi" w:hAnsiTheme="minorHAnsi"/>
          <w:i/>
          <w:iCs/>
          <w:color w:val="000000" w:themeColor="text1"/>
          <w:spacing w:val="-5"/>
          <w:sz w:val="20"/>
          <w:szCs w:val="20"/>
        </w:rPr>
        <w:t>unog</w:t>
      </w:r>
      <w:r w:rsidRPr="00A10783">
        <w:rPr>
          <w:rFonts w:asciiTheme="minorHAnsi" w:hAnsiTheme="minorHAnsi"/>
          <w:i/>
          <w:iCs/>
          <w:color w:val="000000" w:themeColor="text1"/>
          <w:spacing w:val="-6"/>
          <w:sz w:val="20"/>
          <w:szCs w:val="20"/>
        </w:rPr>
        <w:t>l</w:t>
      </w:r>
      <w:r w:rsidRPr="00A10783">
        <w:rPr>
          <w:rFonts w:asciiTheme="minorHAnsi" w:hAnsiTheme="minorHAnsi"/>
          <w:i/>
          <w:iCs/>
          <w:color w:val="000000" w:themeColor="text1"/>
          <w:spacing w:val="-5"/>
          <w:sz w:val="20"/>
          <w:szCs w:val="20"/>
        </w:rPr>
        <w:t>obu</w:t>
      </w:r>
      <w:r w:rsidRPr="00A10783">
        <w:rPr>
          <w:rFonts w:asciiTheme="minorHAnsi" w:hAnsiTheme="minorHAnsi"/>
          <w:i/>
          <w:iCs/>
          <w:color w:val="000000" w:themeColor="text1"/>
          <w:spacing w:val="-6"/>
          <w:sz w:val="20"/>
          <w:szCs w:val="20"/>
        </w:rPr>
        <w:t>li</w:t>
      </w:r>
      <w:r w:rsidRPr="00A10783">
        <w:rPr>
          <w:rFonts w:asciiTheme="minorHAnsi" w:hAnsiTheme="minorHAnsi"/>
          <w:i/>
          <w:iCs/>
          <w:color w:val="000000" w:themeColor="text1"/>
          <w:spacing w:val="-5"/>
          <w:sz w:val="20"/>
          <w:szCs w:val="20"/>
        </w:rPr>
        <w:t>n</w:t>
      </w:r>
      <w:r w:rsidRPr="00A10783">
        <w:rPr>
          <w:rFonts w:asciiTheme="minorHAnsi" w:hAnsiTheme="minorHAnsi"/>
          <w:i/>
          <w:iCs/>
          <w:color w:val="000000" w:themeColor="text1"/>
          <w:spacing w:val="-6"/>
          <w:sz w:val="20"/>
          <w:szCs w:val="20"/>
        </w:rPr>
        <w:t>e</w:t>
      </w:r>
      <w:r w:rsidRPr="00A10783">
        <w:rPr>
          <w:rFonts w:asciiTheme="minorHAnsi" w:hAnsiTheme="minorHAnsi"/>
          <w:i/>
          <w:iCs/>
          <w:color w:val="000000" w:themeColor="text1"/>
          <w:sz w:val="20"/>
          <w:szCs w:val="20"/>
        </w:rPr>
        <w:t xml:space="preserve"> </w:t>
      </w:r>
      <w:r w:rsidRPr="00A10783">
        <w:rPr>
          <w:rFonts w:asciiTheme="minorHAnsi" w:hAnsiTheme="minorHAnsi"/>
          <w:i/>
          <w:iCs/>
          <w:color w:val="000000" w:themeColor="text1"/>
          <w:spacing w:val="-3"/>
          <w:sz w:val="20"/>
          <w:szCs w:val="20"/>
        </w:rPr>
        <w:t>che</w:t>
      </w:r>
      <w:r w:rsidRPr="00A10783">
        <w:rPr>
          <w:rFonts w:asciiTheme="minorHAnsi" w:hAnsiTheme="minorHAnsi"/>
          <w:i/>
          <w:iCs/>
          <w:color w:val="000000" w:themeColor="text1"/>
          <w:spacing w:val="2"/>
          <w:sz w:val="20"/>
          <w:szCs w:val="20"/>
        </w:rPr>
        <w:t xml:space="preserve"> </w:t>
      </w:r>
      <w:r w:rsidRPr="00A10783">
        <w:rPr>
          <w:rFonts w:asciiTheme="minorHAnsi" w:hAnsiTheme="minorHAnsi"/>
          <w:i/>
          <w:iCs/>
          <w:color w:val="000000" w:themeColor="text1"/>
          <w:spacing w:val="-3"/>
          <w:sz w:val="20"/>
          <w:szCs w:val="20"/>
        </w:rPr>
        <w:t>si</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6"/>
          <w:sz w:val="20"/>
          <w:szCs w:val="20"/>
        </w:rPr>
        <w:t>tr</w:t>
      </w:r>
      <w:r w:rsidRPr="00A10783">
        <w:rPr>
          <w:rFonts w:asciiTheme="minorHAnsi" w:hAnsiTheme="minorHAnsi"/>
          <w:i/>
          <w:iCs/>
          <w:color w:val="000000" w:themeColor="text1"/>
          <w:spacing w:val="-5"/>
          <w:sz w:val="20"/>
          <w:szCs w:val="20"/>
        </w:rPr>
        <w:t>ov</w:t>
      </w:r>
      <w:r w:rsidRPr="00A10783">
        <w:rPr>
          <w:rFonts w:asciiTheme="minorHAnsi" w:hAnsiTheme="minorHAnsi"/>
          <w:i/>
          <w:iCs/>
          <w:color w:val="000000" w:themeColor="text1"/>
          <w:spacing w:val="-6"/>
          <w:sz w:val="20"/>
          <w:szCs w:val="20"/>
        </w:rPr>
        <w:t>an</w:t>
      </w:r>
      <w:r w:rsidRPr="00A10783">
        <w:rPr>
          <w:rFonts w:asciiTheme="minorHAnsi" w:hAnsiTheme="minorHAnsi"/>
          <w:i/>
          <w:iCs/>
          <w:color w:val="000000" w:themeColor="text1"/>
          <w:spacing w:val="-5"/>
          <w:sz w:val="20"/>
          <w:szCs w:val="20"/>
        </w:rPr>
        <w:t>o</w:t>
      </w:r>
      <w:r w:rsidRPr="00A10783">
        <w:rPr>
          <w:rFonts w:asciiTheme="minorHAnsi" w:hAnsiTheme="minorHAnsi"/>
          <w:i/>
          <w:iCs/>
          <w:color w:val="000000" w:themeColor="text1"/>
          <w:sz w:val="20"/>
          <w:szCs w:val="20"/>
        </w:rPr>
        <w:t xml:space="preserve"> </w:t>
      </w:r>
      <w:r w:rsidRPr="00A10783">
        <w:rPr>
          <w:rFonts w:asciiTheme="minorHAnsi" w:hAnsiTheme="minorHAnsi"/>
          <w:i/>
          <w:iCs/>
          <w:color w:val="000000" w:themeColor="text1"/>
          <w:spacing w:val="-5"/>
          <w:sz w:val="20"/>
          <w:szCs w:val="20"/>
        </w:rPr>
        <w:t>pr</w:t>
      </w:r>
      <w:r w:rsidRPr="00A10783">
        <w:rPr>
          <w:rFonts w:asciiTheme="minorHAnsi" w:hAnsiTheme="minorHAnsi"/>
          <w:i/>
          <w:iCs/>
          <w:color w:val="000000" w:themeColor="text1"/>
          <w:spacing w:val="-6"/>
          <w:sz w:val="20"/>
          <w:szCs w:val="20"/>
        </w:rPr>
        <w:t>i</w:t>
      </w:r>
      <w:r w:rsidRPr="00A10783">
        <w:rPr>
          <w:rFonts w:asciiTheme="minorHAnsi" w:hAnsiTheme="minorHAnsi"/>
          <w:i/>
          <w:iCs/>
          <w:color w:val="000000" w:themeColor="text1"/>
          <w:spacing w:val="-5"/>
          <w:sz w:val="20"/>
          <w:szCs w:val="20"/>
        </w:rPr>
        <w:t>n</w:t>
      </w:r>
      <w:r w:rsidRPr="00A10783">
        <w:rPr>
          <w:rFonts w:asciiTheme="minorHAnsi" w:hAnsiTheme="minorHAnsi"/>
          <w:i/>
          <w:iCs/>
          <w:color w:val="000000" w:themeColor="text1"/>
          <w:spacing w:val="-6"/>
          <w:sz w:val="20"/>
          <w:szCs w:val="20"/>
        </w:rPr>
        <w:t>cipalmente</w:t>
      </w:r>
      <w:r w:rsidRPr="00A10783">
        <w:rPr>
          <w:rFonts w:asciiTheme="minorHAnsi" w:hAnsiTheme="minorHAnsi"/>
          <w:i/>
          <w:iCs/>
          <w:color w:val="000000" w:themeColor="text1"/>
          <w:spacing w:val="2"/>
          <w:sz w:val="20"/>
          <w:szCs w:val="20"/>
        </w:rPr>
        <w:t xml:space="preserve"> </w:t>
      </w:r>
      <w:r w:rsidRPr="00A10783">
        <w:rPr>
          <w:rFonts w:asciiTheme="minorHAnsi" w:hAnsiTheme="minorHAnsi"/>
          <w:i/>
          <w:iCs/>
          <w:color w:val="000000" w:themeColor="text1"/>
          <w:spacing w:val="-5"/>
          <w:sz w:val="20"/>
          <w:szCs w:val="20"/>
        </w:rPr>
        <w:t>n</w:t>
      </w:r>
      <w:r w:rsidRPr="00A10783">
        <w:rPr>
          <w:rFonts w:asciiTheme="minorHAnsi" w:hAnsiTheme="minorHAnsi"/>
          <w:i/>
          <w:iCs/>
          <w:color w:val="000000" w:themeColor="text1"/>
          <w:spacing w:val="-6"/>
          <w:sz w:val="20"/>
          <w:szCs w:val="20"/>
        </w:rPr>
        <w:t>elle</w:t>
      </w:r>
      <w:r w:rsidR="002840CC" w:rsidRPr="00A10783">
        <w:rPr>
          <w:rFonts w:asciiTheme="minorHAnsi" w:hAnsiTheme="minorHAnsi"/>
          <w:i/>
          <w:iCs/>
          <w:color w:val="000000" w:themeColor="text1"/>
          <w:spacing w:val="75"/>
          <w:w w:val="99"/>
          <w:sz w:val="20"/>
          <w:szCs w:val="20"/>
        </w:rPr>
        <w:t xml:space="preserve"> </w:t>
      </w:r>
      <w:r w:rsidRPr="00A10783">
        <w:rPr>
          <w:rFonts w:asciiTheme="minorHAnsi" w:hAnsiTheme="minorHAnsi"/>
          <w:i/>
          <w:iCs/>
          <w:color w:val="000000" w:themeColor="text1"/>
          <w:spacing w:val="-6"/>
          <w:sz w:val="20"/>
          <w:szCs w:val="20"/>
        </w:rPr>
        <w:t>sec</w:t>
      </w:r>
      <w:r w:rsidRPr="00A10783">
        <w:rPr>
          <w:rFonts w:asciiTheme="minorHAnsi" w:hAnsiTheme="minorHAnsi"/>
          <w:i/>
          <w:iCs/>
          <w:color w:val="000000" w:themeColor="text1"/>
          <w:spacing w:val="-5"/>
          <w:sz w:val="20"/>
          <w:szCs w:val="20"/>
        </w:rPr>
        <w:t>r</w:t>
      </w:r>
      <w:r w:rsidRPr="00A10783">
        <w:rPr>
          <w:rFonts w:asciiTheme="minorHAnsi" w:hAnsiTheme="minorHAnsi"/>
          <w:i/>
          <w:iCs/>
          <w:color w:val="000000" w:themeColor="text1"/>
          <w:spacing w:val="-6"/>
          <w:sz w:val="20"/>
          <w:szCs w:val="20"/>
        </w:rPr>
        <w:t>ezioni</w:t>
      </w:r>
      <w:r w:rsidRPr="00A10783">
        <w:rPr>
          <w:rFonts w:asciiTheme="minorHAnsi" w:hAnsiTheme="minorHAnsi"/>
          <w:i/>
          <w:iCs/>
          <w:color w:val="000000" w:themeColor="text1"/>
          <w:spacing w:val="-2"/>
          <w:sz w:val="20"/>
          <w:szCs w:val="20"/>
        </w:rPr>
        <w:t xml:space="preserve"> </w:t>
      </w:r>
      <w:r w:rsidRPr="00A10783">
        <w:rPr>
          <w:rFonts w:asciiTheme="minorHAnsi" w:hAnsiTheme="minorHAnsi"/>
          <w:i/>
          <w:iCs/>
          <w:color w:val="000000" w:themeColor="text1"/>
          <w:sz w:val="20"/>
          <w:szCs w:val="20"/>
        </w:rPr>
        <w:t>a</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6"/>
          <w:sz w:val="20"/>
          <w:szCs w:val="20"/>
        </w:rPr>
        <w:t>livello</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5"/>
          <w:sz w:val="20"/>
          <w:szCs w:val="20"/>
        </w:rPr>
        <w:t>delle</w:t>
      </w:r>
      <w:r w:rsidRPr="00A10783">
        <w:rPr>
          <w:rFonts w:asciiTheme="minorHAnsi" w:hAnsiTheme="minorHAnsi"/>
          <w:i/>
          <w:iCs/>
          <w:color w:val="000000" w:themeColor="text1"/>
          <w:sz w:val="20"/>
          <w:szCs w:val="20"/>
        </w:rPr>
        <w:t xml:space="preserve"> </w:t>
      </w:r>
      <w:r w:rsidRPr="00A10783">
        <w:rPr>
          <w:rFonts w:asciiTheme="minorHAnsi" w:hAnsiTheme="minorHAnsi"/>
          <w:i/>
          <w:iCs/>
          <w:color w:val="000000" w:themeColor="text1"/>
          <w:spacing w:val="-5"/>
          <w:sz w:val="20"/>
          <w:szCs w:val="20"/>
        </w:rPr>
        <w:t>m</w:t>
      </w:r>
      <w:r w:rsidRPr="00A10783">
        <w:rPr>
          <w:rFonts w:asciiTheme="minorHAnsi" w:hAnsiTheme="minorHAnsi"/>
          <w:i/>
          <w:iCs/>
          <w:color w:val="000000" w:themeColor="text1"/>
          <w:spacing w:val="-4"/>
          <w:sz w:val="20"/>
          <w:szCs w:val="20"/>
        </w:rPr>
        <w:t>u</w:t>
      </w:r>
      <w:r w:rsidRPr="00A10783">
        <w:rPr>
          <w:rFonts w:asciiTheme="minorHAnsi" w:hAnsiTheme="minorHAnsi"/>
          <w:i/>
          <w:iCs/>
          <w:color w:val="000000" w:themeColor="text1"/>
          <w:spacing w:val="-5"/>
          <w:sz w:val="20"/>
          <w:szCs w:val="20"/>
        </w:rPr>
        <w:t>co</w:t>
      </w:r>
      <w:r w:rsidRPr="00A10783">
        <w:rPr>
          <w:rFonts w:asciiTheme="minorHAnsi" w:hAnsiTheme="minorHAnsi"/>
          <w:i/>
          <w:iCs/>
          <w:color w:val="000000" w:themeColor="text1"/>
          <w:spacing w:val="-4"/>
          <w:sz w:val="20"/>
          <w:szCs w:val="20"/>
        </w:rPr>
        <w:t>se,</w:t>
      </w:r>
      <w:r w:rsidRPr="00A10783">
        <w:rPr>
          <w:rFonts w:asciiTheme="minorHAnsi" w:hAnsiTheme="minorHAnsi"/>
          <w:i/>
          <w:iCs/>
          <w:color w:val="000000" w:themeColor="text1"/>
          <w:spacing w:val="-2"/>
          <w:sz w:val="20"/>
          <w:szCs w:val="20"/>
        </w:rPr>
        <w:t xml:space="preserve"> </w:t>
      </w:r>
      <w:r w:rsidRPr="00A10783">
        <w:rPr>
          <w:rFonts w:asciiTheme="minorHAnsi" w:hAnsiTheme="minorHAnsi"/>
          <w:i/>
          <w:iCs/>
          <w:color w:val="000000" w:themeColor="text1"/>
          <w:spacing w:val="-4"/>
          <w:sz w:val="20"/>
          <w:szCs w:val="20"/>
        </w:rPr>
        <w:t>sp</w:t>
      </w:r>
      <w:r w:rsidRPr="00A10783">
        <w:rPr>
          <w:rFonts w:asciiTheme="minorHAnsi" w:hAnsiTheme="minorHAnsi"/>
          <w:i/>
          <w:iCs/>
          <w:color w:val="000000" w:themeColor="text1"/>
          <w:spacing w:val="-5"/>
          <w:sz w:val="20"/>
          <w:szCs w:val="20"/>
        </w:rPr>
        <w:t>ecie</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5"/>
          <w:sz w:val="20"/>
          <w:szCs w:val="20"/>
        </w:rPr>
        <w:t>del</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5"/>
          <w:sz w:val="20"/>
          <w:szCs w:val="20"/>
        </w:rPr>
        <w:t>t</w:t>
      </w:r>
      <w:r w:rsidRPr="00A10783">
        <w:rPr>
          <w:rFonts w:asciiTheme="minorHAnsi" w:hAnsiTheme="minorHAnsi"/>
          <w:i/>
          <w:iCs/>
          <w:color w:val="000000" w:themeColor="text1"/>
          <w:spacing w:val="-4"/>
          <w:sz w:val="20"/>
          <w:szCs w:val="20"/>
        </w:rPr>
        <w:t>r</w:t>
      </w:r>
      <w:r w:rsidRPr="00A10783">
        <w:rPr>
          <w:rFonts w:asciiTheme="minorHAnsi" w:hAnsiTheme="minorHAnsi"/>
          <w:i/>
          <w:iCs/>
          <w:color w:val="000000" w:themeColor="text1"/>
          <w:spacing w:val="-5"/>
          <w:sz w:val="20"/>
          <w:szCs w:val="20"/>
        </w:rPr>
        <w:t>atto</w:t>
      </w:r>
      <w:r w:rsidRPr="00A10783">
        <w:rPr>
          <w:rFonts w:asciiTheme="minorHAnsi" w:hAnsiTheme="minorHAnsi"/>
          <w:i/>
          <w:iCs/>
          <w:color w:val="000000" w:themeColor="text1"/>
          <w:sz w:val="20"/>
          <w:szCs w:val="20"/>
        </w:rPr>
        <w:t xml:space="preserve"> </w:t>
      </w:r>
      <w:r w:rsidRPr="00A10783">
        <w:rPr>
          <w:rFonts w:asciiTheme="minorHAnsi" w:hAnsiTheme="minorHAnsi"/>
          <w:i/>
          <w:iCs/>
          <w:color w:val="000000" w:themeColor="text1"/>
          <w:spacing w:val="-6"/>
          <w:sz w:val="20"/>
          <w:szCs w:val="20"/>
        </w:rPr>
        <w:t>re</w:t>
      </w:r>
      <w:r w:rsidRPr="00A10783">
        <w:rPr>
          <w:rFonts w:asciiTheme="minorHAnsi" w:hAnsiTheme="minorHAnsi"/>
          <w:i/>
          <w:iCs/>
          <w:color w:val="000000" w:themeColor="text1"/>
          <w:spacing w:val="-5"/>
          <w:sz w:val="20"/>
          <w:szCs w:val="20"/>
        </w:rPr>
        <w:t>sp</w:t>
      </w:r>
      <w:r w:rsidRPr="00A10783">
        <w:rPr>
          <w:rFonts w:asciiTheme="minorHAnsi" w:hAnsiTheme="minorHAnsi"/>
          <w:i/>
          <w:iCs/>
          <w:color w:val="000000" w:themeColor="text1"/>
          <w:spacing w:val="-6"/>
          <w:sz w:val="20"/>
          <w:szCs w:val="20"/>
        </w:rPr>
        <w:t>iratorio</w:t>
      </w:r>
      <w:r w:rsidRPr="00A10783">
        <w:rPr>
          <w:rFonts w:asciiTheme="minorHAnsi" w:hAnsiTheme="minorHAnsi"/>
          <w:i/>
          <w:iCs/>
          <w:color w:val="000000" w:themeColor="text1"/>
          <w:spacing w:val="-2"/>
          <w:sz w:val="20"/>
          <w:szCs w:val="20"/>
        </w:rPr>
        <w:t xml:space="preserve"> </w:t>
      </w:r>
      <w:r w:rsidRPr="00A10783">
        <w:rPr>
          <w:rFonts w:asciiTheme="minorHAnsi" w:hAnsiTheme="minorHAnsi"/>
          <w:i/>
          <w:iCs/>
          <w:color w:val="000000" w:themeColor="text1"/>
          <w:sz w:val="20"/>
          <w:szCs w:val="20"/>
        </w:rPr>
        <w:t>e</w:t>
      </w:r>
      <w:r w:rsidRPr="00A10783">
        <w:rPr>
          <w:rFonts w:asciiTheme="minorHAnsi" w:hAnsiTheme="minorHAnsi"/>
          <w:i/>
          <w:iCs/>
          <w:color w:val="000000" w:themeColor="text1"/>
          <w:spacing w:val="-1"/>
          <w:sz w:val="20"/>
          <w:szCs w:val="20"/>
        </w:rPr>
        <w:t xml:space="preserve"> </w:t>
      </w:r>
      <w:r w:rsidRPr="00A10783">
        <w:rPr>
          <w:rFonts w:asciiTheme="minorHAnsi" w:hAnsiTheme="minorHAnsi"/>
          <w:i/>
          <w:iCs/>
          <w:color w:val="000000" w:themeColor="text1"/>
          <w:spacing w:val="-5"/>
          <w:sz w:val="20"/>
          <w:szCs w:val="20"/>
        </w:rPr>
        <w:t>g</w:t>
      </w:r>
      <w:r w:rsidRPr="00A10783">
        <w:rPr>
          <w:rFonts w:asciiTheme="minorHAnsi" w:hAnsiTheme="minorHAnsi"/>
          <w:i/>
          <w:iCs/>
          <w:color w:val="000000" w:themeColor="text1"/>
          <w:spacing w:val="-6"/>
          <w:sz w:val="20"/>
          <w:szCs w:val="20"/>
        </w:rPr>
        <w:t>astrointesti</w:t>
      </w:r>
      <w:r w:rsidRPr="00A10783">
        <w:rPr>
          <w:rFonts w:asciiTheme="minorHAnsi" w:hAnsiTheme="minorHAnsi"/>
          <w:i/>
          <w:iCs/>
          <w:color w:val="000000" w:themeColor="text1"/>
          <w:spacing w:val="-5"/>
          <w:sz w:val="20"/>
          <w:szCs w:val="20"/>
        </w:rPr>
        <w:t>n</w:t>
      </w:r>
      <w:r w:rsidRPr="00A10783">
        <w:rPr>
          <w:rFonts w:asciiTheme="minorHAnsi" w:hAnsiTheme="minorHAnsi"/>
          <w:i/>
          <w:iCs/>
          <w:color w:val="000000" w:themeColor="text1"/>
          <w:spacing w:val="-6"/>
          <w:sz w:val="20"/>
          <w:szCs w:val="20"/>
        </w:rPr>
        <w:t>ale;</w:t>
      </w:r>
      <w:r w:rsidRPr="00A10783">
        <w:rPr>
          <w:rFonts w:asciiTheme="minorHAnsi" w:hAnsiTheme="minorHAnsi"/>
          <w:i/>
          <w:iCs/>
          <w:color w:val="000000" w:themeColor="text1"/>
          <w:spacing w:val="83"/>
          <w:w w:val="99"/>
          <w:sz w:val="20"/>
          <w:szCs w:val="20"/>
        </w:rPr>
        <w:t xml:space="preserve"> </w:t>
      </w:r>
      <w:r w:rsidRPr="00A10783">
        <w:rPr>
          <w:rFonts w:asciiTheme="minorHAnsi" w:hAnsiTheme="minorHAnsi"/>
          <w:i/>
          <w:iCs/>
          <w:color w:val="000000" w:themeColor="text1"/>
          <w:spacing w:val="-4"/>
          <w:sz w:val="20"/>
          <w:szCs w:val="20"/>
        </w:rPr>
        <w:t>h</w:t>
      </w:r>
      <w:r w:rsidRPr="00A10783">
        <w:rPr>
          <w:rFonts w:asciiTheme="minorHAnsi" w:hAnsiTheme="minorHAnsi"/>
          <w:i/>
          <w:iCs/>
          <w:color w:val="000000" w:themeColor="text1"/>
          <w:spacing w:val="-5"/>
          <w:sz w:val="20"/>
          <w:szCs w:val="20"/>
        </w:rPr>
        <w:t>a</w:t>
      </w:r>
      <w:r w:rsidRPr="00A10783">
        <w:rPr>
          <w:rFonts w:asciiTheme="minorHAnsi" w:hAnsiTheme="minorHAnsi"/>
          <w:i/>
          <w:iCs/>
          <w:color w:val="000000" w:themeColor="text1"/>
          <w:spacing w:val="-4"/>
          <w:sz w:val="20"/>
          <w:szCs w:val="20"/>
        </w:rPr>
        <w:t>nno</w:t>
      </w:r>
      <w:r w:rsidRPr="00A10783">
        <w:rPr>
          <w:rFonts w:asciiTheme="minorHAnsi" w:hAnsiTheme="minorHAnsi"/>
          <w:i/>
          <w:iCs/>
          <w:color w:val="000000" w:themeColor="text1"/>
          <w:spacing w:val="12"/>
          <w:sz w:val="20"/>
          <w:szCs w:val="20"/>
        </w:rPr>
        <w:t xml:space="preserve"> </w:t>
      </w:r>
      <w:r w:rsidRPr="00A10783">
        <w:rPr>
          <w:rFonts w:asciiTheme="minorHAnsi" w:hAnsiTheme="minorHAnsi"/>
          <w:i/>
          <w:iCs/>
          <w:color w:val="000000" w:themeColor="text1"/>
          <w:spacing w:val="-3"/>
          <w:sz w:val="20"/>
          <w:szCs w:val="20"/>
        </w:rPr>
        <w:t>un</w:t>
      </w:r>
      <w:r w:rsidRPr="00A10783">
        <w:rPr>
          <w:rFonts w:asciiTheme="minorHAnsi" w:hAnsiTheme="minorHAnsi"/>
          <w:i/>
          <w:iCs/>
          <w:color w:val="000000" w:themeColor="text1"/>
          <w:spacing w:val="14"/>
          <w:sz w:val="20"/>
          <w:szCs w:val="20"/>
        </w:rPr>
        <w:t xml:space="preserve"> </w:t>
      </w:r>
      <w:r w:rsidRPr="00A10783">
        <w:rPr>
          <w:rFonts w:asciiTheme="minorHAnsi" w:hAnsiTheme="minorHAnsi"/>
          <w:i/>
          <w:iCs/>
          <w:color w:val="000000" w:themeColor="text1"/>
          <w:spacing w:val="-5"/>
          <w:sz w:val="20"/>
          <w:szCs w:val="20"/>
        </w:rPr>
        <w:t>ruolo</w:t>
      </w:r>
      <w:r w:rsidRPr="00A10783">
        <w:rPr>
          <w:rFonts w:asciiTheme="minorHAnsi" w:hAnsiTheme="minorHAnsi"/>
          <w:i/>
          <w:iCs/>
          <w:color w:val="000000" w:themeColor="text1"/>
          <w:spacing w:val="12"/>
          <w:sz w:val="20"/>
          <w:szCs w:val="20"/>
        </w:rPr>
        <w:t xml:space="preserve"> </w:t>
      </w:r>
      <w:r w:rsidRPr="00A10783">
        <w:rPr>
          <w:rFonts w:asciiTheme="minorHAnsi" w:hAnsiTheme="minorHAnsi"/>
          <w:i/>
          <w:iCs/>
          <w:color w:val="000000" w:themeColor="text1"/>
          <w:spacing w:val="-5"/>
          <w:sz w:val="20"/>
          <w:szCs w:val="20"/>
        </w:rPr>
        <w:t>nella</w:t>
      </w:r>
      <w:r w:rsidRPr="00A10783">
        <w:rPr>
          <w:rFonts w:asciiTheme="minorHAnsi" w:hAnsiTheme="minorHAnsi"/>
          <w:i/>
          <w:iCs/>
          <w:color w:val="000000" w:themeColor="text1"/>
          <w:spacing w:val="12"/>
          <w:sz w:val="20"/>
          <w:szCs w:val="20"/>
        </w:rPr>
        <w:t xml:space="preserve"> </w:t>
      </w:r>
      <w:r w:rsidRPr="00A10783">
        <w:rPr>
          <w:rFonts w:asciiTheme="minorHAnsi" w:hAnsiTheme="minorHAnsi"/>
          <w:i/>
          <w:iCs/>
          <w:color w:val="000000" w:themeColor="text1"/>
          <w:spacing w:val="-6"/>
          <w:sz w:val="20"/>
          <w:szCs w:val="20"/>
        </w:rPr>
        <w:t>difesa</w:t>
      </w:r>
      <w:r w:rsidRPr="00A10783">
        <w:rPr>
          <w:rFonts w:asciiTheme="minorHAnsi" w:hAnsiTheme="minorHAnsi"/>
          <w:i/>
          <w:iCs/>
          <w:color w:val="000000" w:themeColor="text1"/>
          <w:spacing w:val="12"/>
          <w:sz w:val="20"/>
          <w:szCs w:val="20"/>
        </w:rPr>
        <w:t xml:space="preserve"> </w:t>
      </w:r>
      <w:r w:rsidRPr="00A10783">
        <w:rPr>
          <w:rFonts w:asciiTheme="minorHAnsi" w:hAnsiTheme="minorHAnsi"/>
          <w:i/>
          <w:iCs/>
          <w:color w:val="000000" w:themeColor="text1"/>
          <w:spacing w:val="-5"/>
          <w:sz w:val="20"/>
          <w:szCs w:val="20"/>
        </w:rPr>
        <w:t>co</w:t>
      </w:r>
      <w:r w:rsidRPr="00A10783">
        <w:rPr>
          <w:rFonts w:asciiTheme="minorHAnsi" w:hAnsiTheme="minorHAnsi"/>
          <w:i/>
          <w:iCs/>
          <w:color w:val="000000" w:themeColor="text1"/>
          <w:spacing w:val="-4"/>
          <w:sz w:val="20"/>
          <w:szCs w:val="20"/>
        </w:rPr>
        <w:t>n</w:t>
      </w:r>
      <w:r w:rsidRPr="00A10783">
        <w:rPr>
          <w:rFonts w:asciiTheme="minorHAnsi" w:hAnsiTheme="minorHAnsi"/>
          <w:i/>
          <w:iCs/>
          <w:color w:val="000000" w:themeColor="text1"/>
          <w:spacing w:val="-5"/>
          <w:sz w:val="20"/>
          <w:szCs w:val="20"/>
        </w:rPr>
        <w:t>t</w:t>
      </w:r>
      <w:r w:rsidRPr="00A10783">
        <w:rPr>
          <w:rFonts w:asciiTheme="minorHAnsi" w:hAnsiTheme="minorHAnsi"/>
          <w:i/>
          <w:iCs/>
          <w:color w:val="000000" w:themeColor="text1"/>
          <w:spacing w:val="-4"/>
          <w:sz w:val="20"/>
          <w:szCs w:val="20"/>
        </w:rPr>
        <w:t>ro</w:t>
      </w:r>
      <w:r w:rsidRPr="00A10783">
        <w:rPr>
          <w:rFonts w:asciiTheme="minorHAnsi" w:hAnsiTheme="minorHAnsi"/>
          <w:i/>
          <w:iCs/>
          <w:color w:val="000000" w:themeColor="text1"/>
          <w:spacing w:val="12"/>
          <w:sz w:val="20"/>
          <w:szCs w:val="20"/>
        </w:rPr>
        <w:t xml:space="preserve"> </w:t>
      </w:r>
      <w:r w:rsidRPr="00A10783">
        <w:rPr>
          <w:rFonts w:asciiTheme="minorHAnsi" w:hAnsiTheme="minorHAnsi"/>
          <w:i/>
          <w:iCs/>
          <w:color w:val="000000" w:themeColor="text1"/>
          <w:sz w:val="20"/>
          <w:szCs w:val="20"/>
        </w:rPr>
        <w:t>i</w:t>
      </w:r>
      <w:r w:rsidRPr="00A10783">
        <w:rPr>
          <w:rFonts w:asciiTheme="minorHAnsi" w:hAnsiTheme="minorHAnsi"/>
          <w:i/>
          <w:iCs/>
          <w:color w:val="000000" w:themeColor="text1"/>
          <w:spacing w:val="12"/>
          <w:sz w:val="20"/>
          <w:szCs w:val="20"/>
        </w:rPr>
        <w:t xml:space="preserve"> </w:t>
      </w:r>
      <w:r w:rsidRPr="00A10783">
        <w:rPr>
          <w:rFonts w:asciiTheme="minorHAnsi" w:hAnsiTheme="minorHAnsi"/>
          <w:i/>
          <w:iCs/>
          <w:color w:val="000000" w:themeColor="text1"/>
          <w:spacing w:val="-5"/>
          <w:sz w:val="20"/>
          <w:szCs w:val="20"/>
        </w:rPr>
        <w:t>p</w:t>
      </w:r>
      <w:r w:rsidRPr="00A10783">
        <w:rPr>
          <w:rFonts w:asciiTheme="minorHAnsi" w:hAnsiTheme="minorHAnsi"/>
          <w:i/>
          <w:iCs/>
          <w:color w:val="000000" w:themeColor="text1"/>
          <w:spacing w:val="-6"/>
          <w:sz w:val="20"/>
          <w:szCs w:val="20"/>
        </w:rPr>
        <w:t>ara</w:t>
      </w:r>
      <w:r w:rsidRPr="00A10783">
        <w:rPr>
          <w:rFonts w:asciiTheme="minorHAnsi" w:hAnsiTheme="minorHAnsi"/>
          <w:i/>
          <w:iCs/>
          <w:color w:val="000000" w:themeColor="text1"/>
          <w:spacing w:val="-5"/>
          <w:sz w:val="20"/>
          <w:szCs w:val="20"/>
        </w:rPr>
        <w:t>ss</w:t>
      </w:r>
      <w:r w:rsidRPr="00A10783">
        <w:rPr>
          <w:rFonts w:asciiTheme="minorHAnsi" w:hAnsiTheme="minorHAnsi"/>
          <w:i/>
          <w:iCs/>
          <w:color w:val="000000" w:themeColor="text1"/>
          <w:spacing w:val="-6"/>
          <w:sz w:val="20"/>
          <w:szCs w:val="20"/>
        </w:rPr>
        <w:t>iti</w:t>
      </w:r>
      <w:r w:rsidRPr="00A10783">
        <w:rPr>
          <w:rFonts w:asciiTheme="minorHAnsi" w:hAnsiTheme="minorHAnsi"/>
          <w:i/>
          <w:iCs/>
          <w:color w:val="000000" w:themeColor="text1"/>
          <w:spacing w:val="-5"/>
          <w:sz w:val="20"/>
          <w:szCs w:val="20"/>
        </w:rPr>
        <w:t>.</w:t>
      </w:r>
      <w:r w:rsidRPr="00A10783">
        <w:rPr>
          <w:rFonts w:asciiTheme="minorHAnsi" w:hAnsiTheme="minorHAnsi"/>
          <w:i/>
          <w:iCs/>
          <w:color w:val="000000" w:themeColor="text1"/>
          <w:spacing w:val="13"/>
          <w:sz w:val="20"/>
          <w:szCs w:val="20"/>
        </w:rPr>
        <w:t xml:space="preserve"> </w:t>
      </w:r>
      <w:r w:rsidRPr="00A10783">
        <w:rPr>
          <w:rFonts w:asciiTheme="minorHAnsi" w:hAnsiTheme="minorHAnsi"/>
          <w:i/>
          <w:iCs/>
          <w:color w:val="000000" w:themeColor="text1"/>
          <w:spacing w:val="-4"/>
          <w:sz w:val="20"/>
          <w:szCs w:val="20"/>
        </w:rPr>
        <w:t>Sono</w:t>
      </w:r>
      <w:r w:rsidRPr="00A10783">
        <w:rPr>
          <w:rFonts w:asciiTheme="minorHAnsi" w:hAnsiTheme="minorHAnsi"/>
          <w:i/>
          <w:iCs/>
          <w:color w:val="000000" w:themeColor="text1"/>
          <w:spacing w:val="12"/>
          <w:sz w:val="20"/>
          <w:szCs w:val="20"/>
        </w:rPr>
        <w:t xml:space="preserve"> </w:t>
      </w:r>
      <w:r w:rsidRPr="00A10783">
        <w:rPr>
          <w:rFonts w:asciiTheme="minorHAnsi" w:hAnsiTheme="minorHAnsi"/>
          <w:i/>
          <w:iCs/>
          <w:color w:val="000000" w:themeColor="text1"/>
          <w:spacing w:val="-4"/>
          <w:sz w:val="20"/>
          <w:szCs w:val="20"/>
        </w:rPr>
        <w:t>po</w:t>
      </w:r>
      <w:r w:rsidRPr="00A10783">
        <w:rPr>
          <w:rFonts w:asciiTheme="minorHAnsi" w:hAnsiTheme="minorHAnsi"/>
          <w:i/>
          <w:iCs/>
          <w:color w:val="000000" w:themeColor="text1"/>
          <w:spacing w:val="-5"/>
          <w:sz w:val="20"/>
          <w:szCs w:val="20"/>
        </w:rPr>
        <w:t>c</w:t>
      </w:r>
      <w:r w:rsidRPr="00A10783">
        <w:rPr>
          <w:rFonts w:asciiTheme="minorHAnsi" w:hAnsiTheme="minorHAnsi"/>
          <w:i/>
          <w:iCs/>
          <w:color w:val="000000" w:themeColor="text1"/>
          <w:spacing w:val="-4"/>
          <w:sz w:val="20"/>
          <w:szCs w:val="20"/>
        </w:rPr>
        <w:t>o</w:t>
      </w:r>
      <w:r w:rsidRPr="00A10783">
        <w:rPr>
          <w:rFonts w:asciiTheme="minorHAnsi" w:hAnsiTheme="minorHAnsi"/>
          <w:i/>
          <w:iCs/>
          <w:color w:val="000000" w:themeColor="text1"/>
          <w:spacing w:val="13"/>
          <w:sz w:val="20"/>
          <w:szCs w:val="20"/>
        </w:rPr>
        <w:t xml:space="preserve"> </w:t>
      </w:r>
      <w:r w:rsidRPr="00A10783">
        <w:rPr>
          <w:rFonts w:asciiTheme="minorHAnsi" w:hAnsiTheme="minorHAnsi"/>
          <w:i/>
          <w:iCs/>
          <w:color w:val="000000" w:themeColor="text1"/>
          <w:spacing w:val="-6"/>
          <w:sz w:val="20"/>
          <w:szCs w:val="20"/>
        </w:rPr>
        <w:t>ra</w:t>
      </w:r>
      <w:r w:rsidRPr="00A10783">
        <w:rPr>
          <w:rFonts w:asciiTheme="minorHAnsi" w:hAnsiTheme="minorHAnsi"/>
          <w:i/>
          <w:iCs/>
          <w:color w:val="000000" w:themeColor="text1"/>
          <w:spacing w:val="-5"/>
          <w:sz w:val="20"/>
          <w:szCs w:val="20"/>
        </w:rPr>
        <w:t>ppres</w:t>
      </w:r>
      <w:r w:rsidRPr="00A10783">
        <w:rPr>
          <w:rFonts w:asciiTheme="minorHAnsi" w:hAnsiTheme="minorHAnsi"/>
          <w:i/>
          <w:iCs/>
          <w:color w:val="000000" w:themeColor="text1"/>
          <w:spacing w:val="-6"/>
          <w:sz w:val="20"/>
          <w:szCs w:val="20"/>
        </w:rPr>
        <w:t>e</w:t>
      </w:r>
      <w:r w:rsidRPr="00A10783">
        <w:rPr>
          <w:rFonts w:asciiTheme="minorHAnsi" w:hAnsiTheme="minorHAnsi"/>
          <w:i/>
          <w:iCs/>
          <w:color w:val="000000" w:themeColor="text1"/>
          <w:spacing w:val="-5"/>
          <w:sz w:val="20"/>
          <w:szCs w:val="20"/>
        </w:rPr>
        <w:t>n</w:t>
      </w:r>
      <w:r w:rsidRPr="00A10783">
        <w:rPr>
          <w:rFonts w:asciiTheme="minorHAnsi" w:hAnsiTheme="minorHAnsi"/>
          <w:i/>
          <w:iCs/>
          <w:color w:val="000000" w:themeColor="text1"/>
          <w:spacing w:val="-6"/>
          <w:sz w:val="20"/>
          <w:szCs w:val="20"/>
        </w:rPr>
        <w:t>tate</w:t>
      </w:r>
      <w:r w:rsidRPr="00A10783">
        <w:rPr>
          <w:rFonts w:asciiTheme="minorHAnsi" w:hAnsiTheme="minorHAnsi"/>
          <w:i/>
          <w:iCs/>
          <w:color w:val="000000" w:themeColor="text1"/>
          <w:spacing w:val="12"/>
          <w:sz w:val="20"/>
          <w:szCs w:val="20"/>
        </w:rPr>
        <w:t xml:space="preserve"> </w:t>
      </w:r>
      <w:r w:rsidRPr="00A10783">
        <w:rPr>
          <w:rFonts w:asciiTheme="minorHAnsi" w:hAnsiTheme="minorHAnsi"/>
          <w:i/>
          <w:iCs/>
          <w:color w:val="000000" w:themeColor="text1"/>
          <w:spacing w:val="-3"/>
          <w:sz w:val="20"/>
          <w:szCs w:val="20"/>
        </w:rPr>
        <w:t>nel</w:t>
      </w:r>
      <w:r w:rsidRPr="00A10783">
        <w:rPr>
          <w:rFonts w:asciiTheme="minorHAnsi" w:hAnsiTheme="minorHAnsi"/>
          <w:i/>
          <w:iCs/>
          <w:color w:val="000000" w:themeColor="text1"/>
          <w:spacing w:val="12"/>
          <w:sz w:val="20"/>
          <w:szCs w:val="20"/>
        </w:rPr>
        <w:t xml:space="preserve"> </w:t>
      </w:r>
      <w:r w:rsidRPr="00A10783">
        <w:rPr>
          <w:rFonts w:asciiTheme="minorHAnsi" w:hAnsiTheme="minorHAnsi"/>
          <w:i/>
          <w:iCs/>
          <w:color w:val="000000" w:themeColor="text1"/>
          <w:spacing w:val="-5"/>
          <w:sz w:val="20"/>
          <w:szCs w:val="20"/>
        </w:rPr>
        <w:t>san</w:t>
      </w:r>
      <w:r w:rsidRPr="00A10783">
        <w:rPr>
          <w:rFonts w:asciiTheme="minorHAnsi" w:hAnsiTheme="minorHAnsi"/>
          <w:i/>
          <w:iCs/>
          <w:color w:val="000000" w:themeColor="text1"/>
          <w:spacing w:val="-3"/>
          <w:sz w:val="20"/>
          <w:szCs w:val="20"/>
        </w:rPr>
        <w:t>gue,</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5"/>
          <w:sz w:val="20"/>
          <w:szCs w:val="20"/>
        </w:rPr>
        <w:t>ma</w:t>
      </w:r>
      <w:r w:rsidRPr="00A10783">
        <w:rPr>
          <w:rFonts w:asciiTheme="minorHAnsi" w:hAnsiTheme="minorHAnsi"/>
          <w:i/>
          <w:iCs/>
          <w:color w:val="000000" w:themeColor="text1"/>
          <w:spacing w:val="-7"/>
          <w:sz w:val="20"/>
          <w:szCs w:val="20"/>
        </w:rPr>
        <w:t xml:space="preserve"> </w:t>
      </w:r>
      <w:r w:rsidRPr="00A10783">
        <w:rPr>
          <w:rFonts w:asciiTheme="minorHAnsi" w:hAnsiTheme="minorHAnsi"/>
          <w:i/>
          <w:iCs/>
          <w:color w:val="000000" w:themeColor="text1"/>
          <w:spacing w:val="-5"/>
          <w:sz w:val="20"/>
          <w:szCs w:val="20"/>
        </w:rPr>
        <w:t>aumentano</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2"/>
          <w:sz w:val="20"/>
          <w:szCs w:val="20"/>
        </w:rPr>
        <w:t>in</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3"/>
          <w:sz w:val="20"/>
          <w:szCs w:val="20"/>
        </w:rPr>
        <w:t>caso</w:t>
      </w:r>
      <w:r w:rsidRPr="00A10783">
        <w:rPr>
          <w:rFonts w:asciiTheme="minorHAnsi" w:hAnsiTheme="minorHAnsi"/>
          <w:i/>
          <w:iCs/>
          <w:color w:val="000000" w:themeColor="text1"/>
          <w:spacing w:val="-9"/>
          <w:sz w:val="20"/>
          <w:szCs w:val="20"/>
        </w:rPr>
        <w:t xml:space="preserve"> </w:t>
      </w:r>
      <w:r w:rsidRPr="00A10783">
        <w:rPr>
          <w:rFonts w:asciiTheme="minorHAnsi" w:hAnsiTheme="minorHAnsi"/>
          <w:i/>
          <w:iCs/>
          <w:color w:val="000000" w:themeColor="text1"/>
          <w:spacing w:val="-2"/>
          <w:sz w:val="20"/>
          <w:szCs w:val="20"/>
        </w:rPr>
        <w:t>di</w:t>
      </w:r>
      <w:r w:rsidRPr="00A10783">
        <w:rPr>
          <w:rFonts w:asciiTheme="minorHAnsi" w:hAnsiTheme="minorHAnsi"/>
          <w:i/>
          <w:iCs/>
          <w:color w:val="000000" w:themeColor="text1"/>
          <w:spacing w:val="-10"/>
          <w:sz w:val="20"/>
          <w:szCs w:val="20"/>
        </w:rPr>
        <w:t xml:space="preserve"> </w:t>
      </w:r>
      <w:r w:rsidRPr="00A10783">
        <w:rPr>
          <w:rFonts w:asciiTheme="minorHAnsi" w:hAnsiTheme="minorHAnsi"/>
          <w:i/>
          <w:iCs/>
          <w:color w:val="000000" w:themeColor="text1"/>
          <w:spacing w:val="-5"/>
          <w:sz w:val="20"/>
          <w:szCs w:val="20"/>
        </w:rPr>
        <w:t>p</w:t>
      </w:r>
      <w:r w:rsidRPr="00A10783">
        <w:rPr>
          <w:rFonts w:asciiTheme="minorHAnsi" w:hAnsiTheme="minorHAnsi"/>
          <w:i/>
          <w:iCs/>
          <w:color w:val="000000" w:themeColor="text1"/>
          <w:spacing w:val="-6"/>
          <w:sz w:val="20"/>
          <w:szCs w:val="20"/>
        </w:rPr>
        <w:t>atologie</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pacing w:val="-6"/>
          <w:sz w:val="20"/>
          <w:szCs w:val="20"/>
        </w:rPr>
        <w:t>allergiche</w:t>
      </w:r>
      <w:r w:rsidRPr="00A10783">
        <w:rPr>
          <w:rFonts w:asciiTheme="minorHAnsi" w:hAnsiTheme="minorHAnsi"/>
          <w:i/>
          <w:iCs/>
          <w:color w:val="000000" w:themeColor="text1"/>
          <w:spacing w:val="-8"/>
          <w:sz w:val="20"/>
          <w:szCs w:val="20"/>
        </w:rPr>
        <w:t xml:space="preserve"> </w:t>
      </w:r>
      <w:r w:rsidRPr="00A10783">
        <w:rPr>
          <w:rFonts w:asciiTheme="minorHAnsi" w:hAnsiTheme="minorHAnsi"/>
          <w:i/>
          <w:iCs/>
          <w:color w:val="000000" w:themeColor="text1"/>
          <w:sz w:val="20"/>
          <w:szCs w:val="20"/>
        </w:rPr>
        <w:t>o</w:t>
      </w:r>
      <w:r w:rsidRPr="00A10783">
        <w:rPr>
          <w:rFonts w:asciiTheme="minorHAnsi" w:hAnsiTheme="minorHAnsi"/>
          <w:i/>
          <w:iCs/>
          <w:color w:val="000000" w:themeColor="text1"/>
          <w:spacing w:val="-10"/>
          <w:sz w:val="20"/>
          <w:szCs w:val="20"/>
        </w:rPr>
        <w:t xml:space="preserve"> </w:t>
      </w:r>
      <w:r w:rsidRPr="00A10783">
        <w:rPr>
          <w:rFonts w:asciiTheme="minorHAnsi" w:hAnsiTheme="minorHAnsi"/>
          <w:i/>
          <w:iCs/>
          <w:color w:val="000000" w:themeColor="text1"/>
          <w:spacing w:val="-5"/>
          <w:sz w:val="20"/>
          <w:szCs w:val="20"/>
        </w:rPr>
        <w:t>p</w:t>
      </w:r>
      <w:r w:rsidRPr="00A10783">
        <w:rPr>
          <w:rFonts w:asciiTheme="minorHAnsi" w:hAnsiTheme="minorHAnsi"/>
          <w:i/>
          <w:iCs/>
          <w:color w:val="000000" w:themeColor="text1"/>
          <w:spacing w:val="-6"/>
          <w:sz w:val="20"/>
          <w:szCs w:val="20"/>
        </w:rPr>
        <w:t>arassita</w:t>
      </w:r>
      <w:r w:rsidRPr="00A10783">
        <w:rPr>
          <w:rFonts w:asciiTheme="minorHAnsi" w:hAnsiTheme="minorHAnsi"/>
          <w:i/>
          <w:iCs/>
          <w:color w:val="000000" w:themeColor="text1"/>
          <w:spacing w:val="-5"/>
          <w:sz w:val="20"/>
          <w:szCs w:val="20"/>
        </w:rPr>
        <w:t>r</w:t>
      </w:r>
      <w:r w:rsidRPr="00A10783">
        <w:rPr>
          <w:rFonts w:asciiTheme="minorHAnsi" w:hAnsiTheme="minorHAnsi"/>
          <w:i/>
          <w:iCs/>
          <w:color w:val="000000" w:themeColor="text1"/>
          <w:spacing w:val="-6"/>
          <w:sz w:val="20"/>
          <w:szCs w:val="20"/>
        </w:rPr>
        <w:t>ie</w:t>
      </w:r>
      <w:r w:rsidRPr="00A10783">
        <w:rPr>
          <w:rFonts w:asciiTheme="minorHAnsi" w:hAnsiTheme="minorHAnsi"/>
          <w:i/>
          <w:iCs/>
          <w:color w:val="000000" w:themeColor="text1"/>
          <w:spacing w:val="-5"/>
          <w:sz w:val="20"/>
          <w:szCs w:val="20"/>
        </w:rPr>
        <w:t>.</w:t>
      </w:r>
    </w:p>
    <w:p w:rsidR="009E5073" w:rsidRPr="006D1E29" w:rsidRDefault="009E5073" w:rsidP="00A10783">
      <w:pPr>
        <w:pStyle w:val="BodyText"/>
        <w:widowControl w:val="0"/>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tabs>
          <w:tab w:val="left" w:pos="255"/>
          <w:tab w:val="left" w:pos="567"/>
        </w:tabs>
        <w:autoSpaceDE/>
        <w:autoSpaceDN/>
        <w:adjustRightInd/>
        <w:spacing w:before="0"/>
        <w:ind w:left="567" w:right="985"/>
        <w:jc w:val="both"/>
        <w:rPr>
          <w:rFonts w:asciiTheme="minorHAnsi" w:hAnsiTheme="minorHAnsi"/>
          <w:i/>
          <w:iCs/>
          <w:color w:val="000000" w:themeColor="text1"/>
          <w:sz w:val="18"/>
          <w:szCs w:val="18"/>
        </w:rPr>
      </w:pPr>
    </w:p>
    <w:p w:rsidR="001D6E3E" w:rsidRPr="002840CC" w:rsidRDefault="001D6E3E" w:rsidP="009E5073">
      <w:pPr>
        <w:pStyle w:val="BodyText"/>
        <w:widowControl w:val="0"/>
        <w:tabs>
          <w:tab w:val="left" w:pos="255"/>
        </w:tabs>
        <w:autoSpaceDE/>
        <w:autoSpaceDN/>
        <w:adjustRightInd/>
        <w:spacing w:before="0"/>
        <w:ind w:left="0" w:right="-7"/>
        <w:jc w:val="both"/>
        <w:rPr>
          <w:rFonts w:asciiTheme="minorHAnsi" w:hAnsiTheme="minorHAnsi"/>
          <w:color w:val="000000" w:themeColor="text1"/>
          <w:sz w:val="16"/>
          <w:szCs w:val="16"/>
        </w:rPr>
      </w:pPr>
    </w:p>
    <w:p w:rsidR="00795BBE" w:rsidRPr="002840CC" w:rsidRDefault="00795BBE" w:rsidP="00795BBE">
      <w:pPr>
        <w:rPr>
          <w:rFonts w:asciiTheme="minorHAnsi" w:hAnsiTheme="minorHAnsi"/>
          <w:color w:val="000000" w:themeColor="text1"/>
          <w:sz w:val="16"/>
          <w:szCs w:val="16"/>
        </w:rPr>
      </w:pPr>
    </w:p>
    <w:p w:rsidR="0045201B" w:rsidRDefault="00DB06E1" w:rsidP="00B80B1B">
      <w:pPr>
        <w:jc w:val="center"/>
        <w:rPr>
          <w:rFonts w:asciiTheme="minorHAnsi" w:hAnsiTheme="minorHAnsi"/>
          <w:color w:val="000000" w:themeColor="text1"/>
        </w:rPr>
      </w:pPr>
      <w:r w:rsidRPr="002840CC">
        <w:rPr>
          <w:rFonts w:asciiTheme="minorHAnsi" w:hAnsiTheme="minorHAnsi"/>
          <w:noProof/>
          <w:color w:val="000000" w:themeColor="text1"/>
        </w:rPr>
        <w:lastRenderedPageBreak/>
        <w:drawing>
          <wp:inline distT="0" distB="0" distL="0" distR="0">
            <wp:extent cx="5906974" cy="2882348"/>
            <wp:effectExtent l="0" t="0" r="0" b="63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ermata 2020-05-26 alle 19.15.32.png"/>
                    <pic:cNvPicPr/>
                  </pic:nvPicPr>
                  <pic:blipFill>
                    <a:blip r:embed="rId129">
                      <a:extLst>
                        <a:ext uri="{28A0092B-C50C-407E-A947-70E740481C1C}">
                          <a14:useLocalDpi xmlns:a14="http://schemas.microsoft.com/office/drawing/2010/main" val="0"/>
                        </a:ext>
                      </a:extLst>
                    </a:blip>
                    <a:stretch>
                      <a:fillRect/>
                    </a:stretch>
                  </pic:blipFill>
                  <pic:spPr>
                    <a:xfrm>
                      <a:off x="0" y="0"/>
                      <a:ext cx="5966895" cy="2911587"/>
                    </a:xfrm>
                    <a:prstGeom prst="rect">
                      <a:avLst/>
                    </a:prstGeom>
                  </pic:spPr>
                </pic:pic>
              </a:graphicData>
            </a:graphic>
          </wp:inline>
        </w:drawing>
      </w:r>
    </w:p>
    <w:p w:rsidR="009E4697" w:rsidRPr="002840CC" w:rsidRDefault="009E4697" w:rsidP="00B80B1B">
      <w:pPr>
        <w:jc w:val="center"/>
        <w:rPr>
          <w:rFonts w:asciiTheme="minorHAnsi" w:hAnsiTheme="minorHAnsi"/>
          <w:color w:val="000000" w:themeColor="text1"/>
        </w:rPr>
      </w:pPr>
    </w:p>
    <w:p w:rsidR="00DB06E1" w:rsidRPr="009E4697" w:rsidRDefault="00A17626" w:rsidP="009E4697">
      <w:pPr>
        <w:shd w:val="clear" w:color="auto" w:fill="F2F2F2" w:themeFill="background1" w:themeFillShade="F2"/>
        <w:jc w:val="both"/>
        <w:rPr>
          <w:rFonts w:asciiTheme="minorHAnsi" w:hAnsiTheme="minorHAnsi"/>
          <w:color w:val="000000" w:themeColor="text1"/>
          <w:sz w:val="18"/>
          <w:szCs w:val="18"/>
        </w:rPr>
      </w:pPr>
      <w:r w:rsidRPr="009E4697">
        <w:rPr>
          <w:rFonts w:asciiTheme="minorHAnsi" w:hAnsiTheme="minorHAnsi" w:cstheme="minorHAnsi"/>
          <w:color w:val="000000" w:themeColor="text1"/>
          <w:sz w:val="18"/>
          <w:szCs w:val="18"/>
        </w:rPr>
        <w:t>Tratta da</w:t>
      </w:r>
      <w:r w:rsidRPr="009E4697">
        <w:rPr>
          <w:color w:val="000000" w:themeColor="text1"/>
          <w:sz w:val="18"/>
          <w:szCs w:val="18"/>
        </w:rPr>
        <w:t xml:space="preserve"> </w:t>
      </w:r>
      <w:hyperlink r:id="rId130" w:history="1">
        <w:r w:rsidRPr="009E4697">
          <w:rPr>
            <w:rStyle w:val="Hyperlink"/>
            <w:rFonts w:asciiTheme="minorHAnsi" w:hAnsiTheme="minorHAnsi"/>
            <w:color w:val="000000" w:themeColor="text1"/>
            <w:sz w:val="18"/>
            <w:szCs w:val="18"/>
            <w:u w:val="none"/>
          </w:rPr>
          <w:t>https://www.wageningenacademic.com/doi/pdf/10.3920/BM2010.0027</w:t>
        </w:r>
      </w:hyperlink>
      <w:r w:rsidR="00DB06E1" w:rsidRPr="009E4697">
        <w:rPr>
          <w:rFonts w:asciiTheme="minorHAnsi" w:hAnsiTheme="minorHAnsi"/>
          <w:color w:val="000000" w:themeColor="text1"/>
          <w:sz w:val="18"/>
          <w:szCs w:val="18"/>
        </w:rPr>
        <w:t xml:space="preserve"> </w:t>
      </w:r>
      <w:r w:rsidR="00DB06E1" w:rsidRPr="009E4697">
        <w:rPr>
          <w:rStyle w:val="FootnoteReference"/>
          <w:rFonts w:asciiTheme="minorHAnsi" w:hAnsiTheme="minorHAnsi"/>
          <w:color w:val="000000" w:themeColor="text1"/>
          <w:sz w:val="18"/>
          <w:szCs w:val="18"/>
        </w:rPr>
        <w:footnoteReference w:id="132"/>
      </w:r>
    </w:p>
    <w:p w:rsidR="00DB06E1" w:rsidRPr="009E4697" w:rsidRDefault="00DB06E1" w:rsidP="009E4697">
      <w:pPr>
        <w:shd w:val="clear" w:color="auto" w:fill="F2F2F2" w:themeFill="background1" w:themeFillShade="F2"/>
        <w:jc w:val="both"/>
        <w:rPr>
          <w:rFonts w:asciiTheme="minorHAnsi" w:hAnsiTheme="minorHAnsi"/>
          <w:color w:val="000000" w:themeColor="text1"/>
          <w:sz w:val="18"/>
          <w:szCs w:val="18"/>
        </w:rPr>
      </w:pPr>
      <w:r w:rsidRPr="009E4697">
        <w:rPr>
          <w:rFonts w:asciiTheme="minorHAnsi" w:hAnsiTheme="minorHAnsi"/>
          <w:b/>
          <w:bCs/>
          <w:color w:val="000000" w:themeColor="text1"/>
          <w:sz w:val="18"/>
          <w:szCs w:val="18"/>
        </w:rPr>
        <w:t>Sviluppo del sistema immunitario.</w:t>
      </w:r>
      <w:r w:rsidRPr="009E4697">
        <w:rPr>
          <w:rFonts w:asciiTheme="minorHAnsi" w:hAnsiTheme="minorHAnsi"/>
          <w:color w:val="000000" w:themeColor="text1"/>
          <w:sz w:val="18"/>
          <w:szCs w:val="18"/>
        </w:rPr>
        <w:t xml:space="preserve"> I neonati hanno una capacità limitata di avviare risposte immunitarie e le risposte immunitarie innate e adattive sono compromesse. La cinetica della maturazione del sistema immunitario varia a seconda dei diversi componenti (grigio scuro = immaturo; grigio chiaro = in via di sviluppo; bianco = livelli </w:t>
      </w:r>
      <w:r w:rsidR="00A17626" w:rsidRPr="009E4697">
        <w:rPr>
          <w:rFonts w:asciiTheme="minorHAnsi" w:hAnsiTheme="minorHAnsi"/>
          <w:color w:val="000000" w:themeColor="text1"/>
          <w:sz w:val="18"/>
          <w:szCs w:val="18"/>
        </w:rPr>
        <w:t>negli</w:t>
      </w:r>
      <w:r w:rsidRPr="009E4697">
        <w:rPr>
          <w:rFonts w:asciiTheme="minorHAnsi" w:hAnsiTheme="minorHAnsi"/>
          <w:color w:val="000000" w:themeColor="text1"/>
          <w:sz w:val="18"/>
          <w:szCs w:val="18"/>
        </w:rPr>
        <w:t xml:space="preserve"> adulti).</w:t>
      </w:r>
    </w:p>
    <w:p w:rsidR="00DB06E1" w:rsidRPr="002840CC" w:rsidRDefault="00DB06E1" w:rsidP="00DB06E1">
      <w:pPr>
        <w:jc w:val="both"/>
        <w:rPr>
          <w:rFonts w:asciiTheme="minorHAnsi" w:hAnsiTheme="minorHAnsi"/>
          <w:color w:val="000000" w:themeColor="text1"/>
        </w:rPr>
      </w:pPr>
    </w:p>
    <w:p w:rsidR="001D6E3E" w:rsidRDefault="00795BBE" w:rsidP="00795BBE">
      <w:pPr>
        <w:pStyle w:val="BodyText"/>
        <w:spacing w:before="0"/>
        <w:ind w:left="0" w:right="109"/>
        <w:jc w:val="both"/>
        <w:rPr>
          <w:rFonts w:asciiTheme="minorHAnsi" w:hAnsiTheme="minorHAnsi"/>
          <w:color w:val="000000" w:themeColor="text1"/>
          <w:spacing w:val="-1"/>
          <w:sz w:val="20"/>
          <w:szCs w:val="20"/>
        </w:rPr>
      </w:pPr>
      <w:r w:rsidRPr="001D6E3E">
        <w:rPr>
          <w:rFonts w:asciiTheme="minorHAnsi" w:hAnsiTheme="minorHAnsi"/>
          <w:color w:val="000000" w:themeColor="text1"/>
          <w:spacing w:val="-5"/>
          <w:sz w:val="20"/>
          <w:szCs w:val="20"/>
        </w:rPr>
        <w:t>Osse</w:t>
      </w:r>
      <w:r w:rsidRPr="001D6E3E">
        <w:rPr>
          <w:rFonts w:asciiTheme="minorHAnsi" w:hAnsiTheme="minorHAnsi"/>
          <w:color w:val="000000" w:themeColor="text1"/>
          <w:spacing w:val="-6"/>
          <w:sz w:val="20"/>
          <w:szCs w:val="20"/>
        </w:rPr>
        <w:t>rva</w:t>
      </w:r>
      <w:r w:rsidRPr="001D6E3E">
        <w:rPr>
          <w:rFonts w:asciiTheme="minorHAnsi" w:hAnsiTheme="minorHAnsi"/>
          <w:color w:val="000000" w:themeColor="text1"/>
          <w:spacing w:val="-5"/>
          <w:sz w:val="20"/>
          <w:szCs w:val="20"/>
        </w:rPr>
        <w:t>ndo</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pacing w:val="-3"/>
          <w:sz w:val="20"/>
          <w:szCs w:val="20"/>
        </w:rPr>
        <w:t>le due figure sopra</w:t>
      </w:r>
      <w:r w:rsidRPr="001D6E3E">
        <w:rPr>
          <w:rFonts w:asciiTheme="minorHAnsi" w:hAnsiTheme="minorHAnsi"/>
          <w:color w:val="000000" w:themeColor="text1"/>
          <w:spacing w:val="-6"/>
          <w:sz w:val="20"/>
          <w:szCs w:val="20"/>
        </w:rPr>
        <w:t xml:space="preserve">, </w:t>
      </w:r>
      <w:r w:rsidRPr="001D6E3E">
        <w:rPr>
          <w:rFonts w:asciiTheme="minorHAnsi" w:hAnsiTheme="minorHAnsi"/>
          <w:color w:val="000000" w:themeColor="text1"/>
          <w:spacing w:val="-2"/>
          <w:sz w:val="20"/>
          <w:szCs w:val="20"/>
        </w:rPr>
        <w:t>si</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pacing w:val="-3"/>
          <w:sz w:val="20"/>
          <w:szCs w:val="20"/>
        </w:rPr>
        <w:t>vede</w:t>
      </w:r>
      <w:r w:rsidRPr="001D6E3E">
        <w:rPr>
          <w:rFonts w:asciiTheme="minorHAnsi" w:hAnsiTheme="minorHAnsi"/>
          <w:color w:val="000000" w:themeColor="text1"/>
          <w:spacing w:val="-6"/>
          <w:sz w:val="20"/>
          <w:szCs w:val="20"/>
        </w:rPr>
        <w:t xml:space="preserve"> </w:t>
      </w:r>
      <w:r w:rsidRPr="001D6E3E">
        <w:rPr>
          <w:rFonts w:asciiTheme="minorHAnsi" w:hAnsiTheme="minorHAnsi"/>
          <w:color w:val="000000" w:themeColor="text1"/>
          <w:spacing w:val="-3"/>
          <w:sz w:val="20"/>
          <w:szCs w:val="20"/>
        </w:rPr>
        <w:t>che</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pacing w:val="-2"/>
          <w:sz w:val="20"/>
          <w:szCs w:val="20"/>
        </w:rPr>
        <w:t>il</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pacing w:val="-5"/>
          <w:sz w:val="20"/>
          <w:szCs w:val="20"/>
        </w:rPr>
        <w:t>bam</w:t>
      </w:r>
      <w:r w:rsidRPr="001D6E3E">
        <w:rPr>
          <w:rFonts w:asciiTheme="minorHAnsi" w:hAnsiTheme="minorHAnsi"/>
          <w:color w:val="000000" w:themeColor="text1"/>
          <w:spacing w:val="-4"/>
          <w:sz w:val="20"/>
          <w:szCs w:val="20"/>
        </w:rPr>
        <w:t>b</w:t>
      </w:r>
      <w:r w:rsidRPr="001D6E3E">
        <w:rPr>
          <w:rFonts w:asciiTheme="minorHAnsi" w:hAnsiTheme="minorHAnsi"/>
          <w:color w:val="000000" w:themeColor="text1"/>
          <w:spacing w:val="-5"/>
          <w:sz w:val="20"/>
          <w:szCs w:val="20"/>
        </w:rPr>
        <w:t>in</w:t>
      </w:r>
      <w:r w:rsidRPr="001D6E3E">
        <w:rPr>
          <w:rFonts w:asciiTheme="minorHAnsi" w:hAnsiTheme="minorHAnsi"/>
          <w:color w:val="000000" w:themeColor="text1"/>
          <w:spacing w:val="-4"/>
          <w:sz w:val="20"/>
          <w:szCs w:val="20"/>
        </w:rPr>
        <w:t>o,</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z w:val="20"/>
          <w:szCs w:val="20"/>
        </w:rPr>
        <w:t>a</w:t>
      </w:r>
      <w:r w:rsidRPr="001D6E3E">
        <w:rPr>
          <w:rFonts w:asciiTheme="minorHAnsi" w:hAnsiTheme="minorHAnsi"/>
          <w:color w:val="000000" w:themeColor="text1"/>
          <w:spacing w:val="-6"/>
          <w:sz w:val="20"/>
          <w:szCs w:val="20"/>
        </w:rPr>
        <w:t xml:space="preserve"> </w:t>
      </w:r>
      <w:r w:rsidRPr="001D6E3E">
        <w:rPr>
          <w:rFonts w:asciiTheme="minorHAnsi" w:hAnsiTheme="minorHAnsi"/>
          <w:color w:val="000000" w:themeColor="text1"/>
          <w:spacing w:val="-5"/>
          <w:sz w:val="20"/>
          <w:szCs w:val="20"/>
        </w:rPr>
        <w:t>partire</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pacing w:val="-3"/>
          <w:sz w:val="20"/>
          <w:szCs w:val="20"/>
        </w:rPr>
        <w:t>dal</w:t>
      </w:r>
      <w:r w:rsidRPr="001D6E3E">
        <w:rPr>
          <w:rFonts w:asciiTheme="minorHAnsi" w:hAnsiTheme="minorHAnsi"/>
          <w:color w:val="000000" w:themeColor="text1"/>
          <w:spacing w:val="-5"/>
          <w:sz w:val="20"/>
          <w:szCs w:val="20"/>
        </w:rPr>
        <w:t xml:space="preserve"> </w:t>
      </w:r>
      <w:r w:rsidRPr="001D6E3E">
        <w:rPr>
          <w:rFonts w:asciiTheme="minorHAnsi" w:hAnsiTheme="minorHAnsi"/>
          <w:color w:val="000000" w:themeColor="text1"/>
          <w:spacing w:val="-4"/>
          <w:sz w:val="20"/>
          <w:szCs w:val="20"/>
        </w:rPr>
        <w:t>sesto</w:t>
      </w:r>
      <w:r w:rsidRPr="001D6E3E">
        <w:rPr>
          <w:rFonts w:asciiTheme="minorHAnsi" w:hAnsiTheme="minorHAnsi"/>
          <w:color w:val="000000" w:themeColor="text1"/>
          <w:spacing w:val="-6"/>
          <w:sz w:val="20"/>
          <w:szCs w:val="20"/>
        </w:rPr>
        <w:t xml:space="preserve"> </w:t>
      </w:r>
      <w:r w:rsidRPr="001D6E3E">
        <w:rPr>
          <w:rFonts w:asciiTheme="minorHAnsi" w:hAnsiTheme="minorHAnsi"/>
          <w:color w:val="000000" w:themeColor="text1"/>
          <w:spacing w:val="-5"/>
          <w:sz w:val="20"/>
          <w:szCs w:val="20"/>
        </w:rPr>
        <w:t>me</w:t>
      </w:r>
      <w:r w:rsidRPr="001D6E3E">
        <w:rPr>
          <w:rFonts w:asciiTheme="minorHAnsi" w:hAnsiTheme="minorHAnsi"/>
          <w:color w:val="000000" w:themeColor="text1"/>
          <w:spacing w:val="-4"/>
          <w:sz w:val="20"/>
          <w:szCs w:val="20"/>
        </w:rPr>
        <w:t>se</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pacing w:val="-5"/>
          <w:sz w:val="20"/>
          <w:szCs w:val="20"/>
        </w:rPr>
        <w:t>di</w:t>
      </w:r>
      <w:r w:rsidRPr="001D6E3E">
        <w:rPr>
          <w:rFonts w:asciiTheme="minorHAnsi" w:hAnsiTheme="minorHAnsi" w:cs="Times New Roman"/>
          <w:color w:val="000000" w:themeColor="text1"/>
          <w:spacing w:val="52"/>
          <w:w w:val="99"/>
          <w:sz w:val="20"/>
          <w:szCs w:val="20"/>
        </w:rPr>
        <w:t xml:space="preserve"> </w:t>
      </w:r>
      <w:r w:rsidRPr="001D6E3E">
        <w:rPr>
          <w:rFonts w:asciiTheme="minorHAnsi" w:hAnsiTheme="minorHAnsi"/>
          <w:color w:val="000000" w:themeColor="text1"/>
          <w:spacing w:val="-5"/>
          <w:sz w:val="20"/>
          <w:szCs w:val="20"/>
        </w:rPr>
        <w:t>vita</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6"/>
          <w:sz w:val="20"/>
          <w:szCs w:val="20"/>
        </w:rPr>
        <w:t>int</w:t>
      </w:r>
      <w:r w:rsidRPr="001D6E3E">
        <w:rPr>
          <w:rFonts w:asciiTheme="minorHAnsi" w:hAnsiTheme="minorHAnsi"/>
          <w:color w:val="000000" w:themeColor="text1"/>
          <w:spacing w:val="-5"/>
          <w:sz w:val="20"/>
          <w:szCs w:val="20"/>
        </w:rPr>
        <w:t>r</w:t>
      </w:r>
      <w:r w:rsidRPr="001D6E3E">
        <w:rPr>
          <w:rFonts w:asciiTheme="minorHAnsi" w:hAnsiTheme="minorHAnsi"/>
          <w:color w:val="000000" w:themeColor="text1"/>
          <w:spacing w:val="-6"/>
          <w:sz w:val="20"/>
          <w:szCs w:val="20"/>
        </w:rPr>
        <w:t>auterina</w:t>
      </w:r>
      <w:r w:rsidRPr="001D6E3E">
        <w:rPr>
          <w:rFonts w:asciiTheme="minorHAnsi" w:hAnsiTheme="minorHAnsi"/>
          <w:color w:val="000000" w:themeColor="text1"/>
          <w:spacing w:val="-5"/>
          <w:sz w:val="20"/>
          <w:szCs w:val="20"/>
        </w:rPr>
        <w:t>,</w:t>
      </w:r>
      <w:r w:rsidRPr="001D6E3E">
        <w:rPr>
          <w:rFonts w:asciiTheme="minorHAnsi" w:hAnsiTheme="minorHAnsi"/>
          <w:color w:val="000000" w:themeColor="text1"/>
          <w:spacing w:val="-9"/>
          <w:sz w:val="20"/>
          <w:szCs w:val="20"/>
        </w:rPr>
        <w:t xml:space="preserve"> </w:t>
      </w:r>
      <w:r w:rsidRPr="001D6E3E">
        <w:rPr>
          <w:rFonts w:asciiTheme="minorHAnsi" w:hAnsiTheme="minorHAnsi"/>
          <w:color w:val="000000" w:themeColor="text1"/>
          <w:spacing w:val="-6"/>
          <w:sz w:val="20"/>
          <w:szCs w:val="20"/>
        </w:rPr>
        <w:t>c</w:t>
      </w:r>
      <w:r w:rsidRPr="001D6E3E">
        <w:rPr>
          <w:rFonts w:asciiTheme="minorHAnsi" w:hAnsiTheme="minorHAnsi"/>
          <w:color w:val="000000" w:themeColor="text1"/>
          <w:spacing w:val="-5"/>
          <w:sz w:val="20"/>
          <w:szCs w:val="20"/>
        </w:rPr>
        <w:t>o</w:t>
      </w:r>
      <w:r w:rsidRPr="001D6E3E">
        <w:rPr>
          <w:rFonts w:asciiTheme="minorHAnsi" w:hAnsiTheme="minorHAnsi"/>
          <w:color w:val="000000" w:themeColor="text1"/>
          <w:spacing w:val="-6"/>
          <w:sz w:val="20"/>
          <w:szCs w:val="20"/>
        </w:rPr>
        <w:t>mincia</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z w:val="20"/>
          <w:szCs w:val="20"/>
        </w:rPr>
        <w:t>a</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5"/>
          <w:sz w:val="20"/>
          <w:szCs w:val="20"/>
        </w:rPr>
        <w:t>produ</w:t>
      </w:r>
      <w:r w:rsidRPr="001D6E3E">
        <w:rPr>
          <w:rFonts w:asciiTheme="minorHAnsi" w:hAnsiTheme="minorHAnsi"/>
          <w:color w:val="000000" w:themeColor="text1"/>
          <w:spacing w:val="-6"/>
          <w:sz w:val="20"/>
          <w:szCs w:val="20"/>
        </w:rPr>
        <w:t>rre</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6"/>
          <w:sz w:val="20"/>
          <w:szCs w:val="20"/>
        </w:rPr>
        <w:t>livelli relativame</w:t>
      </w:r>
      <w:r w:rsidRPr="001D6E3E">
        <w:rPr>
          <w:rFonts w:asciiTheme="minorHAnsi" w:hAnsiTheme="minorHAnsi"/>
          <w:color w:val="000000" w:themeColor="text1"/>
          <w:spacing w:val="-5"/>
          <w:sz w:val="20"/>
          <w:szCs w:val="20"/>
        </w:rPr>
        <w:t>n</w:t>
      </w:r>
      <w:r w:rsidRPr="001D6E3E">
        <w:rPr>
          <w:rFonts w:asciiTheme="minorHAnsi" w:hAnsiTheme="minorHAnsi"/>
          <w:color w:val="000000" w:themeColor="text1"/>
          <w:spacing w:val="-6"/>
          <w:sz w:val="20"/>
          <w:szCs w:val="20"/>
        </w:rPr>
        <w:t>te</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4"/>
          <w:sz w:val="20"/>
          <w:szCs w:val="20"/>
        </w:rPr>
        <w:t>bassi</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2"/>
          <w:sz w:val="20"/>
          <w:szCs w:val="20"/>
        </w:rPr>
        <w:t>di</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5"/>
          <w:sz w:val="20"/>
          <w:szCs w:val="20"/>
        </w:rPr>
        <w:t>imm</w:t>
      </w:r>
      <w:r w:rsidRPr="001D6E3E">
        <w:rPr>
          <w:rFonts w:asciiTheme="minorHAnsi" w:hAnsiTheme="minorHAnsi"/>
          <w:color w:val="000000" w:themeColor="text1"/>
          <w:spacing w:val="-4"/>
          <w:sz w:val="20"/>
          <w:szCs w:val="20"/>
        </w:rPr>
        <w:t>unog</w:t>
      </w:r>
      <w:r w:rsidRPr="001D6E3E">
        <w:rPr>
          <w:rFonts w:asciiTheme="minorHAnsi" w:hAnsiTheme="minorHAnsi"/>
          <w:color w:val="000000" w:themeColor="text1"/>
          <w:spacing w:val="-5"/>
          <w:sz w:val="20"/>
          <w:szCs w:val="20"/>
        </w:rPr>
        <w:t>lobu</w:t>
      </w:r>
      <w:r w:rsidRPr="001D6E3E">
        <w:rPr>
          <w:rFonts w:asciiTheme="minorHAnsi" w:hAnsiTheme="minorHAnsi"/>
          <w:color w:val="000000" w:themeColor="text1"/>
          <w:spacing w:val="-3"/>
          <w:sz w:val="20"/>
          <w:szCs w:val="20"/>
        </w:rPr>
        <w:t>line</w:t>
      </w:r>
      <w:r w:rsidRPr="001D6E3E">
        <w:rPr>
          <w:rFonts w:asciiTheme="minorHAnsi" w:hAnsiTheme="minorHAnsi"/>
          <w:color w:val="000000" w:themeColor="text1"/>
          <w:spacing w:val="3"/>
          <w:sz w:val="20"/>
          <w:szCs w:val="20"/>
        </w:rPr>
        <w:t xml:space="preserve"> </w:t>
      </w:r>
      <w:r w:rsidRPr="001D6E3E">
        <w:rPr>
          <w:rFonts w:asciiTheme="minorHAnsi" w:hAnsiTheme="minorHAnsi"/>
          <w:color w:val="000000" w:themeColor="text1"/>
          <w:sz w:val="20"/>
          <w:szCs w:val="20"/>
        </w:rPr>
        <w:t>M</w:t>
      </w:r>
      <w:r w:rsidRPr="001D6E3E">
        <w:rPr>
          <w:rFonts w:asciiTheme="minorHAnsi" w:hAnsiTheme="minorHAnsi"/>
          <w:color w:val="000000" w:themeColor="text1"/>
          <w:spacing w:val="5"/>
          <w:sz w:val="20"/>
          <w:szCs w:val="20"/>
        </w:rPr>
        <w:t xml:space="preserve"> </w:t>
      </w:r>
      <w:r w:rsidRPr="001D6E3E">
        <w:rPr>
          <w:rFonts w:asciiTheme="minorHAnsi" w:hAnsiTheme="minorHAnsi"/>
          <w:color w:val="000000" w:themeColor="text1"/>
          <w:spacing w:val="-4"/>
          <w:sz w:val="20"/>
          <w:szCs w:val="20"/>
        </w:rPr>
        <w:t>(</w:t>
      </w:r>
      <w:r w:rsidRPr="009E4697">
        <w:rPr>
          <w:rFonts w:asciiTheme="minorHAnsi" w:hAnsiTheme="minorHAnsi"/>
          <w:b/>
          <w:bCs/>
          <w:color w:val="000000" w:themeColor="text1"/>
          <w:spacing w:val="-4"/>
          <w:sz w:val="20"/>
          <w:szCs w:val="20"/>
        </w:rPr>
        <w:t>IgM</w:t>
      </w:r>
      <w:r w:rsidRPr="001D6E3E">
        <w:rPr>
          <w:rFonts w:asciiTheme="minorHAnsi" w:hAnsiTheme="minorHAnsi"/>
          <w:color w:val="000000" w:themeColor="text1"/>
          <w:spacing w:val="-4"/>
          <w:sz w:val="20"/>
          <w:szCs w:val="20"/>
        </w:rPr>
        <w:t>),</w:t>
      </w:r>
      <w:r w:rsidRPr="001D6E3E">
        <w:rPr>
          <w:rFonts w:asciiTheme="minorHAnsi" w:hAnsiTheme="minorHAnsi"/>
          <w:color w:val="000000" w:themeColor="text1"/>
          <w:spacing w:val="4"/>
          <w:sz w:val="20"/>
          <w:szCs w:val="20"/>
        </w:rPr>
        <w:t xml:space="preserve"> </w:t>
      </w:r>
      <w:r w:rsidRPr="001D6E3E">
        <w:rPr>
          <w:rFonts w:asciiTheme="minorHAnsi" w:hAnsiTheme="minorHAnsi"/>
          <w:color w:val="000000" w:themeColor="text1"/>
          <w:spacing w:val="-5"/>
          <w:sz w:val="20"/>
          <w:szCs w:val="20"/>
        </w:rPr>
        <w:t>me</w:t>
      </w:r>
      <w:r w:rsidRPr="001D6E3E">
        <w:rPr>
          <w:rFonts w:asciiTheme="minorHAnsi" w:hAnsiTheme="minorHAnsi"/>
          <w:color w:val="000000" w:themeColor="text1"/>
          <w:spacing w:val="-4"/>
          <w:sz w:val="20"/>
          <w:szCs w:val="20"/>
        </w:rPr>
        <w:t>n</w:t>
      </w:r>
      <w:r w:rsidRPr="001D6E3E">
        <w:rPr>
          <w:rFonts w:asciiTheme="minorHAnsi" w:hAnsiTheme="minorHAnsi"/>
          <w:color w:val="000000" w:themeColor="text1"/>
          <w:spacing w:val="-5"/>
          <w:sz w:val="20"/>
          <w:szCs w:val="20"/>
        </w:rPr>
        <w:t>tre</w:t>
      </w:r>
      <w:r w:rsidRPr="001D6E3E">
        <w:rPr>
          <w:rFonts w:asciiTheme="minorHAnsi" w:hAnsiTheme="minorHAnsi"/>
          <w:color w:val="000000" w:themeColor="text1"/>
          <w:spacing w:val="3"/>
          <w:sz w:val="20"/>
          <w:szCs w:val="20"/>
        </w:rPr>
        <w:t xml:space="preserve"> </w:t>
      </w:r>
      <w:r w:rsidRPr="001D6E3E">
        <w:rPr>
          <w:rFonts w:asciiTheme="minorHAnsi" w:hAnsiTheme="minorHAnsi"/>
          <w:color w:val="000000" w:themeColor="text1"/>
          <w:spacing w:val="-2"/>
          <w:sz w:val="20"/>
          <w:szCs w:val="20"/>
        </w:rPr>
        <w:t>al</w:t>
      </w:r>
      <w:r w:rsidRPr="001D6E3E">
        <w:rPr>
          <w:rFonts w:asciiTheme="minorHAnsi" w:hAnsiTheme="minorHAnsi"/>
          <w:color w:val="000000" w:themeColor="text1"/>
          <w:spacing w:val="5"/>
          <w:sz w:val="20"/>
          <w:szCs w:val="20"/>
        </w:rPr>
        <w:t xml:space="preserve"> </w:t>
      </w:r>
      <w:r w:rsidRPr="001D6E3E">
        <w:rPr>
          <w:rFonts w:asciiTheme="minorHAnsi" w:hAnsiTheme="minorHAnsi"/>
          <w:color w:val="000000" w:themeColor="text1"/>
          <w:spacing w:val="-6"/>
          <w:sz w:val="20"/>
          <w:szCs w:val="20"/>
        </w:rPr>
        <w:t>m</w:t>
      </w:r>
      <w:r w:rsidRPr="001D6E3E">
        <w:rPr>
          <w:rFonts w:asciiTheme="minorHAnsi" w:hAnsiTheme="minorHAnsi"/>
          <w:color w:val="000000" w:themeColor="text1"/>
          <w:spacing w:val="-5"/>
          <w:sz w:val="20"/>
          <w:szCs w:val="20"/>
        </w:rPr>
        <w:t>o</w:t>
      </w:r>
      <w:r w:rsidRPr="001D6E3E">
        <w:rPr>
          <w:rFonts w:asciiTheme="minorHAnsi" w:hAnsiTheme="minorHAnsi"/>
          <w:color w:val="000000" w:themeColor="text1"/>
          <w:spacing w:val="-6"/>
          <w:sz w:val="20"/>
          <w:szCs w:val="20"/>
        </w:rPr>
        <w:t>mento</w:t>
      </w:r>
      <w:r w:rsidRPr="001D6E3E">
        <w:rPr>
          <w:rFonts w:asciiTheme="minorHAnsi" w:hAnsiTheme="minorHAnsi"/>
          <w:color w:val="000000" w:themeColor="text1"/>
          <w:spacing w:val="4"/>
          <w:sz w:val="20"/>
          <w:szCs w:val="20"/>
        </w:rPr>
        <w:t xml:space="preserve"> </w:t>
      </w:r>
      <w:r w:rsidRPr="001D6E3E">
        <w:rPr>
          <w:rFonts w:asciiTheme="minorHAnsi" w:hAnsiTheme="minorHAnsi"/>
          <w:color w:val="000000" w:themeColor="text1"/>
          <w:spacing w:val="-5"/>
          <w:sz w:val="20"/>
          <w:szCs w:val="20"/>
        </w:rPr>
        <w:t>della</w:t>
      </w:r>
      <w:r w:rsidRPr="001D6E3E">
        <w:rPr>
          <w:rFonts w:asciiTheme="minorHAnsi" w:hAnsiTheme="minorHAnsi"/>
          <w:color w:val="000000" w:themeColor="text1"/>
          <w:spacing w:val="4"/>
          <w:sz w:val="20"/>
          <w:szCs w:val="20"/>
        </w:rPr>
        <w:t xml:space="preserve"> </w:t>
      </w:r>
      <w:r w:rsidRPr="001D6E3E">
        <w:rPr>
          <w:rFonts w:asciiTheme="minorHAnsi" w:hAnsiTheme="minorHAnsi"/>
          <w:color w:val="000000" w:themeColor="text1"/>
          <w:spacing w:val="-4"/>
          <w:sz w:val="20"/>
          <w:szCs w:val="20"/>
        </w:rPr>
        <w:t>n</w:t>
      </w:r>
      <w:r w:rsidRPr="001D6E3E">
        <w:rPr>
          <w:rFonts w:asciiTheme="minorHAnsi" w:hAnsiTheme="minorHAnsi"/>
          <w:color w:val="000000" w:themeColor="text1"/>
          <w:spacing w:val="-5"/>
          <w:sz w:val="20"/>
          <w:szCs w:val="20"/>
        </w:rPr>
        <w:t>ascita</w:t>
      </w:r>
      <w:r w:rsidRPr="001D6E3E">
        <w:rPr>
          <w:rFonts w:asciiTheme="minorHAnsi" w:hAnsiTheme="minorHAnsi"/>
          <w:color w:val="000000" w:themeColor="text1"/>
          <w:spacing w:val="5"/>
          <w:sz w:val="20"/>
          <w:szCs w:val="20"/>
        </w:rPr>
        <w:t xml:space="preserve"> </w:t>
      </w:r>
      <w:r w:rsidRPr="001D6E3E">
        <w:rPr>
          <w:rFonts w:asciiTheme="minorHAnsi" w:hAnsiTheme="minorHAnsi"/>
          <w:color w:val="000000" w:themeColor="text1"/>
          <w:spacing w:val="-2"/>
          <w:sz w:val="20"/>
          <w:szCs w:val="20"/>
        </w:rPr>
        <w:t>(a</w:t>
      </w:r>
      <w:r w:rsidRPr="001D6E3E">
        <w:rPr>
          <w:rFonts w:asciiTheme="minorHAnsi" w:hAnsiTheme="minorHAnsi"/>
          <w:color w:val="000000" w:themeColor="text1"/>
          <w:spacing w:val="4"/>
          <w:sz w:val="20"/>
          <w:szCs w:val="20"/>
        </w:rPr>
        <w:t xml:space="preserve"> </w:t>
      </w:r>
      <w:r w:rsidRPr="001D6E3E">
        <w:rPr>
          <w:rFonts w:asciiTheme="minorHAnsi" w:hAnsiTheme="minorHAnsi"/>
          <w:color w:val="000000" w:themeColor="text1"/>
          <w:sz w:val="20"/>
          <w:szCs w:val="20"/>
        </w:rPr>
        <w:t>9</w:t>
      </w:r>
      <w:r w:rsidRPr="001D6E3E">
        <w:rPr>
          <w:rFonts w:asciiTheme="minorHAnsi" w:hAnsiTheme="minorHAnsi"/>
          <w:color w:val="000000" w:themeColor="text1"/>
          <w:spacing w:val="5"/>
          <w:sz w:val="20"/>
          <w:szCs w:val="20"/>
        </w:rPr>
        <w:t xml:space="preserve"> </w:t>
      </w:r>
      <w:r w:rsidRPr="001D6E3E">
        <w:rPr>
          <w:rFonts w:asciiTheme="minorHAnsi" w:hAnsiTheme="minorHAnsi"/>
          <w:color w:val="000000" w:themeColor="text1"/>
          <w:spacing w:val="-5"/>
          <w:sz w:val="20"/>
          <w:szCs w:val="20"/>
        </w:rPr>
        <w:t>mesi</w:t>
      </w:r>
      <w:r w:rsidRPr="001D6E3E">
        <w:rPr>
          <w:rFonts w:asciiTheme="minorHAnsi" w:hAnsiTheme="minorHAnsi"/>
          <w:color w:val="000000" w:themeColor="text1"/>
          <w:spacing w:val="5"/>
          <w:sz w:val="20"/>
          <w:szCs w:val="20"/>
        </w:rPr>
        <w:t xml:space="preserve"> </w:t>
      </w:r>
      <w:r w:rsidRPr="001D6E3E">
        <w:rPr>
          <w:rFonts w:asciiTheme="minorHAnsi" w:hAnsiTheme="minorHAnsi"/>
          <w:color w:val="000000" w:themeColor="text1"/>
          <w:spacing w:val="-3"/>
          <w:sz w:val="20"/>
          <w:szCs w:val="20"/>
        </w:rPr>
        <w:t>dal</w:t>
      </w:r>
      <w:r w:rsidRPr="001D6E3E">
        <w:rPr>
          <w:rFonts w:asciiTheme="minorHAnsi" w:hAnsiTheme="minorHAnsi"/>
          <w:color w:val="000000" w:themeColor="text1"/>
          <w:spacing w:val="6"/>
          <w:sz w:val="20"/>
          <w:szCs w:val="20"/>
        </w:rPr>
        <w:t xml:space="preserve"> </w:t>
      </w:r>
      <w:r w:rsidRPr="001D6E3E">
        <w:rPr>
          <w:rFonts w:asciiTheme="minorHAnsi" w:hAnsiTheme="minorHAnsi"/>
          <w:color w:val="000000" w:themeColor="text1"/>
          <w:spacing w:val="-5"/>
          <w:sz w:val="20"/>
          <w:szCs w:val="20"/>
        </w:rPr>
        <w:t>concepime</w:t>
      </w:r>
      <w:r w:rsidRPr="001D6E3E">
        <w:rPr>
          <w:rFonts w:asciiTheme="minorHAnsi" w:hAnsiTheme="minorHAnsi"/>
          <w:color w:val="000000" w:themeColor="text1"/>
          <w:spacing w:val="-4"/>
          <w:sz w:val="20"/>
          <w:szCs w:val="20"/>
        </w:rPr>
        <w:t>n</w:t>
      </w:r>
      <w:r w:rsidRPr="001D6E3E">
        <w:rPr>
          <w:rFonts w:asciiTheme="minorHAnsi" w:hAnsiTheme="minorHAnsi"/>
          <w:color w:val="000000" w:themeColor="text1"/>
          <w:spacing w:val="-5"/>
          <w:sz w:val="20"/>
          <w:szCs w:val="20"/>
        </w:rPr>
        <w:t>t</w:t>
      </w:r>
      <w:r w:rsidRPr="001D6E3E">
        <w:rPr>
          <w:rFonts w:asciiTheme="minorHAnsi" w:hAnsiTheme="minorHAnsi"/>
          <w:color w:val="000000" w:themeColor="text1"/>
          <w:spacing w:val="-4"/>
          <w:sz w:val="20"/>
          <w:szCs w:val="20"/>
        </w:rPr>
        <w:t>o)</w:t>
      </w:r>
      <w:r w:rsidRPr="001D6E3E">
        <w:rPr>
          <w:rFonts w:asciiTheme="minorHAnsi" w:hAnsiTheme="minorHAnsi"/>
          <w:color w:val="000000" w:themeColor="text1"/>
          <w:spacing w:val="-2"/>
          <w:sz w:val="20"/>
          <w:szCs w:val="20"/>
        </w:rPr>
        <w:t xml:space="preserve"> </w:t>
      </w:r>
      <w:r w:rsidRPr="001D6E3E">
        <w:rPr>
          <w:rFonts w:asciiTheme="minorHAnsi" w:hAnsiTheme="minorHAnsi"/>
          <w:color w:val="000000" w:themeColor="text1"/>
          <w:spacing w:val="-3"/>
          <w:sz w:val="20"/>
          <w:szCs w:val="20"/>
        </w:rPr>
        <w:t>nel</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5"/>
          <w:sz w:val="20"/>
          <w:szCs w:val="20"/>
        </w:rPr>
        <w:t>sangue</w:t>
      </w:r>
      <w:r w:rsidRPr="001D6E3E">
        <w:rPr>
          <w:rFonts w:asciiTheme="minorHAnsi" w:hAnsiTheme="minorHAnsi"/>
          <w:color w:val="000000" w:themeColor="text1"/>
          <w:sz w:val="20"/>
          <w:szCs w:val="20"/>
        </w:rPr>
        <w:t xml:space="preserve"> </w:t>
      </w:r>
      <w:r w:rsidRPr="001D6E3E">
        <w:rPr>
          <w:rFonts w:asciiTheme="minorHAnsi" w:hAnsiTheme="minorHAnsi"/>
          <w:color w:val="000000" w:themeColor="text1"/>
          <w:spacing w:val="-3"/>
          <w:sz w:val="20"/>
          <w:szCs w:val="20"/>
        </w:rPr>
        <w:t>del</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5"/>
          <w:sz w:val="20"/>
          <w:szCs w:val="20"/>
        </w:rPr>
        <w:t>bambino</w:t>
      </w:r>
      <w:r w:rsidRPr="001D6E3E">
        <w:rPr>
          <w:rFonts w:asciiTheme="minorHAnsi" w:hAnsiTheme="minorHAnsi"/>
          <w:color w:val="000000" w:themeColor="text1"/>
          <w:sz w:val="20"/>
          <w:szCs w:val="20"/>
        </w:rPr>
        <w:t xml:space="preserve"> </w:t>
      </w:r>
      <w:r w:rsidRPr="001D6E3E">
        <w:rPr>
          <w:rFonts w:asciiTheme="minorHAnsi" w:hAnsiTheme="minorHAnsi"/>
          <w:color w:val="000000" w:themeColor="text1"/>
          <w:spacing w:val="-3"/>
          <w:sz w:val="20"/>
          <w:szCs w:val="20"/>
        </w:rPr>
        <w:t>c’è</w:t>
      </w:r>
      <w:r w:rsidRPr="001D6E3E">
        <w:rPr>
          <w:rFonts w:asciiTheme="minorHAnsi" w:hAnsiTheme="minorHAnsi"/>
          <w:color w:val="000000" w:themeColor="text1"/>
          <w:spacing w:val="-2"/>
          <w:sz w:val="20"/>
          <w:szCs w:val="20"/>
        </w:rPr>
        <w:t xml:space="preserve"> un</w:t>
      </w:r>
      <w:r w:rsidRPr="001D6E3E">
        <w:rPr>
          <w:rFonts w:asciiTheme="minorHAnsi" w:hAnsiTheme="minorHAnsi"/>
          <w:color w:val="000000" w:themeColor="text1"/>
          <w:spacing w:val="2"/>
          <w:sz w:val="20"/>
          <w:szCs w:val="20"/>
        </w:rPr>
        <w:t xml:space="preserve"> </w:t>
      </w:r>
      <w:r w:rsidRPr="001D6E3E">
        <w:rPr>
          <w:rFonts w:asciiTheme="minorHAnsi" w:hAnsiTheme="minorHAnsi"/>
          <w:color w:val="000000" w:themeColor="text1"/>
          <w:spacing w:val="-5"/>
          <w:sz w:val="20"/>
          <w:szCs w:val="20"/>
        </w:rPr>
        <w:t>picc</w:t>
      </w:r>
      <w:r w:rsidRPr="001D6E3E">
        <w:rPr>
          <w:rFonts w:asciiTheme="minorHAnsi" w:hAnsiTheme="minorHAnsi"/>
          <w:color w:val="000000" w:themeColor="text1"/>
          <w:spacing w:val="-4"/>
          <w:sz w:val="20"/>
          <w:szCs w:val="20"/>
        </w:rPr>
        <w:t>o</w:t>
      </w:r>
      <w:r w:rsidRPr="001D6E3E">
        <w:rPr>
          <w:rFonts w:asciiTheme="minorHAnsi" w:hAnsiTheme="minorHAnsi"/>
          <w:color w:val="000000" w:themeColor="text1"/>
          <w:spacing w:val="2"/>
          <w:sz w:val="20"/>
          <w:szCs w:val="20"/>
        </w:rPr>
        <w:t xml:space="preserve"> </w:t>
      </w:r>
      <w:r w:rsidRPr="001D6E3E">
        <w:rPr>
          <w:rFonts w:asciiTheme="minorHAnsi" w:hAnsiTheme="minorHAnsi"/>
          <w:color w:val="000000" w:themeColor="text1"/>
          <w:spacing w:val="-6"/>
          <w:sz w:val="20"/>
          <w:szCs w:val="20"/>
        </w:rPr>
        <w:t>relativ</w:t>
      </w:r>
      <w:r w:rsidRPr="001D6E3E">
        <w:rPr>
          <w:rFonts w:asciiTheme="minorHAnsi" w:hAnsiTheme="minorHAnsi"/>
          <w:color w:val="000000" w:themeColor="text1"/>
          <w:spacing w:val="-5"/>
          <w:sz w:val="20"/>
          <w:szCs w:val="20"/>
        </w:rPr>
        <w:t>o</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3"/>
          <w:sz w:val="20"/>
          <w:szCs w:val="20"/>
        </w:rPr>
        <w:t>agli</w:t>
      </w:r>
      <w:r w:rsidRPr="001D6E3E">
        <w:rPr>
          <w:rFonts w:asciiTheme="minorHAnsi" w:hAnsiTheme="minorHAnsi"/>
          <w:color w:val="000000" w:themeColor="text1"/>
          <w:spacing w:val="1"/>
          <w:sz w:val="20"/>
          <w:szCs w:val="20"/>
        </w:rPr>
        <w:t xml:space="preserve"> </w:t>
      </w:r>
      <w:r w:rsidRPr="009E4697">
        <w:rPr>
          <w:rFonts w:asciiTheme="minorHAnsi" w:hAnsiTheme="minorHAnsi"/>
          <w:b/>
          <w:bCs/>
          <w:color w:val="000000" w:themeColor="text1"/>
          <w:spacing w:val="-5"/>
          <w:sz w:val="20"/>
          <w:szCs w:val="20"/>
        </w:rPr>
        <w:t>anticorpi</w:t>
      </w:r>
      <w:r w:rsidRPr="009E4697">
        <w:rPr>
          <w:rFonts w:asciiTheme="minorHAnsi" w:hAnsiTheme="minorHAnsi"/>
          <w:b/>
          <w:bCs/>
          <w:color w:val="000000" w:themeColor="text1"/>
          <w:spacing w:val="1"/>
          <w:sz w:val="20"/>
          <w:szCs w:val="20"/>
        </w:rPr>
        <w:t xml:space="preserve"> </w:t>
      </w:r>
      <w:r w:rsidRPr="009E4697">
        <w:rPr>
          <w:rFonts w:asciiTheme="minorHAnsi" w:hAnsiTheme="minorHAnsi"/>
          <w:b/>
          <w:bCs/>
          <w:color w:val="000000" w:themeColor="text1"/>
          <w:spacing w:val="-5"/>
          <w:sz w:val="20"/>
          <w:szCs w:val="20"/>
        </w:rPr>
        <w:t>materni</w:t>
      </w:r>
      <w:r w:rsidRPr="001D6E3E">
        <w:rPr>
          <w:rFonts w:asciiTheme="minorHAnsi" w:hAnsiTheme="minorHAnsi"/>
          <w:color w:val="000000" w:themeColor="text1"/>
          <w:spacing w:val="-5"/>
          <w:sz w:val="20"/>
          <w:szCs w:val="20"/>
        </w:rPr>
        <w:t>.</w:t>
      </w:r>
      <w:r w:rsidRPr="001D6E3E">
        <w:rPr>
          <w:rFonts w:asciiTheme="minorHAnsi" w:hAnsiTheme="minorHAnsi"/>
          <w:color w:val="000000" w:themeColor="text1"/>
          <w:spacing w:val="-1"/>
          <w:sz w:val="20"/>
          <w:szCs w:val="20"/>
        </w:rPr>
        <w:t xml:space="preserve"> </w:t>
      </w:r>
    </w:p>
    <w:p w:rsidR="00795BBE" w:rsidRDefault="00795BBE" w:rsidP="00795BBE">
      <w:pPr>
        <w:pStyle w:val="BodyText"/>
        <w:spacing w:before="0"/>
        <w:ind w:left="0" w:right="109"/>
        <w:jc w:val="both"/>
        <w:rPr>
          <w:rFonts w:asciiTheme="minorHAnsi" w:hAnsiTheme="minorHAnsi"/>
          <w:color w:val="000000" w:themeColor="text1"/>
          <w:spacing w:val="-5"/>
          <w:sz w:val="20"/>
          <w:szCs w:val="20"/>
        </w:rPr>
      </w:pPr>
      <w:r w:rsidRPr="001D6E3E">
        <w:rPr>
          <w:rFonts w:asciiTheme="minorHAnsi" w:hAnsiTheme="minorHAnsi"/>
          <w:color w:val="000000" w:themeColor="text1"/>
          <w:spacing w:val="-3"/>
          <w:sz w:val="20"/>
          <w:szCs w:val="20"/>
        </w:rPr>
        <w:t>Il</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5"/>
          <w:sz w:val="20"/>
          <w:szCs w:val="20"/>
        </w:rPr>
        <w:t>livell</w:t>
      </w:r>
      <w:r w:rsidRPr="001D6E3E">
        <w:rPr>
          <w:rFonts w:asciiTheme="minorHAnsi" w:hAnsiTheme="minorHAnsi"/>
          <w:color w:val="000000" w:themeColor="text1"/>
          <w:spacing w:val="-4"/>
          <w:sz w:val="20"/>
          <w:szCs w:val="20"/>
        </w:rPr>
        <w:t>o</w:t>
      </w:r>
      <w:r w:rsidRPr="001D6E3E">
        <w:rPr>
          <w:rFonts w:asciiTheme="minorHAnsi" w:hAnsiTheme="minorHAnsi"/>
          <w:color w:val="000000" w:themeColor="text1"/>
          <w:spacing w:val="15"/>
          <w:sz w:val="20"/>
          <w:szCs w:val="20"/>
        </w:rPr>
        <w:t xml:space="preserve"> </w:t>
      </w:r>
      <w:r w:rsidRPr="001D6E3E">
        <w:rPr>
          <w:rFonts w:asciiTheme="minorHAnsi" w:hAnsiTheme="minorHAnsi"/>
          <w:color w:val="000000" w:themeColor="text1"/>
          <w:spacing w:val="-2"/>
          <w:sz w:val="20"/>
          <w:szCs w:val="20"/>
        </w:rPr>
        <w:t>di</w:t>
      </w:r>
      <w:r w:rsidRPr="001D6E3E">
        <w:rPr>
          <w:rFonts w:asciiTheme="minorHAnsi" w:hAnsiTheme="minorHAnsi"/>
          <w:color w:val="000000" w:themeColor="text1"/>
          <w:spacing w:val="14"/>
          <w:sz w:val="20"/>
          <w:szCs w:val="20"/>
        </w:rPr>
        <w:t xml:space="preserve"> </w:t>
      </w:r>
      <w:r w:rsidRPr="001D6E3E">
        <w:rPr>
          <w:rFonts w:asciiTheme="minorHAnsi" w:hAnsiTheme="minorHAnsi"/>
          <w:color w:val="000000" w:themeColor="text1"/>
          <w:spacing w:val="-4"/>
          <w:sz w:val="20"/>
          <w:szCs w:val="20"/>
        </w:rPr>
        <w:t>ques</w:t>
      </w:r>
      <w:r w:rsidRPr="001D6E3E">
        <w:rPr>
          <w:rFonts w:asciiTheme="minorHAnsi" w:hAnsiTheme="minorHAnsi"/>
          <w:color w:val="000000" w:themeColor="text1"/>
          <w:spacing w:val="-5"/>
          <w:sz w:val="20"/>
          <w:szCs w:val="20"/>
        </w:rPr>
        <w:t>ti</w:t>
      </w:r>
      <w:r w:rsidRPr="001D6E3E">
        <w:rPr>
          <w:rFonts w:asciiTheme="minorHAnsi" w:hAnsiTheme="minorHAnsi"/>
          <w:color w:val="000000" w:themeColor="text1"/>
          <w:spacing w:val="14"/>
          <w:sz w:val="20"/>
          <w:szCs w:val="20"/>
        </w:rPr>
        <w:t xml:space="preserve"> </w:t>
      </w:r>
      <w:r w:rsidRPr="001D6E3E">
        <w:rPr>
          <w:rFonts w:asciiTheme="minorHAnsi" w:hAnsiTheme="minorHAnsi"/>
          <w:color w:val="000000" w:themeColor="text1"/>
          <w:spacing w:val="-5"/>
          <w:sz w:val="20"/>
          <w:szCs w:val="20"/>
        </w:rPr>
        <w:t>antic</w:t>
      </w:r>
      <w:r w:rsidRPr="001D6E3E">
        <w:rPr>
          <w:rFonts w:asciiTheme="minorHAnsi" w:hAnsiTheme="minorHAnsi"/>
          <w:color w:val="000000" w:themeColor="text1"/>
          <w:spacing w:val="-4"/>
          <w:sz w:val="20"/>
          <w:szCs w:val="20"/>
        </w:rPr>
        <w:t>orp</w:t>
      </w:r>
      <w:r w:rsidRPr="001D6E3E">
        <w:rPr>
          <w:rFonts w:asciiTheme="minorHAnsi" w:hAnsiTheme="minorHAnsi"/>
          <w:color w:val="000000" w:themeColor="text1"/>
          <w:spacing w:val="-5"/>
          <w:sz w:val="20"/>
          <w:szCs w:val="20"/>
        </w:rPr>
        <w:t>i</w:t>
      </w:r>
      <w:r w:rsidRPr="001D6E3E">
        <w:rPr>
          <w:rFonts w:asciiTheme="minorHAnsi" w:hAnsiTheme="minorHAnsi"/>
          <w:color w:val="000000" w:themeColor="text1"/>
          <w:spacing w:val="14"/>
          <w:sz w:val="20"/>
          <w:szCs w:val="20"/>
        </w:rPr>
        <w:t xml:space="preserve"> </w:t>
      </w:r>
      <w:r w:rsidRPr="001D6E3E">
        <w:rPr>
          <w:rFonts w:asciiTheme="minorHAnsi" w:hAnsiTheme="minorHAnsi"/>
          <w:color w:val="000000" w:themeColor="text1"/>
          <w:sz w:val="20"/>
          <w:szCs w:val="20"/>
        </w:rPr>
        <w:t>è</w:t>
      </w:r>
      <w:r w:rsidRPr="001D6E3E">
        <w:rPr>
          <w:rFonts w:asciiTheme="minorHAnsi" w:hAnsiTheme="minorHAnsi"/>
          <w:color w:val="000000" w:themeColor="text1"/>
          <w:spacing w:val="14"/>
          <w:sz w:val="20"/>
          <w:szCs w:val="20"/>
        </w:rPr>
        <w:t xml:space="preserve"> </w:t>
      </w:r>
      <w:r w:rsidRPr="001D6E3E">
        <w:rPr>
          <w:rFonts w:asciiTheme="minorHAnsi" w:hAnsiTheme="minorHAnsi"/>
          <w:color w:val="000000" w:themeColor="text1"/>
          <w:spacing w:val="-5"/>
          <w:sz w:val="20"/>
          <w:szCs w:val="20"/>
        </w:rPr>
        <w:t>m</w:t>
      </w:r>
      <w:r w:rsidRPr="001D6E3E">
        <w:rPr>
          <w:rFonts w:asciiTheme="minorHAnsi" w:hAnsiTheme="minorHAnsi"/>
          <w:color w:val="000000" w:themeColor="text1"/>
          <w:spacing w:val="-4"/>
          <w:sz w:val="20"/>
          <w:szCs w:val="20"/>
        </w:rPr>
        <w:t>o</w:t>
      </w:r>
      <w:r w:rsidRPr="001D6E3E">
        <w:rPr>
          <w:rFonts w:asciiTheme="minorHAnsi" w:hAnsiTheme="minorHAnsi"/>
          <w:color w:val="000000" w:themeColor="text1"/>
          <w:spacing w:val="-5"/>
          <w:sz w:val="20"/>
          <w:szCs w:val="20"/>
        </w:rPr>
        <w:t>lt</w:t>
      </w:r>
      <w:r w:rsidRPr="001D6E3E">
        <w:rPr>
          <w:rFonts w:asciiTheme="minorHAnsi" w:hAnsiTheme="minorHAnsi"/>
          <w:color w:val="000000" w:themeColor="text1"/>
          <w:spacing w:val="-4"/>
          <w:sz w:val="20"/>
          <w:szCs w:val="20"/>
        </w:rPr>
        <w:t>o</w:t>
      </w:r>
      <w:r w:rsidRPr="001D6E3E">
        <w:rPr>
          <w:rFonts w:asciiTheme="minorHAnsi" w:hAnsiTheme="minorHAnsi"/>
          <w:color w:val="000000" w:themeColor="text1"/>
          <w:spacing w:val="15"/>
          <w:sz w:val="20"/>
          <w:szCs w:val="20"/>
        </w:rPr>
        <w:t xml:space="preserve"> </w:t>
      </w:r>
      <w:r w:rsidRPr="001D6E3E">
        <w:rPr>
          <w:rFonts w:asciiTheme="minorHAnsi" w:hAnsiTheme="minorHAnsi"/>
          <w:color w:val="000000" w:themeColor="text1"/>
          <w:spacing w:val="-5"/>
          <w:sz w:val="20"/>
          <w:szCs w:val="20"/>
        </w:rPr>
        <w:t>ele</w:t>
      </w:r>
      <w:r w:rsidRPr="001D6E3E">
        <w:rPr>
          <w:rFonts w:asciiTheme="minorHAnsi" w:hAnsiTheme="minorHAnsi"/>
          <w:color w:val="000000" w:themeColor="text1"/>
          <w:spacing w:val="-4"/>
          <w:sz w:val="20"/>
          <w:szCs w:val="20"/>
        </w:rPr>
        <w:t>v</w:t>
      </w:r>
      <w:r w:rsidRPr="001D6E3E">
        <w:rPr>
          <w:rFonts w:asciiTheme="minorHAnsi" w:hAnsiTheme="minorHAnsi"/>
          <w:color w:val="000000" w:themeColor="text1"/>
          <w:spacing w:val="-5"/>
          <w:sz w:val="20"/>
          <w:szCs w:val="20"/>
        </w:rPr>
        <w:t>at</w:t>
      </w:r>
      <w:r w:rsidRPr="001D6E3E">
        <w:rPr>
          <w:rFonts w:asciiTheme="minorHAnsi" w:hAnsiTheme="minorHAnsi"/>
          <w:color w:val="000000" w:themeColor="text1"/>
          <w:spacing w:val="-4"/>
          <w:sz w:val="20"/>
          <w:szCs w:val="20"/>
        </w:rPr>
        <w:t>o</w:t>
      </w:r>
      <w:r w:rsidRPr="001D6E3E">
        <w:rPr>
          <w:rFonts w:asciiTheme="minorHAnsi" w:hAnsiTheme="minorHAnsi"/>
          <w:color w:val="000000" w:themeColor="text1"/>
          <w:spacing w:val="14"/>
          <w:sz w:val="20"/>
          <w:szCs w:val="20"/>
        </w:rPr>
        <w:t xml:space="preserve"> </w:t>
      </w:r>
      <w:r w:rsidRPr="001D6E3E">
        <w:rPr>
          <w:rFonts w:asciiTheme="minorHAnsi" w:hAnsiTheme="minorHAnsi"/>
          <w:color w:val="000000" w:themeColor="text1"/>
          <w:spacing w:val="-3"/>
          <w:sz w:val="20"/>
          <w:szCs w:val="20"/>
        </w:rPr>
        <w:t>ed</w:t>
      </w:r>
      <w:r w:rsidRPr="001D6E3E">
        <w:rPr>
          <w:rFonts w:asciiTheme="minorHAnsi" w:hAnsiTheme="minorHAnsi"/>
          <w:color w:val="000000" w:themeColor="text1"/>
          <w:spacing w:val="14"/>
          <w:sz w:val="20"/>
          <w:szCs w:val="20"/>
        </w:rPr>
        <w:t xml:space="preserve"> </w:t>
      </w:r>
      <w:r w:rsidRPr="001D6E3E">
        <w:rPr>
          <w:rFonts w:asciiTheme="minorHAnsi" w:hAnsiTheme="minorHAnsi"/>
          <w:color w:val="000000" w:themeColor="text1"/>
          <w:sz w:val="20"/>
          <w:szCs w:val="20"/>
        </w:rPr>
        <w:t>è</w:t>
      </w:r>
      <w:r w:rsidRPr="001D6E3E">
        <w:rPr>
          <w:rFonts w:asciiTheme="minorHAnsi" w:hAnsiTheme="minorHAnsi"/>
          <w:color w:val="000000" w:themeColor="text1"/>
          <w:spacing w:val="14"/>
          <w:sz w:val="20"/>
          <w:szCs w:val="20"/>
        </w:rPr>
        <w:t xml:space="preserve"> </w:t>
      </w:r>
      <w:r w:rsidRPr="001D6E3E">
        <w:rPr>
          <w:rFonts w:asciiTheme="minorHAnsi" w:hAnsiTheme="minorHAnsi"/>
          <w:color w:val="000000" w:themeColor="text1"/>
          <w:spacing w:val="-5"/>
          <w:sz w:val="20"/>
          <w:szCs w:val="20"/>
        </w:rPr>
        <w:t>formato</w:t>
      </w:r>
      <w:r w:rsidRPr="001D6E3E">
        <w:rPr>
          <w:rFonts w:asciiTheme="minorHAnsi" w:hAnsiTheme="minorHAnsi"/>
          <w:color w:val="000000" w:themeColor="text1"/>
          <w:spacing w:val="13"/>
          <w:sz w:val="20"/>
          <w:szCs w:val="20"/>
        </w:rPr>
        <w:t xml:space="preserve"> </w:t>
      </w:r>
      <w:r w:rsidRPr="001D6E3E">
        <w:rPr>
          <w:rFonts w:asciiTheme="minorHAnsi" w:hAnsiTheme="minorHAnsi"/>
          <w:color w:val="000000" w:themeColor="text1"/>
          <w:spacing w:val="-4"/>
          <w:sz w:val="20"/>
          <w:szCs w:val="20"/>
        </w:rPr>
        <w:t>quas</w:t>
      </w:r>
      <w:r w:rsidRPr="001D6E3E">
        <w:rPr>
          <w:rFonts w:asciiTheme="minorHAnsi" w:hAnsiTheme="minorHAnsi"/>
          <w:color w:val="000000" w:themeColor="text1"/>
          <w:spacing w:val="-5"/>
          <w:sz w:val="20"/>
          <w:szCs w:val="20"/>
        </w:rPr>
        <w:t>i</w:t>
      </w:r>
      <w:r w:rsidRPr="001D6E3E">
        <w:rPr>
          <w:rFonts w:asciiTheme="minorHAnsi" w:hAnsiTheme="minorHAnsi"/>
          <w:color w:val="000000" w:themeColor="text1"/>
          <w:spacing w:val="16"/>
          <w:sz w:val="20"/>
          <w:szCs w:val="20"/>
        </w:rPr>
        <w:t xml:space="preserve"> </w:t>
      </w:r>
      <w:r w:rsidRPr="001D6E3E">
        <w:rPr>
          <w:rFonts w:asciiTheme="minorHAnsi" w:hAnsiTheme="minorHAnsi"/>
          <w:color w:val="000000" w:themeColor="text1"/>
          <w:spacing w:val="-5"/>
          <w:sz w:val="20"/>
          <w:szCs w:val="20"/>
        </w:rPr>
        <w:t>es</w:t>
      </w:r>
      <w:r w:rsidRPr="001D6E3E">
        <w:rPr>
          <w:rFonts w:asciiTheme="minorHAnsi" w:hAnsiTheme="minorHAnsi"/>
          <w:color w:val="000000" w:themeColor="text1"/>
          <w:spacing w:val="-6"/>
          <w:sz w:val="20"/>
          <w:szCs w:val="20"/>
        </w:rPr>
        <w:t>clusi</w:t>
      </w:r>
      <w:r w:rsidRPr="001D6E3E">
        <w:rPr>
          <w:rFonts w:asciiTheme="minorHAnsi" w:hAnsiTheme="minorHAnsi"/>
          <w:color w:val="000000" w:themeColor="text1"/>
          <w:spacing w:val="-5"/>
          <w:sz w:val="20"/>
          <w:szCs w:val="20"/>
        </w:rPr>
        <w:t>v</w:t>
      </w:r>
      <w:r w:rsidRPr="001D6E3E">
        <w:rPr>
          <w:rFonts w:asciiTheme="minorHAnsi" w:hAnsiTheme="minorHAnsi"/>
          <w:color w:val="000000" w:themeColor="text1"/>
          <w:spacing w:val="-6"/>
          <w:sz w:val="20"/>
          <w:szCs w:val="20"/>
        </w:rPr>
        <w:t>amente</w:t>
      </w:r>
      <w:r w:rsidRPr="001D6E3E">
        <w:rPr>
          <w:rFonts w:asciiTheme="minorHAnsi" w:hAnsiTheme="minorHAnsi"/>
          <w:color w:val="000000" w:themeColor="text1"/>
          <w:spacing w:val="15"/>
          <w:sz w:val="20"/>
          <w:szCs w:val="20"/>
        </w:rPr>
        <w:t xml:space="preserve"> </w:t>
      </w:r>
      <w:r w:rsidRPr="001D6E3E">
        <w:rPr>
          <w:rFonts w:asciiTheme="minorHAnsi" w:hAnsiTheme="minorHAnsi"/>
          <w:color w:val="000000" w:themeColor="text1"/>
          <w:spacing w:val="-5"/>
          <w:sz w:val="20"/>
          <w:szCs w:val="20"/>
        </w:rPr>
        <w:t>dalle</w:t>
      </w:r>
      <w:r w:rsidRPr="001D6E3E">
        <w:rPr>
          <w:rFonts w:asciiTheme="minorHAnsi" w:hAnsiTheme="minorHAnsi" w:cs="Times New Roman"/>
          <w:color w:val="000000" w:themeColor="text1"/>
          <w:spacing w:val="47"/>
          <w:w w:val="99"/>
          <w:sz w:val="20"/>
          <w:szCs w:val="20"/>
        </w:rPr>
        <w:t xml:space="preserve"> </w:t>
      </w:r>
      <w:r w:rsidRPr="001D6E3E">
        <w:rPr>
          <w:rFonts w:asciiTheme="minorHAnsi" w:hAnsiTheme="minorHAnsi"/>
          <w:color w:val="000000" w:themeColor="text1"/>
          <w:spacing w:val="-6"/>
          <w:sz w:val="20"/>
          <w:szCs w:val="20"/>
        </w:rPr>
        <w:t>imm</w:t>
      </w:r>
      <w:r w:rsidRPr="001D6E3E">
        <w:rPr>
          <w:rFonts w:asciiTheme="minorHAnsi" w:hAnsiTheme="minorHAnsi"/>
          <w:color w:val="000000" w:themeColor="text1"/>
          <w:spacing w:val="-5"/>
          <w:sz w:val="20"/>
          <w:szCs w:val="20"/>
        </w:rPr>
        <w:t>unog</w:t>
      </w:r>
      <w:r w:rsidRPr="001D6E3E">
        <w:rPr>
          <w:rFonts w:asciiTheme="minorHAnsi" w:hAnsiTheme="minorHAnsi"/>
          <w:color w:val="000000" w:themeColor="text1"/>
          <w:spacing w:val="-6"/>
          <w:sz w:val="20"/>
          <w:szCs w:val="20"/>
        </w:rPr>
        <w:t>l</w:t>
      </w:r>
      <w:r w:rsidRPr="001D6E3E">
        <w:rPr>
          <w:rFonts w:asciiTheme="minorHAnsi" w:hAnsiTheme="minorHAnsi"/>
          <w:color w:val="000000" w:themeColor="text1"/>
          <w:spacing w:val="-5"/>
          <w:sz w:val="20"/>
          <w:szCs w:val="20"/>
        </w:rPr>
        <w:t>obu</w:t>
      </w:r>
      <w:r w:rsidRPr="001D6E3E">
        <w:rPr>
          <w:rFonts w:asciiTheme="minorHAnsi" w:hAnsiTheme="minorHAnsi"/>
          <w:color w:val="000000" w:themeColor="text1"/>
          <w:spacing w:val="-6"/>
          <w:sz w:val="20"/>
          <w:szCs w:val="20"/>
        </w:rPr>
        <w:t>li</w:t>
      </w:r>
      <w:r w:rsidRPr="001D6E3E">
        <w:rPr>
          <w:rFonts w:asciiTheme="minorHAnsi" w:hAnsiTheme="minorHAnsi"/>
          <w:color w:val="000000" w:themeColor="text1"/>
          <w:spacing w:val="-5"/>
          <w:sz w:val="20"/>
          <w:szCs w:val="20"/>
        </w:rPr>
        <w:t>n</w:t>
      </w:r>
      <w:r w:rsidRPr="001D6E3E">
        <w:rPr>
          <w:rFonts w:asciiTheme="minorHAnsi" w:hAnsiTheme="minorHAnsi"/>
          <w:color w:val="000000" w:themeColor="text1"/>
          <w:spacing w:val="-6"/>
          <w:sz w:val="20"/>
          <w:szCs w:val="20"/>
        </w:rPr>
        <w:t>e</w:t>
      </w:r>
      <w:r w:rsidRPr="001D6E3E">
        <w:rPr>
          <w:rFonts w:asciiTheme="minorHAnsi" w:hAnsiTheme="minorHAnsi"/>
          <w:color w:val="000000" w:themeColor="text1"/>
          <w:spacing w:val="-11"/>
          <w:sz w:val="20"/>
          <w:szCs w:val="20"/>
        </w:rPr>
        <w:t xml:space="preserve"> </w:t>
      </w:r>
      <w:r w:rsidRPr="001D6E3E">
        <w:rPr>
          <w:rFonts w:asciiTheme="minorHAnsi" w:hAnsiTheme="minorHAnsi"/>
          <w:color w:val="000000" w:themeColor="text1"/>
          <w:spacing w:val="-2"/>
          <w:sz w:val="20"/>
          <w:szCs w:val="20"/>
        </w:rPr>
        <w:t>di</w:t>
      </w:r>
      <w:r w:rsidRPr="001D6E3E">
        <w:rPr>
          <w:rFonts w:asciiTheme="minorHAnsi" w:hAnsiTheme="minorHAnsi"/>
          <w:color w:val="000000" w:themeColor="text1"/>
          <w:spacing w:val="-10"/>
          <w:sz w:val="20"/>
          <w:szCs w:val="20"/>
        </w:rPr>
        <w:t xml:space="preserve"> </w:t>
      </w:r>
      <w:r w:rsidRPr="001D6E3E">
        <w:rPr>
          <w:rFonts w:asciiTheme="minorHAnsi" w:hAnsiTheme="minorHAnsi"/>
          <w:color w:val="000000" w:themeColor="text1"/>
          <w:spacing w:val="-5"/>
          <w:sz w:val="20"/>
          <w:szCs w:val="20"/>
        </w:rPr>
        <w:t>ti</w:t>
      </w:r>
      <w:r w:rsidRPr="001D6E3E">
        <w:rPr>
          <w:rFonts w:asciiTheme="minorHAnsi" w:hAnsiTheme="minorHAnsi"/>
          <w:color w:val="000000" w:themeColor="text1"/>
          <w:spacing w:val="-4"/>
          <w:sz w:val="20"/>
          <w:szCs w:val="20"/>
        </w:rPr>
        <w:t>po</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z w:val="20"/>
          <w:szCs w:val="20"/>
        </w:rPr>
        <w:t>G</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pacing w:val="-5"/>
          <w:sz w:val="20"/>
          <w:szCs w:val="20"/>
        </w:rPr>
        <w:t>(</w:t>
      </w:r>
      <w:r w:rsidRPr="009E4697">
        <w:rPr>
          <w:rFonts w:asciiTheme="minorHAnsi" w:hAnsiTheme="minorHAnsi"/>
          <w:b/>
          <w:bCs/>
          <w:color w:val="000000" w:themeColor="text1"/>
          <w:spacing w:val="-5"/>
          <w:sz w:val="20"/>
          <w:szCs w:val="20"/>
        </w:rPr>
        <w:t>IgG</w:t>
      </w:r>
      <w:r w:rsidRPr="001D6E3E">
        <w:rPr>
          <w:rFonts w:asciiTheme="minorHAnsi" w:hAnsiTheme="minorHAnsi"/>
          <w:color w:val="000000" w:themeColor="text1"/>
          <w:spacing w:val="-5"/>
          <w:sz w:val="20"/>
          <w:szCs w:val="20"/>
        </w:rPr>
        <w:t>).</w:t>
      </w:r>
    </w:p>
    <w:p w:rsidR="009E5073" w:rsidRDefault="009E5073" w:rsidP="00795BBE">
      <w:pPr>
        <w:pStyle w:val="BodyText"/>
        <w:spacing w:before="0"/>
        <w:ind w:left="0" w:right="108"/>
        <w:jc w:val="both"/>
        <w:rPr>
          <w:rFonts w:asciiTheme="minorHAnsi" w:hAnsiTheme="minorHAnsi"/>
          <w:color w:val="000000" w:themeColor="text1"/>
          <w:spacing w:val="-4"/>
          <w:sz w:val="20"/>
          <w:szCs w:val="20"/>
        </w:rPr>
      </w:pPr>
    </w:p>
    <w:p w:rsidR="009E4697" w:rsidRDefault="00795BBE" w:rsidP="00795BBE">
      <w:pPr>
        <w:pStyle w:val="BodyText"/>
        <w:spacing w:before="0"/>
        <w:ind w:left="0" w:right="108"/>
        <w:jc w:val="both"/>
        <w:rPr>
          <w:rFonts w:asciiTheme="minorHAnsi" w:hAnsiTheme="minorHAnsi"/>
          <w:color w:val="000000" w:themeColor="text1"/>
          <w:spacing w:val="-4"/>
          <w:sz w:val="20"/>
          <w:szCs w:val="20"/>
        </w:rPr>
      </w:pPr>
      <w:r w:rsidRPr="001D6E3E">
        <w:rPr>
          <w:rFonts w:asciiTheme="minorHAnsi" w:hAnsiTheme="minorHAnsi"/>
          <w:color w:val="000000" w:themeColor="text1"/>
          <w:spacing w:val="-4"/>
          <w:sz w:val="20"/>
          <w:szCs w:val="20"/>
        </w:rPr>
        <w:t>Sub</w:t>
      </w:r>
      <w:r w:rsidRPr="001D6E3E">
        <w:rPr>
          <w:rFonts w:asciiTheme="minorHAnsi" w:hAnsiTheme="minorHAnsi"/>
          <w:color w:val="000000" w:themeColor="text1"/>
          <w:spacing w:val="-5"/>
          <w:sz w:val="20"/>
          <w:szCs w:val="20"/>
        </w:rPr>
        <w:t>ito</w:t>
      </w:r>
      <w:r w:rsidRPr="001D6E3E">
        <w:rPr>
          <w:rFonts w:asciiTheme="minorHAnsi" w:hAnsiTheme="minorHAnsi"/>
          <w:color w:val="000000" w:themeColor="text1"/>
          <w:spacing w:val="6"/>
          <w:sz w:val="20"/>
          <w:szCs w:val="20"/>
        </w:rPr>
        <w:t xml:space="preserve"> </w:t>
      </w:r>
      <w:r w:rsidRPr="001D6E3E">
        <w:rPr>
          <w:rFonts w:asciiTheme="minorHAnsi" w:hAnsiTheme="minorHAnsi"/>
          <w:color w:val="000000" w:themeColor="text1"/>
          <w:spacing w:val="-4"/>
          <w:sz w:val="20"/>
          <w:szCs w:val="20"/>
        </w:rPr>
        <w:t>dopo</w:t>
      </w:r>
      <w:r w:rsidRPr="001D6E3E">
        <w:rPr>
          <w:rFonts w:asciiTheme="minorHAnsi" w:hAnsiTheme="minorHAnsi"/>
          <w:color w:val="000000" w:themeColor="text1"/>
          <w:spacing w:val="6"/>
          <w:sz w:val="20"/>
          <w:szCs w:val="20"/>
        </w:rPr>
        <w:t xml:space="preserve"> </w:t>
      </w:r>
      <w:r w:rsidRPr="001D6E3E">
        <w:rPr>
          <w:rFonts w:asciiTheme="minorHAnsi" w:hAnsiTheme="minorHAnsi"/>
          <w:color w:val="000000" w:themeColor="text1"/>
          <w:spacing w:val="-2"/>
          <w:sz w:val="20"/>
          <w:szCs w:val="20"/>
        </w:rPr>
        <w:t>la</w:t>
      </w:r>
      <w:r w:rsidRPr="001D6E3E">
        <w:rPr>
          <w:rFonts w:asciiTheme="minorHAnsi" w:hAnsiTheme="minorHAnsi"/>
          <w:color w:val="000000" w:themeColor="text1"/>
          <w:spacing w:val="6"/>
          <w:sz w:val="20"/>
          <w:szCs w:val="20"/>
        </w:rPr>
        <w:t xml:space="preserve"> </w:t>
      </w:r>
      <w:r w:rsidRPr="001D6E3E">
        <w:rPr>
          <w:rFonts w:asciiTheme="minorHAnsi" w:hAnsiTheme="minorHAnsi"/>
          <w:color w:val="000000" w:themeColor="text1"/>
          <w:spacing w:val="-4"/>
          <w:sz w:val="20"/>
          <w:szCs w:val="20"/>
        </w:rPr>
        <w:t>n</w:t>
      </w:r>
      <w:r w:rsidRPr="001D6E3E">
        <w:rPr>
          <w:rFonts w:asciiTheme="minorHAnsi" w:hAnsiTheme="minorHAnsi"/>
          <w:color w:val="000000" w:themeColor="text1"/>
          <w:spacing w:val="-5"/>
          <w:sz w:val="20"/>
          <w:szCs w:val="20"/>
        </w:rPr>
        <w:t>ascita,</w:t>
      </w:r>
      <w:r w:rsidRPr="001D6E3E">
        <w:rPr>
          <w:rFonts w:asciiTheme="minorHAnsi" w:hAnsiTheme="minorHAnsi"/>
          <w:color w:val="000000" w:themeColor="text1"/>
          <w:spacing w:val="6"/>
          <w:sz w:val="20"/>
          <w:szCs w:val="20"/>
        </w:rPr>
        <w:t xml:space="preserve"> </w:t>
      </w:r>
      <w:r w:rsidR="000E206E" w:rsidRPr="001D6E3E">
        <w:rPr>
          <w:rFonts w:asciiTheme="minorHAnsi" w:hAnsiTheme="minorHAnsi"/>
          <w:color w:val="000000" w:themeColor="text1"/>
          <w:spacing w:val="-6"/>
          <w:sz w:val="20"/>
          <w:szCs w:val="20"/>
        </w:rPr>
        <w:t>gli</w:t>
      </w:r>
      <w:r w:rsidRPr="001D6E3E">
        <w:rPr>
          <w:rFonts w:asciiTheme="minorHAnsi" w:hAnsiTheme="minorHAnsi"/>
          <w:color w:val="000000" w:themeColor="text1"/>
          <w:spacing w:val="5"/>
          <w:sz w:val="20"/>
          <w:szCs w:val="20"/>
        </w:rPr>
        <w:t xml:space="preserve"> </w:t>
      </w:r>
      <w:r w:rsidRPr="001D6E3E">
        <w:rPr>
          <w:rFonts w:asciiTheme="minorHAnsi" w:hAnsiTheme="minorHAnsi"/>
          <w:color w:val="000000" w:themeColor="text1"/>
          <w:spacing w:val="-5"/>
          <w:sz w:val="20"/>
          <w:szCs w:val="20"/>
        </w:rPr>
        <w:t>anticorpi</w:t>
      </w:r>
      <w:r w:rsidRPr="001D6E3E">
        <w:rPr>
          <w:rFonts w:asciiTheme="minorHAnsi" w:hAnsiTheme="minorHAnsi"/>
          <w:color w:val="000000" w:themeColor="text1"/>
          <w:spacing w:val="7"/>
          <w:sz w:val="20"/>
          <w:szCs w:val="20"/>
        </w:rPr>
        <w:t xml:space="preserve"> </w:t>
      </w:r>
      <w:r w:rsidRPr="009E4697">
        <w:rPr>
          <w:rFonts w:asciiTheme="minorHAnsi" w:hAnsiTheme="minorHAnsi"/>
          <w:color w:val="000000" w:themeColor="text1"/>
          <w:spacing w:val="-5"/>
          <w:sz w:val="20"/>
          <w:szCs w:val="20"/>
        </w:rPr>
        <w:t>materni</w:t>
      </w:r>
      <w:r w:rsidRPr="009E4697">
        <w:rPr>
          <w:rFonts w:asciiTheme="minorHAnsi" w:hAnsiTheme="minorHAnsi"/>
          <w:color w:val="000000" w:themeColor="text1"/>
          <w:spacing w:val="6"/>
          <w:sz w:val="20"/>
          <w:szCs w:val="20"/>
        </w:rPr>
        <w:t xml:space="preserve"> </w:t>
      </w:r>
      <w:r w:rsidRPr="009E4697">
        <w:rPr>
          <w:rFonts w:asciiTheme="minorHAnsi" w:hAnsiTheme="minorHAnsi"/>
          <w:color w:val="000000" w:themeColor="text1"/>
          <w:spacing w:val="-5"/>
          <w:sz w:val="20"/>
          <w:szCs w:val="20"/>
        </w:rPr>
        <w:t>calano</w:t>
      </w:r>
      <w:r w:rsidRPr="009E4697">
        <w:rPr>
          <w:rFonts w:asciiTheme="minorHAnsi" w:hAnsiTheme="minorHAnsi"/>
          <w:color w:val="000000" w:themeColor="text1"/>
          <w:spacing w:val="6"/>
          <w:sz w:val="20"/>
          <w:szCs w:val="20"/>
        </w:rPr>
        <w:t xml:space="preserve"> </w:t>
      </w:r>
      <w:r w:rsidR="000E206E" w:rsidRPr="009E4697">
        <w:rPr>
          <w:rFonts w:asciiTheme="minorHAnsi" w:hAnsiTheme="minorHAnsi"/>
          <w:color w:val="000000" w:themeColor="text1"/>
          <w:spacing w:val="6"/>
          <w:sz w:val="20"/>
          <w:szCs w:val="20"/>
        </w:rPr>
        <w:t xml:space="preserve">progressivamente </w:t>
      </w:r>
      <w:r w:rsidR="00A6208A" w:rsidRPr="009E4697">
        <w:rPr>
          <w:rFonts w:asciiTheme="minorHAnsi" w:hAnsiTheme="minorHAnsi"/>
          <w:color w:val="000000" w:themeColor="text1"/>
          <w:sz w:val="20"/>
          <w:szCs w:val="20"/>
        </w:rPr>
        <w:t>a partire dal</w:t>
      </w:r>
      <w:r w:rsidR="00A6208A" w:rsidRPr="009E4697">
        <w:rPr>
          <w:rFonts w:asciiTheme="minorHAnsi" w:hAnsiTheme="minorHAnsi"/>
          <w:color w:val="000000" w:themeColor="text1"/>
          <w:spacing w:val="-5"/>
          <w:sz w:val="20"/>
          <w:szCs w:val="20"/>
        </w:rPr>
        <w:t xml:space="preserve"> </w:t>
      </w:r>
      <w:r w:rsidRPr="009E4697">
        <w:rPr>
          <w:rFonts w:asciiTheme="minorHAnsi" w:hAnsiTheme="minorHAnsi"/>
          <w:color w:val="000000" w:themeColor="text1"/>
          <w:spacing w:val="-5"/>
          <w:sz w:val="20"/>
          <w:szCs w:val="20"/>
        </w:rPr>
        <w:t>terzo</w:t>
      </w:r>
      <w:r w:rsidRPr="009E4697">
        <w:rPr>
          <w:rFonts w:asciiTheme="minorHAnsi" w:hAnsiTheme="minorHAnsi"/>
          <w:color w:val="000000" w:themeColor="text1"/>
          <w:spacing w:val="3"/>
          <w:sz w:val="20"/>
          <w:szCs w:val="20"/>
        </w:rPr>
        <w:t xml:space="preserve"> </w:t>
      </w:r>
      <w:r w:rsidRPr="009E4697">
        <w:rPr>
          <w:rFonts w:asciiTheme="minorHAnsi" w:hAnsiTheme="minorHAnsi"/>
          <w:color w:val="000000" w:themeColor="text1"/>
          <w:spacing w:val="-5"/>
          <w:sz w:val="20"/>
          <w:szCs w:val="20"/>
        </w:rPr>
        <w:t>me</w:t>
      </w:r>
      <w:r w:rsidRPr="009E4697">
        <w:rPr>
          <w:rFonts w:asciiTheme="minorHAnsi" w:hAnsiTheme="minorHAnsi"/>
          <w:color w:val="000000" w:themeColor="text1"/>
          <w:spacing w:val="-4"/>
          <w:sz w:val="20"/>
          <w:szCs w:val="20"/>
        </w:rPr>
        <w:t>se</w:t>
      </w:r>
      <w:r w:rsidRPr="001D6E3E">
        <w:rPr>
          <w:rFonts w:asciiTheme="minorHAnsi" w:hAnsiTheme="minorHAnsi"/>
          <w:color w:val="000000" w:themeColor="text1"/>
          <w:spacing w:val="3"/>
          <w:sz w:val="20"/>
          <w:szCs w:val="20"/>
        </w:rPr>
        <w:t xml:space="preserve"> </w:t>
      </w:r>
      <w:r w:rsidRPr="001D6E3E">
        <w:rPr>
          <w:rFonts w:asciiTheme="minorHAnsi" w:hAnsiTheme="minorHAnsi"/>
          <w:color w:val="000000" w:themeColor="text1"/>
          <w:spacing w:val="-3"/>
          <w:sz w:val="20"/>
          <w:szCs w:val="20"/>
        </w:rPr>
        <w:t>di</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5"/>
          <w:sz w:val="20"/>
          <w:szCs w:val="20"/>
        </w:rPr>
        <w:t>vita</w:t>
      </w:r>
      <w:r w:rsidRPr="001D6E3E">
        <w:rPr>
          <w:rFonts w:asciiTheme="minorHAnsi" w:hAnsiTheme="minorHAnsi"/>
          <w:color w:val="000000" w:themeColor="text1"/>
          <w:spacing w:val="3"/>
          <w:sz w:val="20"/>
          <w:szCs w:val="20"/>
        </w:rPr>
        <w:t xml:space="preserve"> </w:t>
      </w:r>
      <w:r w:rsidRPr="001D6E3E">
        <w:rPr>
          <w:rFonts w:asciiTheme="minorHAnsi" w:hAnsiTheme="minorHAnsi"/>
          <w:color w:val="000000" w:themeColor="text1"/>
          <w:spacing w:val="-6"/>
          <w:sz w:val="20"/>
          <w:szCs w:val="20"/>
        </w:rPr>
        <w:t>ext</w:t>
      </w:r>
      <w:r w:rsidRPr="001D6E3E">
        <w:rPr>
          <w:rFonts w:asciiTheme="minorHAnsi" w:hAnsiTheme="minorHAnsi"/>
          <w:color w:val="000000" w:themeColor="text1"/>
          <w:spacing w:val="-5"/>
          <w:sz w:val="20"/>
          <w:szCs w:val="20"/>
        </w:rPr>
        <w:t>r</w:t>
      </w:r>
      <w:r w:rsidRPr="001D6E3E">
        <w:rPr>
          <w:rFonts w:asciiTheme="minorHAnsi" w:hAnsiTheme="minorHAnsi"/>
          <w:color w:val="000000" w:themeColor="text1"/>
          <w:spacing w:val="-6"/>
          <w:sz w:val="20"/>
          <w:szCs w:val="20"/>
        </w:rPr>
        <w:t>auterina</w:t>
      </w:r>
      <w:r w:rsidRPr="001D6E3E">
        <w:rPr>
          <w:rFonts w:asciiTheme="minorHAnsi" w:hAnsiTheme="minorHAnsi"/>
          <w:color w:val="000000" w:themeColor="text1"/>
          <w:spacing w:val="-5"/>
          <w:sz w:val="20"/>
          <w:szCs w:val="20"/>
        </w:rPr>
        <w:t>,</w:t>
      </w:r>
      <w:r w:rsidRPr="001D6E3E">
        <w:rPr>
          <w:rFonts w:asciiTheme="minorHAnsi" w:hAnsiTheme="minorHAnsi"/>
          <w:color w:val="000000" w:themeColor="text1"/>
          <w:spacing w:val="2"/>
          <w:sz w:val="20"/>
          <w:szCs w:val="20"/>
        </w:rPr>
        <w:t xml:space="preserve"> </w:t>
      </w:r>
      <w:r w:rsidRPr="001D6E3E">
        <w:rPr>
          <w:rFonts w:asciiTheme="minorHAnsi" w:hAnsiTheme="minorHAnsi"/>
          <w:color w:val="000000" w:themeColor="text1"/>
          <w:spacing w:val="-5"/>
          <w:sz w:val="20"/>
          <w:szCs w:val="20"/>
        </w:rPr>
        <w:t>me</w:t>
      </w:r>
      <w:r w:rsidRPr="001D6E3E">
        <w:rPr>
          <w:rFonts w:asciiTheme="minorHAnsi" w:hAnsiTheme="minorHAnsi"/>
          <w:color w:val="000000" w:themeColor="text1"/>
          <w:spacing w:val="-4"/>
          <w:sz w:val="20"/>
          <w:szCs w:val="20"/>
        </w:rPr>
        <w:t>n</w:t>
      </w:r>
      <w:r w:rsidRPr="001D6E3E">
        <w:rPr>
          <w:rFonts w:asciiTheme="minorHAnsi" w:hAnsiTheme="minorHAnsi"/>
          <w:color w:val="000000" w:themeColor="text1"/>
          <w:spacing w:val="-5"/>
          <w:sz w:val="20"/>
          <w:szCs w:val="20"/>
        </w:rPr>
        <w:t>tre</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2"/>
          <w:sz w:val="20"/>
          <w:szCs w:val="20"/>
        </w:rPr>
        <w:t>il</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5"/>
          <w:sz w:val="20"/>
          <w:szCs w:val="20"/>
        </w:rPr>
        <w:t>livello</w:t>
      </w:r>
      <w:r w:rsidRPr="001D6E3E">
        <w:rPr>
          <w:rFonts w:asciiTheme="minorHAnsi" w:hAnsiTheme="minorHAnsi"/>
          <w:color w:val="000000" w:themeColor="text1"/>
          <w:spacing w:val="3"/>
          <w:sz w:val="20"/>
          <w:szCs w:val="20"/>
        </w:rPr>
        <w:t xml:space="preserve"> </w:t>
      </w:r>
      <w:r w:rsidRPr="001D6E3E">
        <w:rPr>
          <w:rFonts w:asciiTheme="minorHAnsi" w:hAnsiTheme="minorHAnsi"/>
          <w:color w:val="000000" w:themeColor="text1"/>
          <w:spacing w:val="-2"/>
          <w:sz w:val="20"/>
          <w:szCs w:val="20"/>
        </w:rPr>
        <w:t>di</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6"/>
          <w:sz w:val="20"/>
          <w:szCs w:val="20"/>
        </w:rPr>
        <w:t>anticorpi</w:t>
      </w:r>
      <w:r w:rsidRPr="001D6E3E">
        <w:rPr>
          <w:rFonts w:asciiTheme="minorHAnsi" w:hAnsiTheme="minorHAnsi"/>
          <w:color w:val="000000" w:themeColor="text1"/>
          <w:spacing w:val="3"/>
          <w:sz w:val="20"/>
          <w:szCs w:val="20"/>
        </w:rPr>
        <w:t xml:space="preserve"> </w:t>
      </w:r>
      <w:r w:rsidRPr="001D6E3E">
        <w:rPr>
          <w:rFonts w:asciiTheme="minorHAnsi" w:hAnsiTheme="minorHAnsi"/>
          <w:color w:val="000000" w:themeColor="text1"/>
          <w:spacing w:val="-3"/>
          <w:sz w:val="20"/>
          <w:szCs w:val="20"/>
        </w:rPr>
        <w:t>IgG</w:t>
      </w:r>
      <w:r w:rsidRPr="001D6E3E">
        <w:rPr>
          <w:rFonts w:asciiTheme="minorHAnsi" w:hAnsiTheme="minorHAnsi"/>
          <w:color w:val="000000" w:themeColor="text1"/>
          <w:sz w:val="20"/>
          <w:szCs w:val="20"/>
        </w:rPr>
        <w:t xml:space="preserve"> </w:t>
      </w:r>
      <w:r w:rsidRPr="001D6E3E">
        <w:rPr>
          <w:rFonts w:asciiTheme="minorHAnsi" w:hAnsiTheme="minorHAnsi"/>
          <w:color w:val="000000" w:themeColor="text1"/>
          <w:spacing w:val="-4"/>
          <w:sz w:val="20"/>
          <w:szCs w:val="20"/>
        </w:rPr>
        <w:t>prod</w:t>
      </w:r>
      <w:r w:rsidRPr="001D6E3E">
        <w:rPr>
          <w:rFonts w:asciiTheme="minorHAnsi" w:hAnsiTheme="minorHAnsi"/>
          <w:color w:val="000000" w:themeColor="text1"/>
          <w:spacing w:val="-5"/>
          <w:sz w:val="20"/>
          <w:szCs w:val="20"/>
        </w:rPr>
        <w:t>otti</w:t>
      </w:r>
      <w:r w:rsidRPr="001D6E3E">
        <w:rPr>
          <w:rFonts w:asciiTheme="minorHAnsi" w:hAnsiTheme="minorHAnsi"/>
          <w:color w:val="000000" w:themeColor="text1"/>
          <w:spacing w:val="2"/>
          <w:sz w:val="20"/>
          <w:szCs w:val="20"/>
        </w:rPr>
        <w:t xml:space="preserve"> </w:t>
      </w:r>
      <w:r w:rsidRPr="001D6E3E">
        <w:rPr>
          <w:rFonts w:asciiTheme="minorHAnsi" w:hAnsiTheme="minorHAnsi"/>
          <w:color w:val="000000" w:themeColor="text1"/>
          <w:spacing w:val="-3"/>
          <w:sz w:val="20"/>
          <w:szCs w:val="20"/>
        </w:rPr>
        <w:t>dal</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4"/>
          <w:sz w:val="20"/>
          <w:szCs w:val="20"/>
        </w:rPr>
        <w:t>b</w:t>
      </w:r>
      <w:r w:rsidRPr="001D6E3E">
        <w:rPr>
          <w:rFonts w:asciiTheme="minorHAnsi" w:hAnsiTheme="minorHAnsi"/>
          <w:color w:val="000000" w:themeColor="text1"/>
          <w:spacing w:val="-5"/>
          <w:sz w:val="20"/>
          <w:szCs w:val="20"/>
        </w:rPr>
        <w:t>ambi</w:t>
      </w:r>
      <w:r w:rsidRPr="001D6E3E">
        <w:rPr>
          <w:rFonts w:asciiTheme="minorHAnsi" w:hAnsiTheme="minorHAnsi"/>
          <w:color w:val="000000" w:themeColor="text1"/>
          <w:spacing w:val="-4"/>
          <w:sz w:val="20"/>
          <w:szCs w:val="20"/>
        </w:rPr>
        <w:t>no,</w:t>
      </w:r>
      <w:r w:rsidRPr="001D6E3E">
        <w:rPr>
          <w:rFonts w:asciiTheme="minorHAnsi" w:hAnsiTheme="minorHAnsi"/>
          <w:color w:val="000000" w:themeColor="text1"/>
          <w:spacing w:val="16"/>
          <w:sz w:val="20"/>
          <w:szCs w:val="20"/>
        </w:rPr>
        <w:t xml:space="preserve"> </w:t>
      </w:r>
      <w:r w:rsidRPr="001D6E3E">
        <w:rPr>
          <w:rFonts w:asciiTheme="minorHAnsi" w:hAnsiTheme="minorHAnsi"/>
          <w:color w:val="000000" w:themeColor="text1"/>
          <w:spacing w:val="-3"/>
          <w:sz w:val="20"/>
          <w:szCs w:val="20"/>
        </w:rPr>
        <w:t>che</w:t>
      </w:r>
      <w:r w:rsidRPr="001D6E3E">
        <w:rPr>
          <w:rFonts w:asciiTheme="minorHAnsi" w:hAnsiTheme="minorHAnsi"/>
          <w:color w:val="000000" w:themeColor="text1"/>
          <w:spacing w:val="16"/>
          <w:sz w:val="20"/>
          <w:szCs w:val="20"/>
        </w:rPr>
        <w:t xml:space="preserve"> </w:t>
      </w:r>
      <w:r w:rsidRPr="001D6E3E">
        <w:rPr>
          <w:rFonts w:asciiTheme="minorHAnsi" w:hAnsiTheme="minorHAnsi"/>
          <w:color w:val="000000" w:themeColor="text1"/>
          <w:spacing w:val="-2"/>
          <w:sz w:val="20"/>
          <w:szCs w:val="20"/>
        </w:rPr>
        <w:t>ha</w:t>
      </w:r>
      <w:r w:rsidRPr="001D6E3E">
        <w:rPr>
          <w:rFonts w:asciiTheme="minorHAnsi" w:hAnsiTheme="minorHAnsi"/>
          <w:color w:val="000000" w:themeColor="text1"/>
          <w:spacing w:val="17"/>
          <w:sz w:val="20"/>
          <w:szCs w:val="20"/>
        </w:rPr>
        <w:t xml:space="preserve"> </w:t>
      </w:r>
      <w:r w:rsidRPr="001D6E3E">
        <w:rPr>
          <w:rFonts w:asciiTheme="minorHAnsi" w:hAnsiTheme="minorHAnsi"/>
          <w:color w:val="000000" w:themeColor="text1"/>
          <w:spacing w:val="-5"/>
          <w:sz w:val="20"/>
          <w:szCs w:val="20"/>
        </w:rPr>
        <w:t>inizio</w:t>
      </w:r>
      <w:r w:rsidRPr="001D6E3E">
        <w:rPr>
          <w:rFonts w:asciiTheme="minorHAnsi" w:hAnsiTheme="minorHAnsi"/>
          <w:color w:val="000000" w:themeColor="text1"/>
          <w:spacing w:val="17"/>
          <w:sz w:val="20"/>
          <w:szCs w:val="20"/>
        </w:rPr>
        <w:t xml:space="preserve"> </w:t>
      </w:r>
      <w:r w:rsidRPr="001D6E3E">
        <w:rPr>
          <w:rFonts w:asciiTheme="minorHAnsi" w:hAnsiTheme="minorHAnsi"/>
          <w:color w:val="000000" w:themeColor="text1"/>
          <w:spacing w:val="-5"/>
          <w:sz w:val="20"/>
          <w:szCs w:val="20"/>
        </w:rPr>
        <w:t>alla</w:t>
      </w:r>
      <w:r w:rsidRPr="001D6E3E">
        <w:rPr>
          <w:rFonts w:asciiTheme="minorHAnsi" w:hAnsiTheme="minorHAnsi"/>
          <w:color w:val="000000" w:themeColor="text1"/>
          <w:spacing w:val="17"/>
          <w:sz w:val="20"/>
          <w:szCs w:val="20"/>
        </w:rPr>
        <w:t xml:space="preserve"> </w:t>
      </w:r>
      <w:r w:rsidRPr="001D6E3E">
        <w:rPr>
          <w:rFonts w:asciiTheme="minorHAnsi" w:hAnsiTheme="minorHAnsi"/>
          <w:color w:val="000000" w:themeColor="text1"/>
          <w:spacing w:val="-5"/>
          <w:sz w:val="20"/>
          <w:szCs w:val="20"/>
        </w:rPr>
        <w:t>nascita</w:t>
      </w:r>
      <w:r w:rsidRPr="001D6E3E">
        <w:rPr>
          <w:rFonts w:asciiTheme="minorHAnsi" w:hAnsiTheme="minorHAnsi"/>
          <w:color w:val="000000" w:themeColor="text1"/>
          <w:spacing w:val="17"/>
          <w:sz w:val="20"/>
          <w:szCs w:val="20"/>
        </w:rPr>
        <w:t xml:space="preserve"> </w:t>
      </w:r>
      <w:r w:rsidRPr="001D6E3E">
        <w:rPr>
          <w:rFonts w:asciiTheme="minorHAnsi" w:hAnsiTheme="minorHAnsi"/>
          <w:color w:val="000000" w:themeColor="text1"/>
          <w:sz w:val="20"/>
          <w:szCs w:val="20"/>
        </w:rPr>
        <w:t>e</w:t>
      </w:r>
      <w:r w:rsidRPr="001D6E3E">
        <w:rPr>
          <w:rFonts w:asciiTheme="minorHAnsi" w:hAnsiTheme="minorHAnsi"/>
          <w:color w:val="000000" w:themeColor="text1"/>
          <w:spacing w:val="17"/>
          <w:sz w:val="20"/>
          <w:szCs w:val="20"/>
        </w:rPr>
        <w:t xml:space="preserve"> </w:t>
      </w:r>
      <w:r w:rsidRPr="001D6E3E">
        <w:rPr>
          <w:rFonts w:asciiTheme="minorHAnsi" w:hAnsiTheme="minorHAnsi"/>
          <w:color w:val="000000" w:themeColor="text1"/>
          <w:spacing w:val="-5"/>
          <w:sz w:val="20"/>
          <w:szCs w:val="20"/>
        </w:rPr>
        <w:t>c</w:t>
      </w:r>
      <w:r w:rsidRPr="001D6E3E">
        <w:rPr>
          <w:rFonts w:asciiTheme="minorHAnsi" w:hAnsiTheme="minorHAnsi"/>
          <w:color w:val="000000" w:themeColor="text1"/>
          <w:spacing w:val="-4"/>
          <w:sz w:val="20"/>
          <w:szCs w:val="20"/>
        </w:rPr>
        <w:t>r</w:t>
      </w:r>
      <w:r w:rsidRPr="001D6E3E">
        <w:rPr>
          <w:rFonts w:asciiTheme="minorHAnsi" w:hAnsiTheme="minorHAnsi"/>
          <w:color w:val="000000" w:themeColor="text1"/>
          <w:spacing w:val="-5"/>
          <w:sz w:val="20"/>
          <w:szCs w:val="20"/>
        </w:rPr>
        <w:t>e</w:t>
      </w:r>
      <w:r w:rsidRPr="001D6E3E">
        <w:rPr>
          <w:rFonts w:asciiTheme="minorHAnsi" w:hAnsiTheme="minorHAnsi"/>
          <w:color w:val="000000" w:themeColor="text1"/>
          <w:spacing w:val="-4"/>
          <w:sz w:val="20"/>
          <w:szCs w:val="20"/>
        </w:rPr>
        <w:t>s</w:t>
      </w:r>
      <w:r w:rsidRPr="001D6E3E">
        <w:rPr>
          <w:rFonts w:asciiTheme="minorHAnsi" w:hAnsiTheme="minorHAnsi"/>
          <w:color w:val="000000" w:themeColor="text1"/>
          <w:spacing w:val="-5"/>
          <w:sz w:val="20"/>
          <w:szCs w:val="20"/>
        </w:rPr>
        <w:t>ce</w:t>
      </w:r>
      <w:r w:rsidRPr="001D6E3E">
        <w:rPr>
          <w:rFonts w:asciiTheme="minorHAnsi" w:hAnsiTheme="minorHAnsi"/>
          <w:color w:val="000000" w:themeColor="text1"/>
          <w:spacing w:val="16"/>
          <w:sz w:val="20"/>
          <w:szCs w:val="20"/>
        </w:rPr>
        <w:t xml:space="preserve"> </w:t>
      </w:r>
      <w:r w:rsidRPr="001D6E3E">
        <w:rPr>
          <w:rFonts w:asciiTheme="minorHAnsi" w:hAnsiTheme="minorHAnsi"/>
          <w:color w:val="000000" w:themeColor="text1"/>
          <w:spacing w:val="-6"/>
          <w:sz w:val="20"/>
          <w:szCs w:val="20"/>
        </w:rPr>
        <w:t>lentame</w:t>
      </w:r>
      <w:r w:rsidRPr="001D6E3E">
        <w:rPr>
          <w:rFonts w:asciiTheme="minorHAnsi" w:hAnsiTheme="minorHAnsi"/>
          <w:color w:val="000000" w:themeColor="text1"/>
          <w:spacing w:val="-5"/>
          <w:sz w:val="20"/>
          <w:szCs w:val="20"/>
        </w:rPr>
        <w:t>n</w:t>
      </w:r>
      <w:r w:rsidRPr="001D6E3E">
        <w:rPr>
          <w:rFonts w:asciiTheme="minorHAnsi" w:hAnsiTheme="minorHAnsi"/>
          <w:color w:val="000000" w:themeColor="text1"/>
          <w:spacing w:val="-6"/>
          <w:sz w:val="20"/>
          <w:szCs w:val="20"/>
        </w:rPr>
        <w:t>te</w:t>
      </w:r>
      <w:r w:rsidRPr="001D6E3E">
        <w:rPr>
          <w:rFonts w:asciiTheme="minorHAnsi" w:hAnsiTheme="minorHAnsi"/>
          <w:color w:val="000000" w:themeColor="text1"/>
          <w:spacing w:val="16"/>
          <w:sz w:val="20"/>
          <w:szCs w:val="20"/>
        </w:rPr>
        <w:t xml:space="preserve"> </w:t>
      </w:r>
      <w:r w:rsidRPr="001D6E3E">
        <w:rPr>
          <w:rFonts w:asciiTheme="minorHAnsi" w:hAnsiTheme="minorHAnsi"/>
          <w:color w:val="000000" w:themeColor="text1"/>
          <w:spacing w:val="-3"/>
          <w:sz w:val="20"/>
          <w:szCs w:val="20"/>
        </w:rPr>
        <w:t>nel</w:t>
      </w:r>
      <w:r w:rsidRPr="001D6E3E">
        <w:rPr>
          <w:rFonts w:asciiTheme="minorHAnsi" w:hAnsiTheme="minorHAnsi"/>
          <w:color w:val="000000" w:themeColor="text1"/>
          <w:spacing w:val="17"/>
          <w:sz w:val="20"/>
          <w:szCs w:val="20"/>
        </w:rPr>
        <w:t xml:space="preserve"> </w:t>
      </w:r>
      <w:r w:rsidRPr="001D6E3E">
        <w:rPr>
          <w:rFonts w:asciiTheme="minorHAnsi" w:hAnsiTheme="minorHAnsi"/>
          <w:color w:val="000000" w:themeColor="text1"/>
          <w:spacing w:val="-5"/>
          <w:sz w:val="20"/>
          <w:szCs w:val="20"/>
        </w:rPr>
        <w:t>tem</w:t>
      </w:r>
      <w:r w:rsidRPr="001D6E3E">
        <w:rPr>
          <w:rFonts w:asciiTheme="minorHAnsi" w:hAnsiTheme="minorHAnsi"/>
          <w:color w:val="000000" w:themeColor="text1"/>
          <w:spacing w:val="-4"/>
          <w:sz w:val="20"/>
          <w:szCs w:val="20"/>
        </w:rPr>
        <w:t>po,</w:t>
      </w:r>
      <w:r w:rsidRPr="001D6E3E">
        <w:rPr>
          <w:rFonts w:asciiTheme="minorHAnsi" w:hAnsiTheme="minorHAnsi"/>
          <w:color w:val="000000" w:themeColor="text1"/>
          <w:spacing w:val="17"/>
          <w:sz w:val="20"/>
          <w:szCs w:val="20"/>
        </w:rPr>
        <w:t xml:space="preserve"> </w:t>
      </w:r>
      <w:r w:rsidRPr="001D6E3E">
        <w:rPr>
          <w:rFonts w:asciiTheme="minorHAnsi" w:hAnsiTheme="minorHAnsi"/>
          <w:color w:val="000000" w:themeColor="text1"/>
          <w:sz w:val="20"/>
          <w:szCs w:val="20"/>
        </w:rPr>
        <w:t>è</w:t>
      </w:r>
      <w:r w:rsidRPr="001D6E3E">
        <w:rPr>
          <w:rFonts w:asciiTheme="minorHAnsi" w:hAnsiTheme="minorHAnsi"/>
          <w:color w:val="000000" w:themeColor="text1"/>
          <w:spacing w:val="17"/>
          <w:sz w:val="20"/>
          <w:szCs w:val="20"/>
        </w:rPr>
        <w:t xml:space="preserve"> </w:t>
      </w:r>
      <w:r w:rsidRPr="001D6E3E">
        <w:rPr>
          <w:rFonts w:asciiTheme="minorHAnsi" w:hAnsiTheme="minorHAnsi"/>
          <w:color w:val="000000" w:themeColor="text1"/>
          <w:spacing w:val="-5"/>
          <w:sz w:val="20"/>
          <w:szCs w:val="20"/>
        </w:rPr>
        <w:t>ancora</w:t>
      </w:r>
      <w:r w:rsidRPr="001D6E3E">
        <w:rPr>
          <w:rFonts w:asciiTheme="minorHAnsi" w:hAnsiTheme="minorHAnsi"/>
          <w:color w:val="000000" w:themeColor="text1"/>
          <w:spacing w:val="18"/>
          <w:sz w:val="20"/>
          <w:szCs w:val="20"/>
        </w:rPr>
        <w:t xml:space="preserve"> </w:t>
      </w:r>
      <w:r w:rsidRPr="001D6E3E">
        <w:rPr>
          <w:rFonts w:asciiTheme="minorHAnsi" w:hAnsiTheme="minorHAnsi"/>
          <w:color w:val="000000" w:themeColor="text1"/>
          <w:spacing w:val="-6"/>
          <w:sz w:val="20"/>
          <w:szCs w:val="20"/>
        </w:rPr>
        <w:t>relativa</w:t>
      </w:r>
      <w:r w:rsidRPr="001D6E3E">
        <w:rPr>
          <w:rFonts w:asciiTheme="minorHAnsi" w:hAnsiTheme="minorHAnsi"/>
          <w:color w:val="000000" w:themeColor="text1"/>
          <w:spacing w:val="-5"/>
          <w:sz w:val="20"/>
          <w:szCs w:val="20"/>
        </w:rPr>
        <w:t>mente</w:t>
      </w:r>
      <w:r w:rsidRPr="001D6E3E">
        <w:rPr>
          <w:rFonts w:asciiTheme="minorHAnsi" w:hAnsiTheme="minorHAnsi"/>
          <w:color w:val="000000" w:themeColor="text1"/>
          <w:spacing w:val="-10"/>
          <w:sz w:val="20"/>
          <w:szCs w:val="20"/>
        </w:rPr>
        <w:t xml:space="preserve"> </w:t>
      </w:r>
      <w:r w:rsidRPr="001D6E3E">
        <w:rPr>
          <w:rFonts w:asciiTheme="minorHAnsi" w:hAnsiTheme="minorHAnsi"/>
          <w:color w:val="000000" w:themeColor="text1"/>
          <w:spacing w:val="-4"/>
          <w:sz w:val="20"/>
          <w:szCs w:val="20"/>
        </w:rPr>
        <w:t xml:space="preserve">basso. </w:t>
      </w:r>
    </w:p>
    <w:p w:rsidR="009E4697" w:rsidRDefault="00795BBE" w:rsidP="00795BBE">
      <w:pPr>
        <w:pStyle w:val="BodyText"/>
        <w:spacing w:before="0"/>
        <w:ind w:left="0" w:right="108"/>
        <w:jc w:val="both"/>
        <w:rPr>
          <w:rFonts w:asciiTheme="minorHAnsi" w:hAnsiTheme="minorHAnsi"/>
          <w:color w:val="000000" w:themeColor="text1"/>
          <w:spacing w:val="-5"/>
          <w:sz w:val="20"/>
          <w:szCs w:val="20"/>
        </w:rPr>
      </w:pPr>
      <w:r w:rsidRPr="001D6E3E">
        <w:rPr>
          <w:rFonts w:asciiTheme="minorHAnsi" w:hAnsiTheme="minorHAnsi"/>
          <w:color w:val="000000" w:themeColor="text1"/>
          <w:spacing w:val="-4"/>
          <w:sz w:val="20"/>
          <w:szCs w:val="20"/>
        </w:rPr>
        <w:t>Per</w:t>
      </w:r>
      <w:r w:rsidRPr="001D6E3E">
        <w:rPr>
          <w:rFonts w:asciiTheme="minorHAnsi" w:hAnsiTheme="minorHAnsi"/>
          <w:color w:val="000000" w:themeColor="text1"/>
          <w:spacing w:val="-9"/>
          <w:sz w:val="20"/>
          <w:szCs w:val="20"/>
        </w:rPr>
        <w:t xml:space="preserve"> </w:t>
      </w:r>
      <w:r w:rsidRPr="001D6E3E">
        <w:rPr>
          <w:rFonts w:asciiTheme="minorHAnsi" w:hAnsiTheme="minorHAnsi"/>
          <w:color w:val="000000" w:themeColor="text1"/>
          <w:spacing w:val="-4"/>
          <w:sz w:val="20"/>
          <w:szCs w:val="20"/>
        </w:rPr>
        <w:t>qu</w:t>
      </w:r>
      <w:r w:rsidRPr="001D6E3E">
        <w:rPr>
          <w:rFonts w:asciiTheme="minorHAnsi" w:hAnsiTheme="minorHAnsi"/>
          <w:color w:val="000000" w:themeColor="text1"/>
          <w:spacing w:val="-5"/>
          <w:sz w:val="20"/>
          <w:szCs w:val="20"/>
        </w:rPr>
        <w:t>anto</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pacing w:val="-6"/>
          <w:sz w:val="20"/>
          <w:szCs w:val="20"/>
        </w:rPr>
        <w:t>riguarda</w:t>
      </w:r>
      <w:r w:rsidRPr="001D6E3E">
        <w:rPr>
          <w:rFonts w:asciiTheme="minorHAnsi" w:hAnsiTheme="minorHAnsi"/>
          <w:color w:val="000000" w:themeColor="text1"/>
          <w:spacing w:val="-9"/>
          <w:sz w:val="20"/>
          <w:szCs w:val="20"/>
        </w:rPr>
        <w:t xml:space="preserve"> </w:t>
      </w:r>
      <w:r w:rsidRPr="001D6E3E">
        <w:rPr>
          <w:rFonts w:asciiTheme="minorHAnsi" w:hAnsiTheme="minorHAnsi"/>
          <w:color w:val="000000" w:themeColor="text1"/>
          <w:spacing w:val="-5"/>
          <w:sz w:val="20"/>
          <w:szCs w:val="20"/>
        </w:rPr>
        <w:t>gli</w:t>
      </w:r>
      <w:r w:rsidRPr="001D6E3E">
        <w:rPr>
          <w:rFonts w:asciiTheme="minorHAnsi" w:hAnsiTheme="minorHAnsi"/>
          <w:color w:val="000000" w:themeColor="text1"/>
          <w:spacing w:val="-9"/>
          <w:sz w:val="20"/>
          <w:szCs w:val="20"/>
        </w:rPr>
        <w:t xml:space="preserve"> </w:t>
      </w:r>
      <w:r w:rsidRPr="009E4697">
        <w:rPr>
          <w:rFonts w:asciiTheme="minorHAnsi" w:hAnsiTheme="minorHAnsi"/>
          <w:b/>
          <w:bCs/>
          <w:color w:val="000000" w:themeColor="text1"/>
          <w:spacing w:val="-6"/>
          <w:sz w:val="20"/>
          <w:szCs w:val="20"/>
        </w:rPr>
        <w:t>antico</w:t>
      </w:r>
      <w:r w:rsidRPr="009E4697">
        <w:rPr>
          <w:rFonts w:asciiTheme="minorHAnsi" w:hAnsiTheme="minorHAnsi"/>
          <w:b/>
          <w:bCs/>
          <w:color w:val="000000" w:themeColor="text1"/>
          <w:spacing w:val="-5"/>
          <w:sz w:val="20"/>
          <w:szCs w:val="20"/>
        </w:rPr>
        <w:t>rp</w:t>
      </w:r>
      <w:r w:rsidRPr="009E4697">
        <w:rPr>
          <w:rFonts w:asciiTheme="minorHAnsi" w:hAnsiTheme="minorHAnsi"/>
          <w:b/>
          <w:bCs/>
          <w:color w:val="000000" w:themeColor="text1"/>
          <w:spacing w:val="-6"/>
          <w:sz w:val="20"/>
          <w:szCs w:val="20"/>
        </w:rPr>
        <w:t>i</w:t>
      </w:r>
      <w:r w:rsidRPr="009E4697">
        <w:rPr>
          <w:rFonts w:asciiTheme="minorHAnsi" w:hAnsiTheme="minorHAnsi"/>
          <w:b/>
          <w:bCs/>
          <w:color w:val="000000" w:themeColor="text1"/>
          <w:spacing w:val="-9"/>
          <w:sz w:val="20"/>
          <w:szCs w:val="20"/>
        </w:rPr>
        <w:t xml:space="preserve"> </w:t>
      </w:r>
      <w:r w:rsidRPr="009E4697">
        <w:rPr>
          <w:rFonts w:asciiTheme="minorHAnsi" w:hAnsiTheme="minorHAnsi"/>
          <w:b/>
          <w:bCs/>
          <w:color w:val="000000" w:themeColor="text1"/>
          <w:spacing w:val="-2"/>
          <w:sz w:val="20"/>
          <w:szCs w:val="20"/>
        </w:rPr>
        <w:t>di</w:t>
      </w:r>
      <w:r w:rsidRPr="009E4697">
        <w:rPr>
          <w:rFonts w:asciiTheme="minorHAnsi" w:hAnsiTheme="minorHAnsi"/>
          <w:b/>
          <w:bCs/>
          <w:color w:val="000000" w:themeColor="text1"/>
          <w:spacing w:val="-9"/>
          <w:sz w:val="20"/>
          <w:szCs w:val="20"/>
        </w:rPr>
        <w:t xml:space="preserve"> </w:t>
      </w:r>
      <w:r w:rsidRPr="009E4697">
        <w:rPr>
          <w:rFonts w:asciiTheme="minorHAnsi" w:hAnsiTheme="minorHAnsi"/>
          <w:b/>
          <w:bCs/>
          <w:color w:val="000000" w:themeColor="text1"/>
          <w:spacing w:val="-5"/>
          <w:sz w:val="20"/>
          <w:szCs w:val="20"/>
        </w:rPr>
        <w:t>tipo</w:t>
      </w:r>
      <w:r w:rsidRPr="009E4697">
        <w:rPr>
          <w:rFonts w:asciiTheme="minorHAnsi" w:hAnsiTheme="minorHAnsi"/>
          <w:b/>
          <w:bCs/>
          <w:color w:val="000000" w:themeColor="text1"/>
          <w:spacing w:val="-7"/>
          <w:sz w:val="20"/>
          <w:szCs w:val="20"/>
        </w:rPr>
        <w:t xml:space="preserve"> </w:t>
      </w:r>
      <w:r w:rsidRPr="009E4697">
        <w:rPr>
          <w:rFonts w:asciiTheme="minorHAnsi" w:hAnsiTheme="minorHAnsi"/>
          <w:b/>
          <w:bCs/>
          <w:color w:val="000000" w:themeColor="text1"/>
          <w:spacing w:val="-3"/>
          <w:sz w:val="20"/>
          <w:szCs w:val="20"/>
        </w:rPr>
        <w:t>A</w:t>
      </w:r>
      <w:r w:rsidRPr="001D6E3E">
        <w:rPr>
          <w:rFonts w:asciiTheme="minorHAnsi" w:hAnsiTheme="minorHAnsi"/>
          <w:color w:val="000000" w:themeColor="text1"/>
          <w:spacing w:val="-3"/>
          <w:sz w:val="20"/>
          <w:szCs w:val="20"/>
        </w:rPr>
        <w:t>,</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4"/>
          <w:sz w:val="20"/>
          <w:szCs w:val="20"/>
        </w:rPr>
        <w:t>dopo</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3"/>
          <w:sz w:val="20"/>
          <w:szCs w:val="20"/>
        </w:rPr>
        <w:t>la</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5"/>
          <w:sz w:val="20"/>
          <w:szCs w:val="20"/>
        </w:rPr>
        <w:t>nascita</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z w:val="20"/>
          <w:szCs w:val="20"/>
        </w:rPr>
        <w:t>e</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3"/>
          <w:sz w:val="20"/>
          <w:szCs w:val="20"/>
        </w:rPr>
        <w:t>per</w:t>
      </w:r>
      <w:r w:rsidRPr="001D6E3E">
        <w:rPr>
          <w:rFonts w:asciiTheme="minorHAnsi" w:hAnsiTheme="minorHAnsi"/>
          <w:color w:val="000000" w:themeColor="text1"/>
          <w:spacing w:val="-8"/>
          <w:sz w:val="20"/>
          <w:szCs w:val="20"/>
        </w:rPr>
        <w:t xml:space="preserve"> </w:t>
      </w:r>
      <w:r w:rsidR="000E206E" w:rsidRPr="001D6E3E">
        <w:rPr>
          <w:rFonts w:asciiTheme="minorHAnsi" w:hAnsiTheme="minorHAnsi"/>
          <w:color w:val="000000" w:themeColor="text1"/>
          <w:spacing w:val="-5"/>
          <w:sz w:val="20"/>
          <w:szCs w:val="20"/>
        </w:rPr>
        <w:t>diversi</w:t>
      </w:r>
      <w:r w:rsidRPr="001D6E3E">
        <w:rPr>
          <w:rFonts w:asciiTheme="minorHAnsi" w:hAnsiTheme="minorHAnsi"/>
          <w:color w:val="000000" w:themeColor="text1"/>
          <w:spacing w:val="-9"/>
          <w:sz w:val="20"/>
          <w:szCs w:val="20"/>
        </w:rPr>
        <w:t xml:space="preserve"> </w:t>
      </w:r>
      <w:r w:rsidRPr="001D6E3E">
        <w:rPr>
          <w:rFonts w:asciiTheme="minorHAnsi" w:hAnsiTheme="minorHAnsi"/>
          <w:color w:val="000000" w:themeColor="text1"/>
          <w:spacing w:val="-5"/>
          <w:sz w:val="20"/>
          <w:szCs w:val="20"/>
        </w:rPr>
        <w:t>mesi</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pacing w:val="-3"/>
          <w:sz w:val="20"/>
          <w:szCs w:val="20"/>
        </w:rPr>
        <w:t>il</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6"/>
          <w:sz w:val="20"/>
          <w:szCs w:val="20"/>
        </w:rPr>
        <w:t>lo</w:t>
      </w:r>
      <w:r w:rsidRPr="001D6E3E">
        <w:rPr>
          <w:rFonts w:asciiTheme="minorHAnsi" w:hAnsiTheme="minorHAnsi"/>
          <w:color w:val="000000" w:themeColor="text1"/>
          <w:spacing w:val="-5"/>
          <w:sz w:val="20"/>
          <w:szCs w:val="20"/>
        </w:rPr>
        <w:t>ro</w:t>
      </w:r>
      <w:r w:rsidRPr="001D6E3E">
        <w:rPr>
          <w:rFonts w:asciiTheme="minorHAnsi" w:hAnsiTheme="minorHAnsi"/>
          <w:color w:val="000000" w:themeColor="text1"/>
          <w:spacing w:val="60"/>
          <w:sz w:val="20"/>
          <w:szCs w:val="20"/>
        </w:rPr>
        <w:t xml:space="preserve"> </w:t>
      </w:r>
      <w:r w:rsidRPr="001D6E3E">
        <w:rPr>
          <w:rFonts w:asciiTheme="minorHAnsi" w:hAnsiTheme="minorHAnsi"/>
          <w:color w:val="000000" w:themeColor="text1"/>
          <w:spacing w:val="-5"/>
          <w:sz w:val="20"/>
          <w:szCs w:val="20"/>
        </w:rPr>
        <w:t>livell</w:t>
      </w:r>
      <w:r w:rsidRPr="001D6E3E">
        <w:rPr>
          <w:rFonts w:asciiTheme="minorHAnsi" w:hAnsiTheme="minorHAnsi"/>
          <w:color w:val="000000" w:themeColor="text1"/>
          <w:spacing w:val="-4"/>
          <w:sz w:val="20"/>
          <w:szCs w:val="20"/>
        </w:rPr>
        <w:t>o</w:t>
      </w:r>
      <w:r w:rsidRPr="001D6E3E">
        <w:rPr>
          <w:rFonts w:asciiTheme="minorHAnsi" w:hAnsiTheme="minorHAnsi"/>
          <w:color w:val="000000" w:themeColor="text1"/>
          <w:spacing w:val="-7"/>
          <w:sz w:val="20"/>
          <w:szCs w:val="20"/>
        </w:rPr>
        <w:t xml:space="preserve"> </w:t>
      </w:r>
      <w:r w:rsidRPr="001D6E3E">
        <w:rPr>
          <w:rFonts w:asciiTheme="minorHAnsi" w:hAnsiTheme="minorHAnsi"/>
          <w:color w:val="000000" w:themeColor="text1"/>
          <w:spacing w:val="-5"/>
          <w:sz w:val="20"/>
          <w:szCs w:val="20"/>
        </w:rPr>
        <w:t>r</w:t>
      </w:r>
      <w:r w:rsidRPr="001D6E3E">
        <w:rPr>
          <w:rFonts w:asciiTheme="minorHAnsi" w:hAnsiTheme="minorHAnsi"/>
          <w:color w:val="000000" w:themeColor="text1"/>
          <w:spacing w:val="-6"/>
          <w:sz w:val="20"/>
          <w:szCs w:val="20"/>
        </w:rPr>
        <w:t>imane</w:t>
      </w:r>
      <w:r w:rsidRPr="001D6E3E">
        <w:rPr>
          <w:rFonts w:asciiTheme="minorHAnsi" w:hAnsiTheme="minorHAnsi"/>
          <w:color w:val="000000" w:themeColor="text1"/>
          <w:spacing w:val="-8"/>
          <w:sz w:val="20"/>
          <w:szCs w:val="20"/>
        </w:rPr>
        <w:t xml:space="preserve"> </w:t>
      </w:r>
      <w:r w:rsidRPr="001D6E3E">
        <w:rPr>
          <w:rFonts w:asciiTheme="minorHAnsi" w:hAnsiTheme="minorHAnsi"/>
          <w:color w:val="000000" w:themeColor="text1"/>
          <w:spacing w:val="-5"/>
          <w:sz w:val="20"/>
          <w:szCs w:val="20"/>
        </w:rPr>
        <w:t>m</w:t>
      </w:r>
      <w:r w:rsidRPr="001D6E3E">
        <w:rPr>
          <w:rFonts w:asciiTheme="minorHAnsi" w:hAnsiTheme="minorHAnsi"/>
          <w:color w:val="000000" w:themeColor="text1"/>
          <w:spacing w:val="-4"/>
          <w:sz w:val="20"/>
          <w:szCs w:val="20"/>
        </w:rPr>
        <w:t>o</w:t>
      </w:r>
      <w:r w:rsidRPr="001D6E3E">
        <w:rPr>
          <w:rFonts w:asciiTheme="minorHAnsi" w:hAnsiTheme="minorHAnsi"/>
          <w:color w:val="000000" w:themeColor="text1"/>
          <w:spacing w:val="-5"/>
          <w:sz w:val="20"/>
          <w:szCs w:val="20"/>
        </w:rPr>
        <w:t>lto</w:t>
      </w:r>
      <w:r w:rsidRPr="001D6E3E">
        <w:rPr>
          <w:rFonts w:asciiTheme="minorHAnsi" w:hAnsiTheme="minorHAnsi"/>
          <w:color w:val="000000" w:themeColor="text1"/>
          <w:spacing w:val="-9"/>
          <w:sz w:val="20"/>
          <w:szCs w:val="20"/>
        </w:rPr>
        <w:t xml:space="preserve"> </w:t>
      </w:r>
      <w:r w:rsidRPr="001D6E3E">
        <w:rPr>
          <w:rFonts w:asciiTheme="minorHAnsi" w:hAnsiTheme="minorHAnsi"/>
          <w:color w:val="000000" w:themeColor="text1"/>
          <w:spacing w:val="-6"/>
          <w:sz w:val="20"/>
          <w:szCs w:val="20"/>
        </w:rPr>
        <w:t>ba</w:t>
      </w:r>
      <w:r w:rsidRPr="001D6E3E">
        <w:rPr>
          <w:rFonts w:asciiTheme="minorHAnsi" w:hAnsiTheme="minorHAnsi"/>
          <w:color w:val="000000" w:themeColor="text1"/>
          <w:spacing w:val="-5"/>
          <w:sz w:val="20"/>
          <w:szCs w:val="20"/>
        </w:rPr>
        <w:t xml:space="preserve">sso. </w:t>
      </w:r>
    </w:p>
    <w:p w:rsidR="00795BBE" w:rsidRDefault="00795BBE" w:rsidP="00795BBE">
      <w:pPr>
        <w:pStyle w:val="BodyText"/>
        <w:spacing w:before="0"/>
        <w:ind w:left="0" w:right="108"/>
        <w:jc w:val="both"/>
        <w:rPr>
          <w:rFonts w:asciiTheme="minorHAnsi" w:hAnsiTheme="minorHAnsi"/>
          <w:color w:val="000000" w:themeColor="text1"/>
          <w:spacing w:val="-4"/>
          <w:sz w:val="20"/>
          <w:szCs w:val="20"/>
        </w:rPr>
      </w:pPr>
      <w:r w:rsidRPr="001D6E3E">
        <w:rPr>
          <w:rFonts w:asciiTheme="minorHAnsi" w:hAnsiTheme="minorHAnsi"/>
          <w:color w:val="000000" w:themeColor="text1"/>
          <w:spacing w:val="-3"/>
          <w:sz w:val="20"/>
          <w:szCs w:val="20"/>
        </w:rPr>
        <w:t>Ne segue che</w:t>
      </w:r>
      <w:r w:rsidRPr="001D6E3E">
        <w:rPr>
          <w:rFonts w:asciiTheme="minorHAnsi" w:hAnsiTheme="minorHAnsi"/>
          <w:color w:val="000000" w:themeColor="text1"/>
          <w:sz w:val="20"/>
          <w:szCs w:val="20"/>
        </w:rPr>
        <w:t xml:space="preserve"> i</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5"/>
          <w:sz w:val="20"/>
          <w:szCs w:val="20"/>
        </w:rPr>
        <w:t>ne</w:t>
      </w:r>
      <w:r w:rsidRPr="001D6E3E">
        <w:rPr>
          <w:rFonts w:asciiTheme="minorHAnsi" w:hAnsiTheme="minorHAnsi"/>
          <w:color w:val="000000" w:themeColor="text1"/>
          <w:spacing w:val="-4"/>
          <w:sz w:val="20"/>
          <w:szCs w:val="20"/>
        </w:rPr>
        <w:t>on</w:t>
      </w:r>
      <w:r w:rsidRPr="001D6E3E">
        <w:rPr>
          <w:rFonts w:asciiTheme="minorHAnsi" w:hAnsiTheme="minorHAnsi"/>
          <w:color w:val="000000" w:themeColor="text1"/>
          <w:spacing w:val="-5"/>
          <w:sz w:val="20"/>
          <w:szCs w:val="20"/>
        </w:rPr>
        <w:t>ati</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4"/>
          <w:sz w:val="20"/>
          <w:szCs w:val="20"/>
        </w:rPr>
        <w:t>sono</w:t>
      </w:r>
      <w:r w:rsidRPr="001D6E3E">
        <w:rPr>
          <w:rFonts w:asciiTheme="minorHAnsi" w:hAnsiTheme="minorHAnsi"/>
          <w:color w:val="000000" w:themeColor="text1"/>
          <w:sz w:val="20"/>
          <w:szCs w:val="20"/>
        </w:rPr>
        <w:t xml:space="preserve"> </w:t>
      </w:r>
      <w:r w:rsidRPr="001D6E3E">
        <w:rPr>
          <w:rFonts w:asciiTheme="minorHAnsi" w:hAnsiTheme="minorHAnsi"/>
          <w:color w:val="000000" w:themeColor="text1"/>
          <w:spacing w:val="-5"/>
          <w:sz w:val="20"/>
          <w:szCs w:val="20"/>
        </w:rPr>
        <w:t>più</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4"/>
          <w:sz w:val="20"/>
          <w:szCs w:val="20"/>
        </w:rPr>
        <w:t>sogg</w:t>
      </w:r>
      <w:r w:rsidRPr="001D6E3E">
        <w:rPr>
          <w:rFonts w:asciiTheme="minorHAnsi" w:hAnsiTheme="minorHAnsi"/>
          <w:color w:val="000000" w:themeColor="text1"/>
          <w:spacing w:val="-5"/>
          <w:sz w:val="20"/>
          <w:szCs w:val="20"/>
        </w:rPr>
        <w:t>etti</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3"/>
          <w:sz w:val="20"/>
          <w:szCs w:val="20"/>
        </w:rPr>
        <w:t>alle</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5"/>
          <w:sz w:val="20"/>
          <w:szCs w:val="20"/>
        </w:rPr>
        <w:t>malattie</w:t>
      </w:r>
      <w:r w:rsidRPr="001D6E3E">
        <w:rPr>
          <w:rFonts w:asciiTheme="minorHAnsi" w:hAnsiTheme="minorHAnsi"/>
          <w:color w:val="000000" w:themeColor="text1"/>
          <w:spacing w:val="-1"/>
          <w:sz w:val="20"/>
          <w:szCs w:val="20"/>
        </w:rPr>
        <w:t xml:space="preserve"> </w:t>
      </w:r>
      <w:r w:rsidRPr="001D6E3E">
        <w:rPr>
          <w:rFonts w:asciiTheme="minorHAnsi" w:hAnsiTheme="minorHAnsi"/>
          <w:color w:val="000000" w:themeColor="text1"/>
          <w:spacing w:val="-5"/>
          <w:sz w:val="20"/>
          <w:szCs w:val="20"/>
        </w:rPr>
        <w:t>che</w:t>
      </w:r>
      <w:r w:rsidRPr="001D6E3E">
        <w:rPr>
          <w:rFonts w:asciiTheme="minorHAnsi" w:hAnsiTheme="minorHAnsi" w:cs="Times New Roman"/>
          <w:color w:val="000000" w:themeColor="text1"/>
          <w:spacing w:val="33"/>
          <w:w w:val="99"/>
          <w:sz w:val="20"/>
          <w:szCs w:val="20"/>
        </w:rPr>
        <w:t xml:space="preserve"> </w:t>
      </w:r>
      <w:r w:rsidRPr="001D6E3E">
        <w:rPr>
          <w:rFonts w:asciiTheme="minorHAnsi" w:hAnsiTheme="minorHAnsi"/>
          <w:color w:val="000000" w:themeColor="text1"/>
          <w:spacing w:val="-5"/>
          <w:sz w:val="20"/>
          <w:szCs w:val="20"/>
        </w:rPr>
        <w:t>colpiscono</w:t>
      </w:r>
      <w:r w:rsidRPr="001D6E3E">
        <w:rPr>
          <w:rFonts w:asciiTheme="minorHAnsi" w:hAnsiTheme="minorHAnsi"/>
          <w:color w:val="000000" w:themeColor="text1"/>
          <w:spacing w:val="15"/>
          <w:sz w:val="20"/>
          <w:szCs w:val="20"/>
        </w:rPr>
        <w:t xml:space="preserve"> </w:t>
      </w:r>
      <w:r w:rsidRPr="001D6E3E">
        <w:rPr>
          <w:rFonts w:asciiTheme="minorHAnsi" w:hAnsiTheme="minorHAnsi"/>
          <w:color w:val="000000" w:themeColor="text1"/>
          <w:spacing w:val="-2"/>
          <w:sz w:val="20"/>
          <w:szCs w:val="20"/>
        </w:rPr>
        <w:t>le</w:t>
      </w:r>
      <w:r w:rsidRPr="001D6E3E">
        <w:rPr>
          <w:rFonts w:asciiTheme="minorHAnsi" w:hAnsiTheme="minorHAnsi"/>
          <w:color w:val="000000" w:themeColor="text1"/>
          <w:spacing w:val="15"/>
          <w:sz w:val="20"/>
          <w:szCs w:val="20"/>
        </w:rPr>
        <w:t xml:space="preserve"> </w:t>
      </w:r>
      <w:r w:rsidRPr="001D6E3E">
        <w:rPr>
          <w:rFonts w:asciiTheme="minorHAnsi" w:hAnsiTheme="minorHAnsi"/>
          <w:color w:val="000000" w:themeColor="text1"/>
          <w:spacing w:val="-5"/>
          <w:sz w:val="20"/>
          <w:szCs w:val="20"/>
        </w:rPr>
        <w:t>m</w:t>
      </w:r>
      <w:r w:rsidRPr="001D6E3E">
        <w:rPr>
          <w:rFonts w:asciiTheme="minorHAnsi" w:hAnsiTheme="minorHAnsi"/>
          <w:color w:val="000000" w:themeColor="text1"/>
          <w:spacing w:val="-4"/>
          <w:sz w:val="20"/>
          <w:szCs w:val="20"/>
        </w:rPr>
        <w:t>u</w:t>
      </w:r>
      <w:r w:rsidRPr="001D6E3E">
        <w:rPr>
          <w:rFonts w:asciiTheme="minorHAnsi" w:hAnsiTheme="minorHAnsi"/>
          <w:color w:val="000000" w:themeColor="text1"/>
          <w:spacing w:val="-5"/>
          <w:sz w:val="20"/>
          <w:szCs w:val="20"/>
        </w:rPr>
        <w:t>co</w:t>
      </w:r>
      <w:r w:rsidRPr="001D6E3E">
        <w:rPr>
          <w:rFonts w:asciiTheme="minorHAnsi" w:hAnsiTheme="minorHAnsi"/>
          <w:color w:val="000000" w:themeColor="text1"/>
          <w:spacing w:val="-4"/>
          <w:sz w:val="20"/>
          <w:szCs w:val="20"/>
        </w:rPr>
        <w:t>se,</w:t>
      </w:r>
      <w:r w:rsidRPr="001D6E3E">
        <w:rPr>
          <w:rFonts w:asciiTheme="minorHAnsi" w:hAnsiTheme="minorHAnsi"/>
          <w:color w:val="000000" w:themeColor="text1"/>
          <w:spacing w:val="15"/>
          <w:sz w:val="20"/>
          <w:szCs w:val="20"/>
        </w:rPr>
        <w:t xml:space="preserve"> </w:t>
      </w:r>
      <w:r w:rsidRPr="001D6E3E">
        <w:rPr>
          <w:rFonts w:asciiTheme="minorHAnsi" w:hAnsiTheme="minorHAnsi"/>
          <w:color w:val="000000" w:themeColor="text1"/>
          <w:spacing w:val="-5"/>
          <w:sz w:val="20"/>
          <w:szCs w:val="20"/>
        </w:rPr>
        <w:t>perché</w:t>
      </w:r>
      <w:r w:rsidRPr="001D6E3E">
        <w:rPr>
          <w:rFonts w:asciiTheme="minorHAnsi" w:hAnsiTheme="minorHAnsi"/>
          <w:color w:val="000000" w:themeColor="text1"/>
          <w:spacing w:val="14"/>
          <w:sz w:val="20"/>
          <w:szCs w:val="20"/>
        </w:rPr>
        <w:t xml:space="preserve"> </w:t>
      </w:r>
      <w:r w:rsidRPr="001D6E3E">
        <w:rPr>
          <w:rFonts w:asciiTheme="minorHAnsi" w:hAnsiTheme="minorHAnsi"/>
          <w:color w:val="000000" w:themeColor="text1"/>
          <w:spacing w:val="-3"/>
          <w:sz w:val="20"/>
          <w:szCs w:val="20"/>
        </w:rPr>
        <w:t>le</w:t>
      </w:r>
      <w:r w:rsidRPr="001D6E3E">
        <w:rPr>
          <w:rFonts w:asciiTheme="minorHAnsi" w:hAnsiTheme="minorHAnsi"/>
          <w:color w:val="000000" w:themeColor="text1"/>
          <w:spacing w:val="16"/>
          <w:sz w:val="20"/>
          <w:szCs w:val="20"/>
        </w:rPr>
        <w:t xml:space="preserve"> </w:t>
      </w:r>
      <w:r w:rsidRPr="001D6E3E">
        <w:rPr>
          <w:rFonts w:asciiTheme="minorHAnsi" w:hAnsiTheme="minorHAnsi"/>
          <w:color w:val="000000" w:themeColor="text1"/>
          <w:spacing w:val="-5"/>
          <w:sz w:val="20"/>
          <w:szCs w:val="20"/>
        </w:rPr>
        <w:t>lo</w:t>
      </w:r>
      <w:r w:rsidRPr="001D6E3E">
        <w:rPr>
          <w:rFonts w:asciiTheme="minorHAnsi" w:hAnsiTheme="minorHAnsi"/>
          <w:color w:val="000000" w:themeColor="text1"/>
          <w:spacing w:val="-4"/>
          <w:sz w:val="20"/>
          <w:szCs w:val="20"/>
        </w:rPr>
        <w:t>ro</w:t>
      </w:r>
      <w:r w:rsidRPr="001D6E3E">
        <w:rPr>
          <w:rFonts w:asciiTheme="minorHAnsi" w:hAnsiTheme="minorHAnsi"/>
          <w:color w:val="000000" w:themeColor="text1"/>
          <w:spacing w:val="15"/>
          <w:sz w:val="20"/>
          <w:szCs w:val="20"/>
        </w:rPr>
        <w:t xml:space="preserve"> </w:t>
      </w:r>
      <w:r w:rsidRPr="001D6E3E">
        <w:rPr>
          <w:rFonts w:asciiTheme="minorHAnsi" w:hAnsiTheme="minorHAnsi"/>
          <w:color w:val="000000" w:themeColor="text1"/>
          <w:spacing w:val="-6"/>
          <w:sz w:val="20"/>
          <w:szCs w:val="20"/>
        </w:rPr>
        <w:t>difese</w:t>
      </w:r>
      <w:r w:rsidRPr="001D6E3E">
        <w:rPr>
          <w:rFonts w:asciiTheme="minorHAnsi" w:hAnsiTheme="minorHAnsi"/>
          <w:color w:val="000000" w:themeColor="text1"/>
          <w:spacing w:val="16"/>
          <w:sz w:val="20"/>
          <w:szCs w:val="20"/>
        </w:rPr>
        <w:t xml:space="preserve"> </w:t>
      </w:r>
      <w:r w:rsidRPr="001D6E3E">
        <w:rPr>
          <w:rFonts w:asciiTheme="minorHAnsi" w:hAnsiTheme="minorHAnsi"/>
          <w:color w:val="000000" w:themeColor="text1"/>
          <w:spacing w:val="-4"/>
          <w:sz w:val="20"/>
          <w:szCs w:val="20"/>
        </w:rPr>
        <w:t>sono</w:t>
      </w:r>
      <w:r w:rsidRPr="001D6E3E">
        <w:rPr>
          <w:rFonts w:asciiTheme="minorHAnsi" w:hAnsiTheme="minorHAnsi"/>
          <w:color w:val="000000" w:themeColor="text1"/>
          <w:spacing w:val="17"/>
          <w:sz w:val="20"/>
          <w:szCs w:val="20"/>
        </w:rPr>
        <w:t xml:space="preserve"> </w:t>
      </w:r>
      <w:r w:rsidR="000E206E" w:rsidRPr="001D6E3E">
        <w:rPr>
          <w:rFonts w:asciiTheme="minorHAnsi" w:hAnsiTheme="minorHAnsi"/>
          <w:color w:val="000000" w:themeColor="text1"/>
          <w:spacing w:val="-5"/>
          <w:sz w:val="20"/>
          <w:szCs w:val="20"/>
        </w:rPr>
        <w:t xml:space="preserve">ancora carenti </w:t>
      </w:r>
      <w:r w:rsidRPr="001D6E3E">
        <w:rPr>
          <w:rFonts w:asciiTheme="minorHAnsi" w:hAnsiTheme="minorHAnsi"/>
          <w:color w:val="000000" w:themeColor="text1"/>
          <w:sz w:val="20"/>
          <w:szCs w:val="20"/>
        </w:rPr>
        <w:t>a</w:t>
      </w:r>
      <w:r w:rsidRPr="001D6E3E">
        <w:rPr>
          <w:rFonts w:asciiTheme="minorHAnsi" w:hAnsiTheme="minorHAnsi"/>
          <w:color w:val="000000" w:themeColor="text1"/>
          <w:spacing w:val="16"/>
          <w:sz w:val="20"/>
          <w:szCs w:val="20"/>
        </w:rPr>
        <w:t xml:space="preserve"> </w:t>
      </w:r>
      <w:r w:rsidRPr="001D6E3E">
        <w:rPr>
          <w:rFonts w:asciiTheme="minorHAnsi" w:hAnsiTheme="minorHAnsi"/>
          <w:color w:val="000000" w:themeColor="text1"/>
          <w:spacing w:val="-5"/>
          <w:sz w:val="20"/>
          <w:szCs w:val="20"/>
        </w:rPr>
        <w:t>cau</w:t>
      </w:r>
      <w:r w:rsidRPr="001D6E3E">
        <w:rPr>
          <w:rFonts w:asciiTheme="minorHAnsi" w:hAnsiTheme="minorHAnsi"/>
          <w:color w:val="000000" w:themeColor="text1"/>
          <w:spacing w:val="-4"/>
          <w:sz w:val="20"/>
          <w:szCs w:val="20"/>
        </w:rPr>
        <w:t>sa</w:t>
      </w:r>
      <w:r w:rsidRPr="001D6E3E">
        <w:rPr>
          <w:rFonts w:asciiTheme="minorHAnsi" w:hAnsiTheme="minorHAnsi"/>
          <w:color w:val="000000" w:themeColor="text1"/>
          <w:spacing w:val="15"/>
          <w:sz w:val="20"/>
          <w:szCs w:val="20"/>
        </w:rPr>
        <w:t xml:space="preserve"> </w:t>
      </w:r>
      <w:r w:rsidRPr="001D6E3E">
        <w:rPr>
          <w:rFonts w:asciiTheme="minorHAnsi" w:hAnsiTheme="minorHAnsi"/>
          <w:color w:val="000000" w:themeColor="text1"/>
          <w:spacing w:val="-3"/>
          <w:sz w:val="20"/>
          <w:szCs w:val="20"/>
        </w:rPr>
        <w:t>di</w:t>
      </w:r>
      <w:r w:rsidRPr="001D6E3E">
        <w:rPr>
          <w:rFonts w:asciiTheme="minorHAnsi" w:hAnsiTheme="minorHAnsi"/>
          <w:color w:val="000000" w:themeColor="text1"/>
          <w:spacing w:val="14"/>
          <w:sz w:val="20"/>
          <w:szCs w:val="20"/>
        </w:rPr>
        <w:t xml:space="preserve"> </w:t>
      </w:r>
      <w:r w:rsidRPr="001D6E3E">
        <w:rPr>
          <w:rFonts w:asciiTheme="minorHAnsi" w:hAnsiTheme="minorHAnsi"/>
          <w:color w:val="000000" w:themeColor="text1"/>
          <w:spacing w:val="-3"/>
          <w:sz w:val="20"/>
          <w:szCs w:val="20"/>
        </w:rPr>
        <w:t>una</w:t>
      </w:r>
      <w:r w:rsidRPr="001D6E3E">
        <w:rPr>
          <w:rFonts w:asciiTheme="minorHAnsi" w:hAnsiTheme="minorHAnsi"/>
          <w:color w:val="000000" w:themeColor="text1"/>
          <w:spacing w:val="16"/>
          <w:sz w:val="20"/>
          <w:szCs w:val="20"/>
        </w:rPr>
        <w:t xml:space="preserve"> </w:t>
      </w:r>
      <w:r w:rsidRPr="001D6E3E">
        <w:rPr>
          <w:rFonts w:asciiTheme="minorHAnsi" w:hAnsiTheme="minorHAnsi"/>
          <w:color w:val="000000" w:themeColor="text1"/>
          <w:spacing w:val="-6"/>
          <w:sz w:val="20"/>
          <w:szCs w:val="20"/>
        </w:rPr>
        <w:t>scarsa</w:t>
      </w:r>
      <w:r w:rsidRPr="001D6E3E">
        <w:rPr>
          <w:rFonts w:asciiTheme="minorHAnsi" w:hAnsiTheme="minorHAnsi" w:cs="Times New Roman"/>
          <w:color w:val="000000" w:themeColor="text1"/>
          <w:spacing w:val="60"/>
          <w:w w:val="99"/>
          <w:sz w:val="20"/>
          <w:szCs w:val="20"/>
        </w:rPr>
        <w:t xml:space="preserve"> </w:t>
      </w:r>
      <w:r w:rsidRPr="001D6E3E">
        <w:rPr>
          <w:rFonts w:asciiTheme="minorHAnsi" w:hAnsiTheme="minorHAnsi"/>
          <w:color w:val="000000" w:themeColor="text1"/>
          <w:spacing w:val="-5"/>
          <w:sz w:val="20"/>
          <w:szCs w:val="20"/>
        </w:rPr>
        <w:t>prod</w:t>
      </w:r>
      <w:r w:rsidRPr="001D6E3E">
        <w:rPr>
          <w:rFonts w:asciiTheme="minorHAnsi" w:hAnsiTheme="minorHAnsi"/>
          <w:color w:val="000000" w:themeColor="text1"/>
          <w:spacing w:val="-6"/>
          <w:sz w:val="20"/>
          <w:szCs w:val="20"/>
        </w:rPr>
        <w:t>uzione</w:t>
      </w:r>
      <w:r w:rsidRPr="001D6E3E">
        <w:rPr>
          <w:rFonts w:asciiTheme="minorHAnsi" w:hAnsiTheme="minorHAnsi"/>
          <w:color w:val="000000" w:themeColor="text1"/>
          <w:spacing w:val="20"/>
          <w:sz w:val="20"/>
          <w:szCs w:val="20"/>
        </w:rPr>
        <w:t xml:space="preserve"> </w:t>
      </w:r>
      <w:r w:rsidRPr="001D6E3E">
        <w:rPr>
          <w:rFonts w:asciiTheme="minorHAnsi" w:hAnsiTheme="minorHAnsi"/>
          <w:color w:val="000000" w:themeColor="text1"/>
          <w:spacing w:val="-3"/>
          <w:sz w:val="20"/>
          <w:szCs w:val="20"/>
        </w:rPr>
        <w:t>di</w:t>
      </w:r>
      <w:r w:rsidRPr="001D6E3E">
        <w:rPr>
          <w:rFonts w:asciiTheme="minorHAnsi" w:hAnsiTheme="minorHAnsi"/>
          <w:color w:val="000000" w:themeColor="text1"/>
          <w:spacing w:val="20"/>
          <w:sz w:val="20"/>
          <w:szCs w:val="20"/>
        </w:rPr>
        <w:t xml:space="preserve"> </w:t>
      </w:r>
      <w:r w:rsidRPr="001D6E3E">
        <w:rPr>
          <w:rFonts w:asciiTheme="minorHAnsi" w:hAnsiTheme="minorHAnsi"/>
          <w:color w:val="000000" w:themeColor="text1"/>
          <w:spacing w:val="-4"/>
          <w:sz w:val="20"/>
          <w:szCs w:val="20"/>
        </w:rPr>
        <w:t>IgA.</w:t>
      </w:r>
    </w:p>
    <w:p w:rsidR="00A6208A" w:rsidRDefault="00A6208A" w:rsidP="009E5073">
      <w:pPr>
        <w:pStyle w:val="BodyText"/>
        <w:spacing w:before="0"/>
        <w:ind w:left="284" w:right="560"/>
        <w:jc w:val="both"/>
        <w:rPr>
          <w:rFonts w:asciiTheme="minorHAnsi" w:hAnsiTheme="minorHAnsi"/>
          <w:color w:val="000000" w:themeColor="text1"/>
          <w:spacing w:val="-5"/>
          <w:sz w:val="20"/>
          <w:szCs w:val="20"/>
        </w:rPr>
      </w:pPr>
    </w:p>
    <w:p w:rsidR="009E5073" w:rsidRPr="009E4697" w:rsidRDefault="009E5073" w:rsidP="009E4697">
      <w:pPr>
        <w:pStyle w:val="BodyText"/>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spacing w:before="0"/>
        <w:ind w:left="567" w:right="843"/>
        <w:jc w:val="both"/>
        <w:rPr>
          <w:rFonts w:asciiTheme="minorHAnsi" w:hAnsiTheme="minorHAnsi"/>
          <w:i/>
          <w:iCs/>
          <w:color w:val="000000" w:themeColor="text1"/>
          <w:spacing w:val="-5"/>
          <w:sz w:val="20"/>
          <w:szCs w:val="20"/>
        </w:rPr>
      </w:pPr>
    </w:p>
    <w:p w:rsidR="00A6208A" w:rsidRPr="009E4697" w:rsidRDefault="00A6208A" w:rsidP="009E4697">
      <w:pPr>
        <w:pStyle w:val="BodyText"/>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spacing w:before="0"/>
        <w:ind w:left="567" w:right="843"/>
        <w:jc w:val="both"/>
        <w:rPr>
          <w:rFonts w:asciiTheme="minorHAnsi" w:hAnsiTheme="minorHAnsi"/>
          <w:i/>
          <w:iCs/>
          <w:color w:val="000000" w:themeColor="text1"/>
          <w:sz w:val="20"/>
          <w:szCs w:val="20"/>
        </w:rPr>
      </w:pPr>
      <w:r w:rsidRPr="009E4697">
        <w:rPr>
          <w:rFonts w:asciiTheme="minorHAnsi" w:hAnsiTheme="minorHAnsi"/>
          <w:i/>
          <w:iCs/>
          <w:color w:val="000000" w:themeColor="text1"/>
          <w:spacing w:val="-5"/>
          <w:sz w:val="20"/>
          <w:szCs w:val="20"/>
        </w:rPr>
        <w:t>È</w:t>
      </w:r>
      <w:r w:rsidR="00795BBE" w:rsidRPr="009E4697">
        <w:rPr>
          <w:rFonts w:asciiTheme="minorHAnsi" w:hAnsiTheme="minorHAnsi"/>
          <w:i/>
          <w:iCs/>
          <w:color w:val="000000" w:themeColor="text1"/>
          <w:spacing w:val="19"/>
          <w:sz w:val="20"/>
          <w:szCs w:val="20"/>
        </w:rPr>
        <w:t xml:space="preserve"> </w:t>
      </w:r>
      <w:r w:rsidR="00795BBE" w:rsidRPr="009E4697">
        <w:rPr>
          <w:rFonts w:asciiTheme="minorHAnsi" w:hAnsiTheme="minorHAnsi"/>
          <w:i/>
          <w:iCs/>
          <w:color w:val="000000" w:themeColor="text1"/>
          <w:spacing w:val="-6"/>
          <w:sz w:val="20"/>
          <w:szCs w:val="20"/>
        </w:rPr>
        <w:t>im</w:t>
      </w:r>
      <w:r w:rsidR="00795BBE" w:rsidRPr="009E4697">
        <w:rPr>
          <w:rFonts w:asciiTheme="minorHAnsi" w:hAnsiTheme="minorHAnsi"/>
          <w:i/>
          <w:iCs/>
          <w:color w:val="000000" w:themeColor="text1"/>
          <w:spacing w:val="-5"/>
          <w:sz w:val="20"/>
          <w:szCs w:val="20"/>
        </w:rPr>
        <w:t>por</w:t>
      </w:r>
      <w:r w:rsidR="00795BBE" w:rsidRPr="009E4697">
        <w:rPr>
          <w:rFonts w:asciiTheme="minorHAnsi" w:hAnsiTheme="minorHAnsi"/>
          <w:i/>
          <w:iCs/>
          <w:color w:val="000000" w:themeColor="text1"/>
          <w:spacing w:val="-6"/>
          <w:sz w:val="20"/>
          <w:szCs w:val="20"/>
        </w:rPr>
        <w:t>ta</w:t>
      </w:r>
      <w:r w:rsidR="00795BBE" w:rsidRPr="009E4697">
        <w:rPr>
          <w:rFonts w:asciiTheme="minorHAnsi" w:hAnsiTheme="minorHAnsi"/>
          <w:i/>
          <w:iCs/>
          <w:color w:val="000000" w:themeColor="text1"/>
          <w:spacing w:val="-5"/>
          <w:sz w:val="20"/>
          <w:szCs w:val="20"/>
        </w:rPr>
        <w:t>n</w:t>
      </w:r>
      <w:r w:rsidR="00795BBE" w:rsidRPr="009E4697">
        <w:rPr>
          <w:rFonts w:asciiTheme="minorHAnsi" w:hAnsiTheme="minorHAnsi"/>
          <w:i/>
          <w:iCs/>
          <w:color w:val="000000" w:themeColor="text1"/>
          <w:spacing w:val="-6"/>
          <w:sz w:val="20"/>
          <w:szCs w:val="20"/>
        </w:rPr>
        <w:t>te</w:t>
      </w:r>
      <w:r w:rsidR="00795BBE" w:rsidRPr="009E4697">
        <w:rPr>
          <w:rFonts w:asciiTheme="minorHAnsi" w:hAnsiTheme="minorHAnsi"/>
          <w:i/>
          <w:iCs/>
          <w:color w:val="000000" w:themeColor="text1"/>
          <w:spacing w:val="19"/>
          <w:sz w:val="20"/>
          <w:szCs w:val="20"/>
        </w:rPr>
        <w:t xml:space="preserve"> </w:t>
      </w:r>
      <w:r w:rsidR="00795BBE" w:rsidRPr="009E4697">
        <w:rPr>
          <w:rFonts w:asciiTheme="minorHAnsi" w:hAnsiTheme="minorHAnsi"/>
          <w:i/>
          <w:iCs/>
          <w:color w:val="000000" w:themeColor="text1"/>
          <w:spacing w:val="-4"/>
          <w:sz w:val="20"/>
          <w:szCs w:val="20"/>
        </w:rPr>
        <w:t>r</w:t>
      </w:r>
      <w:r w:rsidR="00795BBE" w:rsidRPr="009E4697">
        <w:rPr>
          <w:rFonts w:asciiTheme="minorHAnsi" w:hAnsiTheme="minorHAnsi"/>
          <w:i/>
          <w:iCs/>
          <w:color w:val="000000" w:themeColor="text1"/>
          <w:spacing w:val="-5"/>
          <w:sz w:val="20"/>
          <w:szCs w:val="20"/>
        </w:rPr>
        <w:t>ic</w:t>
      </w:r>
      <w:r w:rsidR="00795BBE" w:rsidRPr="009E4697">
        <w:rPr>
          <w:rFonts w:asciiTheme="minorHAnsi" w:hAnsiTheme="minorHAnsi"/>
          <w:i/>
          <w:iCs/>
          <w:color w:val="000000" w:themeColor="text1"/>
          <w:spacing w:val="-4"/>
          <w:sz w:val="20"/>
          <w:szCs w:val="20"/>
        </w:rPr>
        <w:t>o</w:t>
      </w:r>
      <w:r w:rsidR="00795BBE" w:rsidRPr="009E4697">
        <w:rPr>
          <w:rFonts w:asciiTheme="minorHAnsi" w:hAnsiTheme="minorHAnsi"/>
          <w:i/>
          <w:iCs/>
          <w:color w:val="000000" w:themeColor="text1"/>
          <w:spacing w:val="-5"/>
          <w:sz w:val="20"/>
          <w:szCs w:val="20"/>
        </w:rPr>
        <w:t>rda</w:t>
      </w:r>
      <w:r w:rsidR="00795BBE" w:rsidRPr="009E4697">
        <w:rPr>
          <w:rFonts w:asciiTheme="minorHAnsi" w:hAnsiTheme="minorHAnsi"/>
          <w:i/>
          <w:iCs/>
          <w:color w:val="000000" w:themeColor="text1"/>
          <w:spacing w:val="-4"/>
          <w:sz w:val="20"/>
          <w:szCs w:val="20"/>
        </w:rPr>
        <w:t>r</w:t>
      </w:r>
      <w:r w:rsidR="00795BBE" w:rsidRPr="009E4697">
        <w:rPr>
          <w:rFonts w:asciiTheme="minorHAnsi" w:hAnsiTheme="minorHAnsi"/>
          <w:i/>
          <w:iCs/>
          <w:color w:val="000000" w:themeColor="text1"/>
          <w:spacing w:val="-5"/>
          <w:sz w:val="20"/>
          <w:szCs w:val="20"/>
        </w:rPr>
        <w:t>e</w:t>
      </w:r>
      <w:r w:rsidR="00795BBE" w:rsidRPr="009E4697">
        <w:rPr>
          <w:rFonts w:asciiTheme="minorHAnsi" w:hAnsiTheme="minorHAnsi"/>
          <w:i/>
          <w:iCs/>
          <w:color w:val="000000" w:themeColor="text1"/>
          <w:spacing w:val="19"/>
          <w:sz w:val="20"/>
          <w:szCs w:val="20"/>
        </w:rPr>
        <w:t xml:space="preserve"> </w:t>
      </w:r>
      <w:r w:rsidR="00795BBE" w:rsidRPr="009E4697">
        <w:rPr>
          <w:rFonts w:asciiTheme="minorHAnsi" w:hAnsiTheme="minorHAnsi"/>
          <w:i/>
          <w:iCs/>
          <w:color w:val="000000" w:themeColor="text1"/>
          <w:spacing w:val="-5"/>
          <w:sz w:val="20"/>
          <w:szCs w:val="20"/>
        </w:rPr>
        <w:t>c</w:t>
      </w:r>
      <w:r w:rsidR="00795BBE" w:rsidRPr="009E4697">
        <w:rPr>
          <w:rFonts w:asciiTheme="minorHAnsi" w:hAnsiTheme="minorHAnsi"/>
          <w:i/>
          <w:iCs/>
          <w:color w:val="000000" w:themeColor="text1"/>
          <w:spacing w:val="-4"/>
          <w:sz w:val="20"/>
          <w:szCs w:val="20"/>
        </w:rPr>
        <w:t>h</w:t>
      </w:r>
      <w:r w:rsidR="00795BBE" w:rsidRPr="009E4697">
        <w:rPr>
          <w:rFonts w:asciiTheme="minorHAnsi" w:hAnsiTheme="minorHAnsi"/>
          <w:i/>
          <w:iCs/>
          <w:color w:val="000000" w:themeColor="text1"/>
          <w:spacing w:val="-5"/>
          <w:sz w:val="20"/>
          <w:szCs w:val="20"/>
        </w:rPr>
        <w:t>e</w:t>
      </w:r>
      <w:r w:rsidR="00795BBE" w:rsidRPr="009E4697">
        <w:rPr>
          <w:rFonts w:asciiTheme="minorHAnsi" w:hAnsiTheme="minorHAnsi"/>
          <w:i/>
          <w:iCs/>
          <w:color w:val="000000" w:themeColor="text1"/>
          <w:spacing w:val="19"/>
          <w:sz w:val="20"/>
          <w:szCs w:val="20"/>
        </w:rPr>
        <w:t xml:space="preserve"> </w:t>
      </w:r>
      <w:r w:rsidR="00795BBE" w:rsidRPr="009E4697">
        <w:rPr>
          <w:rFonts w:asciiTheme="minorHAnsi" w:hAnsiTheme="minorHAnsi"/>
          <w:i/>
          <w:iCs/>
          <w:color w:val="000000" w:themeColor="text1"/>
          <w:spacing w:val="-3"/>
          <w:sz w:val="20"/>
          <w:szCs w:val="20"/>
        </w:rPr>
        <w:t>nel</w:t>
      </w:r>
      <w:r w:rsidR="00795BBE" w:rsidRPr="009E4697">
        <w:rPr>
          <w:rFonts w:asciiTheme="minorHAnsi" w:hAnsiTheme="minorHAnsi"/>
          <w:i/>
          <w:iCs/>
          <w:color w:val="000000" w:themeColor="text1"/>
          <w:spacing w:val="19"/>
          <w:sz w:val="20"/>
          <w:szCs w:val="20"/>
        </w:rPr>
        <w:t xml:space="preserve"> </w:t>
      </w:r>
      <w:r w:rsidR="00795BBE" w:rsidRPr="009E4697">
        <w:rPr>
          <w:rFonts w:asciiTheme="minorHAnsi" w:hAnsiTheme="minorHAnsi"/>
          <w:i/>
          <w:iCs/>
          <w:color w:val="000000" w:themeColor="text1"/>
          <w:spacing w:val="-5"/>
          <w:sz w:val="20"/>
          <w:szCs w:val="20"/>
        </w:rPr>
        <w:t>neonat</w:t>
      </w:r>
      <w:r w:rsidR="00795BBE" w:rsidRPr="009E4697">
        <w:rPr>
          <w:rFonts w:asciiTheme="minorHAnsi" w:hAnsiTheme="minorHAnsi"/>
          <w:i/>
          <w:iCs/>
          <w:color w:val="000000" w:themeColor="text1"/>
          <w:spacing w:val="-4"/>
          <w:sz w:val="20"/>
          <w:szCs w:val="20"/>
        </w:rPr>
        <w:t>o</w:t>
      </w:r>
      <w:r w:rsidR="00795BBE" w:rsidRPr="009E4697">
        <w:rPr>
          <w:rFonts w:asciiTheme="minorHAnsi" w:hAnsiTheme="minorHAnsi"/>
          <w:i/>
          <w:iCs/>
          <w:color w:val="000000" w:themeColor="text1"/>
          <w:spacing w:val="17"/>
          <w:sz w:val="20"/>
          <w:szCs w:val="20"/>
        </w:rPr>
        <w:t xml:space="preserve"> </w:t>
      </w:r>
      <w:r w:rsidR="00795BBE" w:rsidRPr="009E4697">
        <w:rPr>
          <w:rFonts w:asciiTheme="minorHAnsi" w:hAnsiTheme="minorHAnsi"/>
          <w:i/>
          <w:iCs/>
          <w:color w:val="000000" w:themeColor="text1"/>
          <w:sz w:val="20"/>
          <w:szCs w:val="20"/>
        </w:rPr>
        <w:t>è</w:t>
      </w:r>
      <w:r w:rsidR="00795BBE" w:rsidRPr="009E4697">
        <w:rPr>
          <w:rFonts w:asciiTheme="minorHAnsi" w:hAnsiTheme="minorHAnsi"/>
          <w:i/>
          <w:iCs/>
          <w:color w:val="000000" w:themeColor="text1"/>
          <w:spacing w:val="19"/>
          <w:sz w:val="20"/>
          <w:szCs w:val="20"/>
        </w:rPr>
        <w:t xml:space="preserve"> </w:t>
      </w:r>
      <w:r w:rsidR="00795BBE" w:rsidRPr="009E4697">
        <w:rPr>
          <w:rFonts w:asciiTheme="minorHAnsi" w:hAnsiTheme="minorHAnsi"/>
          <w:i/>
          <w:iCs/>
          <w:color w:val="000000" w:themeColor="text1"/>
          <w:spacing w:val="-6"/>
          <w:sz w:val="20"/>
          <w:szCs w:val="20"/>
        </w:rPr>
        <w:t>presente</w:t>
      </w:r>
      <w:r w:rsidR="00795BBE" w:rsidRPr="009E4697">
        <w:rPr>
          <w:rFonts w:asciiTheme="minorHAnsi" w:hAnsiTheme="minorHAnsi"/>
          <w:i/>
          <w:iCs/>
          <w:color w:val="000000" w:themeColor="text1"/>
          <w:spacing w:val="18"/>
          <w:sz w:val="20"/>
          <w:szCs w:val="20"/>
        </w:rPr>
        <w:t xml:space="preserve"> </w:t>
      </w:r>
      <w:r w:rsidR="00795BBE" w:rsidRPr="009E4697">
        <w:rPr>
          <w:rFonts w:asciiTheme="minorHAnsi" w:hAnsiTheme="minorHAnsi"/>
          <w:i/>
          <w:iCs/>
          <w:color w:val="000000" w:themeColor="text1"/>
          <w:spacing w:val="-3"/>
          <w:sz w:val="20"/>
          <w:szCs w:val="20"/>
        </w:rPr>
        <w:t>una</w:t>
      </w:r>
      <w:r w:rsidR="00795BBE" w:rsidRPr="009E4697">
        <w:rPr>
          <w:rFonts w:asciiTheme="minorHAnsi" w:hAnsiTheme="minorHAnsi"/>
          <w:i/>
          <w:iCs/>
          <w:color w:val="000000" w:themeColor="text1"/>
          <w:spacing w:val="18"/>
          <w:sz w:val="20"/>
          <w:szCs w:val="20"/>
        </w:rPr>
        <w:t xml:space="preserve"> </w:t>
      </w:r>
      <w:r w:rsidR="00795BBE" w:rsidRPr="009E4697">
        <w:rPr>
          <w:rFonts w:asciiTheme="minorHAnsi" w:hAnsiTheme="minorHAnsi" w:cstheme="minorHAnsi"/>
          <w:b/>
          <w:bCs/>
          <w:i/>
          <w:iCs/>
          <w:sz w:val="20"/>
          <w:szCs w:val="20"/>
        </w:rPr>
        <w:t>ipogammaglobulinemia</w:t>
      </w:r>
      <w:r w:rsidR="00795BBE" w:rsidRPr="009E4697">
        <w:rPr>
          <w:rFonts w:asciiTheme="minorHAnsi" w:hAnsiTheme="minorHAnsi" w:cs="Times New Roman"/>
          <w:b/>
          <w:i/>
          <w:iCs/>
          <w:color w:val="000000" w:themeColor="text1"/>
          <w:spacing w:val="2"/>
          <w:sz w:val="20"/>
          <w:szCs w:val="20"/>
        </w:rPr>
        <w:t xml:space="preserve"> </w:t>
      </w:r>
      <w:r w:rsidR="00795BBE" w:rsidRPr="009E4697">
        <w:rPr>
          <w:rFonts w:asciiTheme="minorHAnsi" w:hAnsiTheme="minorHAnsi" w:cs="Times New Roman"/>
          <w:b/>
          <w:i/>
          <w:iCs/>
          <w:color w:val="000000" w:themeColor="text1"/>
          <w:spacing w:val="-5"/>
          <w:sz w:val="20"/>
          <w:szCs w:val="20"/>
        </w:rPr>
        <w:t>t</w:t>
      </w:r>
      <w:r w:rsidR="00795BBE" w:rsidRPr="009E4697">
        <w:rPr>
          <w:rFonts w:asciiTheme="minorHAnsi" w:hAnsiTheme="minorHAnsi" w:cs="Times New Roman"/>
          <w:b/>
          <w:i/>
          <w:iCs/>
          <w:color w:val="000000" w:themeColor="text1"/>
          <w:spacing w:val="-4"/>
          <w:sz w:val="20"/>
          <w:szCs w:val="20"/>
        </w:rPr>
        <w:t>ran</w:t>
      </w:r>
      <w:r w:rsidR="00795BBE" w:rsidRPr="009E4697">
        <w:rPr>
          <w:rFonts w:asciiTheme="minorHAnsi" w:hAnsiTheme="minorHAnsi" w:cs="Times New Roman"/>
          <w:b/>
          <w:i/>
          <w:iCs/>
          <w:color w:val="000000" w:themeColor="text1"/>
          <w:spacing w:val="-5"/>
          <w:sz w:val="20"/>
          <w:szCs w:val="20"/>
        </w:rPr>
        <w:t>sitoria</w:t>
      </w:r>
      <w:r w:rsidR="00795BBE" w:rsidRPr="009E4697">
        <w:rPr>
          <w:rFonts w:asciiTheme="minorHAnsi" w:hAnsiTheme="minorHAnsi" w:cs="Times New Roman"/>
          <w:b/>
          <w:bCs/>
          <w:i/>
          <w:iCs/>
          <w:color w:val="000000" w:themeColor="text1"/>
          <w:spacing w:val="-5"/>
          <w:position w:val="9"/>
          <w:sz w:val="20"/>
          <w:szCs w:val="20"/>
        </w:rPr>
        <w:t xml:space="preserve"> </w:t>
      </w:r>
      <w:r w:rsidR="00795BBE" w:rsidRPr="009E4697">
        <w:rPr>
          <w:rFonts w:asciiTheme="minorHAnsi" w:hAnsiTheme="minorHAnsi"/>
          <w:i/>
          <w:iCs/>
          <w:color w:val="000000" w:themeColor="text1"/>
          <w:spacing w:val="-3"/>
          <w:sz w:val="20"/>
          <w:szCs w:val="20"/>
        </w:rPr>
        <w:t>che</w:t>
      </w:r>
      <w:r w:rsidR="00795BBE" w:rsidRPr="009E4697">
        <w:rPr>
          <w:rFonts w:asciiTheme="minorHAnsi" w:hAnsiTheme="minorHAnsi"/>
          <w:i/>
          <w:iCs/>
          <w:color w:val="000000" w:themeColor="text1"/>
          <w:spacing w:val="3"/>
          <w:sz w:val="20"/>
          <w:szCs w:val="20"/>
        </w:rPr>
        <w:t xml:space="preserve"> </w:t>
      </w:r>
      <w:r w:rsidR="00795BBE" w:rsidRPr="009E4697">
        <w:rPr>
          <w:rFonts w:asciiTheme="minorHAnsi" w:hAnsiTheme="minorHAnsi"/>
          <w:i/>
          <w:iCs/>
          <w:color w:val="000000" w:themeColor="text1"/>
          <w:spacing w:val="-5"/>
          <w:sz w:val="20"/>
          <w:szCs w:val="20"/>
        </w:rPr>
        <w:t>esor</w:t>
      </w:r>
      <w:r w:rsidR="00795BBE" w:rsidRPr="009E4697">
        <w:rPr>
          <w:rFonts w:asciiTheme="minorHAnsi" w:hAnsiTheme="minorHAnsi"/>
          <w:i/>
          <w:iCs/>
          <w:color w:val="000000" w:themeColor="text1"/>
          <w:spacing w:val="-6"/>
          <w:sz w:val="20"/>
          <w:szCs w:val="20"/>
        </w:rPr>
        <w:t>di</w:t>
      </w:r>
      <w:r w:rsidR="00795BBE" w:rsidRPr="009E4697">
        <w:rPr>
          <w:rFonts w:asciiTheme="minorHAnsi" w:hAnsiTheme="minorHAnsi"/>
          <w:i/>
          <w:iCs/>
          <w:color w:val="000000" w:themeColor="text1"/>
          <w:spacing w:val="-5"/>
          <w:sz w:val="20"/>
          <w:szCs w:val="20"/>
        </w:rPr>
        <w:t>sc</w:t>
      </w:r>
      <w:r w:rsidR="00795BBE" w:rsidRPr="009E4697">
        <w:rPr>
          <w:rFonts w:asciiTheme="minorHAnsi" w:hAnsiTheme="minorHAnsi"/>
          <w:i/>
          <w:iCs/>
          <w:color w:val="000000" w:themeColor="text1"/>
          <w:spacing w:val="-6"/>
          <w:sz w:val="20"/>
          <w:szCs w:val="20"/>
        </w:rPr>
        <w:t>e</w:t>
      </w:r>
      <w:r w:rsidR="00795BBE" w:rsidRPr="009E4697">
        <w:rPr>
          <w:rFonts w:asciiTheme="minorHAnsi" w:hAnsiTheme="minorHAnsi"/>
          <w:i/>
          <w:iCs/>
          <w:color w:val="000000" w:themeColor="text1"/>
          <w:spacing w:val="2"/>
          <w:sz w:val="20"/>
          <w:szCs w:val="20"/>
        </w:rPr>
        <w:t xml:space="preserve"> </w:t>
      </w:r>
      <w:r w:rsidR="00795BBE" w:rsidRPr="009E4697">
        <w:rPr>
          <w:rFonts w:asciiTheme="minorHAnsi" w:hAnsiTheme="minorHAnsi" w:cs="Times New Roman"/>
          <w:i/>
          <w:iCs/>
          <w:color w:val="000000" w:themeColor="text1"/>
          <w:spacing w:val="-5"/>
          <w:sz w:val="20"/>
          <w:szCs w:val="20"/>
        </w:rPr>
        <w:t>all’et</w:t>
      </w:r>
      <w:r w:rsidR="00795BBE" w:rsidRPr="009E4697">
        <w:rPr>
          <w:rFonts w:asciiTheme="minorHAnsi" w:hAnsiTheme="minorHAnsi" w:cs="Times New Roman"/>
          <w:i/>
          <w:iCs/>
          <w:color w:val="000000" w:themeColor="text1"/>
          <w:spacing w:val="-4"/>
          <w:sz w:val="20"/>
          <w:szCs w:val="20"/>
        </w:rPr>
        <w:t>à</w:t>
      </w:r>
      <w:r w:rsidR="00795BBE" w:rsidRPr="009E4697">
        <w:rPr>
          <w:rFonts w:asciiTheme="minorHAnsi" w:hAnsiTheme="minorHAnsi" w:cs="Times New Roman"/>
          <w:i/>
          <w:iCs/>
          <w:color w:val="000000" w:themeColor="text1"/>
          <w:spacing w:val="3"/>
          <w:sz w:val="20"/>
          <w:szCs w:val="20"/>
        </w:rPr>
        <w:t xml:space="preserve"> </w:t>
      </w:r>
      <w:r w:rsidR="00795BBE" w:rsidRPr="009E4697">
        <w:rPr>
          <w:rFonts w:asciiTheme="minorHAnsi" w:hAnsiTheme="minorHAnsi" w:cs="Times New Roman"/>
          <w:i/>
          <w:iCs/>
          <w:color w:val="000000" w:themeColor="text1"/>
          <w:spacing w:val="-3"/>
          <w:sz w:val="20"/>
          <w:szCs w:val="20"/>
        </w:rPr>
        <w:t>di</w:t>
      </w:r>
      <w:r w:rsidR="00795BBE" w:rsidRPr="009E4697">
        <w:rPr>
          <w:rFonts w:asciiTheme="minorHAnsi" w:hAnsiTheme="minorHAnsi" w:cs="Times New Roman"/>
          <w:i/>
          <w:iCs/>
          <w:color w:val="000000" w:themeColor="text1"/>
          <w:spacing w:val="3"/>
          <w:sz w:val="20"/>
          <w:szCs w:val="20"/>
        </w:rPr>
        <w:t xml:space="preserve"> </w:t>
      </w:r>
      <w:r w:rsidR="00795BBE" w:rsidRPr="009E4697">
        <w:rPr>
          <w:rFonts w:asciiTheme="minorHAnsi" w:hAnsiTheme="minorHAnsi" w:cs="Times New Roman"/>
          <w:i/>
          <w:iCs/>
          <w:color w:val="000000" w:themeColor="text1"/>
          <w:spacing w:val="-4"/>
          <w:sz w:val="20"/>
          <w:szCs w:val="20"/>
        </w:rPr>
        <w:t>3-6</w:t>
      </w:r>
      <w:r w:rsidR="00795BBE" w:rsidRPr="009E4697">
        <w:rPr>
          <w:rFonts w:asciiTheme="minorHAnsi" w:hAnsiTheme="minorHAnsi" w:cs="Times New Roman"/>
          <w:i/>
          <w:iCs/>
          <w:color w:val="000000" w:themeColor="text1"/>
          <w:spacing w:val="4"/>
          <w:sz w:val="20"/>
          <w:szCs w:val="20"/>
        </w:rPr>
        <w:t xml:space="preserve"> </w:t>
      </w:r>
      <w:r w:rsidR="00795BBE" w:rsidRPr="009E4697">
        <w:rPr>
          <w:rFonts w:asciiTheme="minorHAnsi" w:hAnsiTheme="minorHAnsi" w:cs="Times New Roman"/>
          <w:i/>
          <w:iCs/>
          <w:color w:val="000000" w:themeColor="text1"/>
          <w:spacing w:val="-4"/>
          <w:sz w:val="20"/>
          <w:szCs w:val="20"/>
        </w:rPr>
        <w:t>mes</w:t>
      </w:r>
      <w:r w:rsidR="00795BBE" w:rsidRPr="009E4697">
        <w:rPr>
          <w:rFonts w:asciiTheme="minorHAnsi" w:hAnsiTheme="minorHAnsi" w:cs="Times New Roman"/>
          <w:i/>
          <w:iCs/>
          <w:color w:val="000000" w:themeColor="text1"/>
          <w:spacing w:val="-5"/>
          <w:sz w:val="20"/>
          <w:szCs w:val="20"/>
        </w:rPr>
        <w:t>i</w:t>
      </w:r>
      <w:r w:rsidR="00795BBE" w:rsidRPr="009E4697">
        <w:rPr>
          <w:rFonts w:asciiTheme="minorHAnsi" w:hAnsiTheme="minorHAnsi" w:cs="Times New Roman"/>
          <w:i/>
          <w:iCs/>
          <w:color w:val="000000" w:themeColor="text1"/>
          <w:spacing w:val="3"/>
          <w:sz w:val="20"/>
          <w:szCs w:val="20"/>
        </w:rPr>
        <w:t xml:space="preserve"> </w:t>
      </w:r>
      <w:r w:rsidR="00795BBE" w:rsidRPr="009E4697">
        <w:rPr>
          <w:rFonts w:asciiTheme="minorHAnsi" w:hAnsiTheme="minorHAnsi" w:cs="Times New Roman"/>
          <w:i/>
          <w:iCs/>
          <w:color w:val="000000" w:themeColor="text1"/>
          <w:sz w:val="20"/>
          <w:szCs w:val="20"/>
        </w:rPr>
        <w:t>e</w:t>
      </w:r>
      <w:r w:rsidR="00795BBE" w:rsidRPr="009E4697">
        <w:rPr>
          <w:rFonts w:asciiTheme="minorHAnsi" w:hAnsiTheme="minorHAnsi" w:cs="Times New Roman"/>
          <w:i/>
          <w:iCs/>
          <w:color w:val="000000" w:themeColor="text1"/>
          <w:spacing w:val="3"/>
          <w:sz w:val="20"/>
          <w:szCs w:val="20"/>
        </w:rPr>
        <w:t xml:space="preserve"> </w:t>
      </w:r>
      <w:r w:rsidR="00795BBE" w:rsidRPr="009E4697">
        <w:rPr>
          <w:rFonts w:asciiTheme="minorHAnsi" w:hAnsiTheme="minorHAnsi" w:cs="Times New Roman"/>
          <w:i/>
          <w:iCs/>
          <w:color w:val="000000" w:themeColor="text1"/>
          <w:spacing w:val="-4"/>
          <w:sz w:val="20"/>
          <w:szCs w:val="20"/>
        </w:rPr>
        <w:t>dura</w:t>
      </w:r>
      <w:r w:rsidR="00795BBE" w:rsidRPr="009E4697">
        <w:rPr>
          <w:rFonts w:asciiTheme="minorHAnsi" w:hAnsiTheme="minorHAnsi" w:cs="Times New Roman"/>
          <w:i/>
          <w:iCs/>
          <w:color w:val="000000" w:themeColor="text1"/>
          <w:spacing w:val="3"/>
          <w:sz w:val="20"/>
          <w:szCs w:val="20"/>
        </w:rPr>
        <w:t xml:space="preserve"> </w:t>
      </w:r>
      <w:r w:rsidR="00795BBE" w:rsidRPr="009E4697">
        <w:rPr>
          <w:rFonts w:asciiTheme="minorHAnsi" w:hAnsiTheme="minorHAnsi" w:cs="Times New Roman"/>
          <w:i/>
          <w:iCs/>
          <w:color w:val="000000" w:themeColor="text1"/>
          <w:spacing w:val="-4"/>
          <w:sz w:val="20"/>
          <w:szCs w:val="20"/>
        </w:rPr>
        <w:t>so</w:t>
      </w:r>
      <w:r w:rsidR="00795BBE" w:rsidRPr="009E4697">
        <w:rPr>
          <w:rFonts w:asciiTheme="minorHAnsi" w:hAnsiTheme="minorHAnsi" w:cs="Times New Roman"/>
          <w:i/>
          <w:iCs/>
          <w:color w:val="000000" w:themeColor="text1"/>
          <w:spacing w:val="-5"/>
          <w:sz w:val="20"/>
          <w:szCs w:val="20"/>
        </w:rPr>
        <w:t>lit</w:t>
      </w:r>
      <w:r w:rsidR="00795BBE" w:rsidRPr="009E4697">
        <w:rPr>
          <w:rFonts w:asciiTheme="minorHAnsi" w:hAnsiTheme="minorHAnsi" w:cs="Times New Roman"/>
          <w:i/>
          <w:iCs/>
          <w:color w:val="000000" w:themeColor="text1"/>
          <w:spacing w:val="-4"/>
          <w:sz w:val="20"/>
          <w:szCs w:val="20"/>
        </w:rPr>
        <w:t>a</w:t>
      </w:r>
      <w:r w:rsidR="00795BBE" w:rsidRPr="009E4697">
        <w:rPr>
          <w:rFonts w:asciiTheme="minorHAnsi" w:hAnsiTheme="minorHAnsi" w:cs="Times New Roman"/>
          <w:i/>
          <w:iCs/>
          <w:color w:val="000000" w:themeColor="text1"/>
          <w:spacing w:val="-5"/>
          <w:sz w:val="20"/>
          <w:szCs w:val="20"/>
        </w:rPr>
        <w:t>mente</w:t>
      </w:r>
      <w:r w:rsidR="00795BBE" w:rsidRPr="009E4697">
        <w:rPr>
          <w:rFonts w:asciiTheme="minorHAnsi" w:hAnsiTheme="minorHAnsi" w:cs="Times New Roman"/>
          <w:i/>
          <w:iCs/>
          <w:color w:val="000000" w:themeColor="text1"/>
          <w:spacing w:val="-1"/>
          <w:sz w:val="20"/>
          <w:szCs w:val="20"/>
        </w:rPr>
        <w:t xml:space="preserve"> </w:t>
      </w:r>
      <w:r w:rsidR="00795BBE" w:rsidRPr="009E4697">
        <w:rPr>
          <w:rFonts w:asciiTheme="minorHAnsi" w:hAnsiTheme="minorHAnsi" w:cs="Times New Roman"/>
          <w:i/>
          <w:iCs/>
          <w:color w:val="000000" w:themeColor="text1"/>
          <w:spacing w:val="-4"/>
          <w:sz w:val="20"/>
          <w:szCs w:val="20"/>
        </w:rPr>
        <w:t>6-18</w:t>
      </w:r>
      <w:r w:rsidR="00795BBE" w:rsidRPr="009E4697">
        <w:rPr>
          <w:rFonts w:asciiTheme="minorHAnsi" w:hAnsiTheme="minorHAnsi" w:cs="Times New Roman"/>
          <w:i/>
          <w:iCs/>
          <w:color w:val="000000" w:themeColor="text1"/>
          <w:spacing w:val="1"/>
          <w:sz w:val="20"/>
          <w:szCs w:val="20"/>
        </w:rPr>
        <w:t xml:space="preserve"> </w:t>
      </w:r>
      <w:r w:rsidR="00795BBE" w:rsidRPr="009E4697">
        <w:rPr>
          <w:rFonts w:asciiTheme="minorHAnsi" w:hAnsiTheme="minorHAnsi" w:cs="Times New Roman"/>
          <w:i/>
          <w:iCs/>
          <w:color w:val="000000" w:themeColor="text1"/>
          <w:spacing w:val="-4"/>
          <w:sz w:val="20"/>
          <w:szCs w:val="20"/>
        </w:rPr>
        <w:t>mesi</w:t>
      </w:r>
      <w:r w:rsidR="00795BBE" w:rsidRPr="009E4697">
        <w:rPr>
          <w:rFonts w:asciiTheme="minorHAnsi" w:hAnsiTheme="minorHAnsi"/>
          <w:i/>
          <w:iCs/>
          <w:color w:val="000000" w:themeColor="text1"/>
          <w:spacing w:val="-4"/>
          <w:sz w:val="20"/>
          <w:szCs w:val="20"/>
        </w:rPr>
        <w:t>.</w:t>
      </w:r>
      <w:r w:rsidR="00795BBE" w:rsidRPr="009E4697">
        <w:rPr>
          <w:rFonts w:asciiTheme="minorHAnsi" w:hAnsiTheme="minorHAnsi"/>
          <w:i/>
          <w:iCs/>
          <w:color w:val="000000" w:themeColor="text1"/>
          <w:sz w:val="20"/>
          <w:szCs w:val="20"/>
        </w:rPr>
        <w:t xml:space="preserve"> </w:t>
      </w:r>
    </w:p>
    <w:p w:rsidR="00795BBE" w:rsidRPr="009E4697" w:rsidRDefault="00795BBE" w:rsidP="009E4697">
      <w:pPr>
        <w:pStyle w:val="BodyText"/>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spacing w:before="0"/>
        <w:ind w:left="567" w:right="843"/>
        <w:jc w:val="both"/>
        <w:rPr>
          <w:rFonts w:asciiTheme="minorHAnsi" w:hAnsiTheme="minorHAnsi"/>
          <w:i/>
          <w:iCs/>
          <w:color w:val="000000" w:themeColor="text1"/>
          <w:spacing w:val="-6"/>
          <w:sz w:val="20"/>
          <w:szCs w:val="20"/>
        </w:rPr>
      </w:pPr>
      <w:r w:rsidRPr="009E4697">
        <w:rPr>
          <w:rFonts w:asciiTheme="minorHAnsi" w:hAnsiTheme="minorHAnsi"/>
          <w:i/>
          <w:iCs/>
          <w:color w:val="000000" w:themeColor="text1"/>
          <w:spacing w:val="-4"/>
          <w:sz w:val="20"/>
          <w:szCs w:val="20"/>
        </w:rPr>
        <w:t>Essa</w:t>
      </w:r>
      <w:r w:rsidRPr="009E4697">
        <w:rPr>
          <w:rFonts w:asciiTheme="minorHAnsi" w:hAnsiTheme="minorHAnsi"/>
          <w:i/>
          <w:iCs/>
          <w:color w:val="000000" w:themeColor="text1"/>
          <w:spacing w:val="-1"/>
          <w:sz w:val="20"/>
          <w:szCs w:val="20"/>
        </w:rPr>
        <w:t xml:space="preserve"> </w:t>
      </w:r>
      <w:r w:rsidRPr="009E4697">
        <w:rPr>
          <w:rFonts w:asciiTheme="minorHAnsi" w:hAnsiTheme="minorHAnsi"/>
          <w:i/>
          <w:iCs/>
          <w:color w:val="000000" w:themeColor="text1"/>
          <w:sz w:val="20"/>
          <w:szCs w:val="20"/>
        </w:rPr>
        <w:t>è</w:t>
      </w:r>
      <w:r w:rsidRPr="009E4697">
        <w:rPr>
          <w:rFonts w:asciiTheme="minorHAnsi" w:hAnsiTheme="minorHAnsi"/>
          <w:i/>
          <w:iCs/>
          <w:color w:val="000000" w:themeColor="text1"/>
          <w:spacing w:val="-1"/>
          <w:sz w:val="20"/>
          <w:szCs w:val="20"/>
        </w:rPr>
        <w:t xml:space="preserve"> </w:t>
      </w:r>
      <w:r w:rsidRPr="009E4697">
        <w:rPr>
          <w:rFonts w:asciiTheme="minorHAnsi" w:hAnsiTheme="minorHAnsi"/>
          <w:i/>
          <w:iCs/>
          <w:color w:val="000000" w:themeColor="text1"/>
          <w:spacing w:val="-5"/>
          <w:sz w:val="20"/>
          <w:szCs w:val="20"/>
        </w:rPr>
        <w:t>cau</w:t>
      </w:r>
      <w:r w:rsidRPr="009E4697">
        <w:rPr>
          <w:rFonts w:asciiTheme="minorHAnsi" w:hAnsiTheme="minorHAnsi"/>
          <w:i/>
          <w:iCs/>
          <w:color w:val="000000" w:themeColor="text1"/>
          <w:spacing w:val="-4"/>
          <w:sz w:val="20"/>
          <w:szCs w:val="20"/>
        </w:rPr>
        <w:t>sa</w:t>
      </w:r>
      <w:r w:rsidRPr="009E4697">
        <w:rPr>
          <w:rFonts w:asciiTheme="minorHAnsi" w:hAnsiTheme="minorHAnsi"/>
          <w:i/>
          <w:iCs/>
          <w:color w:val="000000" w:themeColor="text1"/>
          <w:spacing w:val="-5"/>
          <w:sz w:val="20"/>
          <w:szCs w:val="20"/>
        </w:rPr>
        <w:t>ta</w:t>
      </w:r>
      <w:r w:rsidRPr="009E4697">
        <w:rPr>
          <w:rFonts w:asciiTheme="minorHAnsi" w:hAnsiTheme="minorHAnsi"/>
          <w:i/>
          <w:iCs/>
          <w:color w:val="000000" w:themeColor="text1"/>
          <w:spacing w:val="-1"/>
          <w:sz w:val="20"/>
          <w:szCs w:val="20"/>
        </w:rPr>
        <w:t xml:space="preserve"> </w:t>
      </w:r>
      <w:r w:rsidRPr="009E4697">
        <w:rPr>
          <w:rFonts w:asciiTheme="minorHAnsi" w:hAnsiTheme="minorHAnsi"/>
          <w:i/>
          <w:iCs/>
          <w:color w:val="000000" w:themeColor="text1"/>
          <w:spacing w:val="-3"/>
          <w:sz w:val="20"/>
          <w:szCs w:val="20"/>
        </w:rPr>
        <w:t>da</w:t>
      </w:r>
      <w:r w:rsidRPr="009E4697">
        <w:rPr>
          <w:rFonts w:asciiTheme="minorHAnsi" w:hAnsiTheme="minorHAnsi"/>
          <w:i/>
          <w:iCs/>
          <w:color w:val="000000" w:themeColor="text1"/>
          <w:spacing w:val="-1"/>
          <w:sz w:val="20"/>
          <w:szCs w:val="20"/>
        </w:rPr>
        <w:t xml:space="preserve"> </w:t>
      </w:r>
      <w:r w:rsidRPr="009E4697">
        <w:rPr>
          <w:rFonts w:asciiTheme="minorHAnsi" w:hAnsiTheme="minorHAnsi"/>
          <w:i/>
          <w:iCs/>
          <w:color w:val="000000" w:themeColor="text1"/>
          <w:spacing w:val="-3"/>
          <w:sz w:val="20"/>
          <w:szCs w:val="20"/>
        </w:rPr>
        <w:t>un</w:t>
      </w:r>
      <w:r w:rsidRPr="009E4697">
        <w:rPr>
          <w:rFonts w:asciiTheme="minorHAnsi" w:hAnsiTheme="minorHAnsi"/>
          <w:i/>
          <w:iCs/>
          <w:color w:val="000000" w:themeColor="text1"/>
          <w:spacing w:val="-1"/>
          <w:sz w:val="20"/>
          <w:szCs w:val="20"/>
        </w:rPr>
        <w:t xml:space="preserve"> </w:t>
      </w:r>
      <w:r w:rsidRPr="009E4697">
        <w:rPr>
          <w:rFonts w:asciiTheme="minorHAnsi" w:hAnsiTheme="minorHAnsi"/>
          <w:i/>
          <w:iCs/>
          <w:color w:val="000000" w:themeColor="text1"/>
          <w:spacing w:val="-5"/>
          <w:sz w:val="20"/>
          <w:szCs w:val="20"/>
        </w:rPr>
        <w:t>deficit</w:t>
      </w:r>
      <w:r w:rsidRPr="009E4697">
        <w:rPr>
          <w:rFonts w:asciiTheme="minorHAnsi" w:hAnsiTheme="minorHAnsi"/>
          <w:i/>
          <w:iCs/>
          <w:color w:val="000000" w:themeColor="text1"/>
          <w:spacing w:val="-1"/>
          <w:sz w:val="20"/>
          <w:szCs w:val="20"/>
        </w:rPr>
        <w:t xml:space="preserve"> </w:t>
      </w:r>
      <w:r w:rsidRPr="009E4697">
        <w:rPr>
          <w:rFonts w:asciiTheme="minorHAnsi" w:hAnsiTheme="minorHAnsi"/>
          <w:i/>
          <w:iCs/>
          <w:color w:val="000000" w:themeColor="text1"/>
          <w:spacing w:val="-6"/>
          <w:sz w:val="20"/>
          <w:szCs w:val="20"/>
        </w:rPr>
        <w:t>t</w:t>
      </w:r>
      <w:r w:rsidRPr="009E4697">
        <w:rPr>
          <w:rFonts w:asciiTheme="minorHAnsi" w:hAnsiTheme="minorHAnsi"/>
          <w:i/>
          <w:iCs/>
          <w:color w:val="000000" w:themeColor="text1"/>
          <w:spacing w:val="-5"/>
          <w:sz w:val="20"/>
          <w:szCs w:val="20"/>
        </w:rPr>
        <w:t>r</w:t>
      </w:r>
      <w:r w:rsidRPr="009E4697">
        <w:rPr>
          <w:rFonts w:asciiTheme="minorHAnsi" w:hAnsiTheme="minorHAnsi"/>
          <w:i/>
          <w:iCs/>
          <w:color w:val="000000" w:themeColor="text1"/>
          <w:spacing w:val="-6"/>
          <w:sz w:val="20"/>
          <w:szCs w:val="20"/>
        </w:rPr>
        <w:t>ansitorio</w:t>
      </w:r>
      <w:r w:rsidRPr="009E4697">
        <w:rPr>
          <w:rFonts w:asciiTheme="minorHAnsi" w:hAnsiTheme="minorHAnsi"/>
          <w:i/>
          <w:iCs/>
          <w:color w:val="000000" w:themeColor="text1"/>
          <w:spacing w:val="-1"/>
          <w:sz w:val="20"/>
          <w:szCs w:val="20"/>
        </w:rPr>
        <w:t xml:space="preserve"> </w:t>
      </w:r>
      <w:r w:rsidRPr="009E4697">
        <w:rPr>
          <w:rFonts w:asciiTheme="minorHAnsi" w:hAnsiTheme="minorHAnsi"/>
          <w:i/>
          <w:iCs/>
          <w:color w:val="000000" w:themeColor="text1"/>
          <w:spacing w:val="-3"/>
          <w:sz w:val="20"/>
          <w:szCs w:val="20"/>
        </w:rPr>
        <w:t>di</w:t>
      </w:r>
      <w:r w:rsidRPr="009E4697">
        <w:rPr>
          <w:rFonts w:asciiTheme="minorHAnsi" w:hAnsiTheme="minorHAnsi"/>
          <w:i/>
          <w:iCs/>
          <w:color w:val="000000" w:themeColor="text1"/>
          <w:spacing w:val="-1"/>
          <w:sz w:val="20"/>
          <w:szCs w:val="20"/>
        </w:rPr>
        <w:t xml:space="preserve"> </w:t>
      </w:r>
      <w:r w:rsidRPr="009E4697">
        <w:rPr>
          <w:rFonts w:asciiTheme="minorHAnsi" w:hAnsiTheme="minorHAnsi"/>
          <w:i/>
          <w:iCs/>
          <w:color w:val="000000" w:themeColor="text1"/>
          <w:spacing w:val="-5"/>
          <w:sz w:val="20"/>
          <w:szCs w:val="20"/>
        </w:rPr>
        <w:t>produ</w:t>
      </w:r>
      <w:r w:rsidRPr="009E4697">
        <w:rPr>
          <w:rFonts w:asciiTheme="minorHAnsi" w:hAnsiTheme="minorHAnsi"/>
          <w:i/>
          <w:iCs/>
          <w:color w:val="000000" w:themeColor="text1"/>
          <w:spacing w:val="-6"/>
          <w:sz w:val="20"/>
          <w:szCs w:val="20"/>
        </w:rPr>
        <w:t>zione</w:t>
      </w:r>
      <w:r w:rsidRPr="009E4697">
        <w:rPr>
          <w:rFonts w:asciiTheme="minorHAnsi" w:hAnsiTheme="minorHAnsi"/>
          <w:i/>
          <w:iCs/>
          <w:color w:val="000000" w:themeColor="text1"/>
          <w:spacing w:val="-2"/>
          <w:sz w:val="20"/>
          <w:szCs w:val="20"/>
        </w:rPr>
        <w:t xml:space="preserve"> di </w:t>
      </w:r>
      <w:r w:rsidRPr="009E4697">
        <w:rPr>
          <w:rFonts w:asciiTheme="minorHAnsi" w:hAnsiTheme="minorHAnsi"/>
          <w:i/>
          <w:iCs/>
          <w:color w:val="000000" w:themeColor="text1"/>
          <w:spacing w:val="-6"/>
          <w:sz w:val="20"/>
          <w:szCs w:val="20"/>
        </w:rPr>
        <w:t>antico</w:t>
      </w:r>
      <w:r w:rsidRPr="009E4697">
        <w:rPr>
          <w:rFonts w:asciiTheme="minorHAnsi" w:hAnsiTheme="minorHAnsi"/>
          <w:i/>
          <w:iCs/>
          <w:color w:val="000000" w:themeColor="text1"/>
          <w:spacing w:val="-5"/>
          <w:sz w:val="20"/>
          <w:szCs w:val="20"/>
        </w:rPr>
        <w:t>r</w:t>
      </w:r>
      <w:r w:rsidRPr="009E4697">
        <w:rPr>
          <w:rFonts w:asciiTheme="minorHAnsi" w:hAnsiTheme="minorHAnsi"/>
          <w:i/>
          <w:iCs/>
          <w:color w:val="000000" w:themeColor="text1"/>
          <w:spacing w:val="-6"/>
          <w:sz w:val="20"/>
          <w:szCs w:val="20"/>
        </w:rPr>
        <w:t>pi</w:t>
      </w:r>
      <w:r w:rsidRPr="009E4697">
        <w:rPr>
          <w:rFonts w:asciiTheme="minorHAnsi" w:hAnsiTheme="minorHAnsi" w:cs="Times New Roman"/>
          <w:i/>
          <w:iCs/>
          <w:color w:val="000000" w:themeColor="text1"/>
          <w:spacing w:val="44"/>
          <w:w w:val="99"/>
          <w:sz w:val="20"/>
          <w:szCs w:val="20"/>
        </w:rPr>
        <w:t xml:space="preserve"> </w:t>
      </w:r>
      <w:r w:rsidRPr="009E4697">
        <w:rPr>
          <w:rFonts w:asciiTheme="minorHAnsi" w:hAnsiTheme="minorHAnsi"/>
          <w:i/>
          <w:iCs/>
          <w:color w:val="000000" w:themeColor="text1"/>
          <w:spacing w:val="-3"/>
          <w:sz w:val="20"/>
          <w:szCs w:val="20"/>
        </w:rPr>
        <w:t>per</w:t>
      </w:r>
      <w:r w:rsidRPr="009E4697">
        <w:rPr>
          <w:rFonts w:asciiTheme="minorHAnsi" w:hAnsiTheme="minorHAnsi"/>
          <w:i/>
          <w:iCs/>
          <w:color w:val="000000" w:themeColor="text1"/>
          <w:spacing w:val="18"/>
          <w:sz w:val="20"/>
          <w:szCs w:val="20"/>
        </w:rPr>
        <w:t xml:space="preserve"> </w:t>
      </w:r>
      <w:r w:rsidRPr="009E4697">
        <w:rPr>
          <w:rFonts w:asciiTheme="minorHAnsi" w:hAnsiTheme="minorHAnsi"/>
          <w:i/>
          <w:iCs/>
          <w:color w:val="000000" w:themeColor="text1"/>
          <w:spacing w:val="-5"/>
          <w:sz w:val="20"/>
          <w:szCs w:val="20"/>
        </w:rPr>
        <w:t>un fisiologico</w:t>
      </w:r>
      <w:r w:rsidRPr="009E4697">
        <w:rPr>
          <w:rFonts w:asciiTheme="minorHAnsi" w:hAnsiTheme="minorHAnsi"/>
          <w:i/>
          <w:iCs/>
          <w:color w:val="000000" w:themeColor="text1"/>
          <w:spacing w:val="17"/>
          <w:sz w:val="20"/>
          <w:szCs w:val="20"/>
        </w:rPr>
        <w:t xml:space="preserve"> </w:t>
      </w:r>
      <w:r w:rsidRPr="009E4697">
        <w:rPr>
          <w:rFonts w:asciiTheme="minorHAnsi" w:hAnsiTheme="minorHAnsi"/>
          <w:i/>
          <w:iCs/>
          <w:color w:val="000000" w:themeColor="text1"/>
          <w:spacing w:val="-5"/>
          <w:sz w:val="20"/>
          <w:szCs w:val="20"/>
        </w:rPr>
        <w:t>r</w:t>
      </w:r>
      <w:r w:rsidRPr="009E4697">
        <w:rPr>
          <w:rFonts w:asciiTheme="minorHAnsi" w:hAnsiTheme="minorHAnsi"/>
          <w:i/>
          <w:iCs/>
          <w:color w:val="000000" w:themeColor="text1"/>
          <w:spacing w:val="-6"/>
          <w:sz w:val="20"/>
          <w:szCs w:val="20"/>
        </w:rPr>
        <w:t>itar</w:t>
      </w:r>
      <w:r w:rsidRPr="009E4697">
        <w:rPr>
          <w:rFonts w:asciiTheme="minorHAnsi" w:hAnsiTheme="minorHAnsi"/>
          <w:i/>
          <w:iCs/>
          <w:color w:val="000000" w:themeColor="text1"/>
          <w:spacing w:val="-5"/>
          <w:sz w:val="20"/>
          <w:szCs w:val="20"/>
        </w:rPr>
        <w:t>do</w:t>
      </w:r>
      <w:r w:rsidRPr="009E4697">
        <w:rPr>
          <w:rFonts w:asciiTheme="minorHAnsi" w:hAnsiTheme="minorHAnsi"/>
          <w:i/>
          <w:iCs/>
          <w:color w:val="000000" w:themeColor="text1"/>
          <w:spacing w:val="18"/>
          <w:sz w:val="20"/>
          <w:szCs w:val="20"/>
        </w:rPr>
        <w:t xml:space="preserve"> </w:t>
      </w:r>
      <w:r w:rsidRPr="009E4697">
        <w:rPr>
          <w:rFonts w:asciiTheme="minorHAnsi" w:hAnsiTheme="minorHAnsi"/>
          <w:i/>
          <w:iCs/>
          <w:color w:val="000000" w:themeColor="text1"/>
          <w:spacing w:val="-6"/>
          <w:sz w:val="20"/>
          <w:szCs w:val="20"/>
        </w:rPr>
        <w:t>dell’inizi</w:t>
      </w:r>
      <w:r w:rsidRPr="009E4697">
        <w:rPr>
          <w:rFonts w:asciiTheme="minorHAnsi" w:hAnsiTheme="minorHAnsi"/>
          <w:i/>
          <w:iCs/>
          <w:color w:val="000000" w:themeColor="text1"/>
          <w:spacing w:val="-5"/>
          <w:sz w:val="20"/>
          <w:szCs w:val="20"/>
        </w:rPr>
        <w:t>o</w:t>
      </w:r>
      <w:r w:rsidRPr="009E4697">
        <w:rPr>
          <w:rFonts w:asciiTheme="minorHAnsi" w:hAnsiTheme="minorHAnsi"/>
          <w:i/>
          <w:iCs/>
          <w:color w:val="000000" w:themeColor="text1"/>
          <w:spacing w:val="18"/>
          <w:sz w:val="20"/>
          <w:szCs w:val="20"/>
        </w:rPr>
        <w:t xml:space="preserve"> </w:t>
      </w:r>
      <w:r w:rsidRPr="009E4697">
        <w:rPr>
          <w:rFonts w:asciiTheme="minorHAnsi" w:hAnsiTheme="minorHAnsi"/>
          <w:i/>
          <w:iCs/>
          <w:color w:val="000000" w:themeColor="text1"/>
          <w:spacing w:val="-4"/>
          <w:sz w:val="20"/>
          <w:szCs w:val="20"/>
        </w:rPr>
        <w:t>d</w:t>
      </w:r>
      <w:r w:rsidRPr="009E4697">
        <w:rPr>
          <w:rFonts w:asciiTheme="minorHAnsi" w:hAnsiTheme="minorHAnsi"/>
          <w:i/>
          <w:iCs/>
          <w:color w:val="000000" w:themeColor="text1"/>
          <w:spacing w:val="-5"/>
          <w:sz w:val="20"/>
          <w:szCs w:val="20"/>
        </w:rPr>
        <w:t>ella</w:t>
      </w:r>
      <w:r w:rsidRPr="009E4697">
        <w:rPr>
          <w:rFonts w:asciiTheme="minorHAnsi" w:hAnsiTheme="minorHAnsi"/>
          <w:i/>
          <w:iCs/>
          <w:color w:val="000000" w:themeColor="text1"/>
          <w:spacing w:val="18"/>
          <w:sz w:val="20"/>
          <w:szCs w:val="20"/>
        </w:rPr>
        <w:t xml:space="preserve"> </w:t>
      </w:r>
      <w:r w:rsidRPr="009E4697">
        <w:rPr>
          <w:rFonts w:asciiTheme="minorHAnsi" w:hAnsiTheme="minorHAnsi"/>
          <w:i/>
          <w:iCs/>
          <w:color w:val="000000" w:themeColor="text1"/>
          <w:spacing w:val="-5"/>
          <w:sz w:val="20"/>
          <w:szCs w:val="20"/>
        </w:rPr>
        <w:t>si</w:t>
      </w:r>
      <w:r w:rsidRPr="009E4697">
        <w:rPr>
          <w:rFonts w:asciiTheme="minorHAnsi" w:hAnsiTheme="minorHAnsi"/>
          <w:i/>
          <w:iCs/>
          <w:color w:val="000000" w:themeColor="text1"/>
          <w:spacing w:val="-4"/>
          <w:sz w:val="20"/>
          <w:szCs w:val="20"/>
        </w:rPr>
        <w:t>n</w:t>
      </w:r>
      <w:r w:rsidRPr="009E4697">
        <w:rPr>
          <w:rFonts w:asciiTheme="minorHAnsi" w:hAnsiTheme="minorHAnsi"/>
          <w:i/>
          <w:iCs/>
          <w:color w:val="000000" w:themeColor="text1"/>
          <w:spacing w:val="-5"/>
          <w:sz w:val="20"/>
          <w:szCs w:val="20"/>
        </w:rPr>
        <w:t>tesi</w:t>
      </w:r>
      <w:r w:rsidRPr="009E4697">
        <w:rPr>
          <w:rFonts w:asciiTheme="minorHAnsi" w:hAnsiTheme="minorHAnsi"/>
          <w:i/>
          <w:iCs/>
          <w:color w:val="000000" w:themeColor="text1"/>
          <w:spacing w:val="17"/>
          <w:sz w:val="20"/>
          <w:szCs w:val="20"/>
        </w:rPr>
        <w:t xml:space="preserve"> </w:t>
      </w:r>
      <w:r w:rsidRPr="009E4697">
        <w:rPr>
          <w:rFonts w:asciiTheme="minorHAnsi" w:hAnsiTheme="minorHAnsi"/>
          <w:i/>
          <w:iCs/>
          <w:color w:val="000000" w:themeColor="text1"/>
          <w:spacing w:val="-6"/>
          <w:sz w:val="20"/>
          <w:szCs w:val="20"/>
        </w:rPr>
        <w:t>a</w:t>
      </w:r>
      <w:r w:rsidRPr="009E4697">
        <w:rPr>
          <w:rFonts w:asciiTheme="minorHAnsi" w:hAnsiTheme="minorHAnsi"/>
          <w:i/>
          <w:iCs/>
          <w:color w:val="000000" w:themeColor="text1"/>
          <w:spacing w:val="-5"/>
          <w:sz w:val="20"/>
          <w:szCs w:val="20"/>
        </w:rPr>
        <w:t>n</w:t>
      </w:r>
      <w:r w:rsidRPr="009E4697">
        <w:rPr>
          <w:rFonts w:asciiTheme="minorHAnsi" w:hAnsiTheme="minorHAnsi"/>
          <w:i/>
          <w:iCs/>
          <w:color w:val="000000" w:themeColor="text1"/>
          <w:spacing w:val="-6"/>
          <w:sz w:val="20"/>
          <w:szCs w:val="20"/>
        </w:rPr>
        <w:t>ticorpale</w:t>
      </w:r>
      <w:r w:rsidRPr="009E4697">
        <w:rPr>
          <w:rFonts w:asciiTheme="minorHAnsi" w:hAnsiTheme="minorHAnsi"/>
          <w:i/>
          <w:iCs/>
          <w:color w:val="000000" w:themeColor="text1"/>
          <w:spacing w:val="21"/>
          <w:sz w:val="20"/>
          <w:szCs w:val="20"/>
        </w:rPr>
        <w:t xml:space="preserve"> </w:t>
      </w:r>
      <w:r w:rsidRPr="009E4697">
        <w:rPr>
          <w:rFonts w:asciiTheme="minorHAnsi" w:hAnsiTheme="minorHAnsi"/>
          <w:i/>
          <w:iCs/>
          <w:color w:val="000000" w:themeColor="text1"/>
          <w:sz w:val="20"/>
          <w:szCs w:val="20"/>
        </w:rPr>
        <w:t>e</w:t>
      </w:r>
      <w:r w:rsidRPr="009E4697">
        <w:rPr>
          <w:rFonts w:asciiTheme="minorHAnsi" w:hAnsiTheme="minorHAnsi"/>
          <w:i/>
          <w:iCs/>
          <w:color w:val="000000" w:themeColor="text1"/>
          <w:spacing w:val="21"/>
          <w:sz w:val="20"/>
          <w:szCs w:val="20"/>
        </w:rPr>
        <w:t xml:space="preserve"> </w:t>
      </w:r>
      <w:r w:rsidRPr="009E4697">
        <w:rPr>
          <w:rFonts w:asciiTheme="minorHAnsi" w:hAnsiTheme="minorHAnsi"/>
          <w:i/>
          <w:iCs/>
          <w:color w:val="000000" w:themeColor="text1"/>
          <w:spacing w:val="-3"/>
          <w:sz w:val="20"/>
          <w:szCs w:val="20"/>
        </w:rPr>
        <w:t>può</w:t>
      </w:r>
      <w:r w:rsidRPr="009E4697">
        <w:rPr>
          <w:rFonts w:asciiTheme="minorHAnsi" w:hAnsiTheme="minorHAnsi"/>
          <w:i/>
          <w:iCs/>
          <w:color w:val="000000" w:themeColor="text1"/>
          <w:spacing w:val="19"/>
          <w:sz w:val="20"/>
          <w:szCs w:val="20"/>
        </w:rPr>
        <w:t xml:space="preserve"> </w:t>
      </w:r>
      <w:r w:rsidRPr="009E4697">
        <w:rPr>
          <w:rFonts w:asciiTheme="minorHAnsi" w:hAnsiTheme="minorHAnsi"/>
          <w:i/>
          <w:iCs/>
          <w:color w:val="000000" w:themeColor="text1"/>
          <w:spacing w:val="-4"/>
          <w:sz w:val="20"/>
          <w:szCs w:val="20"/>
        </w:rPr>
        <w:t>ess</w:t>
      </w:r>
      <w:r w:rsidRPr="009E4697">
        <w:rPr>
          <w:rFonts w:asciiTheme="minorHAnsi" w:hAnsiTheme="minorHAnsi"/>
          <w:i/>
          <w:iCs/>
          <w:color w:val="000000" w:themeColor="text1"/>
          <w:spacing w:val="-5"/>
          <w:sz w:val="20"/>
          <w:szCs w:val="20"/>
        </w:rPr>
        <w:t>e</w:t>
      </w:r>
      <w:r w:rsidRPr="009E4697">
        <w:rPr>
          <w:rFonts w:asciiTheme="minorHAnsi" w:hAnsiTheme="minorHAnsi"/>
          <w:i/>
          <w:iCs/>
          <w:color w:val="000000" w:themeColor="text1"/>
          <w:spacing w:val="-4"/>
          <w:sz w:val="20"/>
          <w:szCs w:val="20"/>
        </w:rPr>
        <w:t>r</w:t>
      </w:r>
      <w:r w:rsidRPr="009E4697">
        <w:rPr>
          <w:rFonts w:asciiTheme="minorHAnsi" w:hAnsiTheme="minorHAnsi"/>
          <w:i/>
          <w:iCs/>
          <w:color w:val="000000" w:themeColor="text1"/>
          <w:spacing w:val="-5"/>
          <w:sz w:val="20"/>
          <w:szCs w:val="20"/>
        </w:rPr>
        <w:t>e</w:t>
      </w:r>
      <w:r w:rsidRPr="009E4697">
        <w:rPr>
          <w:rFonts w:asciiTheme="minorHAnsi" w:hAnsiTheme="minorHAnsi"/>
          <w:i/>
          <w:iCs/>
          <w:color w:val="000000" w:themeColor="text1"/>
          <w:spacing w:val="22"/>
          <w:sz w:val="20"/>
          <w:szCs w:val="20"/>
        </w:rPr>
        <w:t xml:space="preserve"> </w:t>
      </w:r>
      <w:r w:rsidRPr="009E4697">
        <w:rPr>
          <w:rFonts w:asciiTheme="minorHAnsi" w:hAnsiTheme="minorHAnsi"/>
          <w:i/>
          <w:iCs/>
          <w:color w:val="000000" w:themeColor="text1"/>
          <w:spacing w:val="-6"/>
          <w:sz w:val="20"/>
          <w:szCs w:val="20"/>
        </w:rPr>
        <w:t>di</w:t>
      </w:r>
      <w:r w:rsidRPr="009E4697">
        <w:rPr>
          <w:rFonts w:asciiTheme="minorHAnsi" w:hAnsiTheme="minorHAnsi"/>
          <w:i/>
          <w:iCs/>
          <w:color w:val="000000" w:themeColor="text1"/>
          <w:spacing w:val="-5"/>
          <w:sz w:val="20"/>
          <w:szCs w:val="20"/>
        </w:rPr>
        <w:t>agnos</w:t>
      </w:r>
      <w:r w:rsidRPr="009E4697">
        <w:rPr>
          <w:rFonts w:asciiTheme="minorHAnsi" w:hAnsiTheme="minorHAnsi"/>
          <w:i/>
          <w:iCs/>
          <w:color w:val="000000" w:themeColor="text1"/>
          <w:spacing w:val="-6"/>
          <w:sz w:val="20"/>
          <w:szCs w:val="20"/>
        </w:rPr>
        <w:t>ticata</w:t>
      </w:r>
      <w:r w:rsidRPr="009E4697">
        <w:rPr>
          <w:rFonts w:asciiTheme="minorHAnsi" w:hAnsiTheme="minorHAnsi"/>
          <w:i/>
          <w:iCs/>
          <w:color w:val="000000" w:themeColor="text1"/>
          <w:spacing w:val="21"/>
          <w:sz w:val="20"/>
          <w:szCs w:val="20"/>
        </w:rPr>
        <w:t xml:space="preserve"> </w:t>
      </w:r>
      <w:r w:rsidR="00A17626" w:rsidRPr="009E4697">
        <w:rPr>
          <w:rFonts w:asciiTheme="minorHAnsi" w:hAnsiTheme="minorHAnsi"/>
          <w:i/>
          <w:iCs/>
          <w:color w:val="000000" w:themeColor="text1"/>
          <w:spacing w:val="-2"/>
          <w:sz w:val="20"/>
          <w:szCs w:val="20"/>
        </w:rPr>
        <w:t>con</w:t>
      </w:r>
      <w:r w:rsidRPr="009E4697">
        <w:rPr>
          <w:rFonts w:asciiTheme="minorHAnsi" w:hAnsiTheme="minorHAnsi"/>
          <w:i/>
          <w:iCs/>
          <w:color w:val="000000" w:themeColor="text1"/>
          <w:spacing w:val="21"/>
          <w:sz w:val="20"/>
          <w:szCs w:val="20"/>
        </w:rPr>
        <w:t xml:space="preserve"> </w:t>
      </w:r>
      <w:r w:rsidRPr="009E4697">
        <w:rPr>
          <w:rFonts w:asciiTheme="minorHAnsi" w:hAnsiTheme="minorHAnsi"/>
          <w:i/>
          <w:iCs/>
          <w:color w:val="000000" w:themeColor="text1"/>
          <w:spacing w:val="-2"/>
          <w:sz w:val="20"/>
          <w:szCs w:val="20"/>
        </w:rPr>
        <w:t>un</w:t>
      </w:r>
      <w:r w:rsidRPr="009E4697">
        <w:rPr>
          <w:rFonts w:asciiTheme="minorHAnsi" w:hAnsiTheme="minorHAnsi"/>
          <w:i/>
          <w:iCs/>
          <w:color w:val="000000" w:themeColor="text1"/>
          <w:spacing w:val="19"/>
          <w:sz w:val="20"/>
          <w:szCs w:val="20"/>
        </w:rPr>
        <w:t xml:space="preserve"> </w:t>
      </w:r>
      <w:r w:rsidRPr="009E4697">
        <w:rPr>
          <w:rFonts w:asciiTheme="minorHAnsi" w:hAnsiTheme="minorHAnsi"/>
          <w:i/>
          <w:iCs/>
          <w:color w:val="000000" w:themeColor="text1"/>
          <w:spacing w:val="-5"/>
          <w:sz w:val="20"/>
          <w:szCs w:val="20"/>
        </w:rPr>
        <w:t>normale</w:t>
      </w:r>
      <w:r w:rsidRPr="009E4697">
        <w:rPr>
          <w:rFonts w:asciiTheme="minorHAnsi" w:hAnsiTheme="minorHAnsi"/>
          <w:i/>
          <w:iCs/>
          <w:color w:val="000000" w:themeColor="text1"/>
          <w:spacing w:val="20"/>
          <w:sz w:val="20"/>
          <w:szCs w:val="20"/>
        </w:rPr>
        <w:t xml:space="preserve"> </w:t>
      </w:r>
      <w:r w:rsidRPr="009E4697">
        <w:rPr>
          <w:rFonts w:asciiTheme="minorHAnsi" w:hAnsiTheme="minorHAnsi"/>
          <w:i/>
          <w:iCs/>
          <w:color w:val="000000" w:themeColor="text1"/>
          <w:spacing w:val="-5"/>
          <w:sz w:val="20"/>
          <w:szCs w:val="20"/>
        </w:rPr>
        <w:t>e</w:t>
      </w:r>
      <w:r w:rsidRPr="009E4697">
        <w:rPr>
          <w:rFonts w:asciiTheme="minorHAnsi" w:hAnsiTheme="minorHAnsi"/>
          <w:i/>
          <w:iCs/>
          <w:color w:val="000000" w:themeColor="text1"/>
          <w:spacing w:val="-4"/>
          <w:sz w:val="20"/>
          <w:szCs w:val="20"/>
        </w:rPr>
        <w:t>s</w:t>
      </w:r>
      <w:r w:rsidRPr="009E4697">
        <w:rPr>
          <w:rFonts w:asciiTheme="minorHAnsi" w:hAnsiTheme="minorHAnsi"/>
          <w:i/>
          <w:iCs/>
          <w:color w:val="000000" w:themeColor="text1"/>
          <w:spacing w:val="-5"/>
          <w:sz w:val="20"/>
          <w:szCs w:val="20"/>
        </w:rPr>
        <w:t>ame</w:t>
      </w:r>
      <w:r w:rsidRPr="009E4697">
        <w:rPr>
          <w:rFonts w:asciiTheme="minorHAnsi" w:hAnsiTheme="minorHAnsi"/>
          <w:i/>
          <w:iCs/>
          <w:color w:val="000000" w:themeColor="text1"/>
          <w:spacing w:val="21"/>
          <w:sz w:val="20"/>
          <w:szCs w:val="20"/>
        </w:rPr>
        <w:t xml:space="preserve"> </w:t>
      </w:r>
      <w:r w:rsidRPr="009E4697">
        <w:rPr>
          <w:rFonts w:asciiTheme="minorHAnsi" w:hAnsiTheme="minorHAnsi"/>
          <w:i/>
          <w:iCs/>
          <w:color w:val="000000" w:themeColor="text1"/>
          <w:spacing w:val="-3"/>
          <w:sz w:val="20"/>
          <w:szCs w:val="20"/>
        </w:rPr>
        <w:t>del</w:t>
      </w:r>
      <w:r w:rsidRPr="009E4697">
        <w:rPr>
          <w:rFonts w:asciiTheme="minorHAnsi" w:hAnsiTheme="minorHAnsi" w:cs="Times New Roman"/>
          <w:i/>
          <w:iCs/>
          <w:color w:val="000000" w:themeColor="text1"/>
          <w:spacing w:val="40"/>
          <w:w w:val="99"/>
          <w:sz w:val="20"/>
          <w:szCs w:val="20"/>
        </w:rPr>
        <w:t xml:space="preserve"> </w:t>
      </w:r>
      <w:r w:rsidRPr="009E4697">
        <w:rPr>
          <w:rFonts w:asciiTheme="minorHAnsi" w:hAnsiTheme="minorHAnsi"/>
          <w:i/>
          <w:iCs/>
          <w:color w:val="000000" w:themeColor="text1"/>
          <w:spacing w:val="-4"/>
          <w:sz w:val="20"/>
          <w:szCs w:val="20"/>
        </w:rPr>
        <w:t>sang</w:t>
      </w:r>
      <w:r w:rsidRPr="009E4697">
        <w:rPr>
          <w:rFonts w:asciiTheme="minorHAnsi" w:hAnsiTheme="minorHAnsi"/>
          <w:i/>
          <w:iCs/>
          <w:color w:val="000000" w:themeColor="text1"/>
          <w:spacing w:val="-5"/>
          <w:sz w:val="20"/>
          <w:szCs w:val="20"/>
        </w:rPr>
        <w:t>ue:</w:t>
      </w:r>
      <w:r w:rsidRPr="009E4697">
        <w:rPr>
          <w:rFonts w:asciiTheme="minorHAnsi" w:hAnsiTheme="minorHAnsi"/>
          <w:i/>
          <w:iCs/>
          <w:color w:val="000000" w:themeColor="text1"/>
          <w:spacing w:val="-9"/>
          <w:sz w:val="20"/>
          <w:szCs w:val="20"/>
        </w:rPr>
        <w:t xml:space="preserve"> </w:t>
      </w:r>
      <w:r w:rsidRPr="009E4697">
        <w:rPr>
          <w:rFonts w:asciiTheme="minorHAnsi" w:hAnsiTheme="minorHAnsi"/>
          <w:i/>
          <w:iCs/>
          <w:color w:val="000000" w:themeColor="text1"/>
          <w:spacing w:val="-2"/>
          <w:sz w:val="20"/>
          <w:szCs w:val="20"/>
        </w:rPr>
        <w:t>le</w:t>
      </w:r>
      <w:r w:rsidRPr="009E4697">
        <w:rPr>
          <w:rFonts w:asciiTheme="minorHAnsi" w:hAnsiTheme="minorHAnsi"/>
          <w:i/>
          <w:iCs/>
          <w:color w:val="000000" w:themeColor="text1"/>
          <w:spacing w:val="-9"/>
          <w:sz w:val="20"/>
          <w:szCs w:val="20"/>
        </w:rPr>
        <w:t xml:space="preserve"> </w:t>
      </w:r>
      <w:r w:rsidRPr="009E4697">
        <w:rPr>
          <w:rFonts w:asciiTheme="minorHAnsi" w:hAnsiTheme="minorHAnsi"/>
          <w:i/>
          <w:iCs/>
          <w:color w:val="000000" w:themeColor="text1"/>
          <w:spacing w:val="-5"/>
          <w:sz w:val="20"/>
          <w:szCs w:val="20"/>
        </w:rPr>
        <w:t>immunoglobuline</w:t>
      </w:r>
      <w:r w:rsidRPr="009E4697">
        <w:rPr>
          <w:rFonts w:asciiTheme="minorHAnsi" w:hAnsiTheme="minorHAnsi"/>
          <w:i/>
          <w:iCs/>
          <w:color w:val="000000" w:themeColor="text1"/>
          <w:spacing w:val="-8"/>
          <w:sz w:val="20"/>
          <w:szCs w:val="20"/>
        </w:rPr>
        <w:t xml:space="preserve"> </w:t>
      </w:r>
      <w:r w:rsidRPr="009E4697">
        <w:rPr>
          <w:rFonts w:asciiTheme="minorHAnsi" w:hAnsiTheme="minorHAnsi"/>
          <w:i/>
          <w:iCs/>
          <w:color w:val="000000" w:themeColor="text1"/>
          <w:spacing w:val="-5"/>
          <w:sz w:val="20"/>
          <w:szCs w:val="20"/>
        </w:rPr>
        <w:t>totali</w:t>
      </w:r>
      <w:r w:rsidRPr="009E4697">
        <w:rPr>
          <w:rFonts w:asciiTheme="minorHAnsi" w:hAnsiTheme="minorHAnsi"/>
          <w:i/>
          <w:iCs/>
          <w:color w:val="000000" w:themeColor="text1"/>
          <w:spacing w:val="-9"/>
          <w:sz w:val="20"/>
          <w:szCs w:val="20"/>
        </w:rPr>
        <w:t xml:space="preserve"> </w:t>
      </w:r>
      <w:r w:rsidRPr="009E4697">
        <w:rPr>
          <w:rFonts w:asciiTheme="minorHAnsi" w:hAnsiTheme="minorHAnsi"/>
          <w:i/>
          <w:iCs/>
          <w:color w:val="000000" w:themeColor="text1"/>
          <w:spacing w:val="-6"/>
          <w:sz w:val="20"/>
          <w:szCs w:val="20"/>
        </w:rPr>
        <w:t>risultano</w:t>
      </w:r>
      <w:r w:rsidRPr="009E4697">
        <w:rPr>
          <w:rFonts w:asciiTheme="minorHAnsi" w:hAnsiTheme="minorHAnsi"/>
          <w:i/>
          <w:iCs/>
          <w:color w:val="000000" w:themeColor="text1"/>
          <w:spacing w:val="-7"/>
          <w:sz w:val="20"/>
          <w:szCs w:val="20"/>
        </w:rPr>
        <w:t xml:space="preserve"> </w:t>
      </w:r>
      <w:r w:rsidRPr="009E4697">
        <w:rPr>
          <w:rFonts w:asciiTheme="minorHAnsi" w:hAnsiTheme="minorHAnsi"/>
          <w:i/>
          <w:iCs/>
          <w:color w:val="000000" w:themeColor="text1"/>
          <w:spacing w:val="-5"/>
          <w:sz w:val="20"/>
          <w:szCs w:val="20"/>
        </w:rPr>
        <w:t>inferio</w:t>
      </w:r>
      <w:r w:rsidRPr="009E4697">
        <w:rPr>
          <w:rFonts w:asciiTheme="minorHAnsi" w:hAnsiTheme="minorHAnsi"/>
          <w:i/>
          <w:iCs/>
          <w:color w:val="000000" w:themeColor="text1"/>
          <w:spacing w:val="-4"/>
          <w:sz w:val="20"/>
          <w:szCs w:val="20"/>
        </w:rPr>
        <w:t>r</w:t>
      </w:r>
      <w:r w:rsidRPr="009E4697">
        <w:rPr>
          <w:rFonts w:asciiTheme="minorHAnsi" w:hAnsiTheme="minorHAnsi"/>
          <w:i/>
          <w:iCs/>
          <w:color w:val="000000" w:themeColor="text1"/>
          <w:spacing w:val="-5"/>
          <w:sz w:val="20"/>
          <w:szCs w:val="20"/>
        </w:rPr>
        <w:t>i</w:t>
      </w:r>
      <w:r w:rsidRPr="009E4697">
        <w:rPr>
          <w:rFonts w:asciiTheme="minorHAnsi" w:hAnsiTheme="minorHAnsi"/>
          <w:i/>
          <w:iCs/>
          <w:color w:val="000000" w:themeColor="text1"/>
          <w:spacing w:val="-8"/>
          <w:sz w:val="20"/>
          <w:szCs w:val="20"/>
        </w:rPr>
        <w:t xml:space="preserve"> </w:t>
      </w:r>
      <w:r w:rsidRPr="009E4697">
        <w:rPr>
          <w:rFonts w:asciiTheme="minorHAnsi" w:hAnsiTheme="minorHAnsi"/>
          <w:i/>
          <w:iCs/>
          <w:color w:val="000000" w:themeColor="text1"/>
          <w:sz w:val="20"/>
          <w:szCs w:val="20"/>
        </w:rPr>
        <w:t>a</w:t>
      </w:r>
      <w:r w:rsidRPr="009E4697">
        <w:rPr>
          <w:rFonts w:asciiTheme="minorHAnsi" w:hAnsiTheme="minorHAnsi"/>
          <w:i/>
          <w:iCs/>
          <w:color w:val="000000" w:themeColor="text1"/>
          <w:spacing w:val="-8"/>
          <w:sz w:val="20"/>
          <w:szCs w:val="20"/>
        </w:rPr>
        <w:t xml:space="preserve"> </w:t>
      </w:r>
      <w:r w:rsidRPr="009E4697">
        <w:rPr>
          <w:rFonts w:asciiTheme="minorHAnsi" w:hAnsiTheme="minorHAnsi"/>
          <w:i/>
          <w:iCs/>
          <w:color w:val="000000" w:themeColor="text1"/>
          <w:spacing w:val="-3"/>
          <w:sz w:val="20"/>
          <w:szCs w:val="20"/>
        </w:rPr>
        <w:t>400</w:t>
      </w:r>
      <w:r w:rsidRPr="009E4697">
        <w:rPr>
          <w:rFonts w:asciiTheme="minorHAnsi" w:hAnsiTheme="minorHAnsi"/>
          <w:i/>
          <w:iCs/>
          <w:color w:val="000000" w:themeColor="text1"/>
          <w:spacing w:val="-9"/>
          <w:sz w:val="20"/>
          <w:szCs w:val="20"/>
        </w:rPr>
        <w:t xml:space="preserve"> </w:t>
      </w:r>
      <w:r w:rsidRPr="009E4697">
        <w:rPr>
          <w:rFonts w:asciiTheme="minorHAnsi" w:hAnsiTheme="minorHAnsi"/>
          <w:i/>
          <w:iCs/>
          <w:color w:val="000000" w:themeColor="text1"/>
          <w:spacing w:val="-6"/>
          <w:sz w:val="20"/>
          <w:szCs w:val="20"/>
        </w:rPr>
        <w:t>m</w:t>
      </w:r>
      <w:r w:rsidRPr="009E4697">
        <w:rPr>
          <w:rFonts w:asciiTheme="minorHAnsi" w:hAnsiTheme="minorHAnsi"/>
          <w:i/>
          <w:iCs/>
          <w:color w:val="000000" w:themeColor="text1"/>
          <w:spacing w:val="-5"/>
          <w:sz w:val="20"/>
          <w:szCs w:val="20"/>
        </w:rPr>
        <w:t>g</w:t>
      </w:r>
      <w:r w:rsidRPr="009E4697">
        <w:rPr>
          <w:rFonts w:asciiTheme="minorHAnsi" w:hAnsiTheme="minorHAnsi"/>
          <w:i/>
          <w:iCs/>
          <w:color w:val="000000" w:themeColor="text1"/>
          <w:spacing w:val="-6"/>
          <w:sz w:val="20"/>
          <w:szCs w:val="20"/>
        </w:rPr>
        <w:t>/</w:t>
      </w:r>
      <w:r w:rsidRPr="009E4697">
        <w:rPr>
          <w:rFonts w:asciiTheme="minorHAnsi" w:hAnsiTheme="minorHAnsi"/>
          <w:i/>
          <w:iCs/>
          <w:color w:val="000000" w:themeColor="text1"/>
          <w:spacing w:val="-5"/>
          <w:sz w:val="20"/>
          <w:szCs w:val="20"/>
        </w:rPr>
        <w:t>d</w:t>
      </w:r>
      <w:r w:rsidRPr="009E4697">
        <w:rPr>
          <w:rFonts w:asciiTheme="minorHAnsi" w:hAnsiTheme="minorHAnsi"/>
          <w:i/>
          <w:iCs/>
          <w:color w:val="000000" w:themeColor="text1"/>
          <w:spacing w:val="-6"/>
          <w:sz w:val="20"/>
          <w:szCs w:val="20"/>
        </w:rPr>
        <w:t>l.</w:t>
      </w:r>
    </w:p>
    <w:p w:rsidR="00A6208A" w:rsidRPr="009E4697" w:rsidRDefault="00A6208A" w:rsidP="009E4697">
      <w:pPr>
        <w:pStyle w:val="BodyText"/>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spacing w:before="0"/>
        <w:ind w:left="567" w:right="843"/>
        <w:jc w:val="both"/>
        <w:rPr>
          <w:rFonts w:asciiTheme="minorHAnsi" w:hAnsiTheme="minorHAnsi"/>
          <w:i/>
          <w:iCs/>
          <w:color w:val="000000" w:themeColor="text1"/>
          <w:sz w:val="20"/>
          <w:szCs w:val="20"/>
        </w:rPr>
      </w:pPr>
    </w:p>
    <w:p w:rsidR="00A6208A" w:rsidRPr="009E4697" w:rsidRDefault="00795BBE"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843"/>
        <w:jc w:val="both"/>
        <w:rPr>
          <w:rFonts w:asciiTheme="minorHAnsi" w:hAnsiTheme="minorHAnsi"/>
          <w:i/>
          <w:iCs/>
          <w:color w:val="000000" w:themeColor="text1"/>
          <w:sz w:val="20"/>
          <w:szCs w:val="20"/>
        </w:rPr>
      </w:pPr>
      <w:r w:rsidRPr="009E4697">
        <w:rPr>
          <w:rFonts w:asciiTheme="minorHAnsi" w:hAnsiTheme="minorHAnsi"/>
          <w:i/>
          <w:iCs/>
          <w:color w:val="000000" w:themeColor="text1"/>
          <w:sz w:val="20"/>
          <w:szCs w:val="20"/>
        </w:rPr>
        <w:t xml:space="preserve">La finestra temporale in cui si ha l’ipogammaglobulinemia transitoria è detta anche </w:t>
      </w:r>
      <w:r w:rsidRPr="009E4697">
        <w:rPr>
          <w:rFonts w:asciiTheme="minorHAnsi" w:hAnsiTheme="minorHAnsi"/>
          <w:b/>
          <w:bCs/>
          <w:i/>
          <w:iCs/>
          <w:color w:val="000000" w:themeColor="text1"/>
          <w:sz w:val="20"/>
          <w:szCs w:val="20"/>
        </w:rPr>
        <w:t>“finestra di vulnerabilità”</w:t>
      </w:r>
      <w:r w:rsidRPr="009E4697">
        <w:rPr>
          <w:rFonts w:asciiTheme="minorHAnsi" w:hAnsiTheme="minorHAnsi"/>
          <w:i/>
          <w:iCs/>
          <w:color w:val="000000" w:themeColor="text1"/>
          <w:sz w:val="20"/>
          <w:szCs w:val="20"/>
        </w:rPr>
        <w:t xml:space="preserve"> perché il neonato potrebbe essere esposto a</w:t>
      </w:r>
      <w:r w:rsidR="00A17626" w:rsidRPr="009E4697">
        <w:rPr>
          <w:rFonts w:asciiTheme="minorHAnsi" w:hAnsiTheme="minorHAnsi"/>
          <w:i/>
          <w:iCs/>
          <w:color w:val="000000" w:themeColor="text1"/>
          <w:sz w:val="20"/>
          <w:szCs w:val="20"/>
        </w:rPr>
        <w:t>lle</w:t>
      </w:r>
      <w:r w:rsidRPr="009E4697">
        <w:rPr>
          <w:rFonts w:asciiTheme="minorHAnsi" w:hAnsiTheme="minorHAnsi"/>
          <w:i/>
          <w:iCs/>
          <w:color w:val="000000" w:themeColor="text1"/>
          <w:sz w:val="20"/>
          <w:szCs w:val="20"/>
        </w:rPr>
        <w:t xml:space="preserve"> malattie infettive </w:t>
      </w:r>
      <w:r w:rsidR="00A17626" w:rsidRPr="009E4697">
        <w:rPr>
          <w:rFonts w:asciiTheme="minorHAnsi" w:hAnsiTheme="minorHAnsi"/>
          <w:i/>
          <w:iCs/>
          <w:color w:val="000000" w:themeColor="text1"/>
          <w:sz w:val="20"/>
          <w:szCs w:val="20"/>
        </w:rPr>
        <w:t xml:space="preserve">e soprattutto al rischio di complicazioni, </w:t>
      </w:r>
      <w:r w:rsidRPr="009E4697">
        <w:rPr>
          <w:rFonts w:asciiTheme="minorHAnsi" w:hAnsiTheme="minorHAnsi"/>
          <w:i/>
          <w:iCs/>
          <w:color w:val="000000" w:themeColor="text1"/>
          <w:sz w:val="20"/>
          <w:szCs w:val="20"/>
        </w:rPr>
        <w:t xml:space="preserve">senza un adeguato supporto da parte del sistema immunitario. </w:t>
      </w:r>
    </w:p>
    <w:p w:rsidR="009E5073" w:rsidRPr="009E4697" w:rsidRDefault="009E5073"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843"/>
        <w:jc w:val="both"/>
        <w:rPr>
          <w:rFonts w:asciiTheme="minorHAnsi" w:hAnsiTheme="minorHAnsi"/>
          <w:i/>
          <w:iCs/>
          <w:color w:val="000000" w:themeColor="text1"/>
          <w:sz w:val="20"/>
          <w:szCs w:val="20"/>
        </w:rPr>
      </w:pPr>
    </w:p>
    <w:p w:rsidR="00A6208A" w:rsidRPr="009E5073" w:rsidRDefault="00A6208A" w:rsidP="009E5073">
      <w:pPr>
        <w:ind w:left="567" w:right="843"/>
        <w:jc w:val="both"/>
        <w:rPr>
          <w:rFonts w:asciiTheme="minorHAnsi" w:hAnsiTheme="minorHAnsi"/>
          <w:color w:val="000000" w:themeColor="text1"/>
          <w:sz w:val="20"/>
          <w:szCs w:val="20"/>
        </w:rPr>
      </w:pPr>
    </w:p>
    <w:p w:rsidR="00A6208A" w:rsidRPr="009E5073" w:rsidRDefault="00A6208A" w:rsidP="009E5073">
      <w:pPr>
        <w:ind w:right="-7"/>
        <w:jc w:val="both"/>
        <w:rPr>
          <w:rFonts w:asciiTheme="minorHAnsi" w:hAnsiTheme="minorHAnsi"/>
          <w:color w:val="000000" w:themeColor="text1"/>
          <w:sz w:val="20"/>
          <w:szCs w:val="20"/>
        </w:rPr>
      </w:pPr>
      <w:r w:rsidRPr="009E5073">
        <w:rPr>
          <w:rFonts w:asciiTheme="minorHAnsi" w:hAnsiTheme="minorHAnsi"/>
          <w:color w:val="000000" w:themeColor="text1"/>
          <w:sz w:val="20"/>
          <w:szCs w:val="20"/>
        </w:rPr>
        <w:t xml:space="preserve">In questo periodo qualsiasi aggressione al sistema immunitario da parte di sostanze tossiche (contaminanti ambientali, negli alimenti, farmaci, vaccini ect) e infettive materne durante la gestazione e post-natali può comportare ad un </w:t>
      </w:r>
      <w:r w:rsidRPr="009E4697">
        <w:rPr>
          <w:rFonts w:asciiTheme="minorHAnsi" w:hAnsiTheme="minorHAnsi"/>
          <w:b/>
          <w:bCs/>
          <w:color w:val="000000" w:themeColor="text1"/>
          <w:sz w:val="20"/>
          <w:szCs w:val="20"/>
        </w:rPr>
        <w:lastRenderedPageBreak/>
        <w:t xml:space="preserve">aumento del rischio di sviluppare successivamente malattie </w:t>
      </w:r>
      <w:r w:rsidRPr="00143CE6">
        <w:rPr>
          <w:rFonts w:asciiTheme="minorHAnsi" w:hAnsiTheme="minorHAnsi"/>
          <w:b/>
          <w:bCs/>
          <w:color w:val="000000" w:themeColor="text1"/>
          <w:sz w:val="20"/>
          <w:szCs w:val="20"/>
        </w:rPr>
        <w:t>infettive croniche, cancro, allergia, autoimmunità e patologie dei sistemi neurologico, riproduttivo ed endocrino</w:t>
      </w:r>
      <w:r w:rsidRPr="009E5073">
        <w:rPr>
          <w:rFonts w:asciiTheme="minorHAnsi" w:hAnsiTheme="minorHAnsi"/>
          <w:color w:val="000000" w:themeColor="text1"/>
          <w:sz w:val="20"/>
          <w:szCs w:val="20"/>
        </w:rPr>
        <w:t>.</w:t>
      </w:r>
      <w:r w:rsidRPr="009E5073">
        <w:rPr>
          <w:rFonts w:asciiTheme="minorHAnsi" w:hAnsiTheme="minorHAnsi" w:cstheme="minorHAnsi"/>
          <w:color w:val="000000" w:themeColor="text1"/>
          <w:sz w:val="20"/>
          <w:szCs w:val="20"/>
          <w:vertAlign w:val="superscript"/>
        </w:rPr>
        <w:t xml:space="preserve"> </w:t>
      </w:r>
      <w:r w:rsidRPr="009E5073">
        <w:rPr>
          <w:rFonts w:asciiTheme="minorHAnsi" w:hAnsiTheme="minorHAnsi" w:cstheme="minorHAnsi"/>
          <w:color w:val="000000" w:themeColor="text1"/>
          <w:sz w:val="20"/>
          <w:szCs w:val="20"/>
          <w:vertAlign w:val="superscript"/>
        </w:rPr>
        <w:footnoteReference w:id="133"/>
      </w:r>
    </w:p>
    <w:p w:rsidR="00A6208A" w:rsidRDefault="00A6208A" w:rsidP="009E5073">
      <w:pPr>
        <w:ind w:right="-6"/>
        <w:jc w:val="both"/>
        <w:rPr>
          <w:rFonts w:asciiTheme="minorHAnsi" w:hAnsiTheme="minorHAnsi"/>
          <w:color w:val="000000" w:themeColor="text1"/>
          <w:sz w:val="20"/>
          <w:szCs w:val="20"/>
        </w:rPr>
      </w:pPr>
    </w:p>
    <w:p w:rsidR="00A6208A" w:rsidRDefault="004D6597" w:rsidP="000E206E">
      <w:pPr>
        <w:ind w:right="-7"/>
        <w:jc w:val="both"/>
        <w:rPr>
          <w:rFonts w:asciiTheme="minorHAnsi" w:hAnsiTheme="minorHAnsi"/>
          <w:color w:val="000000" w:themeColor="text1"/>
          <w:sz w:val="20"/>
          <w:szCs w:val="20"/>
        </w:rPr>
      </w:pPr>
      <w:r w:rsidRPr="001D6E3E">
        <w:rPr>
          <w:rFonts w:asciiTheme="minorHAnsi" w:hAnsiTheme="minorHAnsi"/>
          <w:color w:val="000000" w:themeColor="text1"/>
          <w:sz w:val="20"/>
          <w:szCs w:val="20"/>
        </w:rPr>
        <w:t xml:space="preserve">La maggior parte delle risposte anticorpali, comprese quelle alle proteine ​​batteriche, ai polisaccaridi batterici e ai vaccini coniugati polisaccaridi-proteine, dipendono dall'attività delle cellule T. </w:t>
      </w:r>
    </w:p>
    <w:p w:rsidR="00A6208A" w:rsidRDefault="004D6597" w:rsidP="000E206E">
      <w:pPr>
        <w:ind w:right="-7"/>
        <w:jc w:val="both"/>
        <w:rPr>
          <w:rFonts w:asciiTheme="minorHAnsi" w:hAnsiTheme="minorHAnsi"/>
          <w:color w:val="000000" w:themeColor="text1"/>
          <w:sz w:val="20"/>
          <w:szCs w:val="20"/>
        </w:rPr>
      </w:pPr>
      <w:r w:rsidRPr="001D6E3E">
        <w:rPr>
          <w:rFonts w:asciiTheme="minorHAnsi" w:hAnsiTheme="minorHAnsi"/>
          <w:color w:val="000000" w:themeColor="text1"/>
          <w:sz w:val="20"/>
          <w:szCs w:val="20"/>
        </w:rPr>
        <w:t xml:space="preserve">Tuttavia, le cellule B neonatali esprimono bassi livelli dei recettori che interagiscono con le cellule T, limitando la loro </w:t>
      </w:r>
      <w:r w:rsidRPr="00A6208A">
        <w:rPr>
          <w:rFonts w:asciiTheme="minorHAnsi" w:hAnsiTheme="minorHAnsi"/>
          <w:color w:val="000000" w:themeColor="text1"/>
          <w:sz w:val="20"/>
          <w:szCs w:val="20"/>
        </w:rPr>
        <w:t>capacità di risposta</w:t>
      </w:r>
      <w:r w:rsidR="00E9792B" w:rsidRPr="00A6208A">
        <w:rPr>
          <w:rFonts w:asciiTheme="minorHAnsi" w:hAnsiTheme="minorHAnsi"/>
          <w:color w:val="000000" w:themeColor="text1"/>
          <w:sz w:val="20"/>
          <w:szCs w:val="20"/>
        </w:rPr>
        <w:t xml:space="preserve"> </w:t>
      </w:r>
      <w:r w:rsidR="00E9792B" w:rsidRPr="00A6208A">
        <w:rPr>
          <w:rStyle w:val="FootnoteReference"/>
          <w:rFonts w:asciiTheme="minorHAnsi" w:hAnsiTheme="minorHAnsi"/>
          <w:color w:val="000000" w:themeColor="text1"/>
          <w:sz w:val="20"/>
          <w:szCs w:val="20"/>
        </w:rPr>
        <w:footnoteReference w:id="134"/>
      </w:r>
      <w:r w:rsidR="00531FB6" w:rsidRPr="00A6208A">
        <w:rPr>
          <w:rFonts w:asciiTheme="minorHAnsi" w:hAnsiTheme="minorHAnsi"/>
          <w:color w:val="000000" w:themeColor="text1"/>
          <w:sz w:val="20"/>
          <w:szCs w:val="20"/>
        </w:rPr>
        <w:t xml:space="preserve"> </w:t>
      </w:r>
      <w:r w:rsidRPr="00A6208A">
        <w:rPr>
          <w:rFonts w:asciiTheme="minorHAnsi" w:hAnsiTheme="minorHAnsi"/>
          <w:color w:val="000000" w:themeColor="text1"/>
          <w:sz w:val="20"/>
          <w:szCs w:val="20"/>
        </w:rPr>
        <w:t xml:space="preserve">. </w:t>
      </w:r>
    </w:p>
    <w:p w:rsidR="00A6208A" w:rsidRPr="00A6208A" w:rsidRDefault="00A6208A" w:rsidP="000E206E">
      <w:pPr>
        <w:ind w:right="-7"/>
        <w:jc w:val="both"/>
        <w:rPr>
          <w:rFonts w:asciiTheme="minorHAnsi" w:hAnsiTheme="minorHAnsi"/>
          <w:color w:val="000000" w:themeColor="text1"/>
          <w:sz w:val="20"/>
          <w:szCs w:val="20"/>
        </w:rPr>
      </w:pPr>
    </w:p>
    <w:p w:rsidR="00A6208A" w:rsidRDefault="004D6597" w:rsidP="000E206E">
      <w:pPr>
        <w:ind w:right="-7"/>
        <w:jc w:val="both"/>
        <w:rPr>
          <w:rFonts w:asciiTheme="minorHAnsi" w:hAnsiTheme="minorHAnsi"/>
          <w:color w:val="000000" w:themeColor="text1"/>
          <w:sz w:val="20"/>
          <w:szCs w:val="20"/>
        </w:rPr>
      </w:pPr>
      <w:r w:rsidRPr="00A6208A">
        <w:rPr>
          <w:rFonts w:asciiTheme="minorHAnsi" w:hAnsiTheme="minorHAnsi"/>
          <w:color w:val="000000" w:themeColor="text1"/>
          <w:sz w:val="20"/>
          <w:szCs w:val="20"/>
        </w:rPr>
        <w:t>Inoltre, bassi livelli del recettore per il frammento del complemento C3d (CD21) impediscono le risposte ai complessi del polisaccaride-complemento</w:t>
      </w:r>
      <w:r w:rsidR="00E9792B" w:rsidRPr="00A6208A">
        <w:rPr>
          <w:rFonts w:asciiTheme="minorHAnsi" w:hAnsiTheme="minorHAnsi"/>
          <w:color w:val="000000" w:themeColor="text1"/>
          <w:sz w:val="20"/>
          <w:szCs w:val="20"/>
        </w:rPr>
        <w:t xml:space="preserve"> </w:t>
      </w:r>
      <w:r w:rsidR="00E9792B" w:rsidRPr="00A6208A">
        <w:rPr>
          <w:rStyle w:val="FootnoteReference"/>
          <w:rFonts w:asciiTheme="minorHAnsi" w:hAnsiTheme="minorHAnsi"/>
          <w:color w:val="000000" w:themeColor="text1"/>
          <w:sz w:val="20"/>
          <w:szCs w:val="20"/>
        </w:rPr>
        <w:footnoteReference w:id="135"/>
      </w:r>
      <w:r w:rsidRPr="00A6208A">
        <w:rPr>
          <w:rFonts w:asciiTheme="minorHAnsi" w:hAnsiTheme="minorHAnsi"/>
          <w:color w:val="000000" w:themeColor="text1"/>
          <w:sz w:val="20"/>
          <w:szCs w:val="20"/>
        </w:rPr>
        <w:t xml:space="preserve">. </w:t>
      </w:r>
    </w:p>
    <w:p w:rsidR="00A6208A" w:rsidRDefault="004D6597" w:rsidP="000E206E">
      <w:pPr>
        <w:ind w:right="-7"/>
        <w:jc w:val="both"/>
        <w:rPr>
          <w:rFonts w:asciiTheme="minorHAnsi" w:hAnsiTheme="minorHAnsi"/>
          <w:color w:val="000000" w:themeColor="text1"/>
          <w:sz w:val="20"/>
          <w:szCs w:val="20"/>
        </w:rPr>
      </w:pPr>
      <w:r w:rsidRPr="00A6208A">
        <w:rPr>
          <w:rFonts w:asciiTheme="minorHAnsi" w:hAnsiTheme="minorHAnsi"/>
          <w:color w:val="000000" w:themeColor="text1"/>
          <w:sz w:val="20"/>
          <w:szCs w:val="20"/>
        </w:rPr>
        <w:t xml:space="preserve">Insieme, queste caratteristiche </w:t>
      </w:r>
      <w:r w:rsidR="00A17626" w:rsidRPr="00A6208A">
        <w:rPr>
          <w:rFonts w:asciiTheme="minorHAnsi" w:hAnsiTheme="minorHAnsi"/>
          <w:color w:val="000000" w:themeColor="text1"/>
          <w:sz w:val="20"/>
          <w:szCs w:val="20"/>
        </w:rPr>
        <w:t>portano</w:t>
      </w:r>
      <w:r w:rsidRPr="00A6208A">
        <w:rPr>
          <w:rFonts w:asciiTheme="minorHAnsi" w:hAnsiTheme="minorHAnsi"/>
          <w:color w:val="000000" w:themeColor="text1"/>
          <w:sz w:val="20"/>
          <w:szCs w:val="20"/>
        </w:rPr>
        <w:t xml:space="preserve"> a </w:t>
      </w:r>
      <w:r w:rsidRPr="009E4697">
        <w:rPr>
          <w:rFonts w:asciiTheme="minorHAnsi" w:hAnsiTheme="minorHAnsi"/>
          <w:b/>
          <w:bCs/>
          <w:color w:val="000000" w:themeColor="text1"/>
          <w:sz w:val="20"/>
          <w:szCs w:val="20"/>
        </w:rPr>
        <w:t>risposte immunitarie umorali deboli</w:t>
      </w:r>
      <w:r w:rsidRPr="00A6208A">
        <w:rPr>
          <w:rFonts w:asciiTheme="minorHAnsi" w:hAnsiTheme="minorHAnsi"/>
          <w:color w:val="000000" w:themeColor="text1"/>
          <w:sz w:val="20"/>
          <w:szCs w:val="20"/>
        </w:rPr>
        <w:t xml:space="preserve"> con una commutazione di classe immunoglobulinica incompleta</w:t>
      </w:r>
      <w:r w:rsidR="00E9792B" w:rsidRPr="00A6208A">
        <w:rPr>
          <w:rFonts w:asciiTheme="minorHAnsi" w:hAnsiTheme="minorHAnsi"/>
          <w:color w:val="000000" w:themeColor="text1"/>
          <w:sz w:val="20"/>
          <w:szCs w:val="20"/>
        </w:rPr>
        <w:t xml:space="preserve"> </w:t>
      </w:r>
      <w:r w:rsidR="00E9792B" w:rsidRPr="00A6208A">
        <w:rPr>
          <w:rStyle w:val="FootnoteReference"/>
          <w:rFonts w:asciiTheme="minorHAnsi" w:hAnsiTheme="minorHAnsi"/>
          <w:color w:val="000000" w:themeColor="text1"/>
          <w:sz w:val="20"/>
          <w:szCs w:val="20"/>
        </w:rPr>
        <w:footnoteReference w:id="136"/>
      </w:r>
      <w:r w:rsidRPr="00A6208A">
        <w:rPr>
          <w:rFonts w:asciiTheme="minorHAnsi" w:hAnsiTheme="minorHAnsi"/>
          <w:color w:val="000000" w:themeColor="text1"/>
          <w:sz w:val="20"/>
          <w:szCs w:val="20"/>
        </w:rPr>
        <w:t>, sebbene vengano generate cellule B di memoria</w:t>
      </w:r>
      <w:r w:rsidR="00E9792B" w:rsidRPr="00A6208A">
        <w:rPr>
          <w:rFonts w:asciiTheme="minorHAnsi" w:hAnsiTheme="minorHAnsi"/>
          <w:color w:val="000000" w:themeColor="text1"/>
          <w:sz w:val="20"/>
          <w:szCs w:val="20"/>
        </w:rPr>
        <w:t xml:space="preserve"> </w:t>
      </w:r>
      <w:r w:rsidR="00E9792B" w:rsidRPr="00A6208A">
        <w:rPr>
          <w:rStyle w:val="FootnoteReference"/>
          <w:rFonts w:asciiTheme="minorHAnsi" w:hAnsiTheme="minorHAnsi"/>
          <w:color w:val="000000" w:themeColor="text1"/>
          <w:sz w:val="20"/>
          <w:szCs w:val="20"/>
        </w:rPr>
        <w:footnoteReference w:id="137"/>
      </w:r>
      <w:r w:rsidRPr="00A6208A">
        <w:rPr>
          <w:rFonts w:asciiTheme="minorHAnsi" w:hAnsiTheme="minorHAnsi"/>
          <w:color w:val="000000" w:themeColor="text1"/>
          <w:sz w:val="20"/>
          <w:szCs w:val="20"/>
        </w:rPr>
        <w:t xml:space="preserve">. </w:t>
      </w:r>
    </w:p>
    <w:p w:rsidR="00A6208A" w:rsidRDefault="00A6208A" w:rsidP="000E206E">
      <w:pPr>
        <w:ind w:right="-7"/>
        <w:jc w:val="both"/>
        <w:rPr>
          <w:rFonts w:asciiTheme="minorHAnsi" w:hAnsiTheme="minorHAnsi"/>
          <w:color w:val="000000" w:themeColor="text1"/>
          <w:sz w:val="20"/>
          <w:szCs w:val="20"/>
        </w:rPr>
      </w:pPr>
    </w:p>
    <w:p w:rsidR="00A6208A" w:rsidRDefault="004D6597" w:rsidP="000E206E">
      <w:pPr>
        <w:ind w:right="-7"/>
        <w:jc w:val="both"/>
        <w:rPr>
          <w:rFonts w:asciiTheme="minorHAnsi" w:hAnsiTheme="minorHAnsi"/>
          <w:color w:val="000000" w:themeColor="text1"/>
          <w:sz w:val="20"/>
          <w:szCs w:val="20"/>
        </w:rPr>
      </w:pPr>
      <w:r w:rsidRPr="00A6208A">
        <w:rPr>
          <w:rFonts w:asciiTheme="minorHAnsi" w:hAnsiTheme="minorHAnsi"/>
          <w:color w:val="000000" w:themeColor="text1"/>
          <w:sz w:val="20"/>
          <w:szCs w:val="20"/>
        </w:rPr>
        <w:t xml:space="preserve">Le cellule B di neonati e bambini di età inferiore a 2 mesi mostrano una </w:t>
      </w:r>
      <w:r w:rsidRPr="009E4697">
        <w:rPr>
          <w:rFonts w:asciiTheme="minorHAnsi" w:hAnsiTheme="minorHAnsi"/>
          <w:b/>
          <w:bCs/>
          <w:color w:val="000000" w:themeColor="text1"/>
          <w:sz w:val="20"/>
          <w:szCs w:val="20"/>
        </w:rPr>
        <w:t>riduzione dell'ipermutazione somatica</w:t>
      </w:r>
      <w:r w:rsidRPr="00A6208A">
        <w:rPr>
          <w:rFonts w:asciiTheme="minorHAnsi" w:hAnsiTheme="minorHAnsi"/>
          <w:color w:val="000000" w:themeColor="text1"/>
          <w:sz w:val="20"/>
          <w:szCs w:val="20"/>
        </w:rPr>
        <w:t xml:space="preserve"> rispetto agli adulti, limitando la maturità di affinità degli anticorpi</w:t>
      </w:r>
      <w:r w:rsidR="00E9792B" w:rsidRPr="00A6208A">
        <w:rPr>
          <w:rFonts w:asciiTheme="minorHAnsi" w:hAnsiTheme="minorHAnsi"/>
          <w:color w:val="000000" w:themeColor="text1"/>
          <w:sz w:val="20"/>
          <w:szCs w:val="20"/>
        </w:rPr>
        <w:t xml:space="preserve"> </w:t>
      </w:r>
      <w:r w:rsidR="00E9792B" w:rsidRPr="00A6208A">
        <w:rPr>
          <w:rStyle w:val="FootnoteReference"/>
          <w:rFonts w:asciiTheme="minorHAnsi" w:hAnsiTheme="minorHAnsi"/>
          <w:color w:val="000000" w:themeColor="text1"/>
          <w:sz w:val="20"/>
          <w:szCs w:val="20"/>
        </w:rPr>
        <w:footnoteReference w:id="138"/>
      </w:r>
      <w:r w:rsidRPr="00A6208A">
        <w:rPr>
          <w:rFonts w:asciiTheme="minorHAnsi" w:hAnsiTheme="minorHAnsi"/>
          <w:color w:val="000000" w:themeColor="text1"/>
          <w:sz w:val="20"/>
          <w:szCs w:val="20"/>
        </w:rPr>
        <w:t xml:space="preserve">. </w:t>
      </w:r>
    </w:p>
    <w:p w:rsidR="00A6208A" w:rsidRDefault="004D6597" w:rsidP="000E206E">
      <w:pPr>
        <w:ind w:right="-7"/>
        <w:jc w:val="both"/>
        <w:rPr>
          <w:rFonts w:asciiTheme="minorHAnsi" w:hAnsiTheme="minorHAnsi"/>
          <w:color w:val="000000" w:themeColor="text1"/>
          <w:sz w:val="20"/>
          <w:szCs w:val="20"/>
        </w:rPr>
      </w:pPr>
      <w:r w:rsidRPr="00A6208A">
        <w:rPr>
          <w:rFonts w:asciiTheme="minorHAnsi" w:hAnsiTheme="minorHAnsi"/>
          <w:color w:val="000000" w:themeColor="text1"/>
          <w:sz w:val="20"/>
          <w:szCs w:val="20"/>
        </w:rPr>
        <w:lastRenderedPageBreak/>
        <w:t xml:space="preserve">Infine, vi è un </w:t>
      </w:r>
      <w:r w:rsidRPr="009E4697">
        <w:rPr>
          <w:rFonts w:asciiTheme="minorHAnsi" w:hAnsiTheme="minorHAnsi"/>
          <w:b/>
          <w:bCs/>
          <w:color w:val="000000" w:themeColor="text1"/>
          <w:sz w:val="20"/>
          <w:szCs w:val="20"/>
        </w:rPr>
        <w:t>fallimento delle cellule stromali del midollo osseo</w:t>
      </w:r>
      <w:r w:rsidRPr="00A6208A">
        <w:rPr>
          <w:rFonts w:asciiTheme="minorHAnsi" w:hAnsiTheme="minorHAnsi"/>
          <w:color w:val="000000" w:themeColor="text1"/>
          <w:sz w:val="20"/>
          <w:szCs w:val="20"/>
        </w:rPr>
        <w:t xml:space="preserve"> in tenera età nel supportare la sopravvivenza plasmatica a lungo termine e la differenziazione delle plasmacellule, in modo tale che gli anticorpi IgG </w:t>
      </w:r>
      <w:r w:rsidR="00A17626" w:rsidRPr="00A6208A">
        <w:rPr>
          <w:rFonts w:asciiTheme="minorHAnsi" w:hAnsiTheme="minorHAnsi"/>
          <w:color w:val="000000" w:themeColor="text1"/>
          <w:sz w:val="20"/>
          <w:szCs w:val="20"/>
        </w:rPr>
        <w:t xml:space="preserve">che si formano </w:t>
      </w:r>
      <w:r w:rsidRPr="00A6208A">
        <w:rPr>
          <w:rFonts w:asciiTheme="minorHAnsi" w:hAnsiTheme="minorHAnsi"/>
          <w:color w:val="000000" w:themeColor="text1"/>
          <w:sz w:val="20"/>
          <w:szCs w:val="20"/>
        </w:rPr>
        <w:t>declin</w:t>
      </w:r>
      <w:r w:rsidR="00E9792B" w:rsidRPr="00A6208A">
        <w:rPr>
          <w:rFonts w:asciiTheme="minorHAnsi" w:hAnsiTheme="minorHAnsi"/>
          <w:color w:val="000000" w:themeColor="text1"/>
          <w:sz w:val="20"/>
          <w:szCs w:val="20"/>
        </w:rPr>
        <w:t>a</w:t>
      </w:r>
      <w:r w:rsidRPr="00A6208A">
        <w:rPr>
          <w:rFonts w:asciiTheme="minorHAnsi" w:hAnsiTheme="minorHAnsi"/>
          <w:color w:val="000000" w:themeColor="text1"/>
          <w:sz w:val="20"/>
          <w:szCs w:val="20"/>
        </w:rPr>
        <w:t>no rapidamente dopo l'immunizzazione, a differenza dei bambini e degli adulti</w:t>
      </w:r>
      <w:r w:rsidR="00E9792B" w:rsidRPr="00A6208A">
        <w:rPr>
          <w:rFonts w:asciiTheme="minorHAnsi" w:hAnsiTheme="minorHAnsi"/>
          <w:color w:val="000000" w:themeColor="text1"/>
          <w:sz w:val="20"/>
          <w:szCs w:val="20"/>
        </w:rPr>
        <w:t xml:space="preserve">  </w:t>
      </w:r>
      <w:r w:rsidR="00E9792B" w:rsidRPr="00A6208A">
        <w:rPr>
          <w:rStyle w:val="FootnoteReference"/>
          <w:rFonts w:asciiTheme="minorHAnsi" w:hAnsiTheme="minorHAnsi"/>
          <w:color w:val="000000" w:themeColor="text1"/>
          <w:sz w:val="20"/>
          <w:szCs w:val="20"/>
        </w:rPr>
        <w:footnoteReference w:id="139"/>
      </w:r>
      <w:r w:rsidRPr="00A6208A">
        <w:rPr>
          <w:rFonts w:asciiTheme="minorHAnsi" w:hAnsiTheme="minorHAnsi"/>
          <w:color w:val="000000" w:themeColor="text1"/>
          <w:sz w:val="20"/>
          <w:szCs w:val="20"/>
        </w:rPr>
        <w:t>.</w:t>
      </w:r>
    </w:p>
    <w:p w:rsidR="009E4697" w:rsidRDefault="009E4697" w:rsidP="000E206E">
      <w:pPr>
        <w:ind w:right="-7"/>
        <w:jc w:val="both"/>
        <w:rPr>
          <w:rFonts w:asciiTheme="minorHAnsi" w:hAnsiTheme="minorHAnsi"/>
          <w:color w:val="000000" w:themeColor="text1"/>
          <w:sz w:val="20"/>
          <w:szCs w:val="20"/>
        </w:rPr>
      </w:pPr>
    </w:p>
    <w:p w:rsidR="00A6208A" w:rsidRDefault="004D6597" w:rsidP="000E206E">
      <w:pPr>
        <w:ind w:right="-7"/>
        <w:jc w:val="both"/>
        <w:rPr>
          <w:rFonts w:asciiTheme="minorHAnsi" w:hAnsiTheme="minorHAnsi"/>
          <w:color w:val="000000" w:themeColor="text1"/>
          <w:sz w:val="20"/>
          <w:szCs w:val="20"/>
        </w:rPr>
      </w:pPr>
      <w:r w:rsidRPr="00A6208A">
        <w:rPr>
          <w:rFonts w:asciiTheme="minorHAnsi" w:hAnsiTheme="minorHAnsi"/>
          <w:color w:val="000000" w:themeColor="text1"/>
          <w:sz w:val="20"/>
          <w:szCs w:val="20"/>
        </w:rPr>
        <w:t>Pertanto, l'efficienza del sistema immunitario adatt</w:t>
      </w:r>
      <w:r w:rsidR="00E9792B" w:rsidRPr="00A6208A">
        <w:rPr>
          <w:rFonts w:asciiTheme="minorHAnsi" w:hAnsiTheme="minorHAnsi"/>
          <w:color w:val="000000" w:themeColor="text1"/>
          <w:sz w:val="20"/>
          <w:szCs w:val="20"/>
        </w:rPr>
        <w:t>ati</w:t>
      </w:r>
      <w:r w:rsidRPr="00A6208A">
        <w:rPr>
          <w:rFonts w:asciiTheme="minorHAnsi" w:hAnsiTheme="minorHAnsi"/>
          <w:color w:val="000000" w:themeColor="text1"/>
          <w:sz w:val="20"/>
          <w:szCs w:val="20"/>
        </w:rPr>
        <w:t xml:space="preserve">vo nella risposta precoce agli antigeni dipendenti dalle cellule T è notevolmente ridotta nei neonati. </w:t>
      </w:r>
    </w:p>
    <w:p w:rsidR="00A6208A" w:rsidRDefault="004D6597" w:rsidP="000E206E">
      <w:pPr>
        <w:ind w:right="-7"/>
        <w:jc w:val="both"/>
        <w:rPr>
          <w:rFonts w:asciiTheme="minorHAnsi" w:hAnsiTheme="minorHAnsi"/>
          <w:color w:val="000000" w:themeColor="text1"/>
          <w:sz w:val="20"/>
          <w:szCs w:val="20"/>
        </w:rPr>
      </w:pPr>
      <w:r w:rsidRPr="00A6208A">
        <w:rPr>
          <w:rFonts w:asciiTheme="minorHAnsi" w:hAnsiTheme="minorHAnsi"/>
          <w:color w:val="000000" w:themeColor="text1"/>
          <w:sz w:val="20"/>
          <w:szCs w:val="20"/>
        </w:rPr>
        <w:t xml:space="preserve">Questo comportamento fisiologico è particolarmente rilevante per i programmi di vaccinazione. </w:t>
      </w:r>
    </w:p>
    <w:p w:rsidR="009E4697" w:rsidRDefault="009E4697" w:rsidP="000E206E">
      <w:pPr>
        <w:ind w:right="-7"/>
        <w:jc w:val="both"/>
        <w:rPr>
          <w:rFonts w:asciiTheme="minorHAnsi" w:hAnsiTheme="minorHAnsi"/>
          <w:color w:val="000000" w:themeColor="text1"/>
          <w:sz w:val="20"/>
          <w:szCs w:val="20"/>
        </w:rPr>
      </w:pPr>
    </w:p>
    <w:p w:rsidR="004D6597" w:rsidRPr="00A6208A" w:rsidRDefault="004D6597" w:rsidP="000E206E">
      <w:pPr>
        <w:ind w:right="-7"/>
        <w:jc w:val="both"/>
        <w:rPr>
          <w:rFonts w:asciiTheme="minorHAnsi" w:hAnsiTheme="minorHAnsi"/>
          <w:color w:val="000000" w:themeColor="text1"/>
          <w:sz w:val="20"/>
          <w:szCs w:val="20"/>
        </w:rPr>
      </w:pPr>
      <w:r w:rsidRPr="00A6208A">
        <w:rPr>
          <w:rFonts w:asciiTheme="minorHAnsi" w:hAnsiTheme="minorHAnsi"/>
          <w:color w:val="000000" w:themeColor="text1"/>
          <w:sz w:val="20"/>
          <w:szCs w:val="20"/>
        </w:rPr>
        <w:t>Insieme alla ridotta immunità innata,</w:t>
      </w:r>
      <w:r w:rsidR="00A17626" w:rsidRPr="00A6208A">
        <w:rPr>
          <w:rFonts w:asciiTheme="minorHAnsi" w:hAnsiTheme="minorHAnsi"/>
          <w:color w:val="000000" w:themeColor="text1"/>
          <w:sz w:val="20"/>
          <w:szCs w:val="20"/>
        </w:rPr>
        <w:t xml:space="preserve"> </w:t>
      </w:r>
      <w:r w:rsidRPr="00A6208A">
        <w:rPr>
          <w:rFonts w:asciiTheme="minorHAnsi" w:hAnsiTheme="minorHAnsi"/>
          <w:color w:val="000000" w:themeColor="text1"/>
          <w:sz w:val="20"/>
          <w:szCs w:val="20"/>
        </w:rPr>
        <w:t xml:space="preserve">le risposte </w:t>
      </w:r>
      <w:r w:rsidR="00E9792B" w:rsidRPr="00A6208A">
        <w:rPr>
          <w:rFonts w:asciiTheme="minorHAnsi" w:hAnsiTheme="minorHAnsi"/>
          <w:color w:val="000000" w:themeColor="text1"/>
          <w:sz w:val="20"/>
          <w:szCs w:val="20"/>
        </w:rPr>
        <w:t xml:space="preserve">Th1 e anticorpali </w:t>
      </w:r>
      <w:r w:rsidRPr="00A6208A">
        <w:rPr>
          <w:rFonts w:asciiTheme="minorHAnsi" w:hAnsiTheme="minorHAnsi"/>
          <w:color w:val="000000" w:themeColor="text1"/>
          <w:sz w:val="20"/>
          <w:szCs w:val="20"/>
        </w:rPr>
        <w:t>deboli spiegano ampiamente perché la mortalità neonatale può essere elevata in condizioni di maggiore esposizione a</w:t>
      </w:r>
      <w:r w:rsidR="00A17626" w:rsidRPr="00A6208A">
        <w:rPr>
          <w:rFonts w:asciiTheme="minorHAnsi" w:hAnsiTheme="minorHAnsi"/>
          <w:color w:val="000000" w:themeColor="text1"/>
          <w:sz w:val="20"/>
          <w:szCs w:val="20"/>
        </w:rPr>
        <w:t>i</w:t>
      </w:r>
      <w:r w:rsidRPr="00A6208A">
        <w:rPr>
          <w:rFonts w:asciiTheme="minorHAnsi" w:hAnsiTheme="minorHAnsi"/>
          <w:color w:val="000000" w:themeColor="text1"/>
          <w:sz w:val="20"/>
          <w:szCs w:val="20"/>
        </w:rPr>
        <w:t xml:space="preserve"> patogen</w:t>
      </w:r>
      <w:r w:rsidR="00A17626" w:rsidRPr="00A6208A">
        <w:rPr>
          <w:rFonts w:asciiTheme="minorHAnsi" w:hAnsiTheme="minorHAnsi"/>
          <w:color w:val="000000" w:themeColor="text1"/>
          <w:sz w:val="20"/>
          <w:szCs w:val="20"/>
        </w:rPr>
        <w:t>i</w:t>
      </w:r>
      <w:r w:rsidRPr="00A6208A">
        <w:rPr>
          <w:rFonts w:asciiTheme="minorHAnsi" w:hAnsiTheme="minorHAnsi"/>
          <w:color w:val="000000" w:themeColor="text1"/>
          <w:sz w:val="20"/>
          <w:szCs w:val="20"/>
        </w:rPr>
        <w:t>.</w:t>
      </w:r>
    </w:p>
    <w:p w:rsidR="004D6597" w:rsidRPr="00A6208A" w:rsidRDefault="004D6597" w:rsidP="000E206E">
      <w:pPr>
        <w:ind w:right="-7"/>
        <w:jc w:val="both"/>
        <w:rPr>
          <w:rFonts w:asciiTheme="minorHAnsi" w:hAnsiTheme="minorHAnsi"/>
          <w:color w:val="000000" w:themeColor="text1"/>
          <w:sz w:val="20"/>
          <w:szCs w:val="20"/>
        </w:rPr>
      </w:pPr>
    </w:p>
    <w:p w:rsidR="00A6208A" w:rsidRPr="009E4697" w:rsidRDefault="00A6208A"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560"/>
        <w:jc w:val="both"/>
        <w:rPr>
          <w:rFonts w:asciiTheme="minorHAnsi" w:hAnsiTheme="minorHAnsi"/>
          <w:i/>
          <w:iCs/>
          <w:color w:val="000000" w:themeColor="text1"/>
          <w:sz w:val="20"/>
          <w:szCs w:val="20"/>
        </w:rPr>
      </w:pPr>
    </w:p>
    <w:p w:rsidR="000E206E" w:rsidRPr="009E4697" w:rsidRDefault="000E206E"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560"/>
        <w:jc w:val="both"/>
        <w:rPr>
          <w:rFonts w:asciiTheme="minorHAnsi" w:hAnsiTheme="minorHAnsi"/>
          <w:i/>
          <w:iCs/>
          <w:color w:val="000000" w:themeColor="text1"/>
          <w:sz w:val="20"/>
          <w:szCs w:val="20"/>
        </w:rPr>
      </w:pPr>
      <w:r w:rsidRPr="009E4697">
        <w:rPr>
          <w:rFonts w:asciiTheme="minorHAnsi" w:hAnsiTheme="minorHAnsi"/>
          <w:i/>
          <w:iCs/>
          <w:color w:val="000000" w:themeColor="text1"/>
          <w:sz w:val="20"/>
          <w:szCs w:val="20"/>
        </w:rPr>
        <w:t xml:space="preserve">Come si può osservare nel diagramma sottostante, </w:t>
      </w:r>
      <w:r w:rsidRPr="009E4697">
        <w:rPr>
          <w:rFonts w:asciiTheme="minorHAnsi" w:hAnsiTheme="minorHAnsi"/>
          <w:b/>
          <w:bCs/>
          <w:i/>
          <w:iCs/>
          <w:color w:val="000000" w:themeColor="text1"/>
          <w:sz w:val="20"/>
          <w:szCs w:val="20"/>
        </w:rPr>
        <w:t xml:space="preserve">gran parte delle vaccinazioni pediatriche vengono somministrate proprio durante questo intervallo di tempo, in cui il sistema immunitario non è in grado di reagire efficacemente agli stimoli antigenici vaccinali </w:t>
      </w:r>
      <w:r w:rsidRPr="009E4697">
        <w:rPr>
          <w:rFonts w:asciiTheme="minorHAnsi" w:hAnsiTheme="minorHAnsi"/>
          <w:i/>
          <w:iCs/>
          <w:color w:val="000000" w:themeColor="text1"/>
          <w:sz w:val="20"/>
          <w:szCs w:val="20"/>
        </w:rPr>
        <w:t xml:space="preserve">e come si vedrà in seguito è addirittura predisposto all’inibizione della risposta alla vaccinazione e al </w:t>
      </w:r>
      <w:r w:rsidRPr="009E4697">
        <w:rPr>
          <w:rFonts w:asciiTheme="minorHAnsi" w:hAnsiTheme="minorHAnsi"/>
          <w:b/>
          <w:bCs/>
          <w:i/>
          <w:iCs/>
          <w:color w:val="000000" w:themeColor="text1"/>
          <w:sz w:val="20"/>
          <w:szCs w:val="20"/>
        </w:rPr>
        <w:t>potenziale rischio di ADE post-vaccinale per l’eventuale presenza di anticorpi materni</w:t>
      </w:r>
      <w:r w:rsidRPr="009E4697">
        <w:rPr>
          <w:rFonts w:asciiTheme="minorHAnsi" w:hAnsiTheme="minorHAnsi"/>
          <w:i/>
          <w:iCs/>
          <w:color w:val="000000" w:themeColor="text1"/>
          <w:sz w:val="20"/>
          <w:szCs w:val="20"/>
        </w:rPr>
        <w:t xml:space="preserve">.  </w:t>
      </w:r>
    </w:p>
    <w:p w:rsidR="00A6208A" w:rsidRPr="009E4697" w:rsidRDefault="00A6208A"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560"/>
        <w:jc w:val="both"/>
        <w:rPr>
          <w:rFonts w:asciiTheme="minorHAnsi" w:hAnsiTheme="minorHAnsi"/>
          <w:color w:val="000000" w:themeColor="text1"/>
          <w:sz w:val="20"/>
          <w:szCs w:val="20"/>
        </w:rPr>
      </w:pPr>
    </w:p>
    <w:p w:rsidR="00FF54F1" w:rsidRDefault="00FF54F1" w:rsidP="000E206E">
      <w:pPr>
        <w:ind w:right="-7"/>
        <w:jc w:val="both"/>
        <w:rPr>
          <w:rFonts w:asciiTheme="minorHAnsi" w:hAnsiTheme="minorHAnsi"/>
          <w:color w:val="000000" w:themeColor="text1"/>
          <w:sz w:val="22"/>
          <w:szCs w:val="22"/>
        </w:rPr>
      </w:pPr>
    </w:p>
    <w:p w:rsidR="009E4697" w:rsidRPr="002840CC" w:rsidRDefault="009E4697" w:rsidP="000E206E">
      <w:pPr>
        <w:ind w:right="-7"/>
        <w:jc w:val="both"/>
        <w:rPr>
          <w:rFonts w:asciiTheme="minorHAnsi" w:hAnsiTheme="minorHAnsi"/>
          <w:color w:val="000000" w:themeColor="text1"/>
          <w:sz w:val="22"/>
          <w:szCs w:val="22"/>
        </w:rPr>
      </w:pPr>
    </w:p>
    <w:p w:rsidR="0045201B" w:rsidRDefault="0045201B" w:rsidP="0045201B">
      <w:pPr>
        <w:rPr>
          <w:rFonts w:asciiTheme="minorHAnsi" w:hAnsiTheme="minorHAnsi"/>
          <w:color w:val="000000" w:themeColor="text1"/>
        </w:rPr>
      </w:pPr>
      <w:r w:rsidRPr="002840CC">
        <w:rPr>
          <w:rFonts w:asciiTheme="minorHAnsi" w:hAnsiTheme="minorHAnsi"/>
          <w:color w:val="000000" w:themeColor="text1"/>
        </w:rPr>
        <w:fldChar w:fldCharType="begin"/>
      </w:r>
      <w:r w:rsidRPr="002840CC">
        <w:rPr>
          <w:rFonts w:asciiTheme="minorHAnsi" w:hAnsiTheme="minorHAnsi"/>
          <w:color w:val="000000" w:themeColor="text1"/>
        </w:rPr>
        <w:instrText xml:space="preserve"> INCLUDEPICTURE "https://www.ncbi.nlm.nih.gov/pmc/articles/instance/4108897/bin/nihms582524f2.jpg" \* MERGEFORMATINET </w:instrText>
      </w:r>
      <w:r w:rsidRPr="002840CC">
        <w:rPr>
          <w:rFonts w:asciiTheme="minorHAnsi" w:hAnsiTheme="minorHAnsi"/>
          <w:color w:val="000000" w:themeColor="text1"/>
        </w:rPr>
        <w:fldChar w:fldCharType="separate"/>
      </w:r>
      <w:r w:rsidRPr="002840CC">
        <w:rPr>
          <w:rFonts w:asciiTheme="minorHAnsi" w:hAnsiTheme="minorHAnsi"/>
          <w:noProof/>
          <w:color w:val="000000" w:themeColor="text1"/>
        </w:rPr>
        <w:drawing>
          <wp:inline distT="0" distB="0" distL="0" distR="0" wp14:anchorId="3E565849" wp14:editId="1185CD27">
            <wp:extent cx="6116320" cy="2940685"/>
            <wp:effectExtent l="0" t="0" r="5080" b="5715"/>
            <wp:docPr id="45" name="Immagine 45" descr="https://www.ncbi.nlm.nih.gov/pmc/articles/instance/4108897/bin/nihms58252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cbi.nlm.nih.gov/pmc/articles/instance/4108897/bin/nihms582524f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16320" cy="2940685"/>
                    </a:xfrm>
                    <a:prstGeom prst="rect">
                      <a:avLst/>
                    </a:prstGeom>
                    <a:noFill/>
                    <a:ln>
                      <a:noFill/>
                    </a:ln>
                  </pic:spPr>
                </pic:pic>
              </a:graphicData>
            </a:graphic>
          </wp:inline>
        </w:drawing>
      </w:r>
      <w:r w:rsidRPr="002840CC">
        <w:rPr>
          <w:rFonts w:asciiTheme="minorHAnsi" w:hAnsiTheme="minorHAnsi"/>
          <w:color w:val="000000" w:themeColor="text1"/>
        </w:rPr>
        <w:fldChar w:fldCharType="end"/>
      </w:r>
    </w:p>
    <w:p w:rsidR="009E4697" w:rsidRPr="002840CC" w:rsidRDefault="009E4697" w:rsidP="0045201B">
      <w:pPr>
        <w:rPr>
          <w:rFonts w:asciiTheme="minorHAnsi" w:hAnsiTheme="minorHAnsi"/>
          <w:color w:val="000000" w:themeColor="text1"/>
        </w:rPr>
      </w:pPr>
    </w:p>
    <w:p w:rsidR="0045201B" w:rsidRPr="009E4697" w:rsidRDefault="0054744E" w:rsidP="009E4697">
      <w:pPr>
        <w:shd w:val="clear" w:color="auto" w:fill="F2F2F2" w:themeFill="background1" w:themeFillShade="F2"/>
        <w:rPr>
          <w:rFonts w:asciiTheme="minorHAnsi" w:hAnsiTheme="minorHAnsi"/>
          <w:color w:val="000000" w:themeColor="text1"/>
          <w:sz w:val="18"/>
          <w:szCs w:val="18"/>
        </w:rPr>
      </w:pPr>
      <w:r w:rsidRPr="009E4697">
        <w:rPr>
          <w:rFonts w:asciiTheme="minorHAnsi" w:hAnsiTheme="minorHAnsi"/>
          <w:color w:val="000000" w:themeColor="text1"/>
          <w:sz w:val="18"/>
          <w:szCs w:val="18"/>
        </w:rPr>
        <w:t xml:space="preserve">Tratta da </w:t>
      </w:r>
      <w:hyperlink r:id="rId132" w:history="1">
        <w:r w:rsidRPr="009E4697">
          <w:rPr>
            <w:rStyle w:val="Hyperlink"/>
            <w:rFonts w:asciiTheme="minorHAnsi" w:hAnsiTheme="minorHAnsi"/>
            <w:color w:val="000000" w:themeColor="text1"/>
            <w:sz w:val="18"/>
            <w:szCs w:val="18"/>
            <w:u w:val="none"/>
          </w:rPr>
          <w:t>https://www.ncbi.nlm.nih.gov/pmc/articles/PMC4108897/</w:t>
        </w:r>
      </w:hyperlink>
      <w:r w:rsidR="00B13932" w:rsidRPr="009E4697">
        <w:rPr>
          <w:rFonts w:asciiTheme="minorHAnsi" w:eastAsiaTheme="majorEastAsia" w:hAnsiTheme="minorHAnsi"/>
          <w:color w:val="000000" w:themeColor="text1"/>
          <w:sz w:val="18"/>
          <w:szCs w:val="18"/>
        </w:rPr>
        <w:t xml:space="preserve"> </w:t>
      </w:r>
      <w:r w:rsidR="00B13932" w:rsidRPr="009E4697">
        <w:rPr>
          <w:rStyle w:val="FootnoteReference"/>
          <w:rFonts w:asciiTheme="minorHAnsi" w:eastAsiaTheme="majorEastAsia" w:hAnsiTheme="minorHAnsi"/>
          <w:color w:val="000000" w:themeColor="text1"/>
          <w:sz w:val="18"/>
          <w:szCs w:val="18"/>
        </w:rPr>
        <w:footnoteReference w:id="140"/>
      </w:r>
    </w:p>
    <w:p w:rsidR="0045201B" w:rsidRPr="002840CC" w:rsidRDefault="0045201B" w:rsidP="00363FFE">
      <w:pPr>
        <w:rPr>
          <w:rFonts w:asciiTheme="minorHAnsi" w:hAnsiTheme="minorHAnsi"/>
          <w:color w:val="000000" w:themeColor="text1"/>
        </w:rPr>
      </w:pPr>
    </w:p>
    <w:p w:rsidR="009E4697" w:rsidRDefault="009E4697" w:rsidP="00766BCF">
      <w:pPr>
        <w:jc w:val="both"/>
        <w:rPr>
          <w:rFonts w:asciiTheme="minorHAnsi" w:hAnsiTheme="minorHAnsi"/>
          <w:color w:val="000000" w:themeColor="text1"/>
          <w:sz w:val="20"/>
          <w:szCs w:val="20"/>
        </w:rPr>
      </w:pPr>
    </w:p>
    <w:p w:rsidR="009E4697" w:rsidRDefault="009E4697" w:rsidP="00766BCF">
      <w:pPr>
        <w:jc w:val="both"/>
        <w:rPr>
          <w:rFonts w:asciiTheme="minorHAnsi" w:hAnsiTheme="minorHAnsi"/>
          <w:color w:val="000000" w:themeColor="text1"/>
          <w:sz w:val="20"/>
          <w:szCs w:val="20"/>
        </w:rPr>
      </w:pPr>
    </w:p>
    <w:p w:rsidR="009E4697" w:rsidRDefault="009E4697" w:rsidP="00766BCF">
      <w:pPr>
        <w:jc w:val="both"/>
        <w:rPr>
          <w:rFonts w:asciiTheme="minorHAnsi" w:hAnsiTheme="minorHAnsi"/>
          <w:color w:val="000000" w:themeColor="text1"/>
          <w:sz w:val="20"/>
          <w:szCs w:val="20"/>
        </w:rPr>
      </w:pPr>
    </w:p>
    <w:p w:rsidR="009E4697" w:rsidRDefault="009E4697" w:rsidP="00766BCF">
      <w:pPr>
        <w:jc w:val="both"/>
        <w:rPr>
          <w:rFonts w:asciiTheme="minorHAnsi" w:hAnsiTheme="minorHAnsi"/>
          <w:color w:val="000000" w:themeColor="text1"/>
          <w:sz w:val="20"/>
          <w:szCs w:val="20"/>
        </w:rPr>
      </w:pPr>
    </w:p>
    <w:p w:rsidR="009E4697" w:rsidRDefault="009E4697" w:rsidP="00766BCF">
      <w:pPr>
        <w:jc w:val="both"/>
        <w:rPr>
          <w:rFonts w:asciiTheme="minorHAnsi" w:hAnsiTheme="minorHAnsi"/>
          <w:color w:val="000000" w:themeColor="text1"/>
          <w:sz w:val="20"/>
          <w:szCs w:val="20"/>
        </w:rPr>
      </w:pPr>
    </w:p>
    <w:p w:rsidR="009E4697" w:rsidRDefault="009E4697" w:rsidP="00766BCF">
      <w:pPr>
        <w:jc w:val="both"/>
        <w:rPr>
          <w:rFonts w:asciiTheme="minorHAnsi" w:hAnsiTheme="minorHAnsi"/>
          <w:color w:val="000000" w:themeColor="text1"/>
          <w:sz w:val="20"/>
          <w:szCs w:val="20"/>
        </w:rPr>
      </w:pPr>
    </w:p>
    <w:p w:rsidR="006D1E29" w:rsidRDefault="00766BCF" w:rsidP="00766BCF">
      <w:pPr>
        <w:jc w:val="both"/>
        <w:rPr>
          <w:rFonts w:asciiTheme="minorHAnsi" w:hAnsiTheme="minorHAnsi"/>
          <w:color w:val="000000" w:themeColor="text1"/>
          <w:sz w:val="20"/>
          <w:szCs w:val="20"/>
        </w:rPr>
      </w:pPr>
      <w:r w:rsidRPr="00A6208A">
        <w:rPr>
          <w:rFonts w:asciiTheme="minorHAnsi" w:hAnsiTheme="minorHAnsi"/>
          <w:color w:val="000000" w:themeColor="text1"/>
          <w:sz w:val="20"/>
          <w:szCs w:val="20"/>
        </w:rPr>
        <w:t xml:space="preserve">I fattori materni che possono potenzialmente influenzare il </w:t>
      </w:r>
      <w:r w:rsidR="004267F0" w:rsidRPr="00A6208A">
        <w:rPr>
          <w:rFonts w:asciiTheme="minorHAnsi" w:hAnsiTheme="minorHAnsi"/>
          <w:color w:val="000000" w:themeColor="text1"/>
          <w:sz w:val="20"/>
          <w:szCs w:val="20"/>
        </w:rPr>
        <w:t xml:space="preserve">risultato </w:t>
      </w:r>
      <w:r w:rsidRPr="00A6208A">
        <w:rPr>
          <w:rFonts w:asciiTheme="minorHAnsi" w:hAnsiTheme="minorHAnsi"/>
          <w:color w:val="000000" w:themeColor="text1"/>
          <w:sz w:val="20"/>
          <w:szCs w:val="20"/>
        </w:rPr>
        <w:t xml:space="preserve">dell'immunizzazione neonatale </w:t>
      </w:r>
      <w:r w:rsidR="004267F0" w:rsidRPr="00A6208A">
        <w:rPr>
          <w:rFonts w:asciiTheme="minorHAnsi" w:hAnsiTheme="minorHAnsi"/>
          <w:color w:val="000000" w:themeColor="text1"/>
          <w:sz w:val="20"/>
          <w:szCs w:val="20"/>
        </w:rPr>
        <w:t xml:space="preserve">(cioè la produzione di anticorpi </w:t>
      </w:r>
      <w:r w:rsidR="00363FFE" w:rsidRPr="00A6208A">
        <w:rPr>
          <w:rFonts w:asciiTheme="minorHAnsi" w:hAnsiTheme="minorHAnsi"/>
          <w:color w:val="000000" w:themeColor="text1"/>
          <w:sz w:val="20"/>
          <w:szCs w:val="20"/>
        </w:rPr>
        <w:t xml:space="preserve">vaccinali) </w:t>
      </w:r>
      <w:r w:rsidRPr="00A6208A">
        <w:rPr>
          <w:rFonts w:asciiTheme="minorHAnsi" w:hAnsiTheme="minorHAnsi"/>
          <w:color w:val="000000" w:themeColor="text1"/>
          <w:sz w:val="20"/>
          <w:szCs w:val="20"/>
        </w:rPr>
        <w:t xml:space="preserve">sono </w:t>
      </w:r>
      <w:r w:rsidR="00E966DC" w:rsidRPr="00A6208A">
        <w:rPr>
          <w:rFonts w:asciiTheme="minorHAnsi" w:hAnsiTheme="minorHAnsi"/>
          <w:color w:val="000000" w:themeColor="text1"/>
          <w:sz w:val="20"/>
          <w:szCs w:val="20"/>
        </w:rPr>
        <w:t>di tre tipi</w:t>
      </w:r>
      <w:r w:rsidRPr="00A6208A">
        <w:rPr>
          <w:rFonts w:asciiTheme="minorHAnsi" w:hAnsiTheme="minorHAnsi"/>
          <w:color w:val="000000" w:themeColor="text1"/>
          <w:sz w:val="20"/>
          <w:szCs w:val="20"/>
        </w:rPr>
        <w:t xml:space="preserve">: </w:t>
      </w:r>
    </w:p>
    <w:p w:rsidR="006D1E29" w:rsidRDefault="006D1E29" w:rsidP="00766BCF">
      <w:pPr>
        <w:jc w:val="both"/>
        <w:rPr>
          <w:rFonts w:asciiTheme="minorHAnsi" w:hAnsiTheme="minorHAnsi"/>
          <w:color w:val="000000" w:themeColor="text1"/>
          <w:sz w:val="20"/>
          <w:szCs w:val="20"/>
        </w:rPr>
      </w:pPr>
    </w:p>
    <w:p w:rsidR="009E4697" w:rsidRDefault="009E4697" w:rsidP="009E4697">
      <w:pPr>
        <w:pStyle w:val="ListParagraph"/>
        <w:shd w:val="clear" w:color="auto" w:fill="FBF9E1"/>
        <w:ind w:left="142"/>
        <w:jc w:val="both"/>
        <w:rPr>
          <w:rFonts w:asciiTheme="minorHAnsi" w:hAnsiTheme="minorHAnsi"/>
          <w:b/>
          <w:bCs/>
          <w:color w:val="000000" w:themeColor="text1"/>
          <w:sz w:val="20"/>
          <w:szCs w:val="20"/>
        </w:rPr>
      </w:pPr>
    </w:p>
    <w:p w:rsidR="006D1E29" w:rsidRPr="006D1E29" w:rsidRDefault="00766BCF" w:rsidP="009E4697">
      <w:pPr>
        <w:pStyle w:val="ListParagraph"/>
        <w:numPr>
          <w:ilvl w:val="0"/>
          <w:numId w:val="21"/>
        </w:numPr>
        <w:shd w:val="clear" w:color="auto" w:fill="FBF9E1"/>
        <w:jc w:val="both"/>
        <w:rPr>
          <w:rFonts w:asciiTheme="minorHAnsi" w:hAnsiTheme="minorHAnsi"/>
          <w:b/>
          <w:bCs/>
          <w:color w:val="000000" w:themeColor="text1"/>
          <w:sz w:val="20"/>
          <w:szCs w:val="20"/>
        </w:rPr>
      </w:pPr>
      <w:r w:rsidRPr="006D1E29">
        <w:rPr>
          <w:rFonts w:asciiTheme="minorHAnsi" w:hAnsiTheme="minorHAnsi"/>
          <w:b/>
          <w:bCs/>
          <w:color w:val="000000" w:themeColor="text1"/>
          <w:sz w:val="20"/>
          <w:szCs w:val="20"/>
        </w:rPr>
        <w:t xml:space="preserve">trasferimento materno-fetale di anticorpi, </w:t>
      </w:r>
    </w:p>
    <w:p w:rsidR="006D1E29" w:rsidRPr="006D1E29" w:rsidRDefault="00766BCF" w:rsidP="009E4697">
      <w:pPr>
        <w:pStyle w:val="ListParagraph"/>
        <w:numPr>
          <w:ilvl w:val="0"/>
          <w:numId w:val="21"/>
        </w:numPr>
        <w:shd w:val="clear" w:color="auto" w:fill="FBF9E1"/>
        <w:jc w:val="both"/>
        <w:rPr>
          <w:rFonts w:asciiTheme="minorHAnsi" w:hAnsiTheme="minorHAnsi"/>
          <w:b/>
          <w:bCs/>
          <w:color w:val="000000" w:themeColor="text1"/>
          <w:sz w:val="20"/>
          <w:szCs w:val="20"/>
        </w:rPr>
      </w:pPr>
      <w:r w:rsidRPr="006D1E29">
        <w:rPr>
          <w:rFonts w:asciiTheme="minorHAnsi" w:hAnsiTheme="minorHAnsi"/>
          <w:b/>
          <w:bCs/>
          <w:color w:val="000000" w:themeColor="text1"/>
          <w:sz w:val="20"/>
          <w:szCs w:val="20"/>
        </w:rPr>
        <w:t xml:space="preserve">trasferimento materno-fetale di organismi patogeni </w:t>
      </w:r>
    </w:p>
    <w:p w:rsidR="006D1E29" w:rsidRDefault="00766BCF" w:rsidP="009E4697">
      <w:pPr>
        <w:pStyle w:val="ListParagraph"/>
        <w:numPr>
          <w:ilvl w:val="0"/>
          <w:numId w:val="21"/>
        </w:numPr>
        <w:shd w:val="clear" w:color="auto" w:fill="FBF9E1"/>
        <w:jc w:val="both"/>
        <w:rPr>
          <w:rFonts w:asciiTheme="minorHAnsi" w:hAnsiTheme="minorHAnsi"/>
          <w:color w:val="000000" w:themeColor="text1"/>
          <w:sz w:val="20"/>
          <w:szCs w:val="20"/>
        </w:rPr>
      </w:pPr>
      <w:r w:rsidRPr="006D1E29">
        <w:rPr>
          <w:rFonts w:asciiTheme="minorHAnsi" w:hAnsiTheme="minorHAnsi"/>
          <w:b/>
          <w:bCs/>
          <w:color w:val="000000" w:themeColor="text1"/>
          <w:sz w:val="20"/>
          <w:szCs w:val="20"/>
        </w:rPr>
        <w:t>infezioni materne croniche</w:t>
      </w:r>
      <w:r w:rsidRPr="006D1E29">
        <w:rPr>
          <w:rFonts w:asciiTheme="minorHAnsi" w:hAnsiTheme="minorHAnsi"/>
          <w:color w:val="000000" w:themeColor="text1"/>
          <w:sz w:val="20"/>
          <w:szCs w:val="20"/>
        </w:rPr>
        <w:t>.</w:t>
      </w:r>
      <w:r w:rsidR="0045201B" w:rsidRPr="006D1E29">
        <w:rPr>
          <w:rFonts w:asciiTheme="minorHAnsi" w:hAnsiTheme="minorHAnsi"/>
          <w:color w:val="000000" w:themeColor="text1"/>
          <w:sz w:val="20"/>
          <w:szCs w:val="20"/>
        </w:rPr>
        <w:t xml:space="preserve"> </w:t>
      </w:r>
      <w:r w:rsidR="0045201B" w:rsidRPr="00A6208A">
        <w:rPr>
          <w:rStyle w:val="FootnoteReference"/>
          <w:rFonts w:asciiTheme="minorHAnsi" w:hAnsiTheme="minorHAnsi"/>
          <w:color w:val="000000" w:themeColor="text1"/>
          <w:sz w:val="20"/>
          <w:szCs w:val="20"/>
        </w:rPr>
        <w:footnoteReference w:id="141"/>
      </w:r>
    </w:p>
    <w:p w:rsidR="009E4697" w:rsidRDefault="009E4697" w:rsidP="009E4697">
      <w:pPr>
        <w:pStyle w:val="ListParagraph"/>
        <w:shd w:val="clear" w:color="auto" w:fill="FBF9E1"/>
        <w:ind w:left="142"/>
        <w:jc w:val="both"/>
        <w:rPr>
          <w:rFonts w:asciiTheme="minorHAnsi" w:hAnsiTheme="minorHAnsi"/>
          <w:color w:val="000000" w:themeColor="text1"/>
          <w:sz w:val="20"/>
          <w:szCs w:val="20"/>
        </w:rPr>
      </w:pPr>
    </w:p>
    <w:p w:rsidR="009E4697" w:rsidRPr="006D1E29" w:rsidRDefault="009E4697" w:rsidP="009E4697">
      <w:pPr>
        <w:pStyle w:val="ListParagraph"/>
        <w:ind w:left="252"/>
        <w:jc w:val="both"/>
        <w:rPr>
          <w:rFonts w:asciiTheme="minorHAnsi" w:hAnsiTheme="minorHAnsi"/>
          <w:color w:val="000000" w:themeColor="text1"/>
          <w:sz w:val="20"/>
          <w:szCs w:val="20"/>
        </w:rPr>
      </w:pPr>
    </w:p>
    <w:p w:rsidR="0045201B" w:rsidRPr="006D1E29" w:rsidRDefault="0045201B" w:rsidP="00766BCF">
      <w:pPr>
        <w:jc w:val="both"/>
        <w:rPr>
          <w:rFonts w:asciiTheme="minorHAnsi" w:hAnsiTheme="minorHAnsi"/>
          <w:color w:val="000000" w:themeColor="text1"/>
          <w:sz w:val="20"/>
          <w:szCs w:val="20"/>
        </w:rPr>
      </w:pPr>
      <w:r w:rsidRPr="006D1E29">
        <w:rPr>
          <w:rFonts w:asciiTheme="minorHAnsi" w:hAnsiTheme="minorHAnsi"/>
          <w:color w:val="000000" w:themeColor="text1"/>
          <w:sz w:val="20"/>
          <w:szCs w:val="20"/>
        </w:rPr>
        <w:t xml:space="preserve">Il </w:t>
      </w:r>
      <w:r w:rsidRPr="009E4697">
        <w:rPr>
          <w:rFonts w:asciiTheme="minorHAnsi" w:hAnsiTheme="minorHAnsi"/>
          <w:b/>
          <w:bCs/>
          <w:color w:val="000000" w:themeColor="text1"/>
          <w:sz w:val="20"/>
          <w:szCs w:val="20"/>
          <w:shd w:val="clear" w:color="auto" w:fill="FBF9E1"/>
        </w:rPr>
        <w:t>trasferimento di anticorpi materni dalla madre al</w:t>
      </w:r>
      <w:r w:rsidR="00FA1545" w:rsidRPr="009E4697">
        <w:rPr>
          <w:rFonts w:asciiTheme="minorHAnsi" w:hAnsiTheme="minorHAnsi"/>
          <w:b/>
          <w:bCs/>
          <w:color w:val="000000" w:themeColor="text1"/>
          <w:sz w:val="20"/>
          <w:szCs w:val="20"/>
          <w:shd w:val="clear" w:color="auto" w:fill="FBF9E1"/>
        </w:rPr>
        <w:t>la prole</w:t>
      </w:r>
      <w:r w:rsidRPr="006D1E29">
        <w:rPr>
          <w:rFonts w:asciiTheme="minorHAnsi" w:hAnsiTheme="minorHAnsi"/>
          <w:color w:val="000000" w:themeColor="text1"/>
          <w:sz w:val="20"/>
          <w:szCs w:val="20"/>
        </w:rPr>
        <w:t xml:space="preserve"> può verificarsi durante la gravidanza (dal sangue materno attraverso il trasferimento transplacentare</w:t>
      </w:r>
      <w:r w:rsidR="0001602F" w:rsidRPr="006D1E29">
        <w:rPr>
          <w:rFonts w:asciiTheme="minorHAnsi" w:hAnsiTheme="minorHAnsi"/>
          <w:color w:val="000000" w:themeColor="text1"/>
          <w:sz w:val="20"/>
          <w:szCs w:val="20"/>
        </w:rPr>
        <w:t xml:space="preserve">, </w:t>
      </w:r>
      <w:r w:rsidR="0001602F" w:rsidRPr="009E4697">
        <w:rPr>
          <w:rFonts w:asciiTheme="minorHAnsi" w:hAnsiTheme="minorHAnsi"/>
          <w:color w:val="000000" w:themeColor="text1"/>
          <w:sz w:val="20"/>
          <w:szCs w:val="20"/>
        </w:rPr>
        <w:t>medi</w:t>
      </w:r>
      <w:r w:rsidR="00340F60" w:rsidRPr="009E4697">
        <w:rPr>
          <w:rFonts w:asciiTheme="minorHAnsi" w:hAnsiTheme="minorHAnsi"/>
          <w:color w:val="000000" w:themeColor="text1"/>
          <w:sz w:val="20"/>
          <w:szCs w:val="20"/>
        </w:rPr>
        <w:t>a</w:t>
      </w:r>
      <w:r w:rsidR="0001602F" w:rsidRPr="009E4697">
        <w:rPr>
          <w:rFonts w:asciiTheme="minorHAnsi" w:hAnsiTheme="minorHAnsi"/>
          <w:color w:val="000000" w:themeColor="text1"/>
          <w:sz w:val="20"/>
          <w:szCs w:val="20"/>
        </w:rPr>
        <w:t>to dai recettori FcR</w:t>
      </w:r>
      <w:r w:rsidRPr="006D1E29">
        <w:rPr>
          <w:rFonts w:asciiTheme="minorHAnsi" w:hAnsiTheme="minorHAnsi"/>
          <w:color w:val="000000" w:themeColor="text1"/>
          <w:sz w:val="20"/>
          <w:szCs w:val="20"/>
        </w:rPr>
        <w:t>) ed entro 24 ore dalla nascita (dal colostro attraverso l'intestino tenue).</w:t>
      </w:r>
    </w:p>
    <w:p w:rsidR="006D1E29" w:rsidRDefault="00340F60" w:rsidP="00766BCF">
      <w:pPr>
        <w:jc w:val="both"/>
        <w:rPr>
          <w:rFonts w:asciiTheme="minorHAnsi" w:hAnsiTheme="minorHAnsi"/>
          <w:color w:val="000000" w:themeColor="text1"/>
          <w:sz w:val="20"/>
          <w:szCs w:val="20"/>
        </w:rPr>
      </w:pPr>
      <w:r w:rsidRPr="006D1E29">
        <w:rPr>
          <w:rFonts w:asciiTheme="minorHAnsi" w:hAnsiTheme="minorHAnsi"/>
          <w:color w:val="000000" w:themeColor="text1"/>
          <w:sz w:val="20"/>
          <w:szCs w:val="20"/>
        </w:rPr>
        <w:t>In generale, la placenta pone una barriera che può</w:t>
      </w:r>
      <w:r w:rsidR="00A17626" w:rsidRPr="006D1E29">
        <w:rPr>
          <w:rFonts w:asciiTheme="minorHAnsi" w:hAnsiTheme="minorHAnsi"/>
          <w:color w:val="000000" w:themeColor="text1"/>
          <w:sz w:val="20"/>
          <w:szCs w:val="20"/>
        </w:rPr>
        <w:t>,</w:t>
      </w:r>
      <w:r w:rsidRPr="006D1E29">
        <w:rPr>
          <w:rFonts w:asciiTheme="minorHAnsi" w:hAnsiTheme="minorHAnsi"/>
          <w:color w:val="000000" w:themeColor="text1"/>
          <w:sz w:val="20"/>
          <w:szCs w:val="20"/>
        </w:rPr>
        <w:t xml:space="preserve"> almeno parzialmente</w:t>
      </w:r>
      <w:r w:rsidR="00A17626" w:rsidRPr="006D1E29">
        <w:rPr>
          <w:rFonts w:asciiTheme="minorHAnsi" w:hAnsiTheme="minorHAnsi"/>
          <w:color w:val="000000" w:themeColor="text1"/>
          <w:sz w:val="20"/>
          <w:szCs w:val="20"/>
        </w:rPr>
        <w:t>,</w:t>
      </w:r>
      <w:r w:rsidRPr="006D1E29">
        <w:rPr>
          <w:rFonts w:asciiTheme="minorHAnsi" w:hAnsiTheme="minorHAnsi"/>
          <w:color w:val="000000" w:themeColor="text1"/>
          <w:sz w:val="20"/>
          <w:szCs w:val="20"/>
        </w:rPr>
        <w:t xml:space="preserve"> controllare e ostacolare la trasmissione di sostanze nocive dalla madre al feto</w:t>
      </w:r>
      <w:r w:rsidR="002D28E0" w:rsidRPr="006D1E29">
        <w:rPr>
          <w:rFonts w:asciiTheme="minorHAnsi" w:hAnsiTheme="minorHAnsi"/>
          <w:color w:val="000000" w:themeColor="text1"/>
          <w:sz w:val="20"/>
          <w:szCs w:val="20"/>
        </w:rPr>
        <w:t xml:space="preserve"> ed</w:t>
      </w:r>
      <w:r w:rsidRPr="006D1E29">
        <w:rPr>
          <w:rFonts w:asciiTheme="minorHAnsi" w:hAnsiTheme="minorHAnsi"/>
          <w:color w:val="000000" w:themeColor="text1"/>
          <w:sz w:val="20"/>
          <w:szCs w:val="20"/>
        </w:rPr>
        <w:t xml:space="preserve"> è necessari</w:t>
      </w:r>
      <w:r w:rsidR="002D28E0" w:rsidRPr="006D1E29">
        <w:rPr>
          <w:rFonts w:asciiTheme="minorHAnsi" w:hAnsiTheme="minorHAnsi"/>
          <w:color w:val="000000" w:themeColor="text1"/>
          <w:sz w:val="20"/>
          <w:szCs w:val="20"/>
        </w:rPr>
        <w:t>a la presenza di</w:t>
      </w:r>
      <w:r w:rsidRPr="006D1E29">
        <w:rPr>
          <w:rFonts w:asciiTheme="minorHAnsi" w:hAnsiTheme="minorHAnsi"/>
          <w:color w:val="000000" w:themeColor="text1"/>
          <w:sz w:val="20"/>
          <w:szCs w:val="20"/>
        </w:rPr>
        <w:t xml:space="preserve"> un meccanismo di trasporto specifico e attivo </w:t>
      </w:r>
      <w:r w:rsidR="002D28E0" w:rsidRPr="006D1E29">
        <w:rPr>
          <w:rFonts w:asciiTheme="minorHAnsi" w:hAnsiTheme="minorHAnsi"/>
          <w:color w:val="000000" w:themeColor="text1"/>
          <w:sz w:val="20"/>
          <w:szCs w:val="20"/>
        </w:rPr>
        <w:t>che</w:t>
      </w:r>
      <w:r w:rsidRPr="006D1E29">
        <w:rPr>
          <w:rFonts w:asciiTheme="minorHAnsi" w:hAnsiTheme="minorHAnsi"/>
          <w:color w:val="000000" w:themeColor="text1"/>
          <w:sz w:val="20"/>
          <w:szCs w:val="20"/>
        </w:rPr>
        <w:t xml:space="preserve"> trasferi</w:t>
      </w:r>
      <w:r w:rsidR="002D28E0" w:rsidRPr="006D1E29">
        <w:rPr>
          <w:rFonts w:asciiTheme="minorHAnsi" w:hAnsiTheme="minorHAnsi"/>
          <w:color w:val="000000" w:themeColor="text1"/>
          <w:sz w:val="20"/>
          <w:szCs w:val="20"/>
        </w:rPr>
        <w:t>sca</w:t>
      </w:r>
      <w:r w:rsidRPr="006D1E29">
        <w:rPr>
          <w:rFonts w:asciiTheme="minorHAnsi" w:hAnsiTheme="minorHAnsi"/>
          <w:color w:val="000000" w:themeColor="text1"/>
          <w:sz w:val="20"/>
          <w:szCs w:val="20"/>
        </w:rPr>
        <w:t xml:space="preserve"> al feto gli anticorpi specifici </w:t>
      </w:r>
      <w:r w:rsidR="002D28E0" w:rsidRPr="006D1E29">
        <w:rPr>
          <w:rFonts w:asciiTheme="minorHAnsi" w:hAnsiTheme="minorHAnsi"/>
          <w:color w:val="000000" w:themeColor="text1"/>
          <w:sz w:val="20"/>
          <w:szCs w:val="20"/>
        </w:rPr>
        <w:t>contro i</w:t>
      </w:r>
      <w:r w:rsidRPr="006D1E29">
        <w:rPr>
          <w:rFonts w:asciiTheme="minorHAnsi" w:hAnsiTheme="minorHAnsi"/>
          <w:color w:val="000000" w:themeColor="text1"/>
          <w:sz w:val="20"/>
          <w:szCs w:val="20"/>
        </w:rPr>
        <w:t xml:space="preserve"> patogen</w:t>
      </w:r>
      <w:r w:rsidR="002D28E0" w:rsidRPr="006D1E29">
        <w:rPr>
          <w:rFonts w:asciiTheme="minorHAnsi" w:hAnsiTheme="minorHAnsi"/>
          <w:color w:val="000000" w:themeColor="text1"/>
          <w:sz w:val="20"/>
          <w:szCs w:val="20"/>
        </w:rPr>
        <w:t>i</w:t>
      </w:r>
      <w:r w:rsidRPr="006D1E29">
        <w:rPr>
          <w:rFonts w:asciiTheme="minorHAnsi" w:hAnsiTheme="minorHAnsi"/>
          <w:color w:val="000000" w:themeColor="text1"/>
          <w:sz w:val="20"/>
          <w:szCs w:val="20"/>
        </w:rPr>
        <w:t xml:space="preserve"> matern</w:t>
      </w:r>
      <w:r w:rsidR="002D28E0" w:rsidRPr="006D1E29">
        <w:rPr>
          <w:rFonts w:asciiTheme="minorHAnsi" w:hAnsiTheme="minorHAnsi"/>
          <w:color w:val="000000" w:themeColor="text1"/>
          <w:sz w:val="20"/>
          <w:szCs w:val="20"/>
        </w:rPr>
        <w:t>i</w:t>
      </w:r>
      <w:r w:rsidRPr="006D1E29">
        <w:rPr>
          <w:rFonts w:asciiTheme="minorHAnsi" w:hAnsiTheme="minorHAnsi"/>
          <w:color w:val="000000" w:themeColor="text1"/>
          <w:sz w:val="20"/>
          <w:szCs w:val="20"/>
        </w:rPr>
        <w:t xml:space="preserve">. </w:t>
      </w:r>
    </w:p>
    <w:p w:rsidR="009E4697" w:rsidRDefault="009E4697" w:rsidP="00766BCF">
      <w:pPr>
        <w:jc w:val="both"/>
        <w:rPr>
          <w:rFonts w:asciiTheme="minorHAnsi" w:hAnsiTheme="minorHAnsi"/>
          <w:color w:val="000000" w:themeColor="text1"/>
          <w:sz w:val="20"/>
          <w:szCs w:val="20"/>
        </w:rPr>
      </w:pPr>
    </w:p>
    <w:p w:rsidR="00340F60" w:rsidRDefault="00340F60" w:rsidP="00766BCF">
      <w:pPr>
        <w:jc w:val="both"/>
        <w:rPr>
          <w:rFonts w:asciiTheme="minorHAnsi" w:hAnsiTheme="minorHAnsi"/>
          <w:color w:val="000000" w:themeColor="text1"/>
          <w:sz w:val="20"/>
          <w:szCs w:val="20"/>
        </w:rPr>
      </w:pPr>
      <w:r w:rsidRPr="006D1E29">
        <w:rPr>
          <w:rFonts w:asciiTheme="minorHAnsi" w:hAnsiTheme="minorHAnsi"/>
          <w:color w:val="000000" w:themeColor="text1"/>
          <w:sz w:val="20"/>
          <w:szCs w:val="20"/>
        </w:rPr>
        <w:t>A questo proposito,</w:t>
      </w:r>
      <w:r w:rsidR="002D28E0" w:rsidRPr="006D1E29">
        <w:rPr>
          <w:rFonts w:asciiTheme="minorHAnsi" w:hAnsiTheme="minorHAnsi"/>
          <w:color w:val="000000" w:themeColor="text1"/>
          <w:sz w:val="20"/>
          <w:szCs w:val="20"/>
        </w:rPr>
        <w:t xml:space="preserve"> come già accennato,</w:t>
      </w:r>
      <w:r w:rsidRPr="006D1E29">
        <w:rPr>
          <w:rFonts w:asciiTheme="minorHAnsi" w:hAnsiTheme="minorHAnsi"/>
          <w:color w:val="000000" w:themeColor="text1"/>
          <w:sz w:val="20"/>
          <w:szCs w:val="20"/>
        </w:rPr>
        <w:t xml:space="preserve"> </w:t>
      </w:r>
      <w:r w:rsidRPr="009E4697">
        <w:rPr>
          <w:rFonts w:asciiTheme="minorHAnsi" w:hAnsiTheme="minorHAnsi"/>
          <w:b/>
          <w:bCs/>
          <w:color w:val="000000" w:themeColor="text1"/>
          <w:sz w:val="20"/>
          <w:szCs w:val="20"/>
          <w:shd w:val="clear" w:color="auto" w:fill="FBF9E1"/>
        </w:rPr>
        <w:t xml:space="preserve">il recettore neonatale Fc (FcRn) </w:t>
      </w:r>
      <w:r w:rsidR="002D28E0" w:rsidRPr="009E4697">
        <w:rPr>
          <w:rFonts w:asciiTheme="minorHAnsi" w:hAnsiTheme="minorHAnsi"/>
          <w:b/>
          <w:bCs/>
          <w:color w:val="000000" w:themeColor="text1"/>
          <w:sz w:val="20"/>
          <w:szCs w:val="20"/>
          <w:shd w:val="clear" w:color="auto" w:fill="FBF9E1"/>
        </w:rPr>
        <w:t xml:space="preserve">espresso nei sincitotrofoblasti placentari </w:t>
      </w:r>
      <w:r w:rsidRPr="009E4697">
        <w:rPr>
          <w:rFonts w:asciiTheme="minorHAnsi" w:hAnsiTheme="minorHAnsi"/>
          <w:b/>
          <w:bCs/>
          <w:color w:val="000000" w:themeColor="text1"/>
          <w:sz w:val="20"/>
          <w:szCs w:val="20"/>
          <w:shd w:val="clear" w:color="auto" w:fill="FBF9E1"/>
        </w:rPr>
        <w:t>svolge un ruolo chiave</w:t>
      </w:r>
      <w:r w:rsidRPr="006D1E29">
        <w:rPr>
          <w:rFonts w:asciiTheme="minorHAnsi" w:hAnsiTheme="minorHAnsi"/>
          <w:color w:val="000000" w:themeColor="text1"/>
          <w:sz w:val="20"/>
          <w:szCs w:val="20"/>
        </w:rPr>
        <w:t>.</w:t>
      </w:r>
      <w:r w:rsidRPr="006D1E29">
        <w:rPr>
          <w:rStyle w:val="FootnoteReference"/>
          <w:rFonts w:asciiTheme="minorHAnsi" w:hAnsiTheme="minorHAnsi"/>
          <w:color w:val="000000" w:themeColor="text1"/>
          <w:sz w:val="20"/>
          <w:szCs w:val="20"/>
        </w:rPr>
        <w:footnoteReference w:id="142"/>
      </w:r>
      <w:r w:rsidRPr="006D1E29">
        <w:rPr>
          <w:rFonts w:asciiTheme="minorHAnsi" w:hAnsiTheme="minorHAnsi"/>
          <w:color w:val="000000" w:themeColor="text1"/>
          <w:sz w:val="20"/>
          <w:szCs w:val="20"/>
        </w:rPr>
        <w:t>.</w:t>
      </w:r>
    </w:p>
    <w:p w:rsidR="006D1E29" w:rsidRPr="009E4697" w:rsidRDefault="006D1E29"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b/>
          <w:bCs/>
          <w:color w:val="000000" w:themeColor="text1"/>
          <w:sz w:val="20"/>
          <w:szCs w:val="20"/>
        </w:rPr>
      </w:pPr>
    </w:p>
    <w:p w:rsidR="009E4697" w:rsidRDefault="00FA1545"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i/>
          <w:iCs/>
          <w:color w:val="000000" w:themeColor="text1"/>
          <w:sz w:val="20"/>
          <w:szCs w:val="20"/>
        </w:rPr>
      </w:pPr>
      <w:r w:rsidRPr="009E4697">
        <w:rPr>
          <w:rFonts w:asciiTheme="minorHAnsi" w:hAnsiTheme="minorHAnsi"/>
          <w:b/>
          <w:bCs/>
          <w:i/>
          <w:iCs/>
          <w:color w:val="000000" w:themeColor="text1"/>
          <w:sz w:val="20"/>
          <w:szCs w:val="20"/>
        </w:rPr>
        <w:t>La stragrande maggioranza degli anticorpi materni è dell'isotipo IgG</w:t>
      </w:r>
      <w:r w:rsidRPr="009E4697">
        <w:rPr>
          <w:rFonts w:asciiTheme="minorHAnsi" w:hAnsiTheme="minorHAnsi"/>
          <w:i/>
          <w:iCs/>
          <w:color w:val="000000" w:themeColor="text1"/>
          <w:sz w:val="20"/>
          <w:szCs w:val="20"/>
        </w:rPr>
        <w:t xml:space="preserve">. </w:t>
      </w:r>
    </w:p>
    <w:p w:rsidR="006D1E29" w:rsidRPr="009E4697" w:rsidRDefault="00FA1545"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i/>
          <w:iCs/>
          <w:color w:val="000000" w:themeColor="text1"/>
          <w:sz w:val="20"/>
          <w:szCs w:val="20"/>
        </w:rPr>
      </w:pPr>
      <w:r w:rsidRPr="009E4697">
        <w:rPr>
          <w:rFonts w:asciiTheme="minorHAnsi" w:hAnsiTheme="minorHAnsi"/>
          <w:i/>
          <w:iCs/>
          <w:color w:val="000000" w:themeColor="text1"/>
          <w:sz w:val="20"/>
          <w:szCs w:val="20"/>
        </w:rPr>
        <w:t xml:space="preserve">Questi anticorpi acquisiti passivamente entrano nel flusso sanguigno della prole e fungono da scudo protettivo in tutto il corpo allo stesso modo degli anticorpi prodotti attivamente. </w:t>
      </w:r>
    </w:p>
    <w:p w:rsidR="009E5073" w:rsidRPr="009E4697" w:rsidRDefault="009E5073"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i/>
          <w:iCs/>
          <w:color w:val="000000" w:themeColor="text1"/>
          <w:sz w:val="20"/>
          <w:szCs w:val="20"/>
        </w:rPr>
      </w:pPr>
    </w:p>
    <w:p w:rsidR="006D1E29" w:rsidRPr="009E4697" w:rsidRDefault="00FA1545"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i/>
          <w:iCs/>
          <w:color w:val="000000" w:themeColor="text1"/>
          <w:sz w:val="20"/>
          <w:szCs w:val="20"/>
        </w:rPr>
      </w:pPr>
      <w:r w:rsidRPr="009E4697">
        <w:rPr>
          <w:rFonts w:asciiTheme="minorHAnsi" w:hAnsiTheme="minorHAnsi"/>
          <w:i/>
          <w:iCs/>
          <w:color w:val="000000" w:themeColor="text1"/>
          <w:sz w:val="20"/>
          <w:szCs w:val="20"/>
        </w:rPr>
        <w:t>A volte gli anticorpi IgA contenuti nel latte materno vengono anche chiamati anticorpi materni</w:t>
      </w:r>
      <w:r w:rsidR="002D28E0" w:rsidRPr="009E4697">
        <w:rPr>
          <w:rFonts w:asciiTheme="minorHAnsi" w:hAnsiTheme="minorHAnsi"/>
          <w:i/>
          <w:iCs/>
          <w:color w:val="000000" w:themeColor="text1"/>
          <w:sz w:val="20"/>
          <w:szCs w:val="20"/>
        </w:rPr>
        <w:t>, t</w:t>
      </w:r>
      <w:r w:rsidRPr="009E4697">
        <w:rPr>
          <w:rFonts w:asciiTheme="minorHAnsi" w:hAnsiTheme="minorHAnsi"/>
          <w:i/>
          <w:iCs/>
          <w:color w:val="000000" w:themeColor="text1"/>
          <w:sz w:val="20"/>
          <w:szCs w:val="20"/>
        </w:rPr>
        <w:t xml:space="preserve">uttavia ci sono importanti differenze nell'azione degli anticorpi IgG e IgA trasferiti passivamente. </w:t>
      </w:r>
    </w:p>
    <w:p w:rsidR="009E5073" w:rsidRPr="009E4697" w:rsidRDefault="009E5073"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i/>
          <w:iCs/>
          <w:color w:val="000000" w:themeColor="text1"/>
          <w:sz w:val="20"/>
          <w:szCs w:val="20"/>
        </w:rPr>
      </w:pPr>
    </w:p>
    <w:p w:rsidR="006D1E29" w:rsidRPr="009E4697" w:rsidRDefault="002D28E0"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i/>
          <w:iCs/>
          <w:color w:val="000000" w:themeColor="text1"/>
          <w:sz w:val="20"/>
          <w:szCs w:val="20"/>
        </w:rPr>
      </w:pPr>
      <w:r w:rsidRPr="009E4697">
        <w:rPr>
          <w:rFonts w:asciiTheme="minorHAnsi" w:hAnsiTheme="minorHAnsi"/>
          <w:i/>
          <w:iCs/>
          <w:color w:val="000000" w:themeColor="text1"/>
          <w:sz w:val="20"/>
          <w:szCs w:val="20"/>
        </w:rPr>
        <w:t>D</w:t>
      </w:r>
      <w:r w:rsidR="00FA1545" w:rsidRPr="009E4697">
        <w:rPr>
          <w:rFonts w:asciiTheme="minorHAnsi" w:hAnsiTheme="minorHAnsi"/>
          <w:i/>
          <w:iCs/>
          <w:color w:val="000000" w:themeColor="text1"/>
          <w:sz w:val="20"/>
          <w:szCs w:val="20"/>
        </w:rPr>
        <w:t xml:space="preserve">opo la nascita, </w:t>
      </w:r>
      <w:r w:rsidR="00FA1545" w:rsidRPr="009E4697">
        <w:rPr>
          <w:rFonts w:asciiTheme="minorHAnsi" w:hAnsiTheme="minorHAnsi"/>
          <w:b/>
          <w:bCs/>
          <w:i/>
          <w:iCs/>
          <w:color w:val="000000" w:themeColor="text1"/>
          <w:sz w:val="20"/>
          <w:szCs w:val="20"/>
        </w:rPr>
        <w:t>gli anticorpi IgG sono presenti nel flusso sanguigno del neonato in quantità finita che diminuisce nel tempo</w:t>
      </w:r>
      <w:r w:rsidRPr="009E4697">
        <w:rPr>
          <w:rFonts w:asciiTheme="minorHAnsi" w:hAnsiTheme="minorHAnsi"/>
          <w:b/>
          <w:bCs/>
          <w:i/>
          <w:iCs/>
          <w:color w:val="000000" w:themeColor="text1"/>
          <w:sz w:val="20"/>
          <w:szCs w:val="20"/>
        </w:rPr>
        <w:t xml:space="preserve"> e sono responsabili della soppressione</w:t>
      </w:r>
      <w:r w:rsidR="00FA1545" w:rsidRPr="009E4697">
        <w:rPr>
          <w:rFonts w:asciiTheme="minorHAnsi" w:hAnsiTheme="minorHAnsi"/>
          <w:b/>
          <w:bCs/>
          <w:i/>
          <w:iCs/>
          <w:color w:val="000000" w:themeColor="text1"/>
          <w:sz w:val="20"/>
          <w:szCs w:val="20"/>
        </w:rPr>
        <w:t xml:space="preserve"> </w:t>
      </w:r>
      <w:r w:rsidRPr="009E4697">
        <w:rPr>
          <w:rFonts w:asciiTheme="minorHAnsi" w:hAnsiTheme="minorHAnsi"/>
          <w:b/>
          <w:bCs/>
          <w:i/>
          <w:iCs/>
          <w:color w:val="000000" w:themeColor="text1"/>
          <w:sz w:val="20"/>
          <w:szCs w:val="20"/>
        </w:rPr>
        <w:t>del</w:t>
      </w:r>
      <w:r w:rsidR="00FA1545" w:rsidRPr="009E4697">
        <w:rPr>
          <w:rFonts w:asciiTheme="minorHAnsi" w:hAnsiTheme="minorHAnsi"/>
          <w:b/>
          <w:bCs/>
          <w:i/>
          <w:iCs/>
          <w:color w:val="000000" w:themeColor="text1"/>
          <w:sz w:val="20"/>
          <w:szCs w:val="20"/>
        </w:rPr>
        <w:t>le risposte immunitarie indotte dal vaccino</w:t>
      </w:r>
      <w:r w:rsidR="00FA1545" w:rsidRPr="009E4697">
        <w:rPr>
          <w:rFonts w:asciiTheme="minorHAnsi" w:hAnsiTheme="minorHAnsi"/>
          <w:i/>
          <w:iCs/>
          <w:color w:val="000000" w:themeColor="text1"/>
          <w:sz w:val="20"/>
          <w:szCs w:val="20"/>
        </w:rPr>
        <w:t xml:space="preserve">. </w:t>
      </w:r>
    </w:p>
    <w:p w:rsidR="009E5073" w:rsidRPr="009E4697" w:rsidRDefault="009E5073"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i/>
          <w:iCs/>
          <w:color w:val="000000" w:themeColor="text1"/>
          <w:sz w:val="20"/>
          <w:szCs w:val="20"/>
        </w:rPr>
      </w:pPr>
    </w:p>
    <w:p w:rsidR="00FA1545" w:rsidRPr="009E4697" w:rsidRDefault="00FA1545"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i/>
          <w:iCs/>
          <w:color w:val="000000" w:themeColor="text1"/>
          <w:sz w:val="20"/>
          <w:szCs w:val="20"/>
        </w:rPr>
      </w:pPr>
      <w:r w:rsidRPr="009E4697">
        <w:rPr>
          <w:rFonts w:asciiTheme="minorHAnsi" w:hAnsiTheme="minorHAnsi"/>
          <w:i/>
          <w:iCs/>
          <w:color w:val="000000" w:themeColor="text1"/>
          <w:sz w:val="20"/>
          <w:szCs w:val="20"/>
        </w:rPr>
        <w:t xml:space="preserve">Al contrario, </w:t>
      </w:r>
      <w:r w:rsidRPr="009E4697">
        <w:rPr>
          <w:rFonts w:asciiTheme="minorHAnsi" w:hAnsiTheme="minorHAnsi"/>
          <w:b/>
          <w:bCs/>
          <w:i/>
          <w:iCs/>
          <w:color w:val="000000" w:themeColor="text1"/>
          <w:sz w:val="20"/>
          <w:szCs w:val="20"/>
        </w:rPr>
        <w:t xml:space="preserve">gli anticorpi IgA vengono continuamente </w:t>
      </w:r>
      <w:r w:rsidR="002D28E0" w:rsidRPr="009E4697">
        <w:rPr>
          <w:rFonts w:asciiTheme="minorHAnsi" w:hAnsiTheme="minorHAnsi"/>
          <w:b/>
          <w:bCs/>
          <w:i/>
          <w:iCs/>
          <w:color w:val="000000" w:themeColor="text1"/>
          <w:sz w:val="20"/>
          <w:szCs w:val="20"/>
        </w:rPr>
        <w:t xml:space="preserve">forniti dalla madre </w:t>
      </w:r>
      <w:r w:rsidRPr="009E4697">
        <w:rPr>
          <w:rFonts w:asciiTheme="minorHAnsi" w:hAnsiTheme="minorHAnsi"/>
          <w:b/>
          <w:bCs/>
          <w:i/>
          <w:iCs/>
          <w:color w:val="000000" w:themeColor="text1"/>
          <w:sz w:val="20"/>
          <w:szCs w:val="20"/>
        </w:rPr>
        <w:t>attraverso il latte materno</w:t>
      </w:r>
      <w:r w:rsidRPr="009E4697">
        <w:rPr>
          <w:rFonts w:asciiTheme="minorHAnsi" w:hAnsiTheme="minorHAnsi"/>
          <w:i/>
          <w:iCs/>
          <w:color w:val="000000" w:themeColor="text1"/>
          <w:sz w:val="20"/>
          <w:szCs w:val="20"/>
        </w:rPr>
        <w:t xml:space="preserve"> e proteggono il tratto gastrointestinale dagli agenti patogeni senza influire sulla risposta immunitaria.</w:t>
      </w:r>
    </w:p>
    <w:p w:rsidR="006D1E29" w:rsidRPr="009E4697" w:rsidRDefault="006D1E29"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olor w:val="000000" w:themeColor="text1"/>
          <w:sz w:val="20"/>
          <w:szCs w:val="20"/>
        </w:rPr>
      </w:pPr>
    </w:p>
    <w:p w:rsidR="0054744E" w:rsidRPr="006D1E29" w:rsidRDefault="0054744E" w:rsidP="00FA1545">
      <w:pPr>
        <w:jc w:val="both"/>
        <w:rPr>
          <w:rFonts w:asciiTheme="minorHAnsi" w:hAnsiTheme="minorHAnsi"/>
          <w:color w:val="000000" w:themeColor="text1"/>
          <w:sz w:val="20"/>
          <w:szCs w:val="20"/>
        </w:rPr>
      </w:pPr>
    </w:p>
    <w:p w:rsidR="0054744E" w:rsidRDefault="0054744E" w:rsidP="006D1E29">
      <w:pPr>
        <w:jc w:val="center"/>
        <w:rPr>
          <w:rFonts w:asciiTheme="minorHAnsi" w:hAnsiTheme="minorHAnsi"/>
          <w:color w:val="000000" w:themeColor="text1"/>
        </w:rPr>
      </w:pPr>
      <w:r w:rsidRPr="002840CC">
        <w:rPr>
          <w:rFonts w:asciiTheme="minorHAnsi" w:hAnsiTheme="minorHAnsi"/>
          <w:color w:val="000000" w:themeColor="text1"/>
        </w:rPr>
        <w:fldChar w:fldCharType="begin"/>
      </w:r>
      <w:r w:rsidRPr="002840CC">
        <w:rPr>
          <w:rFonts w:asciiTheme="minorHAnsi" w:hAnsiTheme="minorHAnsi"/>
          <w:color w:val="000000" w:themeColor="text1"/>
        </w:rPr>
        <w:instrText xml:space="preserve"> INCLUDEPICTURE "https://journals.plos.org/plospathogens/article/figure/image?size=large&amp;id=10.1371/journal.ppat.1008303.g001" \* MERGEFORMATINET </w:instrText>
      </w:r>
      <w:r w:rsidRPr="002840CC">
        <w:rPr>
          <w:rFonts w:asciiTheme="minorHAnsi" w:hAnsiTheme="minorHAnsi"/>
          <w:color w:val="000000" w:themeColor="text1"/>
        </w:rPr>
        <w:fldChar w:fldCharType="separate"/>
      </w:r>
      <w:r w:rsidRPr="002840CC">
        <w:rPr>
          <w:rFonts w:asciiTheme="minorHAnsi" w:hAnsiTheme="minorHAnsi"/>
          <w:noProof/>
          <w:color w:val="000000" w:themeColor="text1"/>
        </w:rPr>
        <w:drawing>
          <wp:inline distT="0" distB="0" distL="0" distR="0">
            <wp:extent cx="5946726" cy="4178515"/>
            <wp:effectExtent l="0" t="0" r="0" b="0"/>
            <wp:docPr id="57" name="Immagine 57" descr="https://journals.plos.org/plospathogens/article/figure/image?size=large&amp;id=10.1371/journal.ppat.100830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journals.plos.org/plospathogens/article/figure/image?size=large&amp;id=10.1371/journal.ppat.1008303.g00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037848" cy="4242543"/>
                    </a:xfrm>
                    <a:prstGeom prst="rect">
                      <a:avLst/>
                    </a:prstGeom>
                    <a:noFill/>
                    <a:ln>
                      <a:noFill/>
                    </a:ln>
                  </pic:spPr>
                </pic:pic>
              </a:graphicData>
            </a:graphic>
          </wp:inline>
        </w:drawing>
      </w:r>
      <w:r w:rsidRPr="002840CC">
        <w:rPr>
          <w:rFonts w:asciiTheme="minorHAnsi" w:hAnsiTheme="minorHAnsi"/>
          <w:color w:val="000000" w:themeColor="text1"/>
        </w:rPr>
        <w:fldChar w:fldCharType="end"/>
      </w:r>
    </w:p>
    <w:p w:rsidR="009E4697" w:rsidRPr="002840CC" w:rsidRDefault="009E4697" w:rsidP="006D1E29">
      <w:pPr>
        <w:jc w:val="center"/>
        <w:rPr>
          <w:rFonts w:asciiTheme="minorHAnsi" w:hAnsiTheme="minorHAnsi"/>
          <w:color w:val="000000" w:themeColor="text1"/>
        </w:rPr>
      </w:pPr>
    </w:p>
    <w:p w:rsidR="0054744E" w:rsidRPr="009E4697" w:rsidRDefault="0054744E" w:rsidP="009E4697">
      <w:pPr>
        <w:shd w:val="clear" w:color="auto" w:fill="F2F2F2" w:themeFill="background1" w:themeFillShade="F2"/>
        <w:rPr>
          <w:rFonts w:asciiTheme="minorHAnsi" w:hAnsiTheme="minorHAnsi" w:cstheme="majorHAnsi"/>
          <w:color w:val="000000" w:themeColor="text1"/>
          <w:sz w:val="18"/>
          <w:szCs w:val="18"/>
        </w:rPr>
      </w:pPr>
      <w:r w:rsidRPr="009E4697">
        <w:rPr>
          <w:rFonts w:asciiTheme="minorHAnsi" w:hAnsiTheme="minorHAnsi" w:cstheme="majorHAnsi"/>
          <w:color w:val="000000" w:themeColor="text1"/>
          <w:sz w:val="18"/>
          <w:szCs w:val="18"/>
        </w:rPr>
        <w:t xml:space="preserve">Tratta da </w:t>
      </w:r>
      <w:hyperlink r:id="rId134" w:history="1">
        <w:r w:rsidRPr="009E4697">
          <w:rPr>
            <w:rStyle w:val="Hyperlink"/>
            <w:rFonts w:asciiTheme="minorHAnsi" w:hAnsiTheme="minorHAnsi" w:cstheme="majorHAnsi"/>
            <w:color w:val="000000" w:themeColor="text1"/>
            <w:sz w:val="18"/>
            <w:szCs w:val="18"/>
            <w:u w:val="none"/>
          </w:rPr>
          <w:t>https://journals.plos.org/plospathogens/article?id=10.1371/journal.ppat.1008303</w:t>
        </w:r>
      </w:hyperlink>
    </w:p>
    <w:p w:rsidR="0054744E" w:rsidRPr="009E4697" w:rsidRDefault="0054744E" w:rsidP="009E4697">
      <w:pPr>
        <w:shd w:val="clear" w:color="auto" w:fill="F2F2F2" w:themeFill="background1" w:themeFillShade="F2"/>
        <w:jc w:val="both"/>
        <w:rPr>
          <w:rFonts w:asciiTheme="minorHAnsi" w:hAnsiTheme="minorHAnsi"/>
          <w:color w:val="000000" w:themeColor="text1"/>
          <w:sz w:val="18"/>
          <w:szCs w:val="18"/>
        </w:rPr>
      </w:pPr>
      <w:r w:rsidRPr="009E4697">
        <w:rPr>
          <w:rFonts w:asciiTheme="minorHAnsi" w:hAnsiTheme="minorHAnsi"/>
          <w:b/>
          <w:bCs/>
          <w:color w:val="000000" w:themeColor="text1"/>
          <w:sz w:val="18"/>
          <w:szCs w:val="18"/>
        </w:rPr>
        <w:t>Trasferimento passivo d</w:t>
      </w:r>
      <w:r w:rsidR="002D28E0" w:rsidRPr="009E4697">
        <w:rPr>
          <w:rFonts w:asciiTheme="minorHAnsi" w:hAnsiTheme="minorHAnsi"/>
          <w:b/>
          <w:bCs/>
          <w:color w:val="000000" w:themeColor="text1"/>
          <w:sz w:val="18"/>
          <w:szCs w:val="18"/>
        </w:rPr>
        <w:t>egl</w:t>
      </w:r>
      <w:r w:rsidRPr="009E4697">
        <w:rPr>
          <w:rFonts w:asciiTheme="minorHAnsi" w:hAnsiTheme="minorHAnsi"/>
          <w:b/>
          <w:bCs/>
          <w:color w:val="000000" w:themeColor="text1"/>
          <w:sz w:val="18"/>
          <w:szCs w:val="18"/>
        </w:rPr>
        <w:t>i anticorpi materni e attività funzionale nel neonato</w:t>
      </w:r>
      <w:r w:rsidRPr="009E4697">
        <w:rPr>
          <w:rFonts w:asciiTheme="minorHAnsi" w:hAnsiTheme="minorHAnsi"/>
          <w:color w:val="000000" w:themeColor="text1"/>
          <w:sz w:val="18"/>
          <w:szCs w:val="18"/>
        </w:rPr>
        <w:t xml:space="preserve">. </w:t>
      </w:r>
      <w:r w:rsidRPr="009E4697">
        <w:rPr>
          <w:rFonts w:asciiTheme="minorHAnsi" w:hAnsiTheme="minorHAnsi"/>
          <w:b/>
          <w:bCs/>
          <w:color w:val="000000" w:themeColor="text1"/>
          <w:sz w:val="18"/>
          <w:szCs w:val="18"/>
        </w:rPr>
        <w:t>(A)</w:t>
      </w:r>
      <w:r w:rsidRPr="009E4697">
        <w:rPr>
          <w:rFonts w:asciiTheme="minorHAnsi" w:hAnsiTheme="minorHAnsi"/>
          <w:color w:val="000000" w:themeColor="text1"/>
          <w:sz w:val="18"/>
          <w:szCs w:val="18"/>
        </w:rPr>
        <w:t xml:space="preserve"> Il trasferimento passivo di IgG nella placenta influenza la citotossicità cellulare mediata da FcγR, fagocitosi e attivazione del complemento nel feto / neonato in via di sviluppo. </w:t>
      </w:r>
      <w:r w:rsidRPr="009E4697">
        <w:rPr>
          <w:rFonts w:asciiTheme="minorHAnsi" w:hAnsiTheme="minorHAnsi"/>
          <w:b/>
          <w:bCs/>
          <w:color w:val="000000" w:themeColor="text1"/>
          <w:sz w:val="18"/>
          <w:szCs w:val="18"/>
        </w:rPr>
        <w:t>(B)</w:t>
      </w:r>
      <w:r w:rsidRPr="009E4697">
        <w:rPr>
          <w:rFonts w:asciiTheme="minorHAnsi" w:hAnsiTheme="minorHAnsi"/>
          <w:color w:val="000000" w:themeColor="text1"/>
          <w:sz w:val="18"/>
          <w:szCs w:val="18"/>
        </w:rPr>
        <w:t xml:space="preserve"> Il trasferimento passivo di IgA </w:t>
      </w:r>
      <w:r w:rsidR="002D28E0" w:rsidRPr="009E4697">
        <w:rPr>
          <w:rFonts w:asciiTheme="minorHAnsi" w:hAnsiTheme="minorHAnsi"/>
          <w:color w:val="000000" w:themeColor="text1"/>
          <w:sz w:val="18"/>
          <w:szCs w:val="18"/>
        </w:rPr>
        <w:t>da</w:t>
      </w:r>
      <w:r w:rsidRPr="009E4697">
        <w:rPr>
          <w:rFonts w:asciiTheme="minorHAnsi" w:hAnsiTheme="minorHAnsi"/>
          <w:color w:val="000000" w:themeColor="text1"/>
          <w:sz w:val="18"/>
          <w:szCs w:val="18"/>
        </w:rPr>
        <w:t>lla ghiandola mammaria provoca rispettivamente l’attivazione delle cellule mediate da FcαR e IgA e la regolazione del microbiota, Fab, frammento legante l'antigene; Fc, frammento cristallizzabile; FcαR, recettore alfa Fc; FcRn, recettore Fc neonatale; FcγR, recettore gamma Fc; IgA, immunoglobulina A; IgG, immunoglobulina G; Catena a J, catena di giunzione; pIgR, recettore delle immunoglobuline polimeriche.</w:t>
      </w:r>
    </w:p>
    <w:p w:rsidR="0054744E" w:rsidRPr="002840CC" w:rsidRDefault="0054744E" w:rsidP="00FA1545">
      <w:pPr>
        <w:jc w:val="both"/>
        <w:rPr>
          <w:rFonts w:asciiTheme="minorHAnsi" w:hAnsiTheme="minorHAnsi"/>
          <w:color w:val="000000" w:themeColor="text1"/>
        </w:rPr>
      </w:pPr>
    </w:p>
    <w:p w:rsidR="004E7AB1" w:rsidRDefault="00FA1545" w:rsidP="00FA1545">
      <w:pPr>
        <w:jc w:val="both"/>
        <w:rPr>
          <w:rFonts w:asciiTheme="minorHAnsi" w:hAnsiTheme="minorHAnsi"/>
          <w:color w:val="000000" w:themeColor="text1"/>
          <w:sz w:val="20"/>
          <w:szCs w:val="20"/>
        </w:rPr>
      </w:pPr>
      <w:r w:rsidRPr="006D1E29">
        <w:rPr>
          <w:rFonts w:asciiTheme="minorHAnsi" w:hAnsiTheme="minorHAnsi"/>
          <w:color w:val="000000" w:themeColor="text1"/>
          <w:sz w:val="20"/>
          <w:szCs w:val="20"/>
        </w:rPr>
        <w:t xml:space="preserve">Gli anticorpi materni sono molto efficaci nel proteggere neonati e bambini dalla maggior parte delle malattie infettive. L'esempio più </w:t>
      </w:r>
      <w:r w:rsidR="002D28E0" w:rsidRPr="006D1E29">
        <w:rPr>
          <w:rFonts w:asciiTheme="minorHAnsi" w:hAnsiTheme="minorHAnsi"/>
          <w:color w:val="000000" w:themeColor="text1"/>
          <w:sz w:val="20"/>
          <w:szCs w:val="20"/>
        </w:rPr>
        <w:t>eclatante</w:t>
      </w:r>
      <w:r w:rsidRPr="006D1E29">
        <w:rPr>
          <w:rFonts w:asciiTheme="minorHAnsi" w:hAnsiTheme="minorHAnsi"/>
          <w:color w:val="000000" w:themeColor="text1"/>
          <w:sz w:val="20"/>
          <w:szCs w:val="20"/>
        </w:rPr>
        <w:t xml:space="preserve"> è la </w:t>
      </w:r>
      <w:r w:rsidRPr="004E7AB1">
        <w:rPr>
          <w:rFonts w:asciiTheme="minorHAnsi" w:hAnsiTheme="minorHAnsi"/>
          <w:b/>
          <w:bCs/>
          <w:color w:val="000000" w:themeColor="text1"/>
          <w:sz w:val="20"/>
          <w:szCs w:val="20"/>
        </w:rPr>
        <w:t xml:space="preserve">protezione dei bambini con </w:t>
      </w:r>
      <w:r w:rsidRPr="009E4697">
        <w:rPr>
          <w:rFonts w:asciiTheme="minorHAnsi" w:hAnsiTheme="minorHAnsi"/>
          <w:b/>
          <w:bCs/>
          <w:color w:val="000000" w:themeColor="text1"/>
          <w:sz w:val="20"/>
          <w:szCs w:val="20"/>
          <w:shd w:val="clear" w:color="auto" w:fill="FBF9E1"/>
        </w:rPr>
        <w:t>agammaglobulinemia</w:t>
      </w:r>
      <w:r w:rsidRPr="006D1E29">
        <w:rPr>
          <w:rFonts w:asciiTheme="minorHAnsi" w:hAnsiTheme="minorHAnsi"/>
          <w:color w:val="000000" w:themeColor="text1"/>
          <w:sz w:val="20"/>
          <w:szCs w:val="20"/>
        </w:rPr>
        <w:t xml:space="preserve"> (deficit nella produzione di anticorpi) contro l'infezione batterica fino a</w:t>
      </w:r>
      <w:r w:rsidR="002D28E0" w:rsidRPr="006D1E29">
        <w:rPr>
          <w:rFonts w:asciiTheme="minorHAnsi" w:hAnsiTheme="minorHAnsi"/>
          <w:color w:val="000000" w:themeColor="text1"/>
          <w:sz w:val="20"/>
          <w:szCs w:val="20"/>
        </w:rPr>
        <w:t>i</w:t>
      </w:r>
      <w:r w:rsidRPr="006D1E29">
        <w:rPr>
          <w:rFonts w:asciiTheme="minorHAnsi" w:hAnsiTheme="minorHAnsi"/>
          <w:color w:val="000000" w:themeColor="text1"/>
          <w:sz w:val="20"/>
          <w:szCs w:val="20"/>
        </w:rPr>
        <w:t xml:space="preserve"> 6 mesi. </w:t>
      </w:r>
    </w:p>
    <w:p w:rsidR="004E7AB1" w:rsidRDefault="004E7AB1" w:rsidP="00FA1545">
      <w:pPr>
        <w:jc w:val="both"/>
        <w:rPr>
          <w:rFonts w:asciiTheme="minorHAnsi" w:hAnsiTheme="minorHAnsi"/>
          <w:color w:val="000000" w:themeColor="text1"/>
          <w:sz w:val="20"/>
          <w:szCs w:val="20"/>
        </w:rPr>
      </w:pPr>
    </w:p>
    <w:p w:rsidR="002D28E0" w:rsidRDefault="00FA1545" w:rsidP="00FA1545">
      <w:pPr>
        <w:jc w:val="both"/>
        <w:rPr>
          <w:rFonts w:asciiTheme="minorHAnsi" w:hAnsiTheme="minorHAnsi"/>
          <w:color w:val="000000" w:themeColor="text1"/>
          <w:sz w:val="20"/>
          <w:szCs w:val="20"/>
        </w:rPr>
      </w:pPr>
      <w:r w:rsidRPr="006D1E29">
        <w:rPr>
          <w:rFonts w:asciiTheme="minorHAnsi" w:hAnsiTheme="minorHAnsi"/>
          <w:color w:val="000000" w:themeColor="text1"/>
          <w:sz w:val="20"/>
          <w:szCs w:val="20"/>
        </w:rPr>
        <w:t xml:space="preserve">Altri esempi documentati della capacità degli anticorpi materni di proteggere completamente o parzialmente </w:t>
      </w:r>
      <w:r w:rsidR="002D28E0" w:rsidRPr="006D1E29">
        <w:rPr>
          <w:rFonts w:asciiTheme="minorHAnsi" w:hAnsiTheme="minorHAnsi"/>
          <w:color w:val="000000" w:themeColor="text1"/>
          <w:sz w:val="20"/>
          <w:szCs w:val="20"/>
        </w:rPr>
        <w:t>dalle malattie infettive, riguardano</w:t>
      </w:r>
      <w:r w:rsidRPr="006D1E29">
        <w:rPr>
          <w:rFonts w:asciiTheme="minorHAnsi" w:hAnsiTheme="minorHAnsi"/>
          <w:color w:val="000000" w:themeColor="text1"/>
          <w:sz w:val="20"/>
          <w:szCs w:val="20"/>
        </w:rPr>
        <w:t xml:space="preserve"> l'infezione da virus respiratorio sinciziale (RSV) </w:t>
      </w:r>
      <w:r w:rsidR="002D28E0" w:rsidRPr="006D1E29">
        <w:rPr>
          <w:rFonts w:asciiTheme="minorHAnsi" w:hAnsiTheme="minorHAnsi"/>
          <w:color w:val="000000" w:themeColor="text1"/>
          <w:sz w:val="20"/>
          <w:szCs w:val="20"/>
        </w:rPr>
        <w:t>e il</w:t>
      </w:r>
      <w:r w:rsidRPr="006D1E29">
        <w:rPr>
          <w:rFonts w:asciiTheme="minorHAnsi" w:hAnsiTheme="minorHAnsi"/>
          <w:color w:val="000000" w:themeColor="text1"/>
          <w:sz w:val="20"/>
          <w:szCs w:val="20"/>
        </w:rPr>
        <w:t xml:space="preserve"> virus dell'influenza </w:t>
      </w:r>
      <w:r w:rsidRPr="006D1E29">
        <w:rPr>
          <w:rStyle w:val="FootnoteReference"/>
          <w:rFonts w:asciiTheme="minorHAnsi" w:hAnsiTheme="minorHAnsi"/>
          <w:color w:val="000000" w:themeColor="text1"/>
          <w:sz w:val="20"/>
          <w:szCs w:val="20"/>
        </w:rPr>
        <w:footnoteReference w:id="143"/>
      </w:r>
      <w:r w:rsidRPr="006D1E29">
        <w:rPr>
          <w:rFonts w:asciiTheme="minorHAnsi" w:hAnsiTheme="minorHAnsi"/>
          <w:color w:val="000000" w:themeColor="text1"/>
          <w:sz w:val="20"/>
          <w:szCs w:val="20"/>
        </w:rPr>
        <w:t xml:space="preserve">. </w:t>
      </w:r>
    </w:p>
    <w:p w:rsidR="004E7AB1" w:rsidRDefault="004E7AB1" w:rsidP="00FA1545">
      <w:pPr>
        <w:jc w:val="both"/>
        <w:rPr>
          <w:rFonts w:asciiTheme="minorHAnsi" w:hAnsiTheme="minorHAnsi"/>
          <w:color w:val="000000" w:themeColor="text1"/>
          <w:sz w:val="20"/>
          <w:szCs w:val="20"/>
        </w:rPr>
      </w:pPr>
    </w:p>
    <w:p w:rsidR="004E7AB1" w:rsidRPr="009E4697" w:rsidRDefault="004E7AB1"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560"/>
        <w:jc w:val="both"/>
        <w:rPr>
          <w:rFonts w:asciiTheme="minorHAnsi" w:hAnsiTheme="minorHAnsi"/>
          <w:color w:val="000000" w:themeColor="text1"/>
          <w:sz w:val="20"/>
          <w:szCs w:val="20"/>
        </w:rPr>
      </w:pPr>
    </w:p>
    <w:p w:rsidR="004E7AB1" w:rsidRPr="009E4697" w:rsidRDefault="00FA1545"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560"/>
        <w:jc w:val="both"/>
        <w:rPr>
          <w:rFonts w:asciiTheme="minorHAnsi" w:hAnsiTheme="minorHAnsi"/>
          <w:color w:val="000000" w:themeColor="text1"/>
          <w:sz w:val="20"/>
          <w:szCs w:val="20"/>
        </w:rPr>
      </w:pPr>
      <w:r w:rsidRPr="009E4697">
        <w:rPr>
          <w:rFonts w:asciiTheme="minorHAnsi" w:hAnsiTheme="minorHAnsi"/>
          <w:i/>
          <w:iCs/>
          <w:color w:val="000000" w:themeColor="text1"/>
          <w:sz w:val="20"/>
          <w:szCs w:val="20"/>
        </w:rPr>
        <w:t xml:space="preserve">Nel tempo, i titoli degli anticorpi materni diminuiscono perché gli anticorpi vengono metabolizzati; </w:t>
      </w:r>
      <w:r w:rsidR="00AB5AB5" w:rsidRPr="009E4697">
        <w:rPr>
          <w:rFonts w:asciiTheme="minorHAnsi" w:hAnsiTheme="minorHAnsi"/>
          <w:i/>
          <w:iCs/>
          <w:color w:val="000000" w:themeColor="text1"/>
          <w:sz w:val="20"/>
          <w:szCs w:val="20"/>
        </w:rPr>
        <w:t>n</w:t>
      </w:r>
      <w:r w:rsidRPr="009E4697">
        <w:rPr>
          <w:rFonts w:asciiTheme="minorHAnsi" w:hAnsiTheme="minorHAnsi"/>
          <w:i/>
          <w:iCs/>
          <w:color w:val="000000" w:themeColor="text1"/>
          <w:sz w:val="20"/>
          <w:szCs w:val="20"/>
        </w:rPr>
        <w:t xml:space="preserve">ell'uomo, gli anticorpi materni diminuiscono </w:t>
      </w:r>
      <w:r w:rsidR="00AB5AB5" w:rsidRPr="009E4697">
        <w:rPr>
          <w:rFonts w:asciiTheme="minorHAnsi" w:hAnsiTheme="minorHAnsi"/>
          <w:i/>
          <w:iCs/>
          <w:color w:val="000000" w:themeColor="text1"/>
          <w:sz w:val="20"/>
          <w:szCs w:val="20"/>
        </w:rPr>
        <w:t xml:space="preserve">entro </w:t>
      </w:r>
      <w:r w:rsidRPr="009E4697">
        <w:rPr>
          <w:rFonts w:asciiTheme="minorHAnsi" w:hAnsiTheme="minorHAnsi"/>
          <w:i/>
          <w:iCs/>
          <w:color w:val="000000" w:themeColor="text1"/>
          <w:sz w:val="20"/>
          <w:szCs w:val="20"/>
        </w:rPr>
        <w:t xml:space="preserve">un periodo di 6-12 mesi </w:t>
      </w:r>
      <w:r w:rsidR="00223552" w:rsidRPr="009E4697">
        <w:rPr>
          <w:rFonts w:asciiTheme="minorHAnsi" w:hAnsiTheme="minorHAnsi"/>
          <w:i/>
          <w:iCs/>
          <w:color w:val="000000" w:themeColor="text1"/>
          <w:sz w:val="20"/>
          <w:szCs w:val="20"/>
        </w:rPr>
        <w:t>,</w:t>
      </w:r>
      <w:r w:rsidR="00AB5AB5" w:rsidRPr="009E4697">
        <w:rPr>
          <w:rFonts w:asciiTheme="minorHAnsi" w:hAnsiTheme="minorHAnsi"/>
          <w:i/>
          <w:iCs/>
          <w:color w:val="000000" w:themeColor="text1"/>
          <w:sz w:val="20"/>
          <w:szCs w:val="20"/>
        </w:rPr>
        <w:t xml:space="preserve"> </w:t>
      </w:r>
      <w:r w:rsidR="00AB5AB5" w:rsidRPr="009E4697">
        <w:rPr>
          <w:rStyle w:val="FootnoteReference"/>
          <w:rFonts w:asciiTheme="minorHAnsi" w:hAnsiTheme="minorHAnsi"/>
          <w:i/>
          <w:iCs/>
          <w:color w:val="000000" w:themeColor="text1"/>
          <w:sz w:val="20"/>
          <w:szCs w:val="20"/>
        </w:rPr>
        <w:footnoteReference w:id="144"/>
      </w:r>
      <w:r w:rsidR="002D28E0" w:rsidRPr="009E4697">
        <w:rPr>
          <w:rFonts w:asciiTheme="minorHAnsi" w:hAnsiTheme="minorHAnsi"/>
          <w:i/>
          <w:iCs/>
          <w:color w:val="000000" w:themeColor="text1"/>
          <w:sz w:val="20"/>
          <w:szCs w:val="20"/>
        </w:rPr>
        <w:t xml:space="preserve"> </w:t>
      </w:r>
      <w:r w:rsidR="00AB5AB5" w:rsidRPr="009E4697">
        <w:rPr>
          <w:rFonts w:asciiTheme="minorHAnsi" w:hAnsiTheme="minorHAnsi"/>
          <w:i/>
          <w:iCs/>
          <w:color w:val="000000" w:themeColor="text1"/>
          <w:sz w:val="20"/>
          <w:szCs w:val="20"/>
        </w:rPr>
        <w:t>con una cinetica del declino correlata alla quantità di anticorpo materno presente nel neonato dopo la nascita</w:t>
      </w:r>
      <w:r w:rsidR="002D28E0" w:rsidRPr="009E4697">
        <w:rPr>
          <w:rFonts w:asciiTheme="minorHAnsi" w:hAnsiTheme="minorHAnsi"/>
          <w:i/>
          <w:iCs/>
          <w:color w:val="000000" w:themeColor="text1"/>
          <w:sz w:val="20"/>
          <w:szCs w:val="20"/>
        </w:rPr>
        <w:t>, e</w:t>
      </w:r>
      <w:r w:rsidR="00AB5AB5" w:rsidRPr="009E4697">
        <w:rPr>
          <w:rFonts w:asciiTheme="minorHAnsi" w:hAnsiTheme="minorHAnsi"/>
          <w:i/>
          <w:iCs/>
          <w:color w:val="000000" w:themeColor="text1"/>
          <w:sz w:val="20"/>
          <w:szCs w:val="20"/>
        </w:rPr>
        <w:t xml:space="preserve"> titoli più elevati persistono per un periodo più lungo</w:t>
      </w:r>
      <w:r w:rsidRPr="009E4697">
        <w:rPr>
          <w:rFonts w:asciiTheme="minorHAnsi" w:hAnsiTheme="minorHAnsi"/>
          <w:i/>
          <w:iCs/>
          <w:color w:val="000000" w:themeColor="text1"/>
          <w:sz w:val="20"/>
          <w:szCs w:val="20"/>
        </w:rPr>
        <w:t>.</w:t>
      </w:r>
      <w:r w:rsidRPr="009E4697">
        <w:rPr>
          <w:rFonts w:asciiTheme="minorHAnsi" w:hAnsiTheme="minorHAnsi"/>
          <w:color w:val="000000" w:themeColor="text1"/>
          <w:sz w:val="20"/>
          <w:szCs w:val="20"/>
        </w:rPr>
        <w:t xml:space="preserve"> </w:t>
      </w:r>
    </w:p>
    <w:p w:rsidR="004E7AB1" w:rsidRPr="009E4697" w:rsidRDefault="004E7AB1" w:rsidP="009E469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560"/>
        <w:jc w:val="both"/>
        <w:rPr>
          <w:rFonts w:asciiTheme="minorHAnsi" w:hAnsiTheme="minorHAnsi"/>
          <w:color w:val="000000" w:themeColor="text1"/>
          <w:sz w:val="20"/>
          <w:szCs w:val="20"/>
        </w:rPr>
      </w:pPr>
    </w:p>
    <w:p w:rsidR="004E7AB1" w:rsidRDefault="004E7AB1" w:rsidP="00FA1545">
      <w:pPr>
        <w:jc w:val="both"/>
        <w:rPr>
          <w:rFonts w:asciiTheme="minorHAnsi" w:hAnsiTheme="minorHAnsi"/>
          <w:color w:val="000000" w:themeColor="text1"/>
          <w:sz w:val="20"/>
          <w:szCs w:val="20"/>
        </w:rPr>
      </w:pPr>
    </w:p>
    <w:p w:rsidR="00FA1545" w:rsidRDefault="00FA1545" w:rsidP="00FA1545">
      <w:pPr>
        <w:jc w:val="both"/>
        <w:rPr>
          <w:rFonts w:asciiTheme="minorHAnsi" w:hAnsiTheme="minorHAnsi"/>
          <w:color w:val="000000" w:themeColor="text1"/>
          <w:sz w:val="20"/>
          <w:szCs w:val="20"/>
        </w:rPr>
      </w:pPr>
      <w:r w:rsidRPr="006D1E29">
        <w:rPr>
          <w:rFonts w:asciiTheme="minorHAnsi" w:hAnsiTheme="minorHAnsi"/>
          <w:color w:val="000000" w:themeColor="text1"/>
          <w:sz w:val="20"/>
          <w:szCs w:val="20"/>
        </w:rPr>
        <w:t xml:space="preserve">È questa fase di </w:t>
      </w:r>
      <w:r w:rsidR="00635485" w:rsidRPr="006D1E29">
        <w:rPr>
          <w:rFonts w:asciiTheme="minorHAnsi" w:hAnsiTheme="minorHAnsi"/>
          <w:color w:val="000000" w:themeColor="text1"/>
          <w:sz w:val="20"/>
          <w:szCs w:val="20"/>
        </w:rPr>
        <w:t>esaurimento</w:t>
      </w:r>
      <w:r w:rsidRPr="006D1E29">
        <w:rPr>
          <w:rFonts w:asciiTheme="minorHAnsi" w:hAnsiTheme="minorHAnsi"/>
          <w:color w:val="000000" w:themeColor="text1"/>
          <w:sz w:val="20"/>
          <w:szCs w:val="20"/>
        </w:rPr>
        <w:t xml:space="preserve"> degli anticorpi materni che presenta una </w:t>
      </w:r>
      <w:r w:rsidRPr="009E4697">
        <w:rPr>
          <w:rFonts w:asciiTheme="minorHAnsi" w:hAnsiTheme="minorHAnsi"/>
          <w:b/>
          <w:bCs/>
          <w:color w:val="000000" w:themeColor="text1"/>
          <w:sz w:val="20"/>
          <w:szCs w:val="20"/>
        </w:rPr>
        <w:t>finestra di opportunità</w:t>
      </w:r>
      <w:r w:rsidRPr="006D1E29">
        <w:rPr>
          <w:rFonts w:asciiTheme="minorHAnsi" w:hAnsiTheme="minorHAnsi"/>
          <w:color w:val="000000" w:themeColor="text1"/>
          <w:sz w:val="20"/>
          <w:szCs w:val="20"/>
        </w:rPr>
        <w:t xml:space="preserve"> per </w:t>
      </w:r>
      <w:r w:rsidR="00635485" w:rsidRPr="006D1E29">
        <w:rPr>
          <w:rFonts w:asciiTheme="minorHAnsi" w:hAnsiTheme="minorHAnsi"/>
          <w:color w:val="000000" w:themeColor="text1"/>
          <w:sz w:val="20"/>
          <w:szCs w:val="20"/>
        </w:rPr>
        <w:t xml:space="preserve">gli </w:t>
      </w:r>
      <w:r w:rsidRPr="006D1E29">
        <w:rPr>
          <w:rFonts w:asciiTheme="minorHAnsi" w:hAnsiTheme="minorHAnsi"/>
          <w:color w:val="000000" w:themeColor="text1"/>
          <w:sz w:val="20"/>
          <w:szCs w:val="20"/>
        </w:rPr>
        <w:t xml:space="preserve">agenti patogeni </w:t>
      </w:r>
      <w:r w:rsidR="00635485" w:rsidRPr="006D1E29">
        <w:rPr>
          <w:rFonts w:asciiTheme="minorHAnsi" w:hAnsiTheme="minorHAnsi"/>
          <w:color w:val="000000" w:themeColor="text1"/>
          <w:sz w:val="20"/>
          <w:szCs w:val="20"/>
        </w:rPr>
        <w:t>di infettare</w:t>
      </w:r>
      <w:r w:rsidRPr="006D1E29">
        <w:rPr>
          <w:rFonts w:asciiTheme="minorHAnsi" w:hAnsiTheme="minorHAnsi"/>
          <w:color w:val="000000" w:themeColor="text1"/>
          <w:sz w:val="20"/>
          <w:szCs w:val="20"/>
        </w:rPr>
        <w:t xml:space="preserve"> il neonato.</w:t>
      </w:r>
      <w:r w:rsidR="00202FC7" w:rsidRPr="006D1E29">
        <w:rPr>
          <w:rFonts w:asciiTheme="minorHAnsi" w:hAnsiTheme="minorHAnsi"/>
          <w:color w:val="000000" w:themeColor="text1"/>
          <w:sz w:val="20"/>
          <w:szCs w:val="20"/>
        </w:rPr>
        <w:t xml:space="preserve"> Tuttavia, anche titoli bassi e non protettivi di anticorpi materni sono ancora in grado di inibire la vaccinazione contro le malattie infettive dell'uomo e degli animali.</w:t>
      </w:r>
    </w:p>
    <w:p w:rsidR="004E7AB1" w:rsidRPr="006D1E29" w:rsidRDefault="004E7AB1" w:rsidP="00FA1545">
      <w:pPr>
        <w:jc w:val="both"/>
        <w:rPr>
          <w:rFonts w:asciiTheme="minorHAnsi" w:hAnsiTheme="minorHAnsi"/>
          <w:color w:val="000000" w:themeColor="text1"/>
          <w:sz w:val="20"/>
          <w:szCs w:val="20"/>
        </w:rPr>
      </w:pPr>
    </w:p>
    <w:p w:rsidR="00202FC7" w:rsidRPr="006D1E29" w:rsidRDefault="00202FC7" w:rsidP="00FA1545">
      <w:pPr>
        <w:jc w:val="both"/>
        <w:rPr>
          <w:rFonts w:asciiTheme="minorHAnsi" w:hAnsiTheme="minorHAnsi"/>
          <w:color w:val="000000" w:themeColor="text1"/>
          <w:sz w:val="20"/>
          <w:szCs w:val="20"/>
        </w:rPr>
      </w:pPr>
      <w:r w:rsidRPr="006D1E29">
        <w:rPr>
          <w:rFonts w:asciiTheme="minorHAnsi" w:hAnsiTheme="minorHAnsi"/>
          <w:color w:val="000000" w:themeColor="text1"/>
          <w:sz w:val="20"/>
          <w:szCs w:val="20"/>
        </w:rPr>
        <w:t xml:space="preserve">È interessante notare che </w:t>
      </w:r>
      <w:r w:rsidR="00635485" w:rsidRPr="006D1E29">
        <w:rPr>
          <w:rFonts w:asciiTheme="minorHAnsi" w:hAnsiTheme="minorHAnsi"/>
          <w:color w:val="000000" w:themeColor="text1"/>
          <w:sz w:val="20"/>
          <w:szCs w:val="20"/>
        </w:rPr>
        <w:t xml:space="preserve">negli studi svolti </w:t>
      </w:r>
      <w:r w:rsidRPr="009E4697">
        <w:rPr>
          <w:rFonts w:asciiTheme="minorHAnsi" w:hAnsiTheme="minorHAnsi"/>
          <w:b/>
          <w:bCs/>
          <w:color w:val="000000" w:themeColor="text1"/>
          <w:sz w:val="20"/>
          <w:szCs w:val="20"/>
          <w:shd w:val="clear" w:color="auto" w:fill="FBF9E1"/>
        </w:rPr>
        <w:t xml:space="preserve">tutti i tipi di vaccini (vaccini attenuati, inattivati, </w:t>
      </w:r>
      <w:r w:rsidR="00635485" w:rsidRPr="009E4697">
        <w:rPr>
          <w:rFonts w:asciiTheme="minorHAnsi" w:hAnsiTheme="minorHAnsi"/>
          <w:b/>
          <w:bCs/>
          <w:color w:val="000000" w:themeColor="text1"/>
          <w:sz w:val="20"/>
          <w:szCs w:val="20"/>
          <w:shd w:val="clear" w:color="auto" w:fill="FBF9E1"/>
        </w:rPr>
        <w:t xml:space="preserve">a </w:t>
      </w:r>
      <w:r w:rsidRPr="009E4697">
        <w:rPr>
          <w:rFonts w:asciiTheme="minorHAnsi" w:hAnsiTheme="minorHAnsi"/>
          <w:b/>
          <w:bCs/>
          <w:color w:val="000000" w:themeColor="text1"/>
          <w:sz w:val="20"/>
          <w:szCs w:val="20"/>
          <w:shd w:val="clear" w:color="auto" w:fill="FBF9E1"/>
        </w:rPr>
        <w:t xml:space="preserve">subunità) sono </w:t>
      </w:r>
      <w:r w:rsidR="0054744E" w:rsidRPr="009E4697">
        <w:rPr>
          <w:rFonts w:asciiTheme="minorHAnsi" w:hAnsiTheme="minorHAnsi"/>
          <w:b/>
          <w:bCs/>
          <w:color w:val="000000" w:themeColor="text1"/>
          <w:sz w:val="20"/>
          <w:szCs w:val="20"/>
          <w:shd w:val="clear" w:color="auto" w:fill="FBF9E1"/>
        </w:rPr>
        <w:t xml:space="preserve">risultati essere </w:t>
      </w:r>
      <w:r w:rsidRPr="009E4697">
        <w:rPr>
          <w:rFonts w:asciiTheme="minorHAnsi" w:hAnsiTheme="minorHAnsi"/>
          <w:b/>
          <w:bCs/>
          <w:color w:val="000000" w:themeColor="text1"/>
          <w:sz w:val="20"/>
          <w:szCs w:val="20"/>
          <w:shd w:val="clear" w:color="auto" w:fill="FBF9E1"/>
        </w:rPr>
        <w:t>inibiti</w:t>
      </w:r>
      <w:r w:rsidRPr="009E4697">
        <w:rPr>
          <w:rFonts w:asciiTheme="minorHAnsi" w:hAnsiTheme="minorHAnsi"/>
          <w:color w:val="000000" w:themeColor="text1"/>
          <w:sz w:val="20"/>
          <w:szCs w:val="20"/>
          <w:shd w:val="clear" w:color="auto" w:fill="FBF9E1"/>
        </w:rPr>
        <w:t>.</w:t>
      </w:r>
      <w:r w:rsidR="00635485" w:rsidRPr="006D1E29">
        <w:rPr>
          <w:rFonts w:asciiTheme="minorHAnsi" w:hAnsiTheme="minorHAnsi"/>
          <w:color w:val="000000" w:themeColor="text1"/>
          <w:sz w:val="20"/>
          <w:szCs w:val="20"/>
        </w:rPr>
        <w:t xml:space="preserve"> </w:t>
      </w:r>
      <w:r w:rsidR="00635485" w:rsidRPr="006D1E29">
        <w:rPr>
          <w:rStyle w:val="FootnoteReference"/>
          <w:rFonts w:asciiTheme="minorHAnsi" w:hAnsiTheme="minorHAnsi"/>
          <w:color w:val="000000" w:themeColor="text1"/>
          <w:sz w:val="20"/>
          <w:szCs w:val="20"/>
        </w:rPr>
        <w:footnoteReference w:id="145"/>
      </w:r>
    </w:p>
    <w:p w:rsidR="00202FC7" w:rsidRPr="002840CC" w:rsidRDefault="00404200" w:rsidP="00404200">
      <w:pPr>
        <w:jc w:val="center"/>
        <w:rPr>
          <w:rFonts w:asciiTheme="minorHAnsi" w:hAnsiTheme="minorHAnsi"/>
          <w:color w:val="000000" w:themeColor="text1"/>
        </w:rPr>
      </w:pPr>
      <w:r w:rsidRPr="002840CC">
        <w:rPr>
          <w:rFonts w:asciiTheme="minorHAnsi" w:hAnsiTheme="minorHAnsi"/>
          <w:noProof/>
          <w:color w:val="000000" w:themeColor="text1"/>
        </w:rPr>
        <w:drawing>
          <wp:inline distT="0" distB="0" distL="0" distR="0">
            <wp:extent cx="3571631" cy="3221959"/>
            <wp:effectExtent l="0" t="0" r="0" b="444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ermata 2020-05-26 alle 20.12.58.png"/>
                    <pic:cNvPicPr/>
                  </pic:nvPicPr>
                  <pic:blipFill>
                    <a:blip r:embed="rId135">
                      <a:extLst>
                        <a:ext uri="{28A0092B-C50C-407E-A947-70E740481C1C}">
                          <a14:useLocalDpi xmlns:a14="http://schemas.microsoft.com/office/drawing/2010/main" val="0"/>
                        </a:ext>
                      </a:extLst>
                    </a:blip>
                    <a:stretch>
                      <a:fillRect/>
                    </a:stretch>
                  </pic:blipFill>
                  <pic:spPr>
                    <a:xfrm>
                      <a:off x="0" y="0"/>
                      <a:ext cx="3610676" cy="3257182"/>
                    </a:xfrm>
                    <a:prstGeom prst="rect">
                      <a:avLst/>
                    </a:prstGeom>
                  </pic:spPr>
                </pic:pic>
              </a:graphicData>
            </a:graphic>
          </wp:inline>
        </w:drawing>
      </w:r>
    </w:p>
    <w:p w:rsidR="00635485" w:rsidRPr="009E4697" w:rsidRDefault="00635485" w:rsidP="009E4697">
      <w:pPr>
        <w:shd w:val="clear" w:color="auto" w:fill="F2F2F2" w:themeFill="background1" w:themeFillShade="F2"/>
        <w:rPr>
          <w:rFonts w:asciiTheme="minorHAnsi" w:hAnsiTheme="minorHAnsi" w:cstheme="minorHAnsi"/>
          <w:color w:val="000000" w:themeColor="text1"/>
          <w:sz w:val="18"/>
          <w:szCs w:val="18"/>
        </w:rPr>
      </w:pPr>
      <w:r w:rsidRPr="009E4697">
        <w:rPr>
          <w:rFonts w:asciiTheme="minorHAnsi" w:hAnsiTheme="minorHAnsi" w:cstheme="minorHAnsi"/>
          <w:color w:val="000000" w:themeColor="text1"/>
          <w:sz w:val="18"/>
          <w:szCs w:val="18"/>
        </w:rPr>
        <w:lastRenderedPageBreak/>
        <w:t xml:space="preserve">Tratta da </w:t>
      </w:r>
      <w:hyperlink r:id="rId136" w:history="1">
        <w:r w:rsidRPr="009E4697">
          <w:rPr>
            <w:rStyle w:val="Hyperlink"/>
            <w:rFonts w:asciiTheme="minorHAnsi" w:hAnsiTheme="minorHAnsi" w:cstheme="minorHAnsi"/>
            <w:color w:val="000000" w:themeColor="text1"/>
            <w:sz w:val="18"/>
            <w:szCs w:val="18"/>
            <w:u w:val="none"/>
          </w:rPr>
          <w:t>https://www.ncbi.nlm.nih.gov/pmc/articles/PMC4165321/</w:t>
        </w:r>
      </w:hyperlink>
    </w:p>
    <w:p w:rsidR="00202FC7" w:rsidRPr="009E4697" w:rsidRDefault="00202FC7" w:rsidP="009E4697">
      <w:pPr>
        <w:shd w:val="clear" w:color="auto" w:fill="F2F2F2" w:themeFill="background1" w:themeFillShade="F2"/>
        <w:jc w:val="both"/>
        <w:rPr>
          <w:rFonts w:asciiTheme="minorHAnsi" w:hAnsiTheme="minorHAnsi"/>
          <w:color w:val="000000" w:themeColor="text1"/>
          <w:sz w:val="18"/>
          <w:szCs w:val="18"/>
        </w:rPr>
      </w:pPr>
      <w:r w:rsidRPr="009E4697">
        <w:rPr>
          <w:rFonts w:asciiTheme="minorHAnsi" w:hAnsiTheme="minorHAnsi"/>
          <w:color w:val="000000" w:themeColor="text1"/>
          <w:sz w:val="18"/>
          <w:szCs w:val="18"/>
        </w:rPr>
        <w:t xml:space="preserve">Questa tabella indica una lista di esempi di studi che documentano l’inibizione o la riduzione della sieroconversione dopo l’immunizzazione di vaccini attenuati o inattivati. Jones et al. documentano un effetto inibitorio maggiore da parte degli anticorpi materni </w:t>
      </w:r>
      <w:r w:rsidR="00AD72D5" w:rsidRPr="009E4697">
        <w:rPr>
          <w:rFonts w:asciiTheme="minorHAnsi" w:hAnsiTheme="minorHAnsi"/>
          <w:color w:val="000000" w:themeColor="text1"/>
          <w:sz w:val="18"/>
          <w:szCs w:val="18"/>
        </w:rPr>
        <w:t xml:space="preserve">sui vaccini contro il tetano e il penumococco rispetto ai vaccini contro l’Hib e la pertosse. Gran parte degli studi </w:t>
      </w:r>
      <w:r w:rsidR="00635485" w:rsidRPr="009E4697">
        <w:rPr>
          <w:rFonts w:asciiTheme="minorHAnsi" w:hAnsiTheme="minorHAnsi"/>
          <w:color w:val="000000" w:themeColor="text1"/>
          <w:sz w:val="18"/>
          <w:szCs w:val="18"/>
        </w:rPr>
        <w:t xml:space="preserve">riportano </w:t>
      </w:r>
      <w:r w:rsidR="00AD72D5" w:rsidRPr="009E4697">
        <w:rPr>
          <w:rFonts w:asciiTheme="minorHAnsi" w:hAnsiTheme="minorHAnsi"/>
          <w:color w:val="000000" w:themeColor="text1"/>
          <w:sz w:val="18"/>
          <w:szCs w:val="18"/>
        </w:rPr>
        <w:t>che livelli più alti di anticorpi materni inibiscono lo sviluppo di anticorpi pù severamente rispetto a titoli più bassi. Due studi indicano che un aumento della dose aiuta o migliora le risposte dopo l’immunizzazione in presenza degli anticorpi materni</w:t>
      </w:r>
    </w:p>
    <w:p w:rsidR="00AD72D5" w:rsidRPr="002840CC" w:rsidRDefault="00AD72D5" w:rsidP="00FA1545">
      <w:pPr>
        <w:jc w:val="both"/>
        <w:rPr>
          <w:rFonts w:asciiTheme="minorHAnsi" w:hAnsiTheme="minorHAnsi"/>
          <w:color w:val="000000" w:themeColor="text1"/>
          <w:sz w:val="16"/>
          <w:szCs w:val="16"/>
        </w:rPr>
      </w:pPr>
    </w:p>
    <w:p w:rsidR="004E7AB1" w:rsidRDefault="00B13932" w:rsidP="00FA1545">
      <w:pPr>
        <w:jc w:val="both"/>
        <w:rPr>
          <w:rFonts w:asciiTheme="minorHAnsi" w:hAnsiTheme="minorHAnsi"/>
          <w:color w:val="000000" w:themeColor="text1"/>
          <w:sz w:val="20"/>
          <w:szCs w:val="20"/>
        </w:rPr>
      </w:pPr>
      <w:r w:rsidRPr="004E7AB1">
        <w:rPr>
          <w:rFonts w:asciiTheme="minorHAnsi" w:hAnsiTheme="minorHAnsi"/>
          <w:color w:val="000000" w:themeColor="text1"/>
          <w:sz w:val="20"/>
          <w:szCs w:val="20"/>
        </w:rPr>
        <w:t>Uno dei meccanismi più interessanti ipotizzati per il ruolo dell'anticorpo materno nell'inibizione delle risposte de</w:t>
      </w:r>
      <w:r w:rsidR="00635485" w:rsidRPr="004E7AB1">
        <w:rPr>
          <w:rFonts w:asciiTheme="minorHAnsi" w:hAnsiTheme="minorHAnsi"/>
          <w:color w:val="000000" w:themeColor="text1"/>
          <w:sz w:val="20"/>
          <w:szCs w:val="20"/>
        </w:rPr>
        <w:t>i</w:t>
      </w:r>
      <w:r w:rsidRPr="004E7AB1">
        <w:rPr>
          <w:rFonts w:asciiTheme="minorHAnsi" w:hAnsiTheme="minorHAnsi"/>
          <w:color w:val="000000" w:themeColor="text1"/>
          <w:sz w:val="20"/>
          <w:szCs w:val="20"/>
        </w:rPr>
        <w:t xml:space="preserve"> vaccin</w:t>
      </w:r>
      <w:r w:rsidR="00635485" w:rsidRPr="004E7AB1">
        <w:rPr>
          <w:rFonts w:asciiTheme="minorHAnsi" w:hAnsiTheme="minorHAnsi"/>
          <w:color w:val="000000" w:themeColor="text1"/>
          <w:sz w:val="20"/>
          <w:szCs w:val="20"/>
        </w:rPr>
        <w:t>i</w:t>
      </w:r>
      <w:r w:rsidRPr="004E7AB1">
        <w:rPr>
          <w:rFonts w:asciiTheme="minorHAnsi" w:hAnsiTheme="minorHAnsi"/>
          <w:color w:val="000000" w:themeColor="text1"/>
          <w:sz w:val="20"/>
          <w:szCs w:val="20"/>
        </w:rPr>
        <w:t xml:space="preserve"> </w:t>
      </w:r>
      <w:r w:rsidR="00635485" w:rsidRPr="004E7AB1">
        <w:rPr>
          <w:rFonts w:asciiTheme="minorHAnsi" w:hAnsiTheme="minorHAnsi"/>
          <w:color w:val="000000" w:themeColor="text1"/>
          <w:sz w:val="20"/>
          <w:szCs w:val="20"/>
        </w:rPr>
        <w:t>pediatrici</w:t>
      </w:r>
      <w:r w:rsidRPr="004E7AB1">
        <w:rPr>
          <w:rFonts w:asciiTheme="minorHAnsi" w:hAnsiTheme="minorHAnsi"/>
          <w:color w:val="000000" w:themeColor="text1"/>
          <w:sz w:val="20"/>
          <w:szCs w:val="20"/>
        </w:rPr>
        <w:t xml:space="preserve"> è l'effettivo </w:t>
      </w:r>
      <w:r w:rsidRPr="004E7AB1">
        <w:rPr>
          <w:rFonts w:asciiTheme="minorHAnsi" w:hAnsiTheme="minorHAnsi"/>
          <w:b/>
          <w:bCs/>
          <w:color w:val="000000" w:themeColor="text1"/>
          <w:sz w:val="20"/>
          <w:szCs w:val="20"/>
        </w:rPr>
        <w:t xml:space="preserve">blocco dell'attivazione delle cellule B da parte </w:t>
      </w:r>
      <w:r w:rsidR="00ED3EEC" w:rsidRPr="004E7AB1">
        <w:rPr>
          <w:rFonts w:asciiTheme="minorHAnsi" w:hAnsiTheme="minorHAnsi"/>
          <w:b/>
          <w:bCs/>
          <w:color w:val="000000" w:themeColor="text1"/>
          <w:sz w:val="20"/>
          <w:szCs w:val="20"/>
        </w:rPr>
        <w:t>d</w:t>
      </w:r>
      <w:r w:rsidR="00635485" w:rsidRPr="004E7AB1">
        <w:rPr>
          <w:rFonts w:asciiTheme="minorHAnsi" w:hAnsiTheme="minorHAnsi"/>
          <w:b/>
          <w:bCs/>
          <w:color w:val="000000" w:themeColor="text1"/>
          <w:sz w:val="20"/>
          <w:szCs w:val="20"/>
        </w:rPr>
        <w:t>e</w:t>
      </w:r>
      <w:r w:rsidR="00ED3EEC" w:rsidRPr="004E7AB1">
        <w:rPr>
          <w:rFonts w:asciiTheme="minorHAnsi" w:hAnsiTheme="minorHAnsi"/>
          <w:b/>
          <w:bCs/>
          <w:color w:val="000000" w:themeColor="text1"/>
          <w:sz w:val="20"/>
          <w:szCs w:val="20"/>
        </w:rPr>
        <w:t>l legame crociato</w:t>
      </w:r>
      <w:r w:rsidRPr="004E7AB1">
        <w:rPr>
          <w:rFonts w:asciiTheme="minorHAnsi" w:hAnsiTheme="minorHAnsi"/>
          <w:b/>
          <w:bCs/>
          <w:color w:val="000000" w:themeColor="text1"/>
          <w:sz w:val="20"/>
          <w:szCs w:val="20"/>
        </w:rPr>
        <w:t xml:space="preserve"> </w:t>
      </w:r>
      <w:r w:rsidR="00ED3EEC" w:rsidRPr="004E7AB1">
        <w:rPr>
          <w:rFonts w:asciiTheme="minorHAnsi" w:hAnsiTheme="minorHAnsi"/>
          <w:b/>
          <w:bCs/>
          <w:color w:val="000000" w:themeColor="text1"/>
          <w:sz w:val="20"/>
          <w:szCs w:val="20"/>
        </w:rPr>
        <w:t xml:space="preserve">tra il </w:t>
      </w:r>
      <w:r w:rsidRPr="004E7AB1">
        <w:rPr>
          <w:rFonts w:asciiTheme="minorHAnsi" w:hAnsiTheme="minorHAnsi"/>
          <w:b/>
          <w:bCs/>
          <w:color w:val="000000" w:themeColor="text1"/>
          <w:sz w:val="20"/>
          <w:szCs w:val="20"/>
        </w:rPr>
        <w:t>recettore delle cellule B</w:t>
      </w:r>
      <w:r w:rsidR="00CB0C2D" w:rsidRPr="004E7AB1">
        <w:rPr>
          <w:rFonts w:asciiTheme="minorHAnsi" w:hAnsiTheme="minorHAnsi"/>
          <w:b/>
          <w:bCs/>
          <w:color w:val="000000" w:themeColor="text1"/>
          <w:sz w:val="20"/>
          <w:szCs w:val="20"/>
        </w:rPr>
        <w:t xml:space="preserve"> (BCR)</w:t>
      </w:r>
      <w:r w:rsidRPr="004E7AB1">
        <w:rPr>
          <w:rFonts w:asciiTheme="minorHAnsi" w:hAnsiTheme="minorHAnsi"/>
          <w:b/>
          <w:bCs/>
          <w:color w:val="000000" w:themeColor="text1"/>
          <w:sz w:val="20"/>
          <w:szCs w:val="20"/>
        </w:rPr>
        <w:t xml:space="preserve">, che riconosce </w:t>
      </w:r>
      <w:r w:rsidR="00CB0C2D" w:rsidRPr="004E7AB1">
        <w:rPr>
          <w:rFonts w:asciiTheme="minorHAnsi" w:hAnsiTheme="minorHAnsi"/>
          <w:b/>
          <w:bCs/>
          <w:color w:val="000000" w:themeColor="text1"/>
          <w:sz w:val="20"/>
          <w:szCs w:val="20"/>
        </w:rPr>
        <w:t>l’antigene vaccinale</w:t>
      </w:r>
      <w:r w:rsidR="00635485" w:rsidRPr="004E7AB1">
        <w:rPr>
          <w:rFonts w:asciiTheme="minorHAnsi" w:hAnsiTheme="minorHAnsi"/>
          <w:b/>
          <w:bCs/>
          <w:color w:val="000000" w:themeColor="text1"/>
          <w:sz w:val="20"/>
          <w:szCs w:val="20"/>
        </w:rPr>
        <w:t>,</w:t>
      </w:r>
      <w:r w:rsidRPr="004E7AB1">
        <w:rPr>
          <w:rFonts w:asciiTheme="minorHAnsi" w:hAnsiTheme="minorHAnsi"/>
          <w:b/>
          <w:bCs/>
          <w:color w:val="000000" w:themeColor="text1"/>
          <w:sz w:val="20"/>
          <w:szCs w:val="20"/>
        </w:rPr>
        <w:t xml:space="preserve"> e </w:t>
      </w:r>
      <w:r w:rsidR="00ED3EEC" w:rsidRPr="004E7AB1">
        <w:rPr>
          <w:rFonts w:asciiTheme="minorHAnsi" w:hAnsiTheme="minorHAnsi"/>
          <w:b/>
          <w:bCs/>
          <w:color w:val="000000" w:themeColor="text1"/>
          <w:sz w:val="20"/>
          <w:szCs w:val="20"/>
        </w:rPr>
        <w:t xml:space="preserve">il recettore </w:t>
      </w:r>
      <w:r w:rsidR="001E4183" w:rsidRPr="004E7AB1">
        <w:rPr>
          <w:rFonts w:asciiTheme="minorHAnsi" w:hAnsiTheme="minorHAnsi"/>
          <w:b/>
          <w:bCs/>
          <w:color w:val="000000" w:themeColor="text1"/>
          <w:sz w:val="20"/>
          <w:szCs w:val="20"/>
        </w:rPr>
        <w:t>FcγRIIB</w:t>
      </w:r>
      <w:r w:rsidRPr="004E7AB1">
        <w:rPr>
          <w:rFonts w:asciiTheme="minorHAnsi" w:hAnsiTheme="minorHAnsi"/>
          <w:color w:val="000000" w:themeColor="text1"/>
          <w:sz w:val="20"/>
          <w:szCs w:val="20"/>
        </w:rPr>
        <w:t xml:space="preserve"> </w:t>
      </w:r>
      <w:r w:rsidR="009D7D86" w:rsidRPr="004E7AB1">
        <w:rPr>
          <w:rFonts w:asciiTheme="minorHAnsi" w:hAnsiTheme="minorHAnsi"/>
          <w:color w:val="000000" w:themeColor="text1"/>
          <w:sz w:val="20"/>
          <w:szCs w:val="20"/>
        </w:rPr>
        <w:t xml:space="preserve">* </w:t>
      </w:r>
      <w:r w:rsidRPr="004E7AB1">
        <w:rPr>
          <w:rFonts w:asciiTheme="minorHAnsi" w:hAnsiTheme="minorHAnsi"/>
          <w:color w:val="000000" w:themeColor="text1"/>
          <w:sz w:val="20"/>
          <w:szCs w:val="20"/>
        </w:rPr>
        <w:t xml:space="preserve">che lega la molecola di IgG </w:t>
      </w:r>
      <w:r w:rsidR="00CB0C2D" w:rsidRPr="004E7AB1">
        <w:rPr>
          <w:rFonts w:asciiTheme="minorHAnsi" w:hAnsiTheme="minorHAnsi"/>
          <w:color w:val="000000" w:themeColor="text1"/>
          <w:sz w:val="20"/>
          <w:szCs w:val="20"/>
        </w:rPr>
        <w:t>materno s</w:t>
      </w:r>
      <w:r w:rsidRPr="004E7AB1">
        <w:rPr>
          <w:rFonts w:asciiTheme="minorHAnsi" w:hAnsiTheme="minorHAnsi"/>
          <w:color w:val="000000" w:themeColor="text1"/>
          <w:sz w:val="20"/>
          <w:szCs w:val="20"/>
        </w:rPr>
        <w:t xml:space="preserve">ulla superficie delle cellule B. </w:t>
      </w:r>
    </w:p>
    <w:p w:rsidR="004E7AB1" w:rsidRDefault="004E7AB1" w:rsidP="00FA1545">
      <w:pPr>
        <w:jc w:val="both"/>
        <w:rPr>
          <w:rFonts w:asciiTheme="minorHAnsi" w:hAnsiTheme="minorHAnsi"/>
          <w:color w:val="000000" w:themeColor="text1"/>
          <w:sz w:val="20"/>
          <w:szCs w:val="20"/>
        </w:rPr>
      </w:pPr>
    </w:p>
    <w:p w:rsidR="009251A1" w:rsidRDefault="009251A1" w:rsidP="009251A1">
      <w:pPr>
        <w:pBdr>
          <w:top w:val="dashSmallGap" w:sz="4" w:space="1" w:color="auto"/>
          <w:left w:val="dashSmallGap" w:sz="4" w:space="4" w:color="auto"/>
          <w:bottom w:val="dashSmallGap" w:sz="4" w:space="1" w:color="auto"/>
          <w:right w:val="dashSmallGap" w:sz="4" w:space="4" w:color="auto"/>
        </w:pBdr>
        <w:ind w:left="567" w:right="701"/>
        <w:jc w:val="both"/>
        <w:rPr>
          <w:rFonts w:asciiTheme="minorHAnsi" w:hAnsiTheme="minorHAnsi"/>
          <w:color w:val="000000" w:themeColor="text1"/>
          <w:sz w:val="18"/>
          <w:szCs w:val="18"/>
        </w:rPr>
      </w:pPr>
    </w:p>
    <w:p w:rsidR="004E7AB1" w:rsidRDefault="004E7AB1" w:rsidP="009251A1">
      <w:pPr>
        <w:pBdr>
          <w:top w:val="dashSmallGap" w:sz="4" w:space="1" w:color="auto"/>
          <w:left w:val="dashSmallGap" w:sz="4" w:space="4" w:color="auto"/>
          <w:bottom w:val="dashSmallGap" w:sz="4" w:space="1" w:color="auto"/>
          <w:right w:val="dashSmallGap" w:sz="4" w:space="4" w:color="auto"/>
        </w:pBdr>
        <w:ind w:left="567" w:right="701"/>
        <w:jc w:val="both"/>
        <w:rPr>
          <w:rFonts w:asciiTheme="minorHAnsi" w:hAnsiTheme="minorHAnsi"/>
          <w:i/>
          <w:color w:val="000000" w:themeColor="text1"/>
          <w:sz w:val="18"/>
          <w:szCs w:val="18"/>
        </w:rPr>
      </w:pPr>
      <w:r w:rsidRPr="009251A1">
        <w:rPr>
          <w:rFonts w:asciiTheme="minorHAnsi" w:hAnsiTheme="minorHAnsi"/>
          <w:color w:val="000000" w:themeColor="text1"/>
          <w:sz w:val="18"/>
          <w:szCs w:val="18"/>
        </w:rPr>
        <w:t xml:space="preserve">* </w:t>
      </w:r>
      <w:r w:rsidRPr="009251A1">
        <w:rPr>
          <w:rFonts w:asciiTheme="minorHAnsi" w:hAnsiTheme="minorHAnsi"/>
          <w:i/>
          <w:iCs/>
          <w:color w:val="000000" w:themeColor="text1"/>
          <w:sz w:val="18"/>
          <w:szCs w:val="18"/>
        </w:rPr>
        <w:t>Si ricorda nuovamente che le</w:t>
      </w:r>
      <w:r w:rsidRPr="009251A1">
        <w:rPr>
          <w:rFonts w:asciiTheme="minorHAnsi" w:hAnsiTheme="minorHAnsi"/>
          <w:i/>
          <w:color w:val="000000" w:themeColor="text1"/>
          <w:sz w:val="18"/>
          <w:szCs w:val="18"/>
        </w:rPr>
        <w:t xml:space="preserve"> tre classi umane di FcγR comprendono FcγRI (CD64), FcγRII (CD32) e FcγRIII (CD16). </w:t>
      </w:r>
      <w:r w:rsidRPr="009251A1">
        <w:rPr>
          <w:rFonts w:asciiTheme="minorHAnsi" w:hAnsiTheme="minorHAnsi"/>
          <w:b/>
          <w:bCs/>
          <w:i/>
          <w:color w:val="000000" w:themeColor="text1"/>
          <w:sz w:val="18"/>
          <w:szCs w:val="18"/>
        </w:rPr>
        <w:t xml:space="preserve">FcγRI </w:t>
      </w:r>
      <w:r w:rsidRPr="009251A1">
        <w:rPr>
          <w:rFonts w:asciiTheme="minorHAnsi" w:hAnsiTheme="minorHAnsi"/>
          <w:i/>
          <w:color w:val="000000" w:themeColor="text1"/>
          <w:sz w:val="18"/>
          <w:szCs w:val="18"/>
        </w:rPr>
        <w:t xml:space="preserve">è l'unico recettore ad alta affinità che può legarsi a molecole di IgG monomeriche. Tutti gli altri FcγR sono recettori a bassa affinità e quindi richiedono interazioni multiple per produrre un legame sufficientemente elevato di avidità da parte dei complessi immunitari IgG per trasdurre i segnali rilevanti. Di questi, </w:t>
      </w:r>
      <w:r w:rsidRPr="009251A1">
        <w:rPr>
          <w:rFonts w:asciiTheme="minorHAnsi" w:hAnsiTheme="minorHAnsi"/>
          <w:b/>
          <w:bCs/>
          <w:i/>
          <w:color w:val="000000" w:themeColor="text1"/>
          <w:sz w:val="18"/>
          <w:szCs w:val="18"/>
        </w:rPr>
        <w:t>FcγRIIa e FcγRIIc sono recettori attivanti, mentre FcγRIIb è l'unico FcγR inibitorio noto</w:t>
      </w:r>
      <w:r w:rsidRPr="009251A1">
        <w:rPr>
          <w:rFonts w:asciiTheme="minorHAnsi" w:hAnsiTheme="minorHAnsi"/>
          <w:i/>
          <w:color w:val="000000" w:themeColor="text1"/>
          <w:sz w:val="18"/>
          <w:szCs w:val="18"/>
        </w:rPr>
        <w:t xml:space="preserve">. </w:t>
      </w:r>
      <w:r w:rsidRPr="009251A1">
        <w:rPr>
          <w:rStyle w:val="FootnoteReference"/>
          <w:rFonts w:asciiTheme="minorHAnsi" w:hAnsiTheme="minorHAnsi"/>
          <w:i/>
          <w:color w:val="000000" w:themeColor="text1"/>
          <w:sz w:val="18"/>
          <w:szCs w:val="18"/>
        </w:rPr>
        <w:footnoteReference w:id="146"/>
      </w:r>
    </w:p>
    <w:p w:rsidR="009251A1" w:rsidRPr="009251A1" w:rsidRDefault="009251A1" w:rsidP="009251A1">
      <w:pPr>
        <w:pBdr>
          <w:top w:val="dashSmallGap" w:sz="4" w:space="1" w:color="auto"/>
          <w:left w:val="dashSmallGap" w:sz="4" w:space="4" w:color="auto"/>
          <w:bottom w:val="dashSmallGap" w:sz="4" w:space="1" w:color="auto"/>
          <w:right w:val="dashSmallGap" w:sz="4" w:space="4" w:color="auto"/>
        </w:pBdr>
        <w:ind w:left="567" w:right="701"/>
        <w:jc w:val="both"/>
        <w:rPr>
          <w:rFonts w:asciiTheme="minorHAnsi" w:hAnsiTheme="minorHAnsi"/>
          <w:i/>
          <w:color w:val="000000" w:themeColor="text1"/>
          <w:sz w:val="18"/>
          <w:szCs w:val="18"/>
        </w:rPr>
      </w:pPr>
    </w:p>
    <w:p w:rsidR="004E7AB1" w:rsidRDefault="004E7AB1" w:rsidP="00FA1545">
      <w:pPr>
        <w:jc w:val="both"/>
        <w:rPr>
          <w:rFonts w:asciiTheme="minorHAnsi" w:hAnsiTheme="minorHAnsi"/>
          <w:color w:val="000000" w:themeColor="text1"/>
          <w:sz w:val="20"/>
          <w:szCs w:val="20"/>
        </w:rPr>
      </w:pPr>
    </w:p>
    <w:p w:rsidR="00ED3EEC" w:rsidRPr="004E7AB1" w:rsidRDefault="00B13932" w:rsidP="00FA1545">
      <w:pPr>
        <w:jc w:val="both"/>
        <w:rPr>
          <w:rFonts w:asciiTheme="minorHAnsi" w:hAnsiTheme="minorHAnsi"/>
          <w:color w:val="000000" w:themeColor="text1"/>
          <w:sz w:val="20"/>
          <w:szCs w:val="20"/>
        </w:rPr>
      </w:pPr>
      <w:r w:rsidRPr="009251A1">
        <w:rPr>
          <w:rFonts w:asciiTheme="minorHAnsi" w:hAnsiTheme="minorHAnsi"/>
          <w:color w:val="000000" w:themeColor="text1"/>
          <w:sz w:val="20"/>
          <w:szCs w:val="20"/>
          <w:shd w:val="clear" w:color="auto" w:fill="FBF9E1"/>
        </w:rPr>
        <w:t>Quest</w:t>
      </w:r>
      <w:r w:rsidR="00ED3EEC" w:rsidRPr="009251A1">
        <w:rPr>
          <w:rFonts w:asciiTheme="minorHAnsi" w:hAnsiTheme="minorHAnsi"/>
          <w:color w:val="000000" w:themeColor="text1"/>
          <w:sz w:val="20"/>
          <w:szCs w:val="20"/>
          <w:shd w:val="clear" w:color="auto" w:fill="FBF9E1"/>
        </w:rPr>
        <w:t xml:space="preserve">o legame crociato </w:t>
      </w:r>
      <w:r w:rsidRPr="009251A1">
        <w:rPr>
          <w:rFonts w:asciiTheme="minorHAnsi" w:hAnsiTheme="minorHAnsi"/>
          <w:color w:val="000000" w:themeColor="text1"/>
          <w:sz w:val="20"/>
          <w:szCs w:val="20"/>
          <w:shd w:val="clear" w:color="auto" w:fill="FBF9E1"/>
        </w:rPr>
        <w:t>provoca un segnale negativo che inibisce sia la proliferazione delle cellule B sia la secrezione di anticorpi</w:t>
      </w:r>
      <w:r w:rsidR="004E7AB1">
        <w:rPr>
          <w:rFonts w:asciiTheme="minorHAnsi" w:hAnsiTheme="minorHAnsi"/>
          <w:color w:val="000000" w:themeColor="text1"/>
          <w:sz w:val="20"/>
          <w:szCs w:val="20"/>
        </w:rPr>
        <w:t>.</w:t>
      </w:r>
    </w:p>
    <w:p w:rsidR="00ED3EEC" w:rsidRDefault="009251A1" w:rsidP="004E7AB1">
      <w:pPr>
        <w:jc w:val="center"/>
        <w:rPr>
          <w:rFonts w:asciiTheme="minorHAnsi" w:hAnsiTheme="minorHAnsi"/>
          <w:color w:val="000000" w:themeColor="text1"/>
        </w:rPr>
      </w:pPr>
      <w:r w:rsidRPr="002840CC">
        <w:rPr>
          <w:rFonts w:asciiTheme="minorHAnsi" w:hAnsiTheme="minorHAnsi"/>
          <w:color w:val="000000" w:themeColor="text1"/>
        </w:rPr>
        <w:fldChar w:fldCharType="begin"/>
      </w:r>
      <w:r w:rsidRPr="002840CC">
        <w:rPr>
          <w:rFonts w:asciiTheme="minorHAnsi" w:hAnsiTheme="minorHAnsi"/>
          <w:color w:val="000000" w:themeColor="text1"/>
        </w:rPr>
        <w:instrText xml:space="preserve"> INCLUDEPICTURE "/var/folders/ry/zkbp25750px6mrgwpjggxk0m0000gn/T/com.microsoft.Word/WebArchiveCopyPasteTempFiles/1-s2.0-S0264410X15010634-gr1.jpg" \* MERGEFORMATINET </w:instrText>
      </w:r>
      <w:r w:rsidRPr="002840CC">
        <w:rPr>
          <w:rFonts w:asciiTheme="minorHAnsi" w:hAnsiTheme="minorHAnsi"/>
          <w:color w:val="000000" w:themeColor="text1"/>
        </w:rPr>
        <w:fldChar w:fldCharType="separate"/>
      </w:r>
      <w:r w:rsidRPr="002840CC">
        <w:rPr>
          <w:rFonts w:asciiTheme="minorHAnsi" w:hAnsiTheme="minorHAnsi"/>
          <w:noProof/>
          <w:color w:val="000000" w:themeColor="text1"/>
        </w:rPr>
        <w:drawing>
          <wp:inline distT="0" distB="0" distL="0" distR="0" wp14:anchorId="032591CB" wp14:editId="5356CD7F">
            <wp:extent cx="2159482" cy="2235200"/>
            <wp:effectExtent l="0" t="0" r="0" b="0"/>
            <wp:docPr id="59" name="Immagine 59" descr="/var/folders/ry/zkbp25750px6mrgwpjggxk0m0000gn/T/com.microsoft.Word/WebArchiveCopyPasteTempFiles/1-s2.0-S0264410X15010634-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ry/zkbp25750px6mrgwpjggxk0m0000gn/T/com.microsoft.Word/WebArchiveCopyPasteTempFiles/1-s2.0-S0264410X15010634-gr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43125" cy="2321775"/>
                    </a:xfrm>
                    <a:prstGeom prst="rect">
                      <a:avLst/>
                    </a:prstGeom>
                    <a:noFill/>
                    <a:ln>
                      <a:noFill/>
                    </a:ln>
                  </pic:spPr>
                </pic:pic>
              </a:graphicData>
            </a:graphic>
          </wp:inline>
        </w:drawing>
      </w:r>
      <w:r w:rsidRPr="002840CC">
        <w:rPr>
          <w:rFonts w:asciiTheme="minorHAnsi" w:hAnsiTheme="minorHAnsi"/>
          <w:color w:val="000000" w:themeColor="text1"/>
        </w:rPr>
        <w:fldChar w:fldCharType="end"/>
      </w:r>
    </w:p>
    <w:p w:rsidR="009251A1" w:rsidRPr="002840CC" w:rsidRDefault="009251A1" w:rsidP="004E7AB1">
      <w:pPr>
        <w:jc w:val="center"/>
        <w:rPr>
          <w:rFonts w:asciiTheme="minorHAnsi" w:hAnsiTheme="minorHAnsi"/>
          <w:color w:val="000000" w:themeColor="text1"/>
        </w:rPr>
      </w:pPr>
    </w:p>
    <w:p w:rsidR="00ED3EEC" w:rsidRPr="009251A1" w:rsidRDefault="00ED3EEC" w:rsidP="009251A1">
      <w:pPr>
        <w:shd w:val="clear" w:color="auto" w:fill="F2F2F2" w:themeFill="background1" w:themeFillShade="F2"/>
        <w:rPr>
          <w:rFonts w:asciiTheme="minorHAnsi" w:hAnsiTheme="minorHAnsi" w:cstheme="minorHAnsi"/>
          <w:color w:val="000000" w:themeColor="text1"/>
          <w:sz w:val="18"/>
          <w:szCs w:val="18"/>
        </w:rPr>
      </w:pPr>
      <w:r w:rsidRPr="009251A1">
        <w:rPr>
          <w:rFonts w:asciiTheme="minorHAnsi" w:hAnsiTheme="minorHAnsi" w:cstheme="minorHAnsi"/>
          <w:color w:val="000000" w:themeColor="text1"/>
          <w:sz w:val="18"/>
          <w:szCs w:val="18"/>
        </w:rPr>
        <w:t xml:space="preserve">Tratta da </w:t>
      </w:r>
      <w:hyperlink r:id="rId138" w:anchor="tbl0005" w:history="1">
        <w:r w:rsidRPr="009251A1">
          <w:rPr>
            <w:rStyle w:val="Hyperlink"/>
            <w:rFonts w:asciiTheme="minorHAnsi" w:hAnsiTheme="minorHAnsi" w:cstheme="minorHAnsi"/>
            <w:color w:val="000000" w:themeColor="text1"/>
            <w:sz w:val="18"/>
            <w:szCs w:val="18"/>
            <w:u w:val="none"/>
          </w:rPr>
          <w:t>https://www.sciencedirect.com/science/article/pii/S0264410X15010634?via%3Dihub#tbl0005</w:t>
        </w:r>
      </w:hyperlink>
    </w:p>
    <w:p w:rsidR="00402769" w:rsidRPr="009251A1" w:rsidRDefault="00402769" w:rsidP="009251A1">
      <w:pPr>
        <w:shd w:val="clear" w:color="auto" w:fill="F2F2F2" w:themeFill="background1" w:themeFillShade="F2"/>
        <w:jc w:val="both"/>
        <w:rPr>
          <w:rFonts w:asciiTheme="minorHAnsi" w:hAnsiTheme="minorHAnsi"/>
          <w:color w:val="000000" w:themeColor="text1"/>
          <w:sz w:val="18"/>
          <w:szCs w:val="18"/>
        </w:rPr>
      </w:pPr>
      <w:r w:rsidRPr="009251A1">
        <w:rPr>
          <w:rFonts w:asciiTheme="minorHAnsi" w:hAnsiTheme="minorHAnsi"/>
          <w:color w:val="000000" w:themeColor="text1"/>
          <w:sz w:val="18"/>
          <w:szCs w:val="18"/>
        </w:rPr>
        <w:t>Un esempio frequente riguarda il morbillo (MV). Quando le IgG materne specifiche si legano all’MV vaccinale, la regione costante delle IgG si lega al recettore per la regione costante (Fc) delle IgG (che è FcγRIIB) presente sulla membrana del linfocita B. FcγRIIB è l'unico recettore Fc delle cellule B e non si lega alle immunoglobuline IgM o IgA. Dopo la formazione del legame crociato tra BCR ed FcγRIIB, il segnale inibitorio che parte da FcγRIIB  blocca l’attivazione di BCR, come mostrato dalla linea rossa.</w:t>
      </w:r>
    </w:p>
    <w:p w:rsidR="00B13932" w:rsidRPr="002840CC" w:rsidRDefault="00B13932" w:rsidP="00FA1545">
      <w:pPr>
        <w:jc w:val="both"/>
        <w:rPr>
          <w:rFonts w:asciiTheme="minorHAnsi" w:hAnsiTheme="minorHAnsi"/>
          <w:color w:val="000000" w:themeColor="text1"/>
        </w:rPr>
      </w:pPr>
    </w:p>
    <w:p w:rsidR="004E7AB1" w:rsidRDefault="00476B2B" w:rsidP="00FA1545">
      <w:pPr>
        <w:jc w:val="both"/>
        <w:rPr>
          <w:rFonts w:asciiTheme="minorHAnsi" w:hAnsiTheme="minorHAnsi"/>
          <w:color w:val="000000" w:themeColor="text1"/>
          <w:sz w:val="20"/>
          <w:szCs w:val="20"/>
        </w:rPr>
      </w:pPr>
      <w:r w:rsidRPr="004E7AB1">
        <w:rPr>
          <w:rFonts w:asciiTheme="minorHAnsi" w:hAnsiTheme="minorHAnsi"/>
          <w:color w:val="000000" w:themeColor="text1"/>
          <w:sz w:val="20"/>
          <w:szCs w:val="20"/>
        </w:rPr>
        <w:t xml:space="preserve">In termini evolutivi, </w:t>
      </w:r>
      <w:r w:rsidRPr="004E7AB1">
        <w:rPr>
          <w:rFonts w:asciiTheme="minorHAnsi" w:hAnsiTheme="minorHAnsi"/>
          <w:b/>
          <w:bCs/>
          <w:color w:val="000000" w:themeColor="text1"/>
          <w:sz w:val="20"/>
          <w:szCs w:val="20"/>
        </w:rPr>
        <w:t>questo meccanismo si è sviluppato per evitare una risposta iper</w:t>
      </w:r>
      <w:r w:rsidR="00402769" w:rsidRPr="004E7AB1">
        <w:rPr>
          <w:rFonts w:asciiTheme="minorHAnsi" w:hAnsiTheme="minorHAnsi"/>
          <w:b/>
          <w:bCs/>
          <w:color w:val="000000" w:themeColor="text1"/>
          <w:sz w:val="20"/>
          <w:szCs w:val="20"/>
        </w:rPr>
        <w:t>-</w:t>
      </w:r>
      <w:r w:rsidRPr="004E7AB1">
        <w:rPr>
          <w:rFonts w:asciiTheme="minorHAnsi" w:hAnsiTheme="minorHAnsi"/>
          <w:b/>
          <w:bCs/>
          <w:color w:val="000000" w:themeColor="text1"/>
          <w:sz w:val="20"/>
          <w:szCs w:val="20"/>
        </w:rPr>
        <w:t>reattiva delle cellule B al fine di conservare le risorse</w:t>
      </w:r>
      <w:r w:rsidRPr="004E7AB1">
        <w:rPr>
          <w:rFonts w:asciiTheme="minorHAnsi" w:hAnsiTheme="minorHAnsi"/>
          <w:color w:val="000000" w:themeColor="text1"/>
          <w:sz w:val="20"/>
          <w:szCs w:val="20"/>
        </w:rPr>
        <w:t xml:space="preserve">. </w:t>
      </w:r>
    </w:p>
    <w:p w:rsidR="004E7AB1" w:rsidRDefault="00476B2B" w:rsidP="00FA1545">
      <w:pPr>
        <w:jc w:val="both"/>
        <w:rPr>
          <w:rFonts w:asciiTheme="minorHAnsi" w:hAnsiTheme="minorHAnsi"/>
          <w:color w:val="000000" w:themeColor="text1"/>
          <w:sz w:val="20"/>
          <w:szCs w:val="20"/>
        </w:rPr>
      </w:pPr>
      <w:r w:rsidRPr="004E7AB1">
        <w:rPr>
          <w:rFonts w:asciiTheme="minorHAnsi" w:hAnsiTheme="minorHAnsi"/>
          <w:color w:val="000000" w:themeColor="text1"/>
          <w:sz w:val="20"/>
          <w:szCs w:val="20"/>
        </w:rPr>
        <w:t>Se gli anticorpi IgG sono già presenti in un organismo dopo l'infezione o la vaccinazione</w:t>
      </w:r>
      <w:r w:rsidR="00C12BB9" w:rsidRPr="004E7AB1">
        <w:rPr>
          <w:rFonts w:asciiTheme="minorHAnsi" w:hAnsiTheme="minorHAnsi"/>
          <w:color w:val="000000" w:themeColor="text1"/>
          <w:sz w:val="20"/>
          <w:szCs w:val="20"/>
        </w:rPr>
        <w:t xml:space="preserve"> della madre durante la gravidanza</w:t>
      </w:r>
      <w:r w:rsidRPr="004E7AB1">
        <w:rPr>
          <w:rFonts w:asciiTheme="minorHAnsi" w:hAnsiTheme="minorHAnsi"/>
          <w:color w:val="000000" w:themeColor="text1"/>
          <w:sz w:val="20"/>
          <w:szCs w:val="20"/>
        </w:rPr>
        <w:t xml:space="preserve">, non è necessario produrre più anticorpi. </w:t>
      </w:r>
    </w:p>
    <w:p w:rsidR="004E7AB1" w:rsidRDefault="00476B2B" w:rsidP="00FA1545">
      <w:pPr>
        <w:jc w:val="both"/>
        <w:rPr>
          <w:rFonts w:asciiTheme="minorHAnsi" w:hAnsiTheme="minorHAnsi"/>
          <w:color w:val="000000" w:themeColor="text1"/>
          <w:sz w:val="20"/>
          <w:szCs w:val="20"/>
        </w:rPr>
      </w:pPr>
      <w:r w:rsidRPr="004E7AB1">
        <w:rPr>
          <w:rFonts w:asciiTheme="minorHAnsi" w:hAnsiTheme="minorHAnsi"/>
          <w:color w:val="000000" w:themeColor="text1"/>
          <w:sz w:val="20"/>
          <w:szCs w:val="20"/>
        </w:rPr>
        <w:t xml:space="preserve">In sostanza, gli anticorpi materni segnalano che non è necessario produrre più anticorpi. </w:t>
      </w:r>
    </w:p>
    <w:p w:rsidR="009251A1" w:rsidRDefault="009251A1" w:rsidP="00FA1545">
      <w:pPr>
        <w:jc w:val="both"/>
        <w:rPr>
          <w:rFonts w:asciiTheme="minorHAnsi" w:hAnsiTheme="minorHAnsi"/>
          <w:color w:val="000000" w:themeColor="text1"/>
          <w:sz w:val="20"/>
          <w:szCs w:val="20"/>
        </w:rPr>
      </w:pPr>
    </w:p>
    <w:p w:rsidR="00FA1545" w:rsidRPr="004E7AB1" w:rsidRDefault="00476B2B" w:rsidP="00FA1545">
      <w:pPr>
        <w:jc w:val="both"/>
        <w:rPr>
          <w:rFonts w:asciiTheme="minorHAnsi" w:hAnsiTheme="minorHAnsi"/>
          <w:color w:val="000000" w:themeColor="text1"/>
          <w:sz w:val="20"/>
          <w:szCs w:val="20"/>
        </w:rPr>
      </w:pPr>
      <w:r w:rsidRPr="004E7AB1">
        <w:rPr>
          <w:rFonts w:asciiTheme="minorHAnsi" w:hAnsiTheme="minorHAnsi"/>
          <w:color w:val="000000" w:themeColor="text1"/>
          <w:sz w:val="20"/>
          <w:szCs w:val="20"/>
        </w:rPr>
        <w:t>Contrariamente alla produzione di anticorpi dopo una risposta immunitaria attiva, gli anticorpi materni trasferiti passivamente diminuiscono e il bambino rimane senza una risposta adeguata di cellule B e anticorpi</w:t>
      </w:r>
      <w:r w:rsidR="00193438" w:rsidRPr="004E7AB1">
        <w:rPr>
          <w:rFonts w:asciiTheme="minorHAnsi" w:hAnsiTheme="minorHAnsi"/>
          <w:color w:val="000000" w:themeColor="text1"/>
          <w:sz w:val="20"/>
          <w:szCs w:val="20"/>
        </w:rPr>
        <w:t xml:space="preserve">, durante la finestra di vulnerabilità come visto sopra.  </w:t>
      </w:r>
    </w:p>
    <w:p w:rsidR="008E2874" w:rsidRPr="004E7AB1" w:rsidRDefault="008E2874" w:rsidP="00FA1545">
      <w:pPr>
        <w:jc w:val="both"/>
        <w:rPr>
          <w:rFonts w:asciiTheme="minorHAnsi" w:hAnsiTheme="minorHAnsi"/>
          <w:color w:val="000000" w:themeColor="text1"/>
          <w:sz w:val="20"/>
          <w:szCs w:val="20"/>
        </w:rPr>
      </w:pPr>
    </w:p>
    <w:p w:rsidR="004E7AB1" w:rsidRDefault="008E2874" w:rsidP="008E2874">
      <w:pPr>
        <w:jc w:val="both"/>
        <w:rPr>
          <w:rFonts w:asciiTheme="minorHAnsi" w:hAnsiTheme="minorHAnsi"/>
          <w:color w:val="000000" w:themeColor="text1"/>
          <w:sz w:val="20"/>
          <w:szCs w:val="20"/>
        </w:rPr>
      </w:pPr>
      <w:r w:rsidRPr="004E7AB1">
        <w:rPr>
          <w:rFonts w:asciiTheme="minorHAnsi" w:hAnsiTheme="minorHAnsi"/>
          <w:color w:val="000000" w:themeColor="text1"/>
          <w:sz w:val="20"/>
          <w:szCs w:val="20"/>
        </w:rPr>
        <w:lastRenderedPageBreak/>
        <w:t>Si tenga presente che durante le primissime fasi della vita, FcRn media il trasferimento passivo di IgG dalla madre alla prole sia prima che dopo la nascita.</w:t>
      </w:r>
      <w:r w:rsidR="00402769" w:rsidRPr="004E7AB1">
        <w:rPr>
          <w:rFonts w:asciiTheme="minorHAnsi" w:hAnsiTheme="minorHAnsi"/>
          <w:color w:val="000000" w:themeColor="text1"/>
          <w:sz w:val="20"/>
          <w:szCs w:val="20"/>
        </w:rPr>
        <w:t xml:space="preserve"> </w:t>
      </w:r>
    </w:p>
    <w:p w:rsidR="004E7AB1" w:rsidRDefault="00402769" w:rsidP="008E2874">
      <w:pPr>
        <w:jc w:val="both"/>
        <w:rPr>
          <w:rFonts w:asciiTheme="minorHAnsi" w:hAnsiTheme="minorHAnsi"/>
          <w:color w:val="000000" w:themeColor="text1"/>
          <w:sz w:val="20"/>
          <w:szCs w:val="20"/>
        </w:rPr>
      </w:pPr>
      <w:r w:rsidRPr="004E7AB1">
        <w:rPr>
          <w:rFonts w:asciiTheme="minorHAnsi" w:hAnsiTheme="minorHAnsi"/>
          <w:color w:val="000000" w:themeColor="text1"/>
          <w:sz w:val="20"/>
          <w:szCs w:val="20"/>
        </w:rPr>
        <w:t>Come già visto, l</w:t>
      </w:r>
      <w:r w:rsidR="008E2874" w:rsidRPr="004E7AB1">
        <w:rPr>
          <w:rFonts w:asciiTheme="minorHAnsi" w:hAnsiTheme="minorHAnsi"/>
          <w:color w:val="000000" w:themeColor="text1"/>
          <w:sz w:val="20"/>
          <w:szCs w:val="20"/>
        </w:rPr>
        <w:t xml:space="preserve">e IgG presenti nel latte vengono legate alla superficie apicale dell'epitelio intestinale. </w:t>
      </w:r>
    </w:p>
    <w:p w:rsidR="004E7AB1" w:rsidRDefault="008E2874" w:rsidP="008E2874">
      <w:pPr>
        <w:jc w:val="both"/>
        <w:rPr>
          <w:rFonts w:asciiTheme="minorHAnsi" w:hAnsiTheme="minorHAnsi"/>
          <w:color w:val="000000" w:themeColor="text1"/>
          <w:sz w:val="20"/>
          <w:szCs w:val="20"/>
        </w:rPr>
      </w:pPr>
      <w:r w:rsidRPr="004E7AB1">
        <w:rPr>
          <w:rFonts w:asciiTheme="minorHAnsi" w:hAnsiTheme="minorHAnsi"/>
          <w:color w:val="000000" w:themeColor="text1"/>
          <w:sz w:val="20"/>
          <w:szCs w:val="20"/>
        </w:rPr>
        <w:t xml:space="preserve">I complessi FcRn-IgG risultanti vengono internalizzati nelle cellule dell’epitelio intestinale e le IgG vengono rilasciate da FcRn nei fluidi del sangue o dei tessuti. </w:t>
      </w:r>
    </w:p>
    <w:p w:rsidR="009251A1" w:rsidRDefault="009251A1" w:rsidP="008E2874">
      <w:pPr>
        <w:jc w:val="both"/>
        <w:rPr>
          <w:rFonts w:asciiTheme="minorHAnsi" w:hAnsiTheme="minorHAnsi"/>
          <w:color w:val="000000" w:themeColor="text1"/>
          <w:sz w:val="20"/>
          <w:szCs w:val="20"/>
        </w:rPr>
      </w:pPr>
    </w:p>
    <w:p w:rsidR="004E7AB1" w:rsidRDefault="008E2874" w:rsidP="008E2874">
      <w:pPr>
        <w:jc w:val="both"/>
        <w:rPr>
          <w:rFonts w:asciiTheme="minorHAnsi" w:hAnsiTheme="minorHAnsi"/>
          <w:color w:val="000000" w:themeColor="text1"/>
          <w:sz w:val="20"/>
          <w:szCs w:val="20"/>
        </w:rPr>
      </w:pPr>
      <w:r w:rsidRPr="004E7AB1">
        <w:rPr>
          <w:rFonts w:asciiTheme="minorHAnsi" w:hAnsiTheme="minorHAnsi"/>
          <w:color w:val="000000" w:themeColor="text1"/>
          <w:sz w:val="20"/>
          <w:szCs w:val="20"/>
        </w:rPr>
        <w:t xml:space="preserve">Durante la vita FcRn contribuisce all'effettiva immunità umorale riciclando le IgG ed estendendo la loro emivita in circolo. Nell'adulto, FcRn regola la persistenza di IgG e albumina nel siero, nonché il movimento di IgG e qualsiasi carico legato, tra i diversi compartimenti del corpo, facilitando l'inizio efficiente delle risposte immunitarie verso gli agenti patogeni. </w:t>
      </w:r>
    </w:p>
    <w:p w:rsidR="009251A1" w:rsidRDefault="009251A1" w:rsidP="008E2874">
      <w:pPr>
        <w:jc w:val="both"/>
        <w:rPr>
          <w:rFonts w:asciiTheme="minorHAnsi" w:hAnsiTheme="minorHAnsi"/>
          <w:color w:val="000000" w:themeColor="text1"/>
          <w:sz w:val="20"/>
          <w:szCs w:val="20"/>
        </w:rPr>
      </w:pPr>
    </w:p>
    <w:p w:rsidR="008E2874" w:rsidRDefault="008E2874" w:rsidP="008E2874">
      <w:pPr>
        <w:jc w:val="both"/>
        <w:rPr>
          <w:rFonts w:asciiTheme="minorHAnsi" w:hAnsiTheme="minorHAnsi"/>
          <w:color w:val="000000" w:themeColor="text1"/>
          <w:sz w:val="20"/>
          <w:szCs w:val="20"/>
        </w:rPr>
      </w:pPr>
      <w:r w:rsidRPr="004E7AB1">
        <w:rPr>
          <w:rFonts w:asciiTheme="minorHAnsi" w:hAnsiTheme="minorHAnsi"/>
          <w:color w:val="000000" w:themeColor="text1"/>
          <w:sz w:val="20"/>
          <w:szCs w:val="20"/>
        </w:rPr>
        <w:t xml:space="preserve">Pertanto, FcRn continua a svolgere il ruolo di sensore immunologico per tutta la vita adulta, in particolare in regioni come l'intestino che sono esposte a un gran numero di antigeni infettivi. </w:t>
      </w:r>
      <w:r w:rsidRPr="004E7AB1">
        <w:rPr>
          <w:rStyle w:val="FootnoteReference"/>
          <w:rFonts w:asciiTheme="minorHAnsi" w:hAnsiTheme="minorHAnsi"/>
          <w:color w:val="000000" w:themeColor="text1"/>
          <w:sz w:val="20"/>
          <w:szCs w:val="20"/>
        </w:rPr>
        <w:footnoteReference w:id="147"/>
      </w:r>
    </w:p>
    <w:p w:rsidR="004E7AB1" w:rsidRPr="004E7AB1" w:rsidRDefault="004E7AB1" w:rsidP="008E2874">
      <w:pPr>
        <w:jc w:val="both"/>
        <w:rPr>
          <w:rFonts w:asciiTheme="minorHAnsi" w:hAnsiTheme="minorHAnsi"/>
          <w:color w:val="000000" w:themeColor="text1"/>
          <w:sz w:val="20"/>
          <w:szCs w:val="20"/>
        </w:rPr>
      </w:pPr>
    </w:p>
    <w:p w:rsidR="00681B62" w:rsidRPr="004E7AB1" w:rsidRDefault="00A52443" w:rsidP="009251A1">
      <w:pPr>
        <w:pStyle w:val="Heading3"/>
        <w:shd w:val="clear" w:color="auto" w:fill="E2EFD9" w:themeFill="accent6" w:themeFillTint="33"/>
        <w:jc w:val="center"/>
        <w:rPr>
          <w:rFonts w:asciiTheme="minorHAnsi" w:hAnsiTheme="minorHAnsi"/>
          <w:color w:val="C00000"/>
          <w:sz w:val="24"/>
          <w:szCs w:val="24"/>
          <w:shd w:val="clear" w:color="auto" w:fill="FFFFFF"/>
        </w:rPr>
      </w:pPr>
      <w:bookmarkStart w:id="71" w:name="_Toc43342402"/>
      <w:r w:rsidRPr="009251A1">
        <w:rPr>
          <w:rFonts w:asciiTheme="minorHAnsi" w:hAnsiTheme="minorHAnsi"/>
          <w:color w:val="C00000"/>
          <w:sz w:val="24"/>
          <w:szCs w:val="24"/>
          <w:shd w:val="clear" w:color="auto" w:fill="E2EFD9" w:themeFill="accent6" w:themeFillTint="33"/>
        </w:rPr>
        <w:t>Immunopatologia materno-fetale</w:t>
      </w:r>
      <w:bookmarkEnd w:id="71"/>
    </w:p>
    <w:p w:rsidR="00A52443" w:rsidRPr="004E7AB1" w:rsidRDefault="00A52443" w:rsidP="00A52443">
      <w:pPr>
        <w:rPr>
          <w:rFonts w:asciiTheme="minorHAnsi" w:hAnsiTheme="minorHAnsi" w:cstheme="minorHAnsi"/>
          <w:b/>
          <w:bCs/>
          <w:color w:val="C00000"/>
          <w:sz w:val="22"/>
          <w:szCs w:val="22"/>
          <w:shd w:val="clear" w:color="auto" w:fill="FFFFFF"/>
        </w:rPr>
      </w:pPr>
      <w:r w:rsidRPr="004E7AB1">
        <w:rPr>
          <w:rFonts w:asciiTheme="minorHAnsi" w:hAnsiTheme="minorHAnsi" w:cstheme="minorHAnsi"/>
          <w:b/>
          <w:bCs/>
          <w:color w:val="C00000"/>
          <w:sz w:val="22"/>
          <w:szCs w:val="22"/>
          <w:shd w:val="clear" w:color="auto" w:fill="FFFFFF"/>
        </w:rPr>
        <w:t>Anticorpi materni</w:t>
      </w:r>
    </w:p>
    <w:p w:rsidR="00ED747A" w:rsidRPr="00E565AE" w:rsidRDefault="00D12A4C" w:rsidP="00957885">
      <w:pPr>
        <w:jc w:val="both"/>
        <w:rPr>
          <w:rFonts w:asciiTheme="minorHAnsi" w:hAnsiTheme="minorHAnsi"/>
          <w:color w:val="000000" w:themeColor="text1"/>
          <w:sz w:val="20"/>
          <w:szCs w:val="20"/>
          <w:shd w:val="clear" w:color="auto" w:fill="FFFFFF"/>
        </w:rPr>
      </w:pPr>
      <w:r w:rsidRPr="00E565AE">
        <w:rPr>
          <w:rFonts w:asciiTheme="minorHAnsi" w:hAnsiTheme="minorHAnsi"/>
          <w:color w:val="000000" w:themeColor="text1"/>
          <w:sz w:val="20"/>
          <w:szCs w:val="20"/>
          <w:shd w:val="clear" w:color="auto" w:fill="FFFFFF"/>
        </w:rPr>
        <w:t xml:space="preserve">Come già ampiamente discusso, gli anticorpi preesistenti possono facilitare le infezioni virali. </w:t>
      </w:r>
    </w:p>
    <w:p w:rsidR="00ED747A" w:rsidRPr="00E565AE" w:rsidRDefault="00D12A4C" w:rsidP="00957885">
      <w:pPr>
        <w:jc w:val="both"/>
        <w:rPr>
          <w:rFonts w:asciiTheme="minorHAnsi" w:hAnsiTheme="minorHAnsi"/>
          <w:color w:val="000000" w:themeColor="text1"/>
          <w:sz w:val="20"/>
          <w:szCs w:val="20"/>
          <w:shd w:val="clear" w:color="auto" w:fill="FFFFFF"/>
        </w:rPr>
      </w:pPr>
      <w:r w:rsidRPr="00E565AE">
        <w:rPr>
          <w:rFonts w:asciiTheme="minorHAnsi" w:hAnsiTheme="minorHAnsi"/>
          <w:color w:val="000000" w:themeColor="text1"/>
          <w:sz w:val="20"/>
          <w:szCs w:val="20"/>
          <w:shd w:val="clear" w:color="auto" w:fill="FFFFFF"/>
        </w:rPr>
        <w:t xml:space="preserve">Nella Dengue, gli anticorpi non neutralizzanti indotti dall'infezione naturale con uno dei quattro virus della dengue (DENV) possono potenziare l'infezione con un virus diverso mediante il potenziamento intrinseco dipendente dall'anticorpo (iADE). </w:t>
      </w:r>
    </w:p>
    <w:p w:rsidR="00681B62" w:rsidRPr="00E565AE" w:rsidRDefault="00D12A4C" w:rsidP="00957885">
      <w:pPr>
        <w:jc w:val="both"/>
        <w:rPr>
          <w:rFonts w:asciiTheme="minorHAnsi" w:hAnsiTheme="minorHAnsi" w:cs="Arial"/>
          <w:color w:val="000000" w:themeColor="text1"/>
          <w:sz w:val="20"/>
          <w:szCs w:val="20"/>
          <w:shd w:val="clear" w:color="auto" w:fill="FFFFFF"/>
        </w:rPr>
      </w:pPr>
      <w:r w:rsidRPr="00E565AE">
        <w:rPr>
          <w:rFonts w:asciiTheme="minorHAnsi" w:hAnsiTheme="minorHAnsi"/>
          <w:color w:val="000000" w:themeColor="text1"/>
          <w:sz w:val="20"/>
          <w:szCs w:val="20"/>
          <w:shd w:val="clear" w:color="auto" w:fill="FFFFFF"/>
        </w:rPr>
        <w:t>Inoltre, gli anticorpi non protettivi indotti dal virus respiratorio sinciziale (RSV) e del morbillo inattivati dalla formal</w:t>
      </w:r>
      <w:r w:rsidR="009251A1">
        <w:rPr>
          <w:rFonts w:asciiTheme="minorHAnsi" w:hAnsiTheme="minorHAnsi"/>
          <w:color w:val="000000" w:themeColor="text1"/>
          <w:sz w:val="20"/>
          <w:szCs w:val="20"/>
          <w:shd w:val="clear" w:color="auto" w:fill="FFFFFF"/>
        </w:rPr>
        <w:t>deide</w:t>
      </w:r>
      <w:r w:rsidRPr="00E565AE">
        <w:rPr>
          <w:rFonts w:asciiTheme="minorHAnsi" w:hAnsiTheme="minorHAnsi"/>
          <w:color w:val="000000" w:themeColor="text1"/>
          <w:sz w:val="20"/>
          <w:szCs w:val="20"/>
          <w:shd w:val="clear" w:color="auto" w:fill="FFFFFF"/>
        </w:rPr>
        <w:t xml:space="preserve"> hanno </w:t>
      </w:r>
      <w:r w:rsidR="00ED747A" w:rsidRPr="00E565AE">
        <w:rPr>
          <w:rFonts w:asciiTheme="minorHAnsi" w:hAnsiTheme="minorHAnsi"/>
          <w:color w:val="000000" w:themeColor="text1"/>
          <w:sz w:val="20"/>
          <w:szCs w:val="20"/>
          <w:shd w:val="clear" w:color="auto" w:fill="FFFFFF"/>
        </w:rPr>
        <w:t xml:space="preserve">dimostrato di </w:t>
      </w:r>
      <w:r w:rsidR="009251A1">
        <w:rPr>
          <w:rFonts w:asciiTheme="minorHAnsi" w:hAnsiTheme="minorHAnsi" w:cs="Arial"/>
          <w:color w:val="000000" w:themeColor="text1"/>
          <w:sz w:val="20"/>
          <w:szCs w:val="20"/>
          <w:shd w:val="clear" w:color="auto" w:fill="FFFFFF"/>
        </w:rPr>
        <w:t>provocare</w:t>
      </w:r>
      <w:r w:rsidR="008B65FC" w:rsidRPr="00E565AE">
        <w:rPr>
          <w:rFonts w:asciiTheme="minorHAnsi" w:hAnsiTheme="minorHAnsi" w:cs="Arial"/>
          <w:color w:val="000000" w:themeColor="text1"/>
          <w:sz w:val="20"/>
          <w:szCs w:val="20"/>
          <w:shd w:val="clear" w:color="auto" w:fill="FFFFFF"/>
        </w:rPr>
        <w:t xml:space="preserve"> un peggioramento disastroso della malattia durante la successiva infezione naturale</w:t>
      </w:r>
      <w:r w:rsidR="009251A1">
        <w:rPr>
          <w:rFonts w:asciiTheme="minorHAnsi" w:hAnsiTheme="minorHAnsi" w:cs="Arial"/>
          <w:color w:val="000000" w:themeColor="text1"/>
          <w:sz w:val="20"/>
          <w:szCs w:val="20"/>
          <w:shd w:val="clear" w:color="auto" w:fill="FFFFFF"/>
        </w:rPr>
        <w:t>,</w:t>
      </w:r>
      <w:r w:rsidR="008B65FC" w:rsidRPr="00E565AE">
        <w:rPr>
          <w:rFonts w:asciiTheme="minorHAnsi" w:hAnsiTheme="minorHAnsi" w:cs="Arial"/>
          <w:color w:val="000000" w:themeColor="text1"/>
          <w:sz w:val="20"/>
          <w:szCs w:val="20"/>
          <w:shd w:val="clear" w:color="auto" w:fill="FFFFFF"/>
        </w:rPr>
        <w:t xml:space="preserve"> </w:t>
      </w:r>
      <w:r w:rsidR="008B65FC" w:rsidRPr="00E565AE">
        <w:rPr>
          <w:rStyle w:val="FootnoteReference"/>
          <w:rFonts w:asciiTheme="minorHAnsi" w:hAnsiTheme="minorHAnsi" w:cs="Arial"/>
          <w:color w:val="000000" w:themeColor="text1"/>
          <w:sz w:val="20"/>
          <w:szCs w:val="20"/>
          <w:shd w:val="clear" w:color="auto" w:fill="FFFFFF"/>
        </w:rPr>
        <w:footnoteReference w:id="148"/>
      </w:r>
    </w:p>
    <w:p w:rsidR="00ED747A" w:rsidRPr="00E565AE" w:rsidRDefault="009251A1" w:rsidP="00957885">
      <w:pPr>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In quanto </w:t>
      </w:r>
      <w:r w:rsidR="008B65FC" w:rsidRPr="00E565AE">
        <w:rPr>
          <w:rFonts w:asciiTheme="minorHAnsi" w:hAnsiTheme="minorHAnsi"/>
          <w:color w:val="000000" w:themeColor="text1"/>
          <w:sz w:val="20"/>
          <w:szCs w:val="20"/>
        </w:rPr>
        <w:t xml:space="preserve">sono degli immunogeni che non riescono a stimolare i TLR4, e </w:t>
      </w:r>
      <w:r w:rsidR="00ED747A" w:rsidRPr="00E565AE">
        <w:rPr>
          <w:rFonts w:asciiTheme="minorHAnsi" w:hAnsiTheme="minorHAnsi"/>
          <w:color w:val="000000" w:themeColor="text1"/>
          <w:sz w:val="20"/>
          <w:szCs w:val="20"/>
        </w:rPr>
        <w:t xml:space="preserve">hanno </w:t>
      </w:r>
      <w:r w:rsidR="008B65FC" w:rsidRPr="00E565AE">
        <w:rPr>
          <w:rFonts w:asciiTheme="minorHAnsi" w:hAnsiTheme="minorHAnsi"/>
          <w:color w:val="000000" w:themeColor="text1"/>
          <w:sz w:val="20"/>
          <w:szCs w:val="20"/>
        </w:rPr>
        <w:t>porta</w:t>
      </w:r>
      <w:r w:rsidR="00ED747A" w:rsidRPr="00E565AE">
        <w:rPr>
          <w:rFonts w:asciiTheme="minorHAnsi" w:hAnsiTheme="minorHAnsi"/>
          <w:color w:val="000000" w:themeColor="text1"/>
          <w:sz w:val="20"/>
          <w:szCs w:val="20"/>
        </w:rPr>
        <w:t>to</w:t>
      </w:r>
      <w:r w:rsidR="008B65FC" w:rsidRPr="00E565AE">
        <w:rPr>
          <w:rFonts w:asciiTheme="minorHAnsi" w:hAnsiTheme="minorHAnsi"/>
          <w:color w:val="000000" w:themeColor="text1"/>
          <w:sz w:val="20"/>
          <w:szCs w:val="20"/>
        </w:rPr>
        <w:t xml:space="preserve"> al fallimento della maturazione dell'affinità. </w:t>
      </w:r>
    </w:p>
    <w:p w:rsidR="00ED747A" w:rsidRPr="00E565AE" w:rsidRDefault="00ED747A" w:rsidP="00957885">
      <w:pPr>
        <w:jc w:val="both"/>
        <w:rPr>
          <w:rFonts w:asciiTheme="minorHAnsi" w:hAnsiTheme="minorHAnsi"/>
          <w:color w:val="000000" w:themeColor="text1"/>
          <w:sz w:val="20"/>
          <w:szCs w:val="20"/>
        </w:rPr>
      </w:pPr>
    </w:p>
    <w:p w:rsidR="00ED747A" w:rsidRPr="00E565AE" w:rsidRDefault="008B65FC" w:rsidP="00957885">
      <w:pPr>
        <w:jc w:val="both"/>
        <w:rPr>
          <w:rFonts w:asciiTheme="minorHAnsi" w:hAnsiTheme="minorHAnsi"/>
          <w:color w:val="000000" w:themeColor="text1"/>
          <w:sz w:val="20"/>
          <w:szCs w:val="20"/>
        </w:rPr>
      </w:pPr>
      <w:r w:rsidRPr="00E565AE">
        <w:rPr>
          <w:rFonts w:asciiTheme="minorHAnsi" w:hAnsiTheme="minorHAnsi"/>
          <w:color w:val="000000" w:themeColor="text1"/>
          <w:sz w:val="20"/>
          <w:szCs w:val="20"/>
        </w:rPr>
        <w:lastRenderedPageBreak/>
        <w:t>Gli anticorpi a bassa avidità, non neutralizzanti</w:t>
      </w:r>
      <w:r w:rsidR="00402769" w:rsidRPr="00E565AE">
        <w:rPr>
          <w:rFonts w:asciiTheme="minorHAnsi" w:hAnsiTheme="minorHAnsi"/>
          <w:color w:val="000000" w:themeColor="text1"/>
          <w:sz w:val="20"/>
          <w:szCs w:val="20"/>
        </w:rPr>
        <w:t xml:space="preserve"> </w:t>
      </w:r>
      <w:r w:rsidRPr="00E565AE">
        <w:rPr>
          <w:rFonts w:asciiTheme="minorHAnsi" w:hAnsiTheme="minorHAnsi"/>
          <w:color w:val="000000" w:themeColor="text1"/>
          <w:sz w:val="20"/>
          <w:szCs w:val="20"/>
        </w:rPr>
        <w:t>ma in grado di fissarsi al complemento, indotti dalla somministrazione d</w:t>
      </w:r>
      <w:r w:rsidR="00402769" w:rsidRPr="00E565AE">
        <w:rPr>
          <w:rFonts w:asciiTheme="minorHAnsi" w:hAnsiTheme="minorHAnsi"/>
          <w:color w:val="000000" w:themeColor="text1"/>
          <w:sz w:val="20"/>
          <w:szCs w:val="20"/>
        </w:rPr>
        <w:t>e</w:t>
      </w:r>
      <w:r w:rsidRPr="00E565AE">
        <w:rPr>
          <w:rFonts w:asciiTheme="minorHAnsi" w:hAnsiTheme="minorHAnsi"/>
          <w:color w:val="000000" w:themeColor="text1"/>
          <w:sz w:val="20"/>
          <w:szCs w:val="20"/>
        </w:rPr>
        <w:t xml:space="preserve">i vaccini inattivati, </w:t>
      </w:r>
      <w:r w:rsidR="00ED747A" w:rsidRPr="00E565AE">
        <w:rPr>
          <w:rFonts w:asciiTheme="minorHAnsi" w:hAnsiTheme="minorHAnsi"/>
          <w:color w:val="000000" w:themeColor="text1"/>
          <w:sz w:val="20"/>
          <w:szCs w:val="20"/>
        </w:rPr>
        <w:t xml:space="preserve">sono stati </w:t>
      </w:r>
      <w:r w:rsidRPr="00E565AE">
        <w:rPr>
          <w:rFonts w:asciiTheme="minorHAnsi" w:hAnsiTheme="minorHAnsi"/>
          <w:color w:val="000000" w:themeColor="text1"/>
          <w:sz w:val="20"/>
          <w:szCs w:val="20"/>
        </w:rPr>
        <w:t xml:space="preserve">in grado di produrre complessi immunitari patologici in seguito ad infezioni virali </w:t>
      </w:r>
      <w:r w:rsidR="00402769" w:rsidRPr="00E565AE">
        <w:rPr>
          <w:rFonts w:asciiTheme="minorHAnsi" w:hAnsiTheme="minorHAnsi"/>
          <w:color w:val="000000" w:themeColor="text1"/>
          <w:sz w:val="20"/>
          <w:szCs w:val="20"/>
        </w:rPr>
        <w:t>del</w:t>
      </w:r>
      <w:r w:rsidRPr="00E565AE">
        <w:rPr>
          <w:rFonts w:asciiTheme="minorHAnsi" w:hAnsiTheme="minorHAnsi"/>
          <w:color w:val="000000" w:themeColor="text1"/>
          <w:sz w:val="20"/>
          <w:szCs w:val="20"/>
        </w:rPr>
        <w:t xml:space="preserve"> tratto respiratorio. </w:t>
      </w:r>
    </w:p>
    <w:p w:rsidR="00ED747A" w:rsidRPr="00E565AE" w:rsidRDefault="00ED747A" w:rsidP="00957885">
      <w:pPr>
        <w:jc w:val="both"/>
        <w:rPr>
          <w:rFonts w:asciiTheme="minorHAnsi" w:hAnsiTheme="minorHAnsi"/>
          <w:color w:val="000000" w:themeColor="text1"/>
          <w:sz w:val="20"/>
          <w:szCs w:val="20"/>
        </w:rPr>
      </w:pPr>
    </w:p>
    <w:p w:rsidR="00681B62" w:rsidRPr="00E565AE" w:rsidRDefault="008B65FC" w:rsidP="00957885">
      <w:pPr>
        <w:jc w:val="both"/>
        <w:rPr>
          <w:rFonts w:asciiTheme="minorHAnsi" w:hAnsiTheme="minorHAnsi"/>
          <w:color w:val="000000" w:themeColor="text1"/>
          <w:sz w:val="20"/>
          <w:szCs w:val="20"/>
        </w:rPr>
      </w:pPr>
      <w:r w:rsidRPr="00E565AE">
        <w:rPr>
          <w:rFonts w:asciiTheme="minorHAnsi" w:hAnsiTheme="minorHAnsi"/>
          <w:color w:val="000000" w:themeColor="text1"/>
          <w:sz w:val="20"/>
          <w:szCs w:val="20"/>
        </w:rPr>
        <w:t xml:space="preserve">Questi anticorpi erano </w:t>
      </w:r>
      <w:r w:rsidR="00402769" w:rsidRPr="00E565AE">
        <w:rPr>
          <w:rFonts w:asciiTheme="minorHAnsi" w:hAnsiTheme="minorHAnsi"/>
          <w:color w:val="000000" w:themeColor="text1"/>
          <w:sz w:val="20"/>
          <w:szCs w:val="20"/>
        </w:rPr>
        <w:t>responsabili</w:t>
      </w:r>
      <w:r w:rsidRPr="00E565AE">
        <w:rPr>
          <w:rFonts w:asciiTheme="minorHAnsi" w:hAnsiTheme="minorHAnsi"/>
          <w:color w:val="000000" w:themeColor="text1"/>
          <w:sz w:val="20"/>
          <w:szCs w:val="20"/>
        </w:rPr>
        <w:t xml:space="preserve"> </w:t>
      </w:r>
      <w:r w:rsidR="00402769" w:rsidRPr="00E565AE">
        <w:rPr>
          <w:rFonts w:asciiTheme="minorHAnsi" w:hAnsiTheme="minorHAnsi"/>
          <w:color w:val="000000" w:themeColor="text1"/>
          <w:sz w:val="20"/>
          <w:szCs w:val="20"/>
        </w:rPr>
        <w:t>del</w:t>
      </w:r>
      <w:r w:rsidRPr="00E565AE">
        <w:rPr>
          <w:rFonts w:asciiTheme="minorHAnsi" w:hAnsiTheme="minorHAnsi"/>
          <w:color w:val="000000" w:themeColor="text1"/>
          <w:sz w:val="20"/>
          <w:szCs w:val="20"/>
        </w:rPr>
        <w:t xml:space="preserve">la patogenesi </w:t>
      </w:r>
      <w:r w:rsidR="00402769" w:rsidRPr="00E565AE">
        <w:rPr>
          <w:rFonts w:asciiTheme="minorHAnsi" w:hAnsiTheme="minorHAnsi"/>
          <w:color w:val="000000" w:themeColor="text1"/>
          <w:sz w:val="20"/>
          <w:szCs w:val="20"/>
        </w:rPr>
        <w:t>del potenziamento della malattia</w:t>
      </w:r>
      <w:r w:rsidRPr="00E565AE">
        <w:rPr>
          <w:rFonts w:asciiTheme="minorHAnsi" w:hAnsiTheme="minorHAnsi"/>
          <w:color w:val="000000" w:themeColor="text1"/>
          <w:sz w:val="20"/>
          <w:szCs w:val="20"/>
        </w:rPr>
        <w:t xml:space="preserve">, </w:t>
      </w:r>
      <w:r w:rsidR="00402769" w:rsidRPr="00E565AE">
        <w:rPr>
          <w:rFonts w:asciiTheme="minorHAnsi" w:hAnsiTheme="minorHAnsi"/>
          <w:color w:val="000000" w:themeColor="text1"/>
          <w:sz w:val="20"/>
          <w:szCs w:val="20"/>
        </w:rPr>
        <w:t>in quanto</w:t>
      </w:r>
      <w:r w:rsidRPr="00E565AE">
        <w:rPr>
          <w:rFonts w:asciiTheme="minorHAnsi" w:hAnsiTheme="minorHAnsi"/>
          <w:color w:val="000000" w:themeColor="text1"/>
          <w:sz w:val="20"/>
          <w:szCs w:val="20"/>
        </w:rPr>
        <w:t xml:space="preserve"> non riusc</w:t>
      </w:r>
      <w:r w:rsidR="00402769" w:rsidRPr="00E565AE">
        <w:rPr>
          <w:rFonts w:asciiTheme="minorHAnsi" w:hAnsiTheme="minorHAnsi"/>
          <w:color w:val="000000" w:themeColor="text1"/>
          <w:sz w:val="20"/>
          <w:szCs w:val="20"/>
        </w:rPr>
        <w:t>ivano</w:t>
      </w:r>
      <w:r w:rsidRPr="00E565AE">
        <w:rPr>
          <w:rFonts w:asciiTheme="minorHAnsi" w:hAnsiTheme="minorHAnsi"/>
          <w:color w:val="000000" w:themeColor="text1"/>
          <w:sz w:val="20"/>
          <w:szCs w:val="20"/>
        </w:rPr>
        <w:t xml:space="preserve"> a neutralizzare l'RSV </w:t>
      </w:r>
      <w:r w:rsidR="00402769" w:rsidRPr="00E565AE">
        <w:rPr>
          <w:rFonts w:asciiTheme="minorHAnsi" w:hAnsiTheme="minorHAnsi"/>
          <w:color w:val="000000" w:themeColor="text1"/>
          <w:sz w:val="20"/>
          <w:szCs w:val="20"/>
        </w:rPr>
        <w:t xml:space="preserve">e ne </w:t>
      </w:r>
      <w:r w:rsidR="006E38DC" w:rsidRPr="00E565AE">
        <w:rPr>
          <w:rFonts w:asciiTheme="minorHAnsi" w:hAnsiTheme="minorHAnsi"/>
          <w:color w:val="000000" w:themeColor="text1"/>
          <w:sz w:val="20"/>
          <w:szCs w:val="20"/>
        </w:rPr>
        <w:t>favorivano</w:t>
      </w:r>
      <w:r w:rsidRPr="00E565AE">
        <w:rPr>
          <w:rFonts w:asciiTheme="minorHAnsi" w:hAnsiTheme="minorHAnsi"/>
          <w:color w:val="000000" w:themeColor="text1"/>
          <w:sz w:val="20"/>
          <w:szCs w:val="20"/>
        </w:rPr>
        <w:t xml:space="preserve"> la replicazione.</w:t>
      </w:r>
      <w:r w:rsidR="00957885" w:rsidRPr="00E565AE">
        <w:rPr>
          <w:rFonts w:asciiTheme="minorHAnsi" w:hAnsiTheme="minorHAnsi"/>
          <w:color w:val="000000" w:themeColor="text1"/>
          <w:sz w:val="20"/>
          <w:szCs w:val="20"/>
        </w:rPr>
        <w:t xml:space="preserve"> L'inattivazione di RSV con metodi diversi dall'uso di formal</w:t>
      </w:r>
      <w:r w:rsidR="009251A1">
        <w:rPr>
          <w:rFonts w:asciiTheme="minorHAnsi" w:hAnsiTheme="minorHAnsi"/>
          <w:color w:val="000000" w:themeColor="text1"/>
          <w:sz w:val="20"/>
          <w:szCs w:val="20"/>
        </w:rPr>
        <w:t>deide</w:t>
      </w:r>
      <w:r w:rsidR="00957885" w:rsidRPr="00E565AE">
        <w:rPr>
          <w:rFonts w:asciiTheme="minorHAnsi" w:hAnsiTheme="minorHAnsi"/>
          <w:color w:val="000000" w:themeColor="text1"/>
          <w:sz w:val="20"/>
          <w:szCs w:val="20"/>
        </w:rPr>
        <w:t xml:space="preserve"> ha ugualmente sensibilizzato gli animali da esperimento </w:t>
      </w:r>
      <w:r w:rsidR="006E38DC" w:rsidRPr="00E565AE">
        <w:rPr>
          <w:rFonts w:asciiTheme="minorHAnsi" w:hAnsiTheme="minorHAnsi"/>
          <w:color w:val="000000" w:themeColor="text1"/>
          <w:sz w:val="20"/>
          <w:szCs w:val="20"/>
        </w:rPr>
        <w:t>al</w:t>
      </w:r>
      <w:r w:rsidR="00957885" w:rsidRPr="00E565AE">
        <w:rPr>
          <w:rFonts w:asciiTheme="minorHAnsi" w:hAnsiTheme="minorHAnsi"/>
          <w:color w:val="000000" w:themeColor="text1"/>
          <w:sz w:val="20"/>
          <w:szCs w:val="20"/>
        </w:rPr>
        <w:t xml:space="preserve"> potenzia</w:t>
      </w:r>
      <w:r w:rsidR="006E38DC" w:rsidRPr="00E565AE">
        <w:rPr>
          <w:rFonts w:asciiTheme="minorHAnsi" w:hAnsiTheme="minorHAnsi"/>
          <w:color w:val="000000" w:themeColor="text1"/>
          <w:sz w:val="20"/>
          <w:szCs w:val="20"/>
        </w:rPr>
        <w:t>mento</w:t>
      </w:r>
      <w:r w:rsidR="00957885" w:rsidRPr="00E565AE">
        <w:rPr>
          <w:rFonts w:asciiTheme="minorHAnsi" w:hAnsiTheme="minorHAnsi"/>
          <w:color w:val="000000" w:themeColor="text1"/>
          <w:sz w:val="20"/>
          <w:szCs w:val="20"/>
        </w:rPr>
        <w:t xml:space="preserve"> </w:t>
      </w:r>
      <w:r w:rsidR="006E38DC" w:rsidRPr="00E565AE">
        <w:rPr>
          <w:rFonts w:asciiTheme="minorHAnsi" w:hAnsiTheme="minorHAnsi"/>
          <w:color w:val="000000" w:themeColor="text1"/>
          <w:sz w:val="20"/>
          <w:szCs w:val="20"/>
        </w:rPr>
        <w:t>dell</w:t>
      </w:r>
      <w:r w:rsidR="00957885" w:rsidRPr="00E565AE">
        <w:rPr>
          <w:rFonts w:asciiTheme="minorHAnsi" w:hAnsiTheme="minorHAnsi"/>
          <w:color w:val="000000" w:themeColor="text1"/>
          <w:sz w:val="20"/>
          <w:szCs w:val="20"/>
        </w:rPr>
        <w:t>a malattia</w:t>
      </w:r>
      <w:r w:rsidR="00957885" w:rsidRPr="00E565AE">
        <w:rPr>
          <w:rStyle w:val="FootnoteReference"/>
          <w:rFonts w:asciiTheme="minorHAnsi" w:hAnsiTheme="minorHAnsi"/>
          <w:color w:val="000000" w:themeColor="text1"/>
          <w:sz w:val="20"/>
          <w:szCs w:val="20"/>
          <w:vertAlign w:val="baseline"/>
        </w:rPr>
        <w:t xml:space="preserve"> </w:t>
      </w:r>
      <w:r w:rsidR="00D12A4C" w:rsidRPr="00E565AE">
        <w:rPr>
          <w:rStyle w:val="FootnoteReference"/>
          <w:rFonts w:asciiTheme="minorHAnsi" w:hAnsiTheme="minorHAnsi" w:cs="Arial"/>
          <w:color w:val="000000" w:themeColor="text1"/>
          <w:sz w:val="20"/>
          <w:szCs w:val="20"/>
          <w:shd w:val="clear" w:color="auto" w:fill="FFFFFF"/>
          <w:lang w:val="en-US"/>
        </w:rPr>
        <w:footnoteReference w:id="149"/>
      </w:r>
      <w:r w:rsidR="00957885" w:rsidRPr="00E565AE">
        <w:rPr>
          <w:rFonts w:asciiTheme="minorHAnsi" w:hAnsiTheme="minorHAnsi"/>
          <w:color w:val="000000" w:themeColor="text1"/>
          <w:sz w:val="20"/>
          <w:szCs w:val="20"/>
        </w:rPr>
        <w:t xml:space="preserve">, </w:t>
      </w:r>
      <w:r w:rsidR="006E38DC" w:rsidRPr="00E565AE">
        <w:rPr>
          <w:rFonts w:asciiTheme="minorHAnsi" w:hAnsiTheme="minorHAnsi"/>
          <w:color w:val="000000" w:themeColor="text1"/>
          <w:sz w:val="20"/>
          <w:szCs w:val="20"/>
        </w:rPr>
        <w:t>a conferma del fatto che</w:t>
      </w:r>
      <w:r w:rsidR="00957885" w:rsidRPr="00E565AE">
        <w:rPr>
          <w:rFonts w:asciiTheme="minorHAnsi" w:hAnsiTheme="minorHAnsi"/>
          <w:color w:val="000000" w:themeColor="text1"/>
          <w:sz w:val="20"/>
          <w:szCs w:val="20"/>
        </w:rPr>
        <w:t xml:space="preserve"> </w:t>
      </w:r>
      <w:r w:rsidR="00957885" w:rsidRPr="009251A1">
        <w:rPr>
          <w:rFonts w:asciiTheme="minorHAnsi" w:hAnsiTheme="minorHAnsi"/>
          <w:b/>
          <w:bCs/>
          <w:color w:val="000000" w:themeColor="text1"/>
          <w:sz w:val="20"/>
          <w:szCs w:val="20"/>
          <w:shd w:val="clear" w:color="auto" w:fill="FBF9E1"/>
        </w:rPr>
        <w:t>questo meccanismo dipende dal legame del complesso virus-anticorpi al recettore FcR</w:t>
      </w:r>
      <w:r w:rsidR="001E4183" w:rsidRPr="009251A1">
        <w:rPr>
          <w:rFonts w:asciiTheme="minorHAnsi" w:hAnsiTheme="minorHAnsi"/>
          <w:b/>
          <w:bCs/>
          <w:color w:val="000000" w:themeColor="text1"/>
          <w:sz w:val="20"/>
          <w:szCs w:val="20"/>
          <w:shd w:val="clear" w:color="auto" w:fill="FBF9E1"/>
        </w:rPr>
        <w:t>I</w:t>
      </w:r>
      <w:r w:rsidR="00957885" w:rsidRPr="009251A1">
        <w:rPr>
          <w:rFonts w:asciiTheme="minorHAnsi" w:hAnsiTheme="minorHAnsi"/>
          <w:b/>
          <w:bCs/>
          <w:color w:val="000000" w:themeColor="text1"/>
          <w:sz w:val="20"/>
          <w:szCs w:val="20"/>
          <w:shd w:val="clear" w:color="auto" w:fill="FBF9E1"/>
        </w:rPr>
        <w:t xml:space="preserve"> dei macrofagi e non dalla modalità con cui sono preparati i vaccini</w:t>
      </w:r>
      <w:r w:rsidR="00957885" w:rsidRPr="00E565AE">
        <w:rPr>
          <w:rFonts w:asciiTheme="minorHAnsi" w:hAnsiTheme="minorHAnsi"/>
          <w:color w:val="000000" w:themeColor="text1"/>
          <w:sz w:val="20"/>
          <w:szCs w:val="20"/>
        </w:rPr>
        <w:t xml:space="preserve">. </w:t>
      </w:r>
    </w:p>
    <w:p w:rsidR="00ED747A" w:rsidRPr="00E565AE" w:rsidRDefault="00ED747A" w:rsidP="00957885">
      <w:pPr>
        <w:jc w:val="both"/>
        <w:rPr>
          <w:rFonts w:asciiTheme="minorHAnsi" w:hAnsiTheme="minorHAnsi"/>
          <w:color w:val="000000" w:themeColor="text1"/>
          <w:sz w:val="20"/>
          <w:szCs w:val="20"/>
        </w:rPr>
      </w:pPr>
    </w:p>
    <w:p w:rsidR="00E75F47" w:rsidRPr="00E565AE" w:rsidRDefault="00957885" w:rsidP="00766BCF">
      <w:pPr>
        <w:jc w:val="both"/>
        <w:rPr>
          <w:rFonts w:asciiTheme="minorHAnsi" w:hAnsiTheme="minorHAnsi"/>
          <w:color w:val="000000" w:themeColor="text1"/>
          <w:sz w:val="20"/>
          <w:szCs w:val="20"/>
        </w:rPr>
      </w:pPr>
      <w:r w:rsidRPr="00E565AE">
        <w:rPr>
          <w:rFonts w:asciiTheme="minorHAnsi" w:hAnsiTheme="minorHAnsi"/>
          <w:b/>
          <w:bCs/>
          <w:color w:val="000000" w:themeColor="text1"/>
          <w:sz w:val="20"/>
          <w:szCs w:val="20"/>
        </w:rPr>
        <w:t>Gli anticorpi non neutralizzanti matern</w:t>
      </w:r>
      <w:r w:rsidR="00143CE6">
        <w:rPr>
          <w:rFonts w:asciiTheme="minorHAnsi" w:hAnsiTheme="minorHAnsi"/>
          <w:b/>
          <w:bCs/>
          <w:color w:val="000000" w:themeColor="text1"/>
          <w:sz w:val="20"/>
          <w:szCs w:val="20"/>
        </w:rPr>
        <w:t>i</w:t>
      </w:r>
      <w:r w:rsidRPr="00E565AE">
        <w:rPr>
          <w:rFonts w:asciiTheme="minorHAnsi" w:hAnsiTheme="minorHAnsi"/>
          <w:color w:val="000000" w:themeColor="text1"/>
          <w:sz w:val="20"/>
          <w:szCs w:val="20"/>
        </w:rPr>
        <w:t xml:space="preserve"> </w:t>
      </w:r>
      <w:r w:rsidR="00C12BB9" w:rsidRPr="00E565AE">
        <w:rPr>
          <w:rFonts w:asciiTheme="minorHAnsi" w:hAnsiTheme="minorHAnsi"/>
          <w:color w:val="000000" w:themeColor="text1"/>
          <w:sz w:val="20"/>
          <w:szCs w:val="20"/>
        </w:rPr>
        <w:t xml:space="preserve">possono essere sia di </w:t>
      </w:r>
      <w:r w:rsidR="00C12BB9" w:rsidRPr="009251A1">
        <w:rPr>
          <w:rFonts w:asciiTheme="minorHAnsi" w:hAnsiTheme="minorHAnsi"/>
          <w:color w:val="000000" w:themeColor="text1"/>
          <w:sz w:val="20"/>
          <w:szCs w:val="20"/>
          <w:shd w:val="clear" w:color="auto" w:fill="FBF9E1"/>
        </w:rPr>
        <w:t xml:space="preserve">origine naturale </w:t>
      </w:r>
      <w:r w:rsidR="00C12BB9" w:rsidRPr="00E565AE">
        <w:rPr>
          <w:rFonts w:asciiTheme="minorHAnsi" w:hAnsiTheme="minorHAnsi"/>
          <w:color w:val="000000" w:themeColor="text1"/>
          <w:sz w:val="20"/>
          <w:szCs w:val="20"/>
        </w:rPr>
        <w:t>(cioè provenienti da infezion</w:t>
      </w:r>
      <w:r w:rsidR="006E38DC" w:rsidRPr="00E565AE">
        <w:rPr>
          <w:rFonts w:asciiTheme="minorHAnsi" w:hAnsiTheme="minorHAnsi"/>
          <w:color w:val="000000" w:themeColor="text1"/>
          <w:sz w:val="20"/>
          <w:szCs w:val="20"/>
        </w:rPr>
        <w:t>i</w:t>
      </w:r>
      <w:r w:rsidR="00C12BB9" w:rsidRPr="00E565AE">
        <w:rPr>
          <w:rFonts w:asciiTheme="minorHAnsi" w:hAnsiTheme="minorHAnsi"/>
          <w:color w:val="000000" w:themeColor="text1"/>
          <w:sz w:val="20"/>
          <w:szCs w:val="20"/>
        </w:rPr>
        <w:t xml:space="preserve"> contratte in maniera naturale prima della gravidanza dalla madre), che </w:t>
      </w:r>
      <w:r w:rsidR="009E10FF" w:rsidRPr="009251A1">
        <w:rPr>
          <w:rFonts w:asciiTheme="minorHAnsi" w:hAnsiTheme="minorHAnsi"/>
          <w:color w:val="000000" w:themeColor="text1"/>
          <w:sz w:val="20"/>
          <w:szCs w:val="20"/>
          <w:shd w:val="clear" w:color="auto" w:fill="FBF9E1"/>
        </w:rPr>
        <w:t xml:space="preserve">di </w:t>
      </w:r>
      <w:r w:rsidR="00C12BB9" w:rsidRPr="009251A1">
        <w:rPr>
          <w:rFonts w:asciiTheme="minorHAnsi" w:hAnsiTheme="minorHAnsi"/>
          <w:color w:val="000000" w:themeColor="text1"/>
          <w:sz w:val="20"/>
          <w:szCs w:val="20"/>
          <w:shd w:val="clear" w:color="auto" w:fill="FBF9E1"/>
        </w:rPr>
        <w:t>origine vaccinale</w:t>
      </w:r>
      <w:r w:rsidR="00C12BB9" w:rsidRPr="00E565AE">
        <w:rPr>
          <w:rFonts w:asciiTheme="minorHAnsi" w:hAnsiTheme="minorHAnsi"/>
          <w:color w:val="000000" w:themeColor="text1"/>
          <w:sz w:val="20"/>
          <w:szCs w:val="20"/>
        </w:rPr>
        <w:t xml:space="preserve"> se la madre è stata vaccinata in gravidanza</w:t>
      </w:r>
      <w:r w:rsidR="006E38DC" w:rsidRPr="00E565AE">
        <w:rPr>
          <w:rFonts w:asciiTheme="minorHAnsi" w:hAnsiTheme="minorHAnsi"/>
          <w:color w:val="000000" w:themeColor="text1"/>
          <w:sz w:val="20"/>
          <w:szCs w:val="20"/>
        </w:rPr>
        <w:t>,</w:t>
      </w:r>
      <w:r w:rsidR="00C12BB9" w:rsidRPr="00E565AE">
        <w:rPr>
          <w:rFonts w:asciiTheme="minorHAnsi" w:hAnsiTheme="minorHAnsi"/>
          <w:color w:val="000000" w:themeColor="text1"/>
          <w:sz w:val="20"/>
          <w:szCs w:val="20"/>
        </w:rPr>
        <w:t xml:space="preserve"> </w:t>
      </w:r>
      <w:r w:rsidR="001E4183" w:rsidRPr="00E565AE">
        <w:rPr>
          <w:rFonts w:asciiTheme="minorHAnsi" w:hAnsiTheme="minorHAnsi"/>
          <w:color w:val="000000" w:themeColor="text1"/>
          <w:sz w:val="20"/>
          <w:szCs w:val="20"/>
        </w:rPr>
        <w:t xml:space="preserve">e </w:t>
      </w:r>
      <w:r w:rsidRPr="00E565AE">
        <w:rPr>
          <w:rFonts w:asciiTheme="minorHAnsi" w:hAnsiTheme="minorHAnsi"/>
          <w:b/>
          <w:bCs/>
          <w:color w:val="000000" w:themeColor="text1"/>
          <w:sz w:val="20"/>
          <w:szCs w:val="20"/>
        </w:rPr>
        <w:t xml:space="preserve">sono stati implicati nell’ADE </w:t>
      </w:r>
      <w:r w:rsidR="001E4183" w:rsidRPr="00E565AE">
        <w:rPr>
          <w:rFonts w:asciiTheme="minorHAnsi" w:hAnsiTheme="minorHAnsi"/>
          <w:b/>
          <w:bCs/>
          <w:color w:val="000000" w:themeColor="text1"/>
          <w:sz w:val="20"/>
          <w:szCs w:val="20"/>
        </w:rPr>
        <w:t xml:space="preserve">che si verifica nei bambini di età inferiore a 1 anno nati da madri immuni </w:t>
      </w:r>
      <w:r w:rsidR="00AE20C6" w:rsidRPr="00E565AE">
        <w:rPr>
          <w:rFonts w:asciiTheme="minorHAnsi" w:hAnsiTheme="minorHAnsi"/>
          <w:b/>
          <w:bCs/>
          <w:color w:val="000000" w:themeColor="text1"/>
          <w:sz w:val="20"/>
          <w:szCs w:val="20"/>
        </w:rPr>
        <w:t xml:space="preserve">e che sono esposti ad </w:t>
      </w:r>
      <w:r w:rsidR="001E4183" w:rsidRPr="00E565AE">
        <w:rPr>
          <w:rFonts w:asciiTheme="minorHAnsi" w:hAnsiTheme="minorHAnsi"/>
          <w:b/>
          <w:bCs/>
          <w:color w:val="000000" w:themeColor="text1"/>
          <w:sz w:val="20"/>
          <w:szCs w:val="20"/>
        </w:rPr>
        <w:t>infezion</w:t>
      </w:r>
      <w:r w:rsidR="00AE20C6" w:rsidRPr="00E565AE">
        <w:rPr>
          <w:rFonts w:asciiTheme="minorHAnsi" w:hAnsiTheme="minorHAnsi"/>
          <w:b/>
          <w:bCs/>
          <w:color w:val="000000" w:themeColor="text1"/>
          <w:sz w:val="20"/>
          <w:szCs w:val="20"/>
        </w:rPr>
        <w:t>i</w:t>
      </w:r>
      <w:r w:rsidR="001E4183" w:rsidRPr="00E565AE">
        <w:rPr>
          <w:rFonts w:asciiTheme="minorHAnsi" w:hAnsiTheme="minorHAnsi"/>
          <w:b/>
          <w:bCs/>
          <w:color w:val="000000" w:themeColor="text1"/>
          <w:sz w:val="20"/>
          <w:szCs w:val="20"/>
        </w:rPr>
        <w:t xml:space="preserve"> da un secondo sierotipo</w:t>
      </w:r>
      <w:r w:rsidR="001E4183" w:rsidRPr="00E565AE">
        <w:rPr>
          <w:rFonts w:asciiTheme="minorHAnsi" w:hAnsiTheme="minorHAnsi"/>
          <w:color w:val="000000" w:themeColor="text1"/>
          <w:sz w:val="20"/>
          <w:szCs w:val="20"/>
        </w:rPr>
        <w:t>.</w:t>
      </w:r>
      <w:r w:rsidR="00AE20C6" w:rsidRPr="00E565AE">
        <w:rPr>
          <w:rStyle w:val="FootnoteReference"/>
          <w:rFonts w:asciiTheme="minorHAnsi" w:hAnsiTheme="minorHAnsi"/>
          <w:color w:val="000000" w:themeColor="text1"/>
          <w:sz w:val="20"/>
          <w:szCs w:val="20"/>
        </w:rPr>
        <w:footnoteReference w:id="150"/>
      </w:r>
    </w:p>
    <w:p w:rsidR="00193438" w:rsidRPr="00E565AE" w:rsidRDefault="00193438" w:rsidP="00193438">
      <w:pPr>
        <w:rPr>
          <w:rFonts w:asciiTheme="minorHAnsi" w:hAnsiTheme="minorHAnsi"/>
          <w:color w:val="000000" w:themeColor="text1"/>
          <w:sz w:val="20"/>
          <w:szCs w:val="20"/>
        </w:rPr>
      </w:pPr>
    </w:p>
    <w:p w:rsidR="00ED747A" w:rsidRPr="00E565AE" w:rsidRDefault="00ED747A" w:rsidP="009251A1">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autoSpaceDE w:val="0"/>
        <w:autoSpaceDN w:val="0"/>
        <w:adjustRightInd w:val="0"/>
        <w:ind w:left="426" w:right="560"/>
        <w:jc w:val="both"/>
        <w:rPr>
          <w:rFonts w:asciiTheme="minorHAnsi" w:hAnsiTheme="minorHAnsi" w:cstheme="minorHAnsi"/>
          <w:color w:val="000000" w:themeColor="text1"/>
          <w:sz w:val="20"/>
          <w:szCs w:val="20"/>
        </w:rPr>
      </w:pPr>
    </w:p>
    <w:p w:rsidR="00E5713A" w:rsidRPr="00E565AE" w:rsidRDefault="004E0F82" w:rsidP="009251A1">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autoSpaceDE w:val="0"/>
        <w:autoSpaceDN w:val="0"/>
        <w:adjustRightInd w:val="0"/>
        <w:ind w:left="426" w:right="560"/>
        <w:jc w:val="both"/>
        <w:rPr>
          <w:rFonts w:asciiTheme="minorHAnsi" w:hAnsiTheme="minorHAnsi" w:cstheme="minorHAnsi"/>
          <w:color w:val="000000" w:themeColor="text1"/>
          <w:sz w:val="20"/>
          <w:szCs w:val="20"/>
        </w:rPr>
      </w:pPr>
      <w:r w:rsidRPr="00E565AE">
        <w:rPr>
          <w:rFonts w:asciiTheme="minorHAnsi" w:hAnsiTheme="minorHAnsi" w:cstheme="minorHAnsi"/>
          <w:i/>
          <w:iCs/>
          <w:color w:val="000000" w:themeColor="text1"/>
          <w:sz w:val="18"/>
          <w:szCs w:val="18"/>
        </w:rPr>
        <w:t xml:space="preserve">Oltre </w:t>
      </w:r>
      <w:r w:rsidR="009251A1">
        <w:rPr>
          <w:rFonts w:asciiTheme="minorHAnsi" w:hAnsiTheme="minorHAnsi" w:cstheme="minorHAnsi"/>
          <w:i/>
          <w:iCs/>
          <w:color w:val="000000" w:themeColor="text1"/>
          <w:sz w:val="18"/>
          <w:szCs w:val="18"/>
        </w:rPr>
        <w:t>a</w:t>
      </w:r>
      <w:r w:rsidRPr="00E565AE">
        <w:rPr>
          <w:rFonts w:asciiTheme="minorHAnsi" w:hAnsiTheme="minorHAnsi" w:cstheme="minorHAnsi"/>
          <w:i/>
          <w:iCs/>
          <w:color w:val="000000" w:themeColor="text1"/>
          <w:sz w:val="18"/>
          <w:szCs w:val="18"/>
        </w:rPr>
        <w:t xml:space="preserve">i meccanismi sopraesposti riguardo la funzionalità del sistema immunitario del neonato, </w:t>
      </w:r>
      <w:r w:rsidR="00E5713A" w:rsidRPr="00E565AE">
        <w:rPr>
          <w:rFonts w:asciiTheme="minorHAnsi" w:hAnsiTheme="minorHAnsi" w:cstheme="minorHAnsi"/>
          <w:i/>
          <w:iCs/>
          <w:color w:val="000000" w:themeColor="text1"/>
          <w:sz w:val="18"/>
          <w:szCs w:val="18"/>
        </w:rPr>
        <w:t xml:space="preserve">va tenuto presente che le cellule dell’immunità innata e altre cellule non immunitarie sono già in grado di rispondere ad una reinfezione per l’acquisizione di una memoria non specifica definita </w:t>
      </w:r>
      <w:r w:rsidR="00E5713A" w:rsidRPr="009251A1">
        <w:rPr>
          <w:rFonts w:asciiTheme="minorHAnsi" w:hAnsiTheme="minorHAnsi" w:cstheme="minorHAnsi"/>
          <w:b/>
          <w:bCs/>
          <w:i/>
          <w:iCs/>
          <w:color w:val="000000" w:themeColor="text1"/>
          <w:sz w:val="18"/>
          <w:szCs w:val="18"/>
          <w:shd w:val="clear" w:color="auto" w:fill="FBF9E1"/>
        </w:rPr>
        <w:t>trained immunity o memoria dell’immunità innata</w:t>
      </w:r>
      <w:r w:rsidR="00E5713A" w:rsidRPr="00E565AE">
        <w:rPr>
          <w:rFonts w:asciiTheme="minorHAnsi" w:hAnsiTheme="minorHAnsi" w:cstheme="minorHAnsi"/>
          <w:i/>
          <w:iCs/>
          <w:color w:val="000000" w:themeColor="text1"/>
          <w:sz w:val="18"/>
          <w:szCs w:val="18"/>
        </w:rPr>
        <w:t>; le caratteristiche positive della memoria dell’immunità innata includono una maggiore capacità di rispondere alle infezioni secondarie</w:t>
      </w:r>
      <w:r w:rsidR="00E5713A" w:rsidRPr="00E565AE">
        <w:rPr>
          <w:rFonts w:asciiTheme="minorHAnsi" w:hAnsiTheme="minorHAnsi" w:cstheme="minorHAnsi"/>
          <w:color w:val="000000" w:themeColor="text1"/>
          <w:sz w:val="20"/>
          <w:szCs w:val="20"/>
        </w:rPr>
        <w:t>.</w:t>
      </w:r>
    </w:p>
    <w:p w:rsidR="00ED747A" w:rsidRPr="00E565AE" w:rsidRDefault="00ED747A" w:rsidP="009251A1">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autoSpaceDE w:val="0"/>
        <w:autoSpaceDN w:val="0"/>
        <w:adjustRightInd w:val="0"/>
        <w:ind w:left="426" w:right="560"/>
        <w:jc w:val="both"/>
        <w:rPr>
          <w:rFonts w:asciiTheme="minorHAnsi" w:hAnsiTheme="minorHAnsi" w:cstheme="minorHAnsi"/>
          <w:color w:val="000000" w:themeColor="text1"/>
          <w:sz w:val="20"/>
          <w:szCs w:val="20"/>
        </w:rPr>
      </w:pPr>
    </w:p>
    <w:p w:rsidR="00ED747A" w:rsidRPr="00E565AE" w:rsidRDefault="00ED747A" w:rsidP="00901666">
      <w:pPr>
        <w:autoSpaceDE w:val="0"/>
        <w:autoSpaceDN w:val="0"/>
        <w:adjustRightInd w:val="0"/>
        <w:jc w:val="both"/>
        <w:rPr>
          <w:rFonts w:asciiTheme="minorHAnsi" w:hAnsiTheme="minorHAnsi" w:cstheme="minorHAnsi"/>
          <w:color w:val="000000" w:themeColor="text1"/>
          <w:sz w:val="20"/>
          <w:szCs w:val="20"/>
        </w:rPr>
      </w:pPr>
    </w:p>
    <w:p w:rsidR="00ED747A" w:rsidRPr="00E565AE" w:rsidRDefault="00901666" w:rsidP="00901666">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Lo stato di attivazione dell'immunità innata diminuisce rapidamente dopo che l'infezione è stata risolta, però spesso non ritorna ai livelli basali dopo l'infezione, ma rimane potenziata attraverso effetti di riprogrammazione a medio e lungo termine. </w:t>
      </w:r>
    </w:p>
    <w:p w:rsidR="00ED747A" w:rsidRPr="00E565AE" w:rsidRDefault="00ED747A" w:rsidP="00901666">
      <w:pPr>
        <w:jc w:val="both"/>
        <w:rPr>
          <w:rFonts w:asciiTheme="minorHAnsi" w:hAnsiTheme="minorHAnsi" w:cstheme="minorHAnsi"/>
          <w:color w:val="000000" w:themeColor="text1"/>
          <w:sz w:val="20"/>
          <w:szCs w:val="20"/>
        </w:rPr>
      </w:pPr>
    </w:p>
    <w:p w:rsidR="00ED747A" w:rsidRPr="00E565AE" w:rsidRDefault="00901666" w:rsidP="00901666">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La trained immunity può essere considerata l'opposto della tolleranza immunitaria, lo stato in cui l'immunità innata viene soppressa durante e dopo infezioni gravi come la sepsi.</w:t>
      </w:r>
      <w:r w:rsidR="007A2147" w:rsidRPr="00E565AE">
        <w:rPr>
          <w:rFonts w:asciiTheme="minorHAnsi" w:hAnsiTheme="minorHAnsi" w:cstheme="minorHAnsi"/>
          <w:color w:val="000000" w:themeColor="text1"/>
          <w:sz w:val="20"/>
          <w:szCs w:val="20"/>
        </w:rPr>
        <w:t xml:space="preserve"> </w:t>
      </w:r>
    </w:p>
    <w:p w:rsidR="00E5713A" w:rsidRPr="00E565AE" w:rsidRDefault="007A2147" w:rsidP="009251A1">
      <w:pPr>
        <w:shd w:val="clear" w:color="auto" w:fill="FBF9E1"/>
        <w:jc w:val="both"/>
        <w:rPr>
          <w:rFonts w:asciiTheme="minorHAnsi" w:hAnsiTheme="minorHAnsi" w:cstheme="minorHAnsi"/>
          <w:color w:val="000000" w:themeColor="text1"/>
          <w:sz w:val="20"/>
          <w:szCs w:val="20"/>
        </w:rPr>
      </w:pPr>
      <w:r w:rsidRPr="00E565AE">
        <w:rPr>
          <w:rFonts w:asciiTheme="minorHAnsi" w:hAnsiTheme="minorHAnsi" w:cstheme="minorHAnsi"/>
          <w:b/>
          <w:bCs/>
          <w:color w:val="000000" w:themeColor="text1"/>
          <w:sz w:val="20"/>
          <w:szCs w:val="20"/>
        </w:rPr>
        <w:t>Un effetto deleterio della trained immunity è la permanenza di uno stato iperinfiammatorio cronico e il rischio di autoimmunità</w:t>
      </w:r>
      <w:r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b/>
          <w:bCs/>
          <w:color w:val="000000" w:themeColor="text1"/>
          <w:sz w:val="20"/>
          <w:szCs w:val="20"/>
        </w:rPr>
        <w:t>mentre quello della tolleranza immunitaria è un aumento del rischio di complicazioni da malattie infettive</w:t>
      </w:r>
      <w:r w:rsidRPr="00E565AE">
        <w:rPr>
          <w:rFonts w:asciiTheme="minorHAnsi" w:hAnsiTheme="minorHAnsi" w:cstheme="minorHAnsi"/>
          <w:color w:val="000000" w:themeColor="text1"/>
          <w:sz w:val="20"/>
          <w:szCs w:val="20"/>
        </w:rPr>
        <w:t xml:space="preserve">.  </w:t>
      </w:r>
      <w:r w:rsidR="00E5713A" w:rsidRPr="00E565AE">
        <w:rPr>
          <w:rStyle w:val="FootnoteReference"/>
          <w:rFonts w:asciiTheme="minorHAnsi" w:hAnsiTheme="minorHAnsi" w:cstheme="minorHAnsi"/>
          <w:color w:val="000000" w:themeColor="text1"/>
          <w:sz w:val="20"/>
          <w:szCs w:val="20"/>
        </w:rPr>
        <w:footnoteReference w:id="151"/>
      </w:r>
    </w:p>
    <w:p w:rsidR="004E0F82" w:rsidRDefault="00052B2A" w:rsidP="00B80B1B">
      <w:pPr>
        <w:autoSpaceDE w:val="0"/>
        <w:autoSpaceDN w:val="0"/>
        <w:adjustRightInd w:val="0"/>
        <w:jc w:val="center"/>
        <w:rPr>
          <w:rFonts w:asciiTheme="minorHAnsi" w:hAnsiTheme="minorHAnsi" w:cstheme="minorHAnsi"/>
          <w:color w:val="000000" w:themeColor="text1"/>
        </w:rPr>
      </w:pPr>
      <w:r w:rsidRPr="00E565AE">
        <w:rPr>
          <w:rFonts w:asciiTheme="minorHAnsi" w:hAnsiTheme="minorHAnsi" w:cstheme="minorHAnsi"/>
          <w:noProof/>
          <w:color w:val="000000" w:themeColor="text1"/>
        </w:rPr>
        <w:lastRenderedPageBreak/>
        <w:drawing>
          <wp:inline distT="0" distB="0" distL="0" distR="0">
            <wp:extent cx="3069772" cy="2676808"/>
            <wp:effectExtent l="0" t="0" r="3810" b="3175"/>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hermata 2020-06-05 alle 20.27.54.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095707" cy="2699423"/>
                    </a:xfrm>
                    <a:prstGeom prst="rect">
                      <a:avLst/>
                    </a:prstGeom>
                  </pic:spPr>
                </pic:pic>
              </a:graphicData>
            </a:graphic>
          </wp:inline>
        </w:drawing>
      </w:r>
    </w:p>
    <w:p w:rsidR="009251A1" w:rsidRPr="00E565AE" w:rsidRDefault="009251A1" w:rsidP="00B80B1B">
      <w:pPr>
        <w:autoSpaceDE w:val="0"/>
        <w:autoSpaceDN w:val="0"/>
        <w:adjustRightInd w:val="0"/>
        <w:jc w:val="center"/>
        <w:rPr>
          <w:rFonts w:asciiTheme="minorHAnsi" w:hAnsiTheme="minorHAnsi" w:cstheme="minorHAnsi"/>
          <w:color w:val="000000" w:themeColor="text1"/>
        </w:rPr>
      </w:pPr>
    </w:p>
    <w:p w:rsidR="004E0F82" w:rsidRPr="009251A1" w:rsidRDefault="004E0F82" w:rsidP="009251A1">
      <w:pPr>
        <w:shd w:val="clear" w:color="auto" w:fill="F2F2F2" w:themeFill="background1" w:themeFillShade="F2"/>
        <w:rPr>
          <w:rFonts w:asciiTheme="minorHAnsi" w:hAnsiTheme="minorHAnsi"/>
          <w:color w:val="000000" w:themeColor="text1"/>
          <w:sz w:val="18"/>
          <w:szCs w:val="18"/>
        </w:rPr>
      </w:pPr>
      <w:r w:rsidRPr="009251A1">
        <w:rPr>
          <w:rFonts w:asciiTheme="minorHAnsi" w:hAnsiTheme="minorHAnsi" w:cstheme="minorHAnsi"/>
          <w:color w:val="000000" w:themeColor="text1"/>
          <w:sz w:val="18"/>
          <w:szCs w:val="18"/>
        </w:rPr>
        <w:t xml:space="preserve">Tratta da </w:t>
      </w:r>
      <w:hyperlink r:id="rId140" w:history="1">
        <w:r w:rsidRPr="009251A1">
          <w:rPr>
            <w:rStyle w:val="Hyperlink"/>
            <w:rFonts w:asciiTheme="minorHAnsi" w:hAnsiTheme="minorHAnsi"/>
            <w:color w:val="000000" w:themeColor="text1"/>
            <w:sz w:val="18"/>
            <w:szCs w:val="18"/>
            <w:u w:val="none"/>
          </w:rPr>
          <w:t>https://www.ncbi.nlm.nih.gov/pmc/articles/PMC7186935/</w:t>
        </w:r>
      </w:hyperlink>
    </w:p>
    <w:p w:rsidR="004E0F82" w:rsidRPr="009251A1" w:rsidRDefault="004E0F82" w:rsidP="009251A1">
      <w:pPr>
        <w:shd w:val="clear" w:color="auto" w:fill="F2F2F2" w:themeFill="background1" w:themeFillShade="F2"/>
        <w:autoSpaceDE w:val="0"/>
        <w:autoSpaceDN w:val="0"/>
        <w:adjustRightInd w:val="0"/>
        <w:jc w:val="both"/>
        <w:rPr>
          <w:rFonts w:asciiTheme="minorHAnsi" w:hAnsiTheme="minorHAnsi" w:cstheme="minorHAnsi"/>
          <w:b/>
          <w:color w:val="000000" w:themeColor="text1"/>
          <w:sz w:val="18"/>
          <w:szCs w:val="18"/>
        </w:rPr>
      </w:pPr>
      <w:r w:rsidRPr="009251A1">
        <w:rPr>
          <w:rFonts w:asciiTheme="minorHAnsi" w:hAnsiTheme="minorHAnsi" w:cstheme="minorHAnsi"/>
          <w:b/>
          <w:color w:val="000000" w:themeColor="text1"/>
          <w:sz w:val="18"/>
          <w:szCs w:val="18"/>
        </w:rPr>
        <w:t>memoria dell’immunità innata e tolleranza: due programmi funzionali opposti di immunità innata.</w:t>
      </w:r>
    </w:p>
    <w:p w:rsidR="004E0F82" w:rsidRPr="009251A1" w:rsidRDefault="004E0F82" w:rsidP="009251A1">
      <w:pPr>
        <w:shd w:val="clear" w:color="auto" w:fill="F2F2F2" w:themeFill="background1" w:themeFillShade="F2"/>
        <w:autoSpaceDE w:val="0"/>
        <w:autoSpaceDN w:val="0"/>
        <w:adjustRightInd w:val="0"/>
        <w:jc w:val="both"/>
        <w:rPr>
          <w:rFonts w:asciiTheme="minorHAnsi" w:hAnsiTheme="minorHAnsi" w:cstheme="minorHAnsi"/>
          <w:color w:val="000000" w:themeColor="text1"/>
          <w:sz w:val="18"/>
          <w:szCs w:val="18"/>
        </w:rPr>
      </w:pPr>
      <w:r w:rsidRPr="009251A1">
        <w:rPr>
          <w:rFonts w:asciiTheme="minorHAnsi" w:hAnsiTheme="minorHAnsi" w:cstheme="minorHAnsi"/>
          <w:color w:val="000000" w:themeColor="text1"/>
          <w:sz w:val="18"/>
          <w:szCs w:val="18"/>
        </w:rPr>
        <w:t xml:space="preserve">Infezioni o fattori scatenanti </w:t>
      </w:r>
      <w:r w:rsidR="009527BF" w:rsidRPr="009251A1">
        <w:rPr>
          <w:rFonts w:asciiTheme="minorHAnsi" w:hAnsiTheme="minorHAnsi" w:cstheme="minorHAnsi"/>
          <w:color w:val="000000" w:themeColor="text1"/>
          <w:sz w:val="18"/>
          <w:szCs w:val="18"/>
        </w:rPr>
        <w:t xml:space="preserve">sterili nei </w:t>
      </w:r>
      <w:r w:rsidRPr="009251A1">
        <w:rPr>
          <w:rFonts w:asciiTheme="minorHAnsi" w:hAnsiTheme="minorHAnsi" w:cstheme="minorHAnsi"/>
          <w:color w:val="000000" w:themeColor="text1"/>
          <w:sz w:val="18"/>
          <w:szCs w:val="18"/>
        </w:rPr>
        <w:t>tessut</w:t>
      </w:r>
      <w:r w:rsidR="009527BF" w:rsidRPr="009251A1">
        <w:rPr>
          <w:rFonts w:asciiTheme="minorHAnsi" w:hAnsiTheme="minorHAnsi" w:cstheme="minorHAnsi"/>
          <w:color w:val="000000" w:themeColor="text1"/>
          <w:sz w:val="18"/>
          <w:szCs w:val="18"/>
        </w:rPr>
        <w:t>i</w:t>
      </w:r>
      <w:r w:rsidRPr="009251A1">
        <w:rPr>
          <w:rFonts w:asciiTheme="minorHAnsi" w:hAnsiTheme="minorHAnsi" w:cstheme="minorHAnsi"/>
          <w:color w:val="000000" w:themeColor="text1"/>
          <w:sz w:val="18"/>
          <w:szCs w:val="18"/>
        </w:rPr>
        <w:t xml:space="preserve"> inducono infiammazione e l'attivazione dei meccanismi del sistema immunitario. In concomitanza con una risposta proinfiammatoria, vengono </w:t>
      </w:r>
      <w:r w:rsidR="00052B2A" w:rsidRPr="009251A1">
        <w:rPr>
          <w:rFonts w:asciiTheme="minorHAnsi" w:hAnsiTheme="minorHAnsi" w:cstheme="minorHAnsi"/>
          <w:color w:val="000000" w:themeColor="text1"/>
          <w:sz w:val="18"/>
          <w:szCs w:val="18"/>
        </w:rPr>
        <w:t xml:space="preserve">indotti </w:t>
      </w:r>
      <w:r w:rsidRPr="009251A1">
        <w:rPr>
          <w:rFonts w:asciiTheme="minorHAnsi" w:hAnsiTheme="minorHAnsi" w:cstheme="minorHAnsi"/>
          <w:color w:val="000000" w:themeColor="text1"/>
          <w:sz w:val="18"/>
          <w:szCs w:val="18"/>
        </w:rPr>
        <w:t xml:space="preserve">meccanismi antinfiammatori per prevenire il </w:t>
      </w:r>
      <w:r w:rsidR="009527BF" w:rsidRPr="009251A1">
        <w:rPr>
          <w:rFonts w:asciiTheme="minorHAnsi" w:hAnsiTheme="minorHAnsi" w:cstheme="minorHAnsi"/>
          <w:color w:val="000000" w:themeColor="text1"/>
          <w:sz w:val="18"/>
          <w:szCs w:val="18"/>
        </w:rPr>
        <w:t>potenziamento</w:t>
      </w:r>
      <w:r w:rsidRPr="009251A1">
        <w:rPr>
          <w:rFonts w:asciiTheme="minorHAnsi" w:hAnsiTheme="minorHAnsi" w:cstheme="minorHAnsi"/>
          <w:color w:val="000000" w:themeColor="text1"/>
          <w:sz w:val="18"/>
          <w:szCs w:val="18"/>
        </w:rPr>
        <w:t xml:space="preserve"> dell'infiammazione e il danno ai tessuti e per limitare la risposta infiammatoria nel tempo. L</w:t>
      </w:r>
      <w:r w:rsidR="009527BF" w:rsidRPr="009251A1">
        <w:rPr>
          <w:rFonts w:asciiTheme="minorHAnsi" w:hAnsiTheme="minorHAnsi" w:cstheme="minorHAnsi"/>
          <w:color w:val="000000" w:themeColor="text1"/>
          <w:sz w:val="18"/>
          <w:szCs w:val="18"/>
        </w:rPr>
        <w:t xml:space="preserve">a training immunity </w:t>
      </w:r>
      <w:r w:rsidRPr="009251A1">
        <w:rPr>
          <w:rFonts w:asciiTheme="minorHAnsi" w:hAnsiTheme="minorHAnsi" w:cstheme="minorHAnsi"/>
          <w:color w:val="000000" w:themeColor="text1"/>
          <w:sz w:val="18"/>
          <w:szCs w:val="18"/>
        </w:rPr>
        <w:t xml:space="preserve">comporta una riprogrammazione epigenetica e metabolica delle cellule immunitarie innate, consentendo risposte </w:t>
      </w:r>
      <w:r w:rsidR="009527BF" w:rsidRPr="009251A1">
        <w:rPr>
          <w:rFonts w:asciiTheme="minorHAnsi" w:hAnsiTheme="minorHAnsi" w:cstheme="minorHAnsi"/>
          <w:color w:val="000000" w:themeColor="text1"/>
          <w:sz w:val="18"/>
          <w:szCs w:val="18"/>
        </w:rPr>
        <w:t xml:space="preserve">delle cellule immunitarie innate </w:t>
      </w:r>
      <w:r w:rsidRPr="009251A1">
        <w:rPr>
          <w:rFonts w:asciiTheme="minorHAnsi" w:hAnsiTheme="minorHAnsi" w:cstheme="minorHAnsi"/>
          <w:color w:val="000000" w:themeColor="text1"/>
          <w:sz w:val="18"/>
          <w:szCs w:val="18"/>
        </w:rPr>
        <w:t xml:space="preserve">adattate qualitativamente e quantitativamente alla successiva stimolazione eterologa. Le risposte errate </w:t>
      </w:r>
      <w:r w:rsidR="009527BF" w:rsidRPr="009251A1">
        <w:rPr>
          <w:rFonts w:asciiTheme="minorHAnsi" w:hAnsiTheme="minorHAnsi" w:cstheme="minorHAnsi"/>
          <w:color w:val="000000" w:themeColor="text1"/>
          <w:sz w:val="18"/>
          <w:szCs w:val="18"/>
        </w:rPr>
        <w:t>alla training immunity</w:t>
      </w:r>
      <w:r w:rsidRPr="009251A1">
        <w:rPr>
          <w:rFonts w:asciiTheme="minorHAnsi" w:hAnsiTheme="minorHAnsi" w:cstheme="minorHAnsi"/>
          <w:color w:val="000000" w:themeColor="text1"/>
          <w:sz w:val="18"/>
          <w:szCs w:val="18"/>
        </w:rPr>
        <w:t xml:space="preserve"> possono contribuire alla progressione della malattia, causando uno stato iperinfiammatorio cronico</w:t>
      </w:r>
      <w:r w:rsidR="00901666" w:rsidRPr="009251A1">
        <w:rPr>
          <w:rFonts w:asciiTheme="minorHAnsi" w:hAnsiTheme="minorHAnsi" w:cstheme="minorHAnsi"/>
          <w:color w:val="000000" w:themeColor="text1"/>
          <w:sz w:val="18"/>
          <w:szCs w:val="18"/>
        </w:rPr>
        <w:t>, in contrapposizione allo</w:t>
      </w:r>
      <w:r w:rsidRPr="009251A1">
        <w:rPr>
          <w:rFonts w:asciiTheme="minorHAnsi" w:hAnsiTheme="minorHAnsi" w:cstheme="minorHAnsi"/>
          <w:color w:val="000000" w:themeColor="text1"/>
          <w:sz w:val="18"/>
          <w:szCs w:val="18"/>
        </w:rPr>
        <w:t xml:space="preserve"> stato persistente di tolleranza immunologica, un meccanismo che smorza la risposta infiammatoria dell'ospite per mantenere l'omeostasi e prevenire danni ai tessuti e insufficienza d'organo, con il conseguente rischio di infezioni secondarie e altre malattie correlate alla ridotta attività del sistema immunitario.</w:t>
      </w:r>
    </w:p>
    <w:p w:rsidR="004E0F82" w:rsidRPr="00E565AE" w:rsidRDefault="004E0F82" w:rsidP="004E0F82">
      <w:pPr>
        <w:autoSpaceDE w:val="0"/>
        <w:autoSpaceDN w:val="0"/>
        <w:adjustRightInd w:val="0"/>
        <w:jc w:val="both"/>
        <w:rPr>
          <w:rFonts w:asciiTheme="minorHAnsi" w:hAnsiTheme="minorHAnsi" w:cstheme="minorHAnsi"/>
          <w:color w:val="000000" w:themeColor="text1"/>
          <w:sz w:val="22"/>
          <w:szCs w:val="22"/>
        </w:rPr>
      </w:pPr>
    </w:p>
    <w:p w:rsidR="00292C07" w:rsidRPr="00E565AE" w:rsidRDefault="00E5713A" w:rsidP="00E5713A">
      <w:pPr>
        <w:jc w:val="both"/>
        <w:rPr>
          <w:rFonts w:asciiTheme="minorHAnsi" w:hAnsiTheme="minorHAnsi" w:cstheme="minorHAnsi"/>
          <w:color w:val="000000" w:themeColor="text1"/>
          <w:sz w:val="20"/>
          <w:szCs w:val="20"/>
        </w:rPr>
      </w:pPr>
      <w:r w:rsidRPr="00E565AE">
        <w:rPr>
          <w:rFonts w:asciiTheme="minorHAnsi" w:hAnsiTheme="minorHAnsi" w:cstheme="minorHAnsi"/>
          <w:b/>
          <w:bCs/>
          <w:color w:val="000000" w:themeColor="text1"/>
          <w:sz w:val="20"/>
          <w:szCs w:val="20"/>
        </w:rPr>
        <w:t>Man mano che il bambino cresce, anche il repertorio immunitario è modellato da infezioni intercorrenti e vaccinazioni</w:t>
      </w:r>
      <w:r w:rsidRPr="00E565AE">
        <w:rPr>
          <w:rFonts w:asciiTheme="minorHAnsi" w:hAnsiTheme="minorHAnsi" w:cstheme="minorHAnsi"/>
          <w:color w:val="000000" w:themeColor="text1"/>
          <w:sz w:val="20"/>
          <w:szCs w:val="20"/>
        </w:rPr>
        <w:t xml:space="preserve">. </w:t>
      </w:r>
    </w:p>
    <w:p w:rsidR="00292C07" w:rsidRPr="00E565AE" w:rsidRDefault="00292C07" w:rsidP="00E5713A">
      <w:pPr>
        <w:jc w:val="both"/>
        <w:rPr>
          <w:rFonts w:asciiTheme="minorHAnsi" w:hAnsiTheme="minorHAnsi" w:cstheme="minorHAnsi"/>
          <w:color w:val="000000" w:themeColor="text1"/>
          <w:sz w:val="20"/>
          <w:szCs w:val="20"/>
        </w:rPr>
      </w:pPr>
    </w:p>
    <w:p w:rsidR="00292C07" w:rsidRPr="00E565AE" w:rsidRDefault="00E5713A"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Le infezioni patogene possono essere sintomatiche, </w:t>
      </w:r>
      <w:r w:rsidR="00506A29" w:rsidRPr="00E565AE">
        <w:rPr>
          <w:rFonts w:asciiTheme="minorHAnsi" w:hAnsiTheme="minorHAnsi" w:cstheme="minorHAnsi"/>
          <w:color w:val="000000" w:themeColor="text1"/>
          <w:sz w:val="20"/>
          <w:szCs w:val="20"/>
        </w:rPr>
        <w:t>però</w:t>
      </w:r>
      <w:r w:rsidRPr="00E565AE">
        <w:rPr>
          <w:rFonts w:asciiTheme="minorHAnsi" w:hAnsiTheme="minorHAnsi" w:cstheme="minorHAnsi"/>
          <w:color w:val="000000" w:themeColor="text1"/>
          <w:sz w:val="20"/>
          <w:szCs w:val="20"/>
        </w:rPr>
        <w:t xml:space="preserve"> per molti virus, come l'influenza, l'infezione può essere subclinica, ma comunque sufficiente per stimolare o aumentare le risposte immunitarie. </w:t>
      </w:r>
    </w:p>
    <w:p w:rsidR="00292C07" w:rsidRPr="00E565AE" w:rsidRDefault="00E5713A"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In generale, la protezione offerta dalla risposta immunitaria, sia dagli anticorpi che dalle cellule T, è molto potente. </w:t>
      </w:r>
    </w:p>
    <w:p w:rsidR="009251A1" w:rsidRDefault="009251A1" w:rsidP="009251A1">
      <w:pPr>
        <w:jc w:val="both"/>
        <w:rPr>
          <w:rFonts w:asciiTheme="minorHAnsi" w:hAnsiTheme="minorHAnsi" w:cstheme="minorHAnsi"/>
          <w:b/>
          <w:bCs/>
          <w:color w:val="000000" w:themeColor="text1"/>
          <w:sz w:val="20"/>
          <w:szCs w:val="20"/>
        </w:rPr>
      </w:pPr>
    </w:p>
    <w:p w:rsidR="009251A1" w:rsidRDefault="009251A1" w:rsidP="009251A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b/>
          <w:bCs/>
          <w:color w:val="000000" w:themeColor="text1"/>
          <w:sz w:val="20"/>
          <w:szCs w:val="20"/>
        </w:rPr>
      </w:pPr>
    </w:p>
    <w:p w:rsidR="00E5713A" w:rsidRPr="009251A1" w:rsidRDefault="00E5713A" w:rsidP="009251A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i/>
          <w:iCs/>
          <w:color w:val="000000" w:themeColor="text1"/>
          <w:sz w:val="20"/>
          <w:szCs w:val="20"/>
        </w:rPr>
      </w:pPr>
      <w:r w:rsidRPr="009251A1">
        <w:rPr>
          <w:rFonts w:asciiTheme="minorHAnsi" w:hAnsiTheme="minorHAnsi" w:cstheme="minorHAnsi"/>
          <w:b/>
          <w:bCs/>
          <w:i/>
          <w:iCs/>
          <w:color w:val="000000" w:themeColor="text1"/>
          <w:sz w:val="20"/>
          <w:szCs w:val="20"/>
        </w:rPr>
        <w:t>La maggior parte delle infezioni infantili si verificano solo una volta e la protezione è permanente</w:t>
      </w:r>
      <w:r w:rsidRPr="009251A1">
        <w:rPr>
          <w:rFonts w:asciiTheme="minorHAnsi" w:hAnsiTheme="minorHAnsi" w:cstheme="minorHAnsi"/>
          <w:i/>
          <w:iCs/>
          <w:color w:val="000000" w:themeColor="text1"/>
          <w:sz w:val="20"/>
          <w:szCs w:val="20"/>
        </w:rPr>
        <w:t xml:space="preserve">. </w:t>
      </w:r>
    </w:p>
    <w:p w:rsidR="009251A1" w:rsidRPr="009251A1" w:rsidRDefault="009251A1" w:rsidP="009251A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i/>
          <w:iCs/>
          <w:color w:val="000000" w:themeColor="text1"/>
          <w:sz w:val="20"/>
          <w:szCs w:val="20"/>
        </w:rPr>
      </w:pPr>
    </w:p>
    <w:p w:rsidR="00292C07" w:rsidRPr="009251A1" w:rsidRDefault="00E5713A" w:rsidP="009251A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i/>
          <w:iCs/>
          <w:color w:val="000000" w:themeColor="text1"/>
          <w:sz w:val="20"/>
          <w:szCs w:val="20"/>
        </w:rPr>
      </w:pPr>
      <w:r w:rsidRPr="009251A1">
        <w:rPr>
          <w:rFonts w:asciiTheme="minorHAnsi" w:hAnsiTheme="minorHAnsi" w:cstheme="minorHAnsi"/>
          <w:i/>
          <w:iCs/>
          <w:color w:val="000000" w:themeColor="text1"/>
          <w:sz w:val="20"/>
          <w:szCs w:val="20"/>
        </w:rPr>
        <w:t xml:space="preserve">È </w:t>
      </w:r>
      <w:r w:rsidR="00506A29" w:rsidRPr="009251A1">
        <w:rPr>
          <w:rFonts w:asciiTheme="minorHAnsi" w:hAnsiTheme="minorHAnsi" w:cstheme="minorHAnsi"/>
          <w:i/>
          <w:iCs/>
          <w:color w:val="000000" w:themeColor="text1"/>
          <w:sz w:val="20"/>
          <w:szCs w:val="20"/>
        </w:rPr>
        <w:t xml:space="preserve">interessante </w:t>
      </w:r>
      <w:r w:rsidRPr="009251A1">
        <w:rPr>
          <w:rFonts w:asciiTheme="minorHAnsi" w:hAnsiTheme="minorHAnsi" w:cstheme="minorHAnsi"/>
          <w:i/>
          <w:iCs/>
          <w:color w:val="000000" w:themeColor="text1"/>
          <w:sz w:val="20"/>
          <w:szCs w:val="20"/>
        </w:rPr>
        <w:t xml:space="preserve">notare che una madre è in grado di trasferire sufficienti anticorpi per proteggere il suo bambino quando è stata infettata </w:t>
      </w:r>
      <w:r w:rsidR="00506A29" w:rsidRPr="009251A1">
        <w:rPr>
          <w:rFonts w:asciiTheme="minorHAnsi" w:hAnsiTheme="minorHAnsi" w:cstheme="minorHAnsi"/>
          <w:i/>
          <w:iCs/>
          <w:color w:val="000000" w:themeColor="text1"/>
          <w:sz w:val="20"/>
          <w:szCs w:val="20"/>
        </w:rPr>
        <w:t xml:space="preserve">anche </w:t>
      </w:r>
      <w:r w:rsidRPr="009251A1">
        <w:rPr>
          <w:rFonts w:asciiTheme="minorHAnsi" w:hAnsiTheme="minorHAnsi" w:cstheme="minorHAnsi"/>
          <w:b/>
          <w:bCs/>
          <w:i/>
          <w:iCs/>
          <w:color w:val="000000" w:themeColor="text1"/>
          <w:sz w:val="20"/>
          <w:szCs w:val="20"/>
        </w:rPr>
        <w:t>20-30 anni prima</w:t>
      </w:r>
      <w:r w:rsidRPr="009251A1">
        <w:rPr>
          <w:rFonts w:asciiTheme="minorHAnsi" w:hAnsiTheme="minorHAnsi" w:cstheme="minorHAnsi"/>
          <w:i/>
          <w:iCs/>
          <w:color w:val="000000" w:themeColor="text1"/>
          <w:sz w:val="20"/>
          <w:szCs w:val="20"/>
        </w:rPr>
        <w:t xml:space="preserve">. </w:t>
      </w:r>
    </w:p>
    <w:p w:rsidR="009251A1" w:rsidRPr="00E565AE" w:rsidRDefault="009251A1" w:rsidP="009251A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color w:val="000000" w:themeColor="text1"/>
          <w:sz w:val="20"/>
          <w:szCs w:val="20"/>
        </w:rPr>
      </w:pPr>
    </w:p>
    <w:p w:rsidR="00292C07" w:rsidRPr="00E565AE" w:rsidRDefault="00E5713A"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 xml:space="preserve">La trasmissione della protezione anticorpale protettiva da una madre al figlio è estremamente importante, soprattutto in ambienti in cui il 15% o più </w:t>
      </w:r>
      <w:r w:rsidR="00506A29" w:rsidRPr="00E565AE">
        <w:rPr>
          <w:rFonts w:asciiTheme="minorHAnsi" w:hAnsiTheme="minorHAnsi" w:cstheme="minorHAnsi"/>
          <w:color w:val="000000" w:themeColor="text1"/>
          <w:sz w:val="20"/>
          <w:szCs w:val="20"/>
        </w:rPr>
        <w:t xml:space="preserve">dei </w:t>
      </w:r>
      <w:r w:rsidRPr="00E565AE">
        <w:rPr>
          <w:rFonts w:asciiTheme="minorHAnsi" w:hAnsiTheme="minorHAnsi" w:cstheme="minorHAnsi"/>
          <w:color w:val="000000" w:themeColor="text1"/>
          <w:sz w:val="20"/>
          <w:szCs w:val="20"/>
        </w:rPr>
        <w:t xml:space="preserve">neonati e bambini muoiono per infezione. </w:t>
      </w:r>
      <w:r w:rsidRPr="00E565AE">
        <w:rPr>
          <w:rStyle w:val="FootnoteReference"/>
          <w:rFonts w:asciiTheme="minorHAnsi" w:hAnsiTheme="minorHAnsi" w:cstheme="minorHAnsi"/>
          <w:color w:val="000000" w:themeColor="text1"/>
          <w:sz w:val="20"/>
          <w:szCs w:val="20"/>
        </w:rPr>
        <w:footnoteReference w:id="152"/>
      </w:r>
      <w:r w:rsidRPr="00E565AE">
        <w:rPr>
          <w:rFonts w:asciiTheme="minorHAnsi" w:hAnsiTheme="minorHAnsi" w:cstheme="minorHAnsi"/>
          <w:color w:val="000000" w:themeColor="text1"/>
          <w:sz w:val="20"/>
          <w:szCs w:val="20"/>
        </w:rPr>
        <w:t xml:space="preserve"> </w:t>
      </w:r>
    </w:p>
    <w:p w:rsidR="00E5713A" w:rsidRPr="00E565AE" w:rsidRDefault="00E5713A"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Paradossalmente, </w:t>
      </w:r>
      <w:r w:rsidRPr="00E565AE">
        <w:rPr>
          <w:rFonts w:asciiTheme="minorHAnsi" w:hAnsiTheme="minorHAnsi" w:cstheme="minorHAnsi"/>
          <w:b/>
          <w:bCs/>
          <w:color w:val="000000" w:themeColor="text1"/>
          <w:sz w:val="20"/>
          <w:szCs w:val="20"/>
        </w:rPr>
        <w:t>una madre che ha evitato una pericolosa infezione infantile può effettivamente mettere a rischio il figlio non essendo in grado di trasferire specifici anticorpi protettivi</w:t>
      </w:r>
      <w:r w:rsidRPr="00E565AE">
        <w:rPr>
          <w:rFonts w:asciiTheme="minorHAnsi" w:hAnsiTheme="minorHAnsi" w:cstheme="minorHAnsi"/>
          <w:color w:val="000000" w:themeColor="text1"/>
          <w:sz w:val="20"/>
          <w:szCs w:val="20"/>
        </w:rPr>
        <w:t>.</w:t>
      </w:r>
    </w:p>
    <w:p w:rsidR="0043404A" w:rsidRPr="00E565AE" w:rsidRDefault="0043404A" w:rsidP="00E5713A">
      <w:pPr>
        <w:jc w:val="both"/>
        <w:rPr>
          <w:rFonts w:asciiTheme="minorHAnsi" w:hAnsiTheme="minorHAnsi" w:cstheme="minorHAnsi"/>
          <w:color w:val="000000" w:themeColor="text1"/>
          <w:sz w:val="20"/>
          <w:szCs w:val="20"/>
        </w:rPr>
      </w:pPr>
    </w:p>
    <w:p w:rsidR="00292C07" w:rsidRPr="009251A1" w:rsidRDefault="00292C07" w:rsidP="009251A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560"/>
        <w:jc w:val="both"/>
        <w:rPr>
          <w:rFonts w:asciiTheme="minorHAnsi" w:hAnsiTheme="minorHAnsi" w:cstheme="minorHAnsi"/>
          <w:color w:val="000000" w:themeColor="text1"/>
          <w:sz w:val="20"/>
          <w:szCs w:val="20"/>
        </w:rPr>
      </w:pPr>
    </w:p>
    <w:p w:rsidR="00244FCD" w:rsidRPr="009251A1" w:rsidRDefault="00506A29" w:rsidP="009251A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560"/>
        <w:jc w:val="both"/>
        <w:rPr>
          <w:rFonts w:asciiTheme="minorHAnsi" w:hAnsiTheme="minorHAnsi" w:cstheme="minorHAnsi"/>
          <w:i/>
          <w:iCs/>
          <w:color w:val="000000" w:themeColor="text1"/>
          <w:sz w:val="20"/>
          <w:szCs w:val="20"/>
        </w:rPr>
      </w:pPr>
      <w:r w:rsidRPr="009251A1">
        <w:rPr>
          <w:rFonts w:asciiTheme="minorHAnsi" w:hAnsiTheme="minorHAnsi" w:cstheme="minorHAnsi"/>
          <w:b/>
          <w:bCs/>
          <w:i/>
          <w:iCs/>
          <w:color w:val="000000" w:themeColor="text1"/>
          <w:sz w:val="20"/>
          <w:szCs w:val="20"/>
        </w:rPr>
        <w:t>Le vaccinazioni di massa hanno</w:t>
      </w:r>
      <w:r w:rsidRPr="009251A1">
        <w:rPr>
          <w:rFonts w:asciiTheme="minorHAnsi" w:hAnsiTheme="minorHAnsi" w:cstheme="minorHAnsi"/>
          <w:i/>
          <w:iCs/>
          <w:color w:val="000000" w:themeColor="text1"/>
          <w:sz w:val="20"/>
          <w:szCs w:val="20"/>
        </w:rPr>
        <w:t xml:space="preserve"> </w:t>
      </w:r>
      <w:r w:rsidRPr="009251A1">
        <w:rPr>
          <w:rFonts w:asciiTheme="minorHAnsi" w:hAnsiTheme="minorHAnsi" w:cstheme="minorHAnsi"/>
          <w:b/>
          <w:bCs/>
          <w:i/>
          <w:iCs/>
          <w:color w:val="000000" w:themeColor="text1"/>
          <w:sz w:val="20"/>
          <w:szCs w:val="20"/>
        </w:rPr>
        <w:t>notevolmente ridotto la trasmissione di anticorpi protettivi</w:t>
      </w:r>
      <w:r w:rsidRPr="009251A1">
        <w:rPr>
          <w:rFonts w:asciiTheme="minorHAnsi" w:hAnsiTheme="minorHAnsi" w:cstheme="minorHAnsi"/>
          <w:i/>
          <w:iCs/>
          <w:color w:val="000000" w:themeColor="text1"/>
          <w:sz w:val="20"/>
          <w:szCs w:val="20"/>
        </w:rPr>
        <w:t xml:space="preserve"> e hanno creato una </w:t>
      </w:r>
      <w:r w:rsidRPr="009251A1">
        <w:rPr>
          <w:rFonts w:asciiTheme="minorHAnsi" w:hAnsiTheme="minorHAnsi" w:cstheme="minorHAnsi"/>
          <w:b/>
          <w:bCs/>
          <w:i/>
          <w:iCs/>
          <w:color w:val="000000" w:themeColor="text1"/>
          <w:sz w:val="20"/>
          <w:szCs w:val="20"/>
        </w:rPr>
        <w:t>finestra di vulnerabilità molto più ampia nei neonati</w:t>
      </w:r>
      <w:r w:rsidR="0043404A" w:rsidRPr="009251A1">
        <w:rPr>
          <w:rFonts w:asciiTheme="minorHAnsi" w:hAnsiTheme="minorHAnsi" w:cstheme="minorHAnsi"/>
          <w:i/>
          <w:iCs/>
          <w:color w:val="000000" w:themeColor="text1"/>
          <w:sz w:val="20"/>
          <w:szCs w:val="20"/>
        </w:rPr>
        <w:t>; tale fenomeno innaturale</w:t>
      </w:r>
      <w:r w:rsidR="00244FCD" w:rsidRPr="009251A1">
        <w:rPr>
          <w:rFonts w:asciiTheme="minorHAnsi" w:hAnsiTheme="minorHAnsi" w:cstheme="minorHAnsi"/>
          <w:i/>
          <w:iCs/>
          <w:color w:val="000000" w:themeColor="text1"/>
          <w:sz w:val="20"/>
          <w:szCs w:val="20"/>
        </w:rPr>
        <w:t>, creato dall’uomo,</w:t>
      </w:r>
      <w:r w:rsidR="0043404A" w:rsidRPr="009251A1">
        <w:rPr>
          <w:rFonts w:asciiTheme="minorHAnsi" w:hAnsiTheme="minorHAnsi" w:cstheme="minorHAnsi"/>
          <w:i/>
          <w:iCs/>
          <w:color w:val="000000" w:themeColor="text1"/>
          <w:sz w:val="20"/>
          <w:szCs w:val="20"/>
        </w:rPr>
        <w:t xml:space="preserve"> </w:t>
      </w:r>
      <w:r w:rsidRPr="009251A1">
        <w:rPr>
          <w:rFonts w:asciiTheme="minorHAnsi" w:hAnsiTheme="minorHAnsi" w:cstheme="minorHAnsi"/>
          <w:i/>
          <w:iCs/>
          <w:color w:val="000000" w:themeColor="text1"/>
          <w:sz w:val="20"/>
          <w:szCs w:val="20"/>
        </w:rPr>
        <w:t>può essere considerat</w:t>
      </w:r>
      <w:r w:rsidR="0043404A" w:rsidRPr="009251A1">
        <w:rPr>
          <w:rFonts w:asciiTheme="minorHAnsi" w:hAnsiTheme="minorHAnsi" w:cstheme="minorHAnsi"/>
          <w:i/>
          <w:iCs/>
          <w:color w:val="000000" w:themeColor="text1"/>
          <w:sz w:val="20"/>
          <w:szCs w:val="20"/>
        </w:rPr>
        <w:t>o</w:t>
      </w:r>
      <w:r w:rsidRPr="009251A1">
        <w:rPr>
          <w:rFonts w:asciiTheme="minorHAnsi" w:hAnsiTheme="minorHAnsi" w:cstheme="minorHAnsi"/>
          <w:i/>
          <w:iCs/>
          <w:color w:val="000000" w:themeColor="text1"/>
          <w:sz w:val="20"/>
          <w:szCs w:val="20"/>
        </w:rPr>
        <w:t xml:space="preserve"> di fatto una </w:t>
      </w:r>
      <w:r w:rsidRPr="009251A1">
        <w:rPr>
          <w:rFonts w:asciiTheme="minorHAnsi" w:hAnsiTheme="minorHAnsi" w:cstheme="minorHAnsi"/>
          <w:i/>
          <w:iCs/>
          <w:color w:val="000000" w:themeColor="text1"/>
          <w:sz w:val="20"/>
          <w:szCs w:val="20"/>
          <w:u w:val="single"/>
        </w:rPr>
        <w:t>reazione avversa da vaccino</w:t>
      </w:r>
      <w:r w:rsidR="00244FCD" w:rsidRPr="009251A1">
        <w:rPr>
          <w:rFonts w:asciiTheme="minorHAnsi" w:hAnsiTheme="minorHAnsi" w:cstheme="minorHAnsi"/>
          <w:i/>
          <w:iCs/>
          <w:color w:val="000000" w:themeColor="text1"/>
          <w:sz w:val="20"/>
          <w:szCs w:val="20"/>
          <w:u w:val="single"/>
        </w:rPr>
        <w:t xml:space="preserve"> molto grave</w:t>
      </w:r>
      <w:r w:rsidR="00244FCD" w:rsidRPr="009251A1">
        <w:rPr>
          <w:rFonts w:asciiTheme="minorHAnsi" w:hAnsiTheme="minorHAnsi" w:cstheme="minorHAnsi"/>
          <w:i/>
          <w:iCs/>
          <w:color w:val="000000" w:themeColor="text1"/>
          <w:sz w:val="20"/>
          <w:szCs w:val="20"/>
        </w:rPr>
        <w:t>, le cui conseguenze nei paesi industrializzati possono essere mi</w:t>
      </w:r>
      <w:r w:rsidR="00ED10D4">
        <w:rPr>
          <w:rFonts w:asciiTheme="minorHAnsi" w:hAnsiTheme="minorHAnsi" w:cstheme="minorHAnsi"/>
          <w:i/>
          <w:iCs/>
          <w:color w:val="000000" w:themeColor="text1"/>
          <w:sz w:val="20"/>
          <w:szCs w:val="20"/>
        </w:rPr>
        <w:t>tigate</w:t>
      </w:r>
      <w:r w:rsidR="00244FCD" w:rsidRPr="009251A1">
        <w:rPr>
          <w:rFonts w:asciiTheme="minorHAnsi" w:hAnsiTheme="minorHAnsi" w:cstheme="minorHAnsi"/>
          <w:i/>
          <w:iCs/>
          <w:color w:val="000000" w:themeColor="text1"/>
          <w:sz w:val="20"/>
          <w:szCs w:val="20"/>
        </w:rPr>
        <w:t xml:space="preserve"> dal fatto che le malattie infettive sono un fattore di rischio trascurabile rispetto ad altre patologie</w:t>
      </w:r>
      <w:r w:rsidR="0073690A" w:rsidRPr="009251A1">
        <w:rPr>
          <w:rFonts w:asciiTheme="minorHAnsi" w:hAnsiTheme="minorHAnsi" w:cstheme="minorHAnsi"/>
          <w:i/>
          <w:iCs/>
          <w:color w:val="000000" w:themeColor="text1"/>
          <w:sz w:val="20"/>
          <w:szCs w:val="20"/>
        </w:rPr>
        <w:t>,</w:t>
      </w:r>
      <w:r w:rsidR="00244FCD" w:rsidRPr="009251A1">
        <w:rPr>
          <w:rFonts w:asciiTheme="minorHAnsi" w:hAnsiTheme="minorHAnsi" w:cstheme="minorHAnsi"/>
          <w:i/>
          <w:iCs/>
          <w:color w:val="000000" w:themeColor="text1"/>
          <w:sz w:val="20"/>
          <w:szCs w:val="20"/>
        </w:rPr>
        <w:t xml:space="preserve"> ma possono avere un impatto di grande rilievo nei paesi in via di sviluppo in cui invece la mortalità infantile per malattie infettive è ancora molto alta.</w:t>
      </w:r>
      <w:r w:rsidRPr="009251A1">
        <w:rPr>
          <w:rFonts w:asciiTheme="minorHAnsi" w:hAnsiTheme="minorHAnsi" w:cstheme="minorHAnsi"/>
          <w:i/>
          <w:iCs/>
          <w:color w:val="000000" w:themeColor="text1"/>
          <w:sz w:val="20"/>
          <w:szCs w:val="20"/>
        </w:rPr>
        <w:t xml:space="preserve"> </w:t>
      </w:r>
      <w:r w:rsidR="00674B49" w:rsidRPr="009251A1">
        <w:rPr>
          <w:rStyle w:val="FootnoteReference"/>
          <w:rFonts w:asciiTheme="minorHAnsi" w:hAnsiTheme="minorHAnsi" w:cstheme="minorHAnsi"/>
          <w:i/>
          <w:iCs/>
          <w:color w:val="000000" w:themeColor="text1"/>
          <w:sz w:val="20"/>
          <w:szCs w:val="20"/>
        </w:rPr>
        <w:footnoteReference w:id="153"/>
      </w:r>
    </w:p>
    <w:p w:rsidR="00292C07" w:rsidRPr="009251A1" w:rsidRDefault="00292C07" w:rsidP="009251A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560"/>
        <w:jc w:val="both"/>
        <w:rPr>
          <w:rFonts w:asciiTheme="minorHAnsi" w:hAnsiTheme="minorHAnsi" w:cstheme="minorHAnsi"/>
          <w:color w:val="000000" w:themeColor="text1"/>
          <w:sz w:val="20"/>
          <w:szCs w:val="20"/>
        </w:rPr>
      </w:pPr>
    </w:p>
    <w:p w:rsidR="007A2147" w:rsidRPr="00E565AE" w:rsidRDefault="007A2147" w:rsidP="00E5713A">
      <w:pPr>
        <w:jc w:val="both"/>
        <w:rPr>
          <w:rFonts w:asciiTheme="minorHAnsi" w:hAnsiTheme="minorHAnsi" w:cstheme="minorHAnsi"/>
          <w:color w:val="000000" w:themeColor="text1"/>
          <w:sz w:val="20"/>
          <w:szCs w:val="20"/>
        </w:rPr>
      </w:pPr>
    </w:p>
    <w:p w:rsidR="00B1652C" w:rsidRPr="00E565AE" w:rsidRDefault="0043404A" w:rsidP="00B1652C">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Sulla base di questa evidenza</w:t>
      </w:r>
      <w:r w:rsidR="0073690A" w:rsidRPr="00E565AE">
        <w:rPr>
          <w:rFonts w:asciiTheme="minorHAnsi" w:hAnsiTheme="minorHAnsi" w:cstheme="minorHAnsi"/>
          <w:color w:val="000000" w:themeColor="text1"/>
          <w:sz w:val="20"/>
          <w:szCs w:val="20"/>
        </w:rPr>
        <w:t xml:space="preserve">, cioè che le madri non forniscono più un’adeguata protezione nei primi mesi di vita del neonato attraverso la trasmissione materno-fetale di anticorpi, </w:t>
      </w:r>
      <w:r w:rsidRPr="00E565AE">
        <w:rPr>
          <w:rFonts w:asciiTheme="minorHAnsi" w:hAnsiTheme="minorHAnsi" w:cstheme="minorHAnsi"/>
          <w:color w:val="000000" w:themeColor="text1"/>
          <w:sz w:val="20"/>
          <w:szCs w:val="20"/>
        </w:rPr>
        <w:t xml:space="preserve">sono state introdotte </w:t>
      </w:r>
      <w:r w:rsidR="00506A29" w:rsidRPr="00E565AE">
        <w:rPr>
          <w:rFonts w:asciiTheme="minorHAnsi" w:hAnsiTheme="minorHAnsi" w:cstheme="minorHAnsi"/>
          <w:color w:val="000000" w:themeColor="text1"/>
          <w:sz w:val="20"/>
          <w:szCs w:val="20"/>
        </w:rPr>
        <w:t xml:space="preserve">le </w:t>
      </w:r>
      <w:r w:rsidR="00506A29" w:rsidRPr="00E565AE">
        <w:rPr>
          <w:rFonts w:asciiTheme="minorHAnsi" w:hAnsiTheme="minorHAnsi" w:cstheme="minorHAnsi"/>
          <w:b/>
          <w:bCs/>
          <w:color w:val="000000" w:themeColor="text1"/>
          <w:sz w:val="20"/>
          <w:szCs w:val="20"/>
        </w:rPr>
        <w:t xml:space="preserve">vaccinazioni in gravidanza </w:t>
      </w:r>
      <w:r w:rsidR="00506A29" w:rsidRPr="00E565AE">
        <w:rPr>
          <w:rFonts w:asciiTheme="minorHAnsi" w:hAnsiTheme="minorHAnsi" w:cstheme="minorHAnsi"/>
          <w:color w:val="000000" w:themeColor="text1"/>
          <w:sz w:val="20"/>
          <w:szCs w:val="20"/>
        </w:rPr>
        <w:t>partendo dall’assunto,</w:t>
      </w:r>
      <w:r w:rsidR="00FE07BF" w:rsidRPr="00E565AE">
        <w:rPr>
          <w:rFonts w:asciiTheme="minorHAnsi" w:hAnsiTheme="minorHAnsi" w:cstheme="minorHAnsi"/>
          <w:color w:val="000000" w:themeColor="text1"/>
          <w:sz w:val="20"/>
          <w:szCs w:val="20"/>
        </w:rPr>
        <w:t xml:space="preserve"> </w:t>
      </w:r>
      <w:r w:rsidR="00506A29" w:rsidRPr="00E565AE">
        <w:rPr>
          <w:rFonts w:asciiTheme="minorHAnsi" w:hAnsiTheme="minorHAnsi" w:cstheme="minorHAnsi"/>
          <w:color w:val="000000" w:themeColor="text1"/>
          <w:sz w:val="20"/>
          <w:szCs w:val="20"/>
        </w:rPr>
        <w:t>non vero</w:t>
      </w:r>
      <w:r w:rsidR="00FE07BF" w:rsidRPr="00E565AE">
        <w:rPr>
          <w:rFonts w:asciiTheme="minorHAnsi" w:hAnsiTheme="minorHAnsi" w:cstheme="minorHAnsi"/>
          <w:color w:val="000000" w:themeColor="text1"/>
          <w:sz w:val="20"/>
          <w:szCs w:val="20"/>
        </w:rPr>
        <w:t xml:space="preserve"> da quanto si è discusso finora</w:t>
      </w:r>
      <w:r w:rsidR="00506A29" w:rsidRPr="00E565AE">
        <w:rPr>
          <w:rFonts w:asciiTheme="minorHAnsi" w:hAnsiTheme="minorHAnsi" w:cstheme="minorHAnsi"/>
          <w:color w:val="000000" w:themeColor="text1"/>
          <w:sz w:val="20"/>
          <w:szCs w:val="20"/>
        </w:rPr>
        <w:t xml:space="preserve">, che gli anticorpi </w:t>
      </w:r>
      <w:r w:rsidR="00F85086" w:rsidRPr="00E565AE">
        <w:rPr>
          <w:rFonts w:asciiTheme="minorHAnsi" w:hAnsiTheme="minorHAnsi" w:cstheme="minorHAnsi"/>
          <w:color w:val="000000" w:themeColor="text1"/>
          <w:sz w:val="20"/>
          <w:szCs w:val="20"/>
        </w:rPr>
        <w:t xml:space="preserve">vaccinali </w:t>
      </w:r>
      <w:r w:rsidR="0073690A" w:rsidRPr="00E565AE">
        <w:rPr>
          <w:rFonts w:asciiTheme="minorHAnsi" w:hAnsiTheme="minorHAnsi" w:cstheme="minorHAnsi"/>
          <w:color w:val="000000" w:themeColor="text1"/>
          <w:sz w:val="20"/>
          <w:szCs w:val="20"/>
        </w:rPr>
        <w:t xml:space="preserve">trasmessi </w:t>
      </w:r>
      <w:r w:rsidR="00F85086" w:rsidRPr="00E565AE">
        <w:rPr>
          <w:rFonts w:asciiTheme="minorHAnsi" w:hAnsiTheme="minorHAnsi" w:cstheme="minorHAnsi"/>
          <w:color w:val="000000" w:themeColor="text1"/>
          <w:sz w:val="20"/>
          <w:szCs w:val="20"/>
        </w:rPr>
        <w:t xml:space="preserve">dalla madre </w:t>
      </w:r>
      <w:r w:rsidR="00506A29" w:rsidRPr="00E565AE">
        <w:rPr>
          <w:rFonts w:asciiTheme="minorHAnsi" w:hAnsiTheme="minorHAnsi" w:cstheme="minorHAnsi"/>
          <w:color w:val="000000" w:themeColor="text1"/>
          <w:sz w:val="20"/>
          <w:szCs w:val="20"/>
        </w:rPr>
        <w:t>siano protettivi per il neonato</w:t>
      </w:r>
      <w:r w:rsidRPr="00E565AE">
        <w:rPr>
          <w:rFonts w:asciiTheme="minorHAnsi" w:hAnsiTheme="minorHAnsi" w:cstheme="minorHAnsi"/>
          <w:color w:val="000000" w:themeColor="text1"/>
          <w:sz w:val="20"/>
          <w:szCs w:val="20"/>
        </w:rPr>
        <w:t xml:space="preserve"> e che la vaccinazione riduca il rischio </w:t>
      </w:r>
      <w:r w:rsidR="00244FCD" w:rsidRPr="00E565AE">
        <w:rPr>
          <w:rFonts w:asciiTheme="minorHAnsi" w:hAnsiTheme="minorHAnsi" w:cstheme="minorHAnsi"/>
          <w:color w:val="000000" w:themeColor="text1"/>
          <w:sz w:val="20"/>
          <w:szCs w:val="20"/>
        </w:rPr>
        <w:t xml:space="preserve">nella madre </w:t>
      </w:r>
      <w:r w:rsidRPr="00E565AE">
        <w:rPr>
          <w:rFonts w:asciiTheme="minorHAnsi" w:hAnsiTheme="minorHAnsi" w:cstheme="minorHAnsi"/>
          <w:color w:val="000000" w:themeColor="text1"/>
          <w:sz w:val="20"/>
          <w:szCs w:val="20"/>
        </w:rPr>
        <w:t>di contrarre la malattia.</w:t>
      </w:r>
      <w:r w:rsidR="00B1652C" w:rsidRPr="00E565AE">
        <w:rPr>
          <w:rFonts w:asciiTheme="minorHAnsi" w:hAnsiTheme="minorHAnsi" w:cstheme="minorHAnsi"/>
          <w:color w:val="000000" w:themeColor="text1"/>
          <w:sz w:val="20"/>
          <w:szCs w:val="20"/>
        </w:rPr>
        <w:t xml:space="preserve"> </w:t>
      </w:r>
    </w:p>
    <w:p w:rsidR="00B1652C" w:rsidRPr="00E565AE" w:rsidRDefault="00B1652C" w:rsidP="00B1652C">
      <w:pPr>
        <w:jc w:val="both"/>
        <w:rPr>
          <w:rFonts w:asciiTheme="minorHAnsi" w:hAnsiTheme="minorHAnsi"/>
          <w:color w:val="000000" w:themeColor="text1"/>
          <w:sz w:val="20"/>
          <w:szCs w:val="20"/>
        </w:rPr>
      </w:pPr>
    </w:p>
    <w:p w:rsidR="00F85086" w:rsidRDefault="00F85086" w:rsidP="00B1652C">
      <w:pPr>
        <w:jc w:val="both"/>
        <w:rPr>
          <w:rFonts w:asciiTheme="minorHAnsi" w:hAnsiTheme="minorHAnsi"/>
          <w:color w:val="000000" w:themeColor="text1"/>
          <w:sz w:val="20"/>
          <w:szCs w:val="20"/>
        </w:rPr>
      </w:pPr>
      <w:r w:rsidRPr="00E565AE">
        <w:rPr>
          <w:rFonts w:asciiTheme="minorHAnsi" w:hAnsiTheme="minorHAnsi"/>
          <w:color w:val="000000" w:themeColor="text1"/>
          <w:sz w:val="20"/>
          <w:szCs w:val="20"/>
        </w:rPr>
        <w:t xml:space="preserve">Nella figura seguente è riportata una descrizione delle malattie infettive che possono causare complicazioni nella madre, nel feto o nel neonato e gli obiettivi teorici e le tempistiche delle vaccinazioni </w:t>
      </w:r>
    </w:p>
    <w:p w:rsidR="00ED10D4" w:rsidRPr="00E565AE" w:rsidRDefault="00ED10D4" w:rsidP="00B1652C">
      <w:pPr>
        <w:jc w:val="both"/>
        <w:rPr>
          <w:rFonts w:asciiTheme="minorHAnsi" w:hAnsiTheme="minorHAnsi"/>
          <w:color w:val="000000" w:themeColor="text1"/>
          <w:sz w:val="20"/>
          <w:szCs w:val="20"/>
        </w:rPr>
      </w:pPr>
    </w:p>
    <w:p w:rsidR="002B23AB" w:rsidRPr="00E565AE" w:rsidRDefault="002B23AB" w:rsidP="00813A20">
      <w:pPr>
        <w:jc w:val="center"/>
        <w:rPr>
          <w:rFonts w:asciiTheme="minorHAnsi" w:hAnsiTheme="minorHAnsi"/>
          <w:color w:val="000000" w:themeColor="text1"/>
        </w:rPr>
      </w:pPr>
      <w:r w:rsidRPr="00E565AE">
        <w:rPr>
          <w:rFonts w:asciiTheme="minorHAnsi" w:hAnsiTheme="minorHAnsi"/>
          <w:color w:val="000000" w:themeColor="text1"/>
        </w:rPr>
        <w:fldChar w:fldCharType="begin"/>
      </w:r>
      <w:r w:rsidRPr="00E565AE">
        <w:rPr>
          <w:rFonts w:asciiTheme="minorHAnsi" w:hAnsiTheme="minorHAnsi"/>
          <w:color w:val="000000" w:themeColor="text1"/>
        </w:rPr>
        <w:instrText xml:space="preserve"> INCLUDEPICTURE "https://media.springernature.com/full/springer-static/image/art%3A10.1038%2Fs41541-017-0042-4/MediaObjects/41541_2017_42_Fig1_HTML.jpg" \* MERGEFORMATINET </w:instrText>
      </w:r>
      <w:r w:rsidRPr="00E565AE">
        <w:rPr>
          <w:rFonts w:asciiTheme="minorHAnsi" w:hAnsiTheme="minorHAnsi"/>
          <w:color w:val="000000" w:themeColor="text1"/>
        </w:rPr>
        <w:fldChar w:fldCharType="separate"/>
      </w:r>
      <w:r w:rsidRPr="00E565AE">
        <w:rPr>
          <w:rFonts w:asciiTheme="minorHAnsi" w:hAnsiTheme="minorHAnsi"/>
          <w:noProof/>
          <w:color w:val="000000" w:themeColor="text1"/>
        </w:rPr>
        <w:drawing>
          <wp:inline distT="0" distB="0" distL="0" distR="0">
            <wp:extent cx="5800093" cy="2938585"/>
            <wp:effectExtent l="0" t="0" r="3810" b="0"/>
            <wp:docPr id="5" name="Immagine 5"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66278" cy="3022782"/>
                    </a:xfrm>
                    <a:prstGeom prst="rect">
                      <a:avLst/>
                    </a:prstGeom>
                    <a:noFill/>
                    <a:ln>
                      <a:noFill/>
                    </a:ln>
                  </pic:spPr>
                </pic:pic>
              </a:graphicData>
            </a:graphic>
          </wp:inline>
        </w:drawing>
      </w:r>
      <w:r w:rsidRPr="00E565AE">
        <w:rPr>
          <w:rFonts w:asciiTheme="minorHAnsi" w:hAnsiTheme="minorHAnsi"/>
          <w:color w:val="000000" w:themeColor="text1"/>
        </w:rPr>
        <w:fldChar w:fldCharType="end"/>
      </w:r>
    </w:p>
    <w:p w:rsidR="002B23AB" w:rsidRPr="00ED10D4" w:rsidRDefault="002B23AB" w:rsidP="00ED10D4">
      <w:pPr>
        <w:shd w:val="clear" w:color="auto" w:fill="F2F2F2" w:themeFill="background1" w:themeFillShade="F2"/>
        <w:rPr>
          <w:rFonts w:asciiTheme="minorHAnsi" w:hAnsiTheme="minorHAnsi"/>
          <w:color w:val="000000" w:themeColor="text1"/>
          <w:sz w:val="18"/>
          <w:szCs w:val="18"/>
        </w:rPr>
      </w:pPr>
      <w:r w:rsidRPr="00ED10D4">
        <w:rPr>
          <w:rFonts w:asciiTheme="minorHAnsi" w:hAnsiTheme="minorHAnsi" w:cstheme="minorHAnsi"/>
          <w:color w:val="000000" w:themeColor="text1"/>
          <w:sz w:val="18"/>
          <w:szCs w:val="18"/>
        </w:rPr>
        <w:lastRenderedPageBreak/>
        <w:t xml:space="preserve">Tratta da </w:t>
      </w:r>
      <w:hyperlink r:id="rId142" w:history="1">
        <w:r w:rsidRPr="00ED10D4">
          <w:rPr>
            <w:rStyle w:val="Hyperlink"/>
            <w:rFonts w:asciiTheme="minorHAnsi" w:eastAsiaTheme="majorEastAsia" w:hAnsiTheme="minorHAnsi"/>
            <w:color w:val="000000" w:themeColor="text1"/>
            <w:sz w:val="18"/>
            <w:szCs w:val="18"/>
            <w:u w:val="none"/>
          </w:rPr>
          <w:t>https://www.nature.com/articles/s41541-017-0042-4/figures/1</w:t>
        </w:r>
      </w:hyperlink>
      <w:r w:rsidRPr="00ED10D4">
        <w:rPr>
          <w:rFonts w:asciiTheme="minorHAnsi" w:hAnsiTheme="minorHAnsi"/>
          <w:color w:val="000000" w:themeColor="text1"/>
          <w:sz w:val="18"/>
          <w:szCs w:val="18"/>
        </w:rPr>
        <w:t xml:space="preserve"> </w:t>
      </w:r>
      <w:r w:rsidRPr="00ED10D4">
        <w:rPr>
          <w:rStyle w:val="FootnoteReference"/>
          <w:rFonts w:asciiTheme="minorHAnsi" w:hAnsiTheme="minorHAnsi"/>
          <w:color w:val="000000" w:themeColor="text1"/>
          <w:sz w:val="18"/>
          <w:szCs w:val="18"/>
        </w:rPr>
        <w:footnoteReference w:id="154"/>
      </w:r>
    </w:p>
    <w:p w:rsidR="00FE07BF" w:rsidRPr="00ED10D4" w:rsidRDefault="002B23AB" w:rsidP="00ED10D4">
      <w:pPr>
        <w:shd w:val="clear" w:color="auto" w:fill="F2F2F2" w:themeFill="background1" w:themeFillShade="F2"/>
        <w:jc w:val="both"/>
        <w:rPr>
          <w:rFonts w:asciiTheme="minorHAnsi" w:hAnsiTheme="minorHAnsi" w:cstheme="minorHAnsi"/>
          <w:color w:val="000000" w:themeColor="text1"/>
          <w:sz w:val="18"/>
          <w:szCs w:val="18"/>
        </w:rPr>
      </w:pPr>
      <w:r w:rsidRPr="00ED10D4">
        <w:rPr>
          <w:rFonts w:asciiTheme="minorHAnsi" w:hAnsiTheme="minorHAnsi" w:cstheme="minorHAnsi"/>
          <w:b/>
          <w:color w:val="000000" w:themeColor="text1"/>
          <w:sz w:val="18"/>
          <w:szCs w:val="18"/>
        </w:rPr>
        <w:t>Microbi infettivi che causano complicazioni materne, congenite o postnatali.</w:t>
      </w:r>
      <w:r w:rsidRPr="00ED10D4">
        <w:rPr>
          <w:rFonts w:asciiTheme="minorHAnsi" w:hAnsiTheme="minorHAnsi" w:cstheme="minorHAnsi"/>
          <w:color w:val="000000" w:themeColor="text1"/>
          <w:sz w:val="18"/>
          <w:szCs w:val="18"/>
        </w:rPr>
        <w:t xml:space="preserve"> I microbi infettivi sono classificati in base al meccanismo di trasmissione e della malattia, e della popolazione a maggior rischio di esiti gravi durante o dopo la gravidanza. L'infezione da alcuni patogeni (ad es. Coronavirus SARS, virus dell'epatite E e virus Ebola) durante la gravidanza causa malattie </w:t>
      </w:r>
      <w:r w:rsidR="007A2147" w:rsidRPr="00ED10D4">
        <w:rPr>
          <w:rFonts w:asciiTheme="minorHAnsi" w:hAnsiTheme="minorHAnsi" w:cstheme="minorHAnsi"/>
          <w:color w:val="000000" w:themeColor="text1"/>
          <w:sz w:val="18"/>
          <w:szCs w:val="18"/>
        </w:rPr>
        <w:t xml:space="preserve">gravi </w:t>
      </w:r>
      <w:r w:rsidRPr="00ED10D4">
        <w:rPr>
          <w:rFonts w:asciiTheme="minorHAnsi" w:hAnsiTheme="minorHAnsi" w:cstheme="minorHAnsi"/>
          <w:color w:val="000000" w:themeColor="text1"/>
          <w:sz w:val="18"/>
          <w:szCs w:val="18"/>
        </w:rPr>
        <w:t xml:space="preserve">nelle donne incinta, ma non viene trasmessa alla prole. Altri microbi infettivi (ad es. Toxoplasma gondii, virus della rosolia, parvovirus B19, citomegalovirus e virus Zika) infettano e causano malattie lievi o asintomatiche nelle donne in gravidanza, ma possono essere trasmessi verticalmente al feto e causare complicanze congenite. Un'altra categoria di microbi (ad es. Bordetella pertussis, Clostridium tetani e virus respiratorio sinciziale) rappresenta il rischio maggiore per i neonati dopo la nascita. Molti microbi infettivi (ad es. Listeria monocytogenes, Plasmodium spp., HIV, VZV, virus influenzali, Chlamydia trachomatis, GBS, Treponema pallidum e herpes virus) possono causare sindromi sovrapposte a seconda del momento dell'infezione durante la gravidanza. </w:t>
      </w:r>
    </w:p>
    <w:p w:rsidR="00F97E0C" w:rsidRPr="00E565AE" w:rsidRDefault="00F97E0C" w:rsidP="004231D6">
      <w:pPr>
        <w:jc w:val="both"/>
        <w:rPr>
          <w:rFonts w:asciiTheme="minorHAnsi" w:hAnsiTheme="minorHAnsi" w:cstheme="minorHAnsi"/>
          <w:color w:val="000000" w:themeColor="text1"/>
          <w:sz w:val="22"/>
          <w:szCs w:val="22"/>
        </w:rPr>
      </w:pPr>
    </w:p>
    <w:p w:rsidR="00292C07" w:rsidRPr="00E565AE" w:rsidRDefault="004231D6" w:rsidP="004231D6">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In gravidanza al momento dell'impianto, una risposta infiammatoria locale crea il sito placentare stabile. </w:t>
      </w:r>
    </w:p>
    <w:p w:rsidR="00E547CE" w:rsidRPr="00E565AE" w:rsidRDefault="00E547CE" w:rsidP="009E5073">
      <w:pPr>
        <w:ind w:left="426" w:right="560"/>
        <w:jc w:val="both"/>
        <w:rPr>
          <w:rFonts w:asciiTheme="minorHAnsi" w:hAnsiTheme="minorHAnsi" w:cstheme="minorHAnsi"/>
          <w:i/>
          <w:iCs/>
          <w:color w:val="000000" w:themeColor="text1"/>
          <w:sz w:val="18"/>
          <w:szCs w:val="18"/>
        </w:rPr>
      </w:pPr>
    </w:p>
    <w:p w:rsidR="009E5073" w:rsidRPr="00ED10D4" w:rsidRDefault="009E5073" w:rsidP="00ED10D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426" w:right="843"/>
        <w:jc w:val="both"/>
        <w:rPr>
          <w:rFonts w:asciiTheme="minorHAnsi" w:hAnsiTheme="minorHAnsi" w:cstheme="minorHAnsi"/>
          <w:i/>
          <w:iCs/>
          <w:color w:val="000000" w:themeColor="text1"/>
          <w:sz w:val="20"/>
          <w:szCs w:val="20"/>
        </w:rPr>
      </w:pPr>
    </w:p>
    <w:p w:rsidR="00292C07" w:rsidRPr="00ED10D4" w:rsidRDefault="004231D6" w:rsidP="00ED10D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426" w:right="843"/>
        <w:jc w:val="both"/>
        <w:rPr>
          <w:rFonts w:asciiTheme="minorHAnsi" w:hAnsiTheme="minorHAnsi" w:cstheme="minorHAnsi"/>
          <w:i/>
          <w:iCs/>
          <w:color w:val="000000" w:themeColor="text1"/>
          <w:sz w:val="20"/>
          <w:szCs w:val="20"/>
        </w:rPr>
      </w:pPr>
      <w:r w:rsidRPr="00ED10D4">
        <w:rPr>
          <w:rFonts w:asciiTheme="minorHAnsi" w:hAnsiTheme="minorHAnsi" w:cstheme="minorHAnsi"/>
          <w:i/>
          <w:iCs/>
          <w:color w:val="000000" w:themeColor="text1"/>
          <w:sz w:val="20"/>
          <w:szCs w:val="20"/>
        </w:rPr>
        <w:t>Gli stati immunologici materni poi si adattano e cambiano attivamente con la crescita e lo sviluppo del feto in diverse fasi gestazionali:</w:t>
      </w:r>
    </w:p>
    <w:p w:rsidR="00292C07" w:rsidRPr="00ED10D4" w:rsidRDefault="00292C07" w:rsidP="00ED10D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426" w:right="843"/>
        <w:jc w:val="both"/>
        <w:rPr>
          <w:rFonts w:asciiTheme="minorHAnsi" w:hAnsiTheme="minorHAnsi" w:cstheme="minorHAnsi"/>
          <w:i/>
          <w:iCs/>
          <w:color w:val="000000" w:themeColor="text1"/>
          <w:sz w:val="20"/>
          <w:szCs w:val="20"/>
        </w:rPr>
      </w:pPr>
    </w:p>
    <w:p w:rsidR="00292C07" w:rsidRDefault="004231D6" w:rsidP="00ED10D4">
      <w:pPr>
        <w:pStyle w:val="ListParagraph"/>
        <w:numPr>
          <w:ilvl w:val="0"/>
          <w:numId w:val="22"/>
        </w:num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right="843" w:hanging="252"/>
        <w:jc w:val="both"/>
        <w:rPr>
          <w:rFonts w:asciiTheme="minorHAnsi" w:hAnsiTheme="minorHAnsi" w:cstheme="minorHAnsi"/>
          <w:b/>
          <w:bCs/>
          <w:i/>
          <w:iCs/>
          <w:color w:val="000000" w:themeColor="text1"/>
          <w:sz w:val="20"/>
          <w:szCs w:val="20"/>
        </w:rPr>
      </w:pPr>
      <w:r w:rsidRPr="00ED10D4">
        <w:rPr>
          <w:rFonts w:asciiTheme="minorHAnsi" w:hAnsiTheme="minorHAnsi" w:cstheme="minorHAnsi"/>
          <w:b/>
          <w:bCs/>
          <w:i/>
          <w:iCs/>
          <w:color w:val="000000" w:themeColor="text1"/>
          <w:sz w:val="20"/>
          <w:szCs w:val="20"/>
        </w:rPr>
        <w:t xml:space="preserve">da uno stato pro-infiammatorio </w:t>
      </w:r>
      <w:r w:rsidRPr="00ED10D4">
        <w:rPr>
          <w:rFonts w:asciiTheme="minorHAnsi" w:hAnsiTheme="minorHAnsi" w:cstheme="minorHAnsi"/>
          <w:i/>
          <w:iCs/>
          <w:color w:val="000000" w:themeColor="text1"/>
          <w:sz w:val="20"/>
          <w:szCs w:val="20"/>
        </w:rPr>
        <w:t>(benefico per l'impianto e la placentazione dell'embrione)</w:t>
      </w:r>
      <w:r w:rsidRPr="00ED10D4">
        <w:rPr>
          <w:rFonts w:asciiTheme="minorHAnsi" w:hAnsiTheme="minorHAnsi" w:cstheme="minorHAnsi"/>
          <w:b/>
          <w:bCs/>
          <w:i/>
          <w:iCs/>
          <w:color w:val="000000" w:themeColor="text1"/>
          <w:sz w:val="20"/>
          <w:szCs w:val="20"/>
        </w:rPr>
        <w:t xml:space="preserve"> nel primo trimestre a </w:t>
      </w:r>
    </w:p>
    <w:p w:rsidR="00ED10D4" w:rsidRDefault="004231D6" w:rsidP="00ED10D4">
      <w:pPr>
        <w:pStyle w:val="ListParagraph"/>
        <w:numPr>
          <w:ilvl w:val="0"/>
          <w:numId w:val="22"/>
        </w:num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right="843" w:hanging="252"/>
        <w:jc w:val="both"/>
        <w:rPr>
          <w:rFonts w:asciiTheme="minorHAnsi" w:hAnsiTheme="minorHAnsi" w:cstheme="minorHAnsi"/>
          <w:b/>
          <w:bCs/>
          <w:i/>
          <w:iCs/>
          <w:color w:val="000000" w:themeColor="text1"/>
          <w:sz w:val="20"/>
          <w:szCs w:val="20"/>
        </w:rPr>
      </w:pPr>
      <w:r w:rsidRPr="00ED10D4">
        <w:rPr>
          <w:rFonts w:asciiTheme="minorHAnsi" w:hAnsiTheme="minorHAnsi" w:cstheme="minorHAnsi"/>
          <w:b/>
          <w:bCs/>
          <w:i/>
          <w:iCs/>
          <w:color w:val="000000" w:themeColor="text1"/>
          <w:sz w:val="20"/>
          <w:szCs w:val="20"/>
        </w:rPr>
        <w:t xml:space="preserve">uno stato anti-infiammatorio </w:t>
      </w:r>
      <w:r w:rsidRPr="00ED10D4">
        <w:rPr>
          <w:rFonts w:asciiTheme="minorHAnsi" w:hAnsiTheme="minorHAnsi" w:cstheme="minorHAnsi"/>
          <w:i/>
          <w:iCs/>
          <w:color w:val="000000" w:themeColor="text1"/>
          <w:sz w:val="20"/>
          <w:szCs w:val="20"/>
        </w:rPr>
        <w:t>(utile per la crescita fetale )</w:t>
      </w:r>
      <w:r w:rsidRPr="00ED10D4">
        <w:rPr>
          <w:rFonts w:asciiTheme="minorHAnsi" w:hAnsiTheme="minorHAnsi" w:cstheme="minorHAnsi"/>
          <w:b/>
          <w:bCs/>
          <w:i/>
          <w:iCs/>
          <w:color w:val="000000" w:themeColor="text1"/>
          <w:sz w:val="20"/>
          <w:szCs w:val="20"/>
        </w:rPr>
        <w:t xml:space="preserve"> nel secondo trimestre, </w:t>
      </w:r>
    </w:p>
    <w:p w:rsidR="00292C07" w:rsidRDefault="004231D6" w:rsidP="00ED10D4">
      <w:pPr>
        <w:pStyle w:val="ListParagraph"/>
        <w:numPr>
          <w:ilvl w:val="0"/>
          <w:numId w:val="22"/>
        </w:num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right="843" w:hanging="252"/>
        <w:jc w:val="both"/>
        <w:rPr>
          <w:rFonts w:asciiTheme="minorHAnsi" w:hAnsiTheme="minorHAnsi" w:cstheme="minorHAnsi"/>
          <w:i/>
          <w:iCs/>
          <w:color w:val="000000" w:themeColor="text1"/>
          <w:sz w:val="20"/>
          <w:szCs w:val="20"/>
        </w:rPr>
      </w:pPr>
      <w:r w:rsidRPr="00ED10D4">
        <w:rPr>
          <w:rFonts w:asciiTheme="minorHAnsi" w:hAnsiTheme="minorHAnsi" w:cstheme="minorHAnsi"/>
          <w:b/>
          <w:bCs/>
          <w:i/>
          <w:iCs/>
          <w:color w:val="000000" w:themeColor="text1"/>
          <w:sz w:val="20"/>
          <w:szCs w:val="20"/>
        </w:rPr>
        <w:t xml:space="preserve">e infine raggiungendo un secondo stato pro-infiammatorio </w:t>
      </w:r>
      <w:r w:rsidRPr="00ED10D4">
        <w:rPr>
          <w:rFonts w:asciiTheme="minorHAnsi" w:hAnsiTheme="minorHAnsi" w:cstheme="minorHAnsi"/>
          <w:i/>
          <w:iCs/>
          <w:color w:val="000000" w:themeColor="text1"/>
          <w:sz w:val="20"/>
          <w:szCs w:val="20"/>
        </w:rPr>
        <w:t>(prepara</w:t>
      </w:r>
      <w:r w:rsidR="00ED10D4">
        <w:rPr>
          <w:rFonts w:asciiTheme="minorHAnsi" w:hAnsiTheme="minorHAnsi" w:cstheme="minorHAnsi"/>
          <w:i/>
          <w:iCs/>
          <w:color w:val="000000" w:themeColor="text1"/>
          <w:sz w:val="20"/>
          <w:szCs w:val="20"/>
        </w:rPr>
        <w:t>torio</w:t>
      </w:r>
      <w:r w:rsidRPr="00ED10D4">
        <w:rPr>
          <w:rFonts w:asciiTheme="minorHAnsi" w:hAnsiTheme="minorHAnsi" w:cstheme="minorHAnsi"/>
          <w:i/>
          <w:iCs/>
          <w:color w:val="000000" w:themeColor="text1"/>
          <w:sz w:val="20"/>
          <w:szCs w:val="20"/>
        </w:rPr>
        <w:t xml:space="preserve"> per l'inizio del parto)</w:t>
      </w:r>
      <w:r w:rsidRPr="00ED10D4">
        <w:rPr>
          <w:rFonts w:asciiTheme="minorHAnsi" w:hAnsiTheme="minorHAnsi" w:cstheme="minorHAnsi"/>
          <w:b/>
          <w:bCs/>
          <w:i/>
          <w:iCs/>
          <w:color w:val="000000" w:themeColor="text1"/>
          <w:sz w:val="20"/>
          <w:szCs w:val="20"/>
        </w:rPr>
        <w:t xml:space="preserve"> nel terzo trimestre</w:t>
      </w:r>
      <w:r w:rsidRPr="00ED10D4">
        <w:rPr>
          <w:rFonts w:asciiTheme="minorHAnsi" w:hAnsiTheme="minorHAnsi" w:cstheme="minorHAnsi"/>
          <w:i/>
          <w:iCs/>
          <w:color w:val="000000" w:themeColor="text1"/>
          <w:sz w:val="20"/>
          <w:szCs w:val="20"/>
        </w:rPr>
        <w:t xml:space="preserve">. </w:t>
      </w:r>
      <w:r w:rsidR="00F97E0C" w:rsidRPr="00ED10D4">
        <w:rPr>
          <w:rStyle w:val="FootnoteReference"/>
          <w:rFonts w:asciiTheme="minorHAnsi" w:hAnsiTheme="minorHAnsi" w:cstheme="minorHAnsi"/>
          <w:i/>
          <w:iCs/>
          <w:color w:val="000000" w:themeColor="text1"/>
          <w:sz w:val="20"/>
          <w:szCs w:val="20"/>
        </w:rPr>
        <w:footnoteReference w:id="155"/>
      </w:r>
    </w:p>
    <w:p w:rsidR="00ED10D4" w:rsidRPr="00ED10D4" w:rsidRDefault="00ED10D4" w:rsidP="00ED10D4">
      <w:pPr>
        <w:pStyle w:val="ListParagraph"/>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426" w:right="843"/>
        <w:jc w:val="both"/>
        <w:rPr>
          <w:rFonts w:asciiTheme="minorHAnsi" w:hAnsiTheme="minorHAnsi" w:cstheme="minorHAnsi"/>
          <w:i/>
          <w:iCs/>
          <w:color w:val="000000" w:themeColor="text1"/>
          <w:sz w:val="20"/>
          <w:szCs w:val="20"/>
        </w:rPr>
      </w:pPr>
    </w:p>
    <w:p w:rsidR="00F97E0C" w:rsidRPr="00ED10D4" w:rsidRDefault="004231D6" w:rsidP="00ED10D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426" w:right="843"/>
        <w:jc w:val="both"/>
        <w:rPr>
          <w:rFonts w:asciiTheme="minorHAnsi" w:hAnsiTheme="minorHAnsi" w:cstheme="minorHAnsi"/>
          <w:i/>
          <w:iCs/>
          <w:color w:val="000000" w:themeColor="text1"/>
          <w:sz w:val="20"/>
          <w:szCs w:val="20"/>
        </w:rPr>
      </w:pPr>
      <w:r w:rsidRPr="00ED10D4">
        <w:rPr>
          <w:rFonts w:asciiTheme="minorHAnsi" w:hAnsiTheme="minorHAnsi" w:cstheme="minorHAnsi"/>
          <w:i/>
          <w:iCs/>
          <w:color w:val="000000" w:themeColor="text1"/>
          <w:sz w:val="20"/>
          <w:szCs w:val="20"/>
        </w:rPr>
        <w:t>Recentemente, è stato suggerito che durante la gravidanza a termine gli eventi immunologici nel sangue periferico procedano secondo una tempistica precisa, chiamata "</w:t>
      </w:r>
      <w:r w:rsidRPr="00ED10D4">
        <w:rPr>
          <w:rFonts w:asciiTheme="minorHAnsi" w:hAnsiTheme="minorHAnsi" w:cstheme="minorHAnsi"/>
          <w:b/>
          <w:bCs/>
          <w:i/>
          <w:iCs/>
          <w:color w:val="000000" w:themeColor="text1"/>
          <w:sz w:val="20"/>
          <w:szCs w:val="20"/>
        </w:rPr>
        <w:t>orologio immunitario</w:t>
      </w:r>
      <w:r w:rsidRPr="00ED10D4">
        <w:rPr>
          <w:rFonts w:asciiTheme="minorHAnsi" w:hAnsiTheme="minorHAnsi" w:cstheme="minorHAnsi"/>
          <w:i/>
          <w:iCs/>
          <w:color w:val="000000" w:themeColor="text1"/>
          <w:sz w:val="20"/>
          <w:szCs w:val="20"/>
        </w:rPr>
        <w:t xml:space="preserve">". </w:t>
      </w:r>
      <w:r w:rsidR="00F97E0C" w:rsidRPr="00ED10D4">
        <w:rPr>
          <w:rStyle w:val="FootnoteReference"/>
          <w:rFonts w:asciiTheme="minorHAnsi" w:hAnsiTheme="minorHAnsi" w:cstheme="minorHAnsi"/>
          <w:i/>
          <w:iCs/>
          <w:color w:val="000000" w:themeColor="text1"/>
          <w:sz w:val="20"/>
          <w:szCs w:val="20"/>
        </w:rPr>
        <w:footnoteReference w:id="156"/>
      </w:r>
    </w:p>
    <w:p w:rsidR="009E5073" w:rsidRPr="00ED10D4" w:rsidRDefault="009E5073" w:rsidP="00ED10D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426" w:right="843"/>
        <w:jc w:val="both"/>
        <w:rPr>
          <w:rFonts w:asciiTheme="minorHAnsi" w:hAnsiTheme="minorHAnsi" w:cstheme="minorHAnsi"/>
          <w:i/>
          <w:iCs/>
          <w:color w:val="000000" w:themeColor="text1"/>
          <w:sz w:val="20"/>
          <w:szCs w:val="20"/>
        </w:rPr>
      </w:pPr>
    </w:p>
    <w:p w:rsidR="00E547CE" w:rsidRPr="00E565AE" w:rsidRDefault="00E547CE" w:rsidP="009E5073">
      <w:pPr>
        <w:ind w:left="426" w:right="560"/>
        <w:jc w:val="both"/>
        <w:rPr>
          <w:rFonts w:asciiTheme="minorHAnsi" w:hAnsiTheme="minorHAnsi" w:cstheme="minorHAnsi"/>
          <w:i/>
          <w:iCs/>
          <w:color w:val="000000" w:themeColor="text1"/>
          <w:sz w:val="18"/>
          <w:szCs w:val="18"/>
        </w:rPr>
      </w:pPr>
    </w:p>
    <w:p w:rsidR="00ED10D4" w:rsidRDefault="00E547CE" w:rsidP="009E5073">
      <w:pPr>
        <w:ind w:right="-7"/>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Sulla base della con</w:t>
      </w:r>
      <w:r w:rsidR="00ED10D4">
        <w:rPr>
          <w:rFonts w:asciiTheme="minorHAnsi" w:hAnsiTheme="minorHAnsi" w:cstheme="minorHAnsi"/>
          <w:color w:val="000000" w:themeColor="text1"/>
          <w:sz w:val="20"/>
          <w:szCs w:val="20"/>
        </w:rPr>
        <w:t>oscenza</w:t>
      </w:r>
      <w:r w:rsidRPr="00E565AE">
        <w:rPr>
          <w:rFonts w:asciiTheme="minorHAnsi" w:hAnsiTheme="minorHAnsi" w:cstheme="minorHAnsi"/>
          <w:color w:val="000000" w:themeColor="text1"/>
          <w:sz w:val="20"/>
          <w:szCs w:val="20"/>
        </w:rPr>
        <w:t xml:space="preserve"> che le donne in gravidanza nel loro primo e terzo trimestre presentano uno stato pro-infiammatorio, va tenuto presente che la tempesta di citochine indotta dalle infezioni (come il COVID-19 </w:t>
      </w:r>
      <w:r w:rsidRPr="00E565AE">
        <w:rPr>
          <w:rStyle w:val="FootnoteReference"/>
          <w:rFonts w:asciiTheme="minorHAnsi" w:hAnsiTheme="minorHAnsi" w:cstheme="minorHAnsi"/>
          <w:color w:val="000000" w:themeColor="text1"/>
          <w:sz w:val="20"/>
          <w:szCs w:val="20"/>
        </w:rPr>
        <w:footnoteReference w:id="157"/>
      </w:r>
      <w:r w:rsidRPr="00E565AE">
        <w:rPr>
          <w:rFonts w:asciiTheme="minorHAnsi" w:hAnsiTheme="minorHAnsi" w:cstheme="minorHAnsi"/>
          <w:color w:val="000000" w:themeColor="text1"/>
          <w:sz w:val="20"/>
          <w:szCs w:val="20"/>
        </w:rPr>
        <w:t xml:space="preserve">) e dalle vaccinazioni </w:t>
      </w:r>
      <w:r w:rsidRPr="00E565AE">
        <w:rPr>
          <w:rStyle w:val="FootnoteReference"/>
          <w:rFonts w:asciiTheme="minorHAnsi" w:hAnsiTheme="minorHAnsi" w:cstheme="minorHAnsi"/>
          <w:color w:val="000000" w:themeColor="text1"/>
          <w:sz w:val="20"/>
          <w:szCs w:val="20"/>
        </w:rPr>
        <w:footnoteReference w:id="158"/>
      </w:r>
      <w:r w:rsidRPr="00E565AE">
        <w:rPr>
          <w:rFonts w:asciiTheme="minorHAnsi" w:hAnsiTheme="minorHAnsi" w:cstheme="minorHAnsi"/>
          <w:color w:val="000000" w:themeColor="text1"/>
          <w:sz w:val="20"/>
          <w:szCs w:val="20"/>
        </w:rPr>
        <w:t xml:space="preserve"> </w:t>
      </w:r>
      <w:r w:rsidR="00ED10D4">
        <w:rPr>
          <w:rFonts w:asciiTheme="minorHAnsi" w:hAnsiTheme="minorHAnsi" w:cstheme="minorHAnsi"/>
          <w:color w:val="000000" w:themeColor="text1"/>
          <w:sz w:val="20"/>
          <w:szCs w:val="20"/>
        </w:rPr>
        <w:t xml:space="preserve"> </w:t>
      </w:r>
      <w:r w:rsidRPr="00E565AE">
        <w:rPr>
          <w:rFonts w:asciiTheme="minorHAnsi" w:hAnsiTheme="minorHAnsi" w:cstheme="minorHAnsi"/>
          <w:b/>
          <w:bCs/>
          <w:color w:val="000000" w:themeColor="text1"/>
          <w:sz w:val="20"/>
          <w:szCs w:val="20"/>
        </w:rPr>
        <w:t>può potenziare ulteriormente lo stato infiammatorio</w:t>
      </w:r>
      <w:r w:rsidRPr="00E565AE">
        <w:rPr>
          <w:rFonts w:asciiTheme="minorHAnsi" w:hAnsiTheme="minorHAnsi" w:cstheme="minorHAnsi"/>
          <w:color w:val="000000" w:themeColor="text1"/>
          <w:sz w:val="20"/>
          <w:szCs w:val="20"/>
        </w:rPr>
        <w:t xml:space="preserve"> con conseguenze molto gravi sia nella madre che</w:t>
      </w:r>
    </w:p>
    <w:p w:rsidR="00E547CE" w:rsidRPr="00E565AE" w:rsidRDefault="00E547CE" w:rsidP="009E5073">
      <w:pPr>
        <w:ind w:right="-7"/>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nel feto </w:t>
      </w:r>
      <w:r w:rsidRPr="00E565AE">
        <w:rPr>
          <w:rStyle w:val="FootnoteReference"/>
          <w:rFonts w:asciiTheme="minorHAnsi" w:hAnsiTheme="minorHAnsi" w:cstheme="minorHAnsi"/>
          <w:color w:val="000000" w:themeColor="text1"/>
          <w:sz w:val="20"/>
          <w:szCs w:val="20"/>
        </w:rPr>
        <w:footnoteReference w:id="159"/>
      </w:r>
      <w:r w:rsidRPr="00E565AE">
        <w:rPr>
          <w:rFonts w:asciiTheme="minorHAnsi" w:hAnsiTheme="minorHAnsi" w:cstheme="minorHAnsi"/>
          <w:color w:val="000000" w:themeColor="text1"/>
          <w:sz w:val="20"/>
          <w:szCs w:val="20"/>
        </w:rPr>
        <w:t xml:space="preserve"> </w:t>
      </w:r>
      <w:r w:rsidR="00ED10D4">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 xml:space="preserve">e successivamente nel neonato </w:t>
      </w:r>
      <w:r w:rsidRPr="00E565AE">
        <w:rPr>
          <w:rStyle w:val="FootnoteReference"/>
          <w:rFonts w:asciiTheme="minorHAnsi" w:hAnsiTheme="minorHAnsi" w:cstheme="minorHAnsi"/>
          <w:color w:val="000000" w:themeColor="text1"/>
          <w:sz w:val="20"/>
          <w:szCs w:val="20"/>
        </w:rPr>
        <w:footnoteReference w:id="160"/>
      </w:r>
      <w:r w:rsidRPr="00E565AE">
        <w:rPr>
          <w:rFonts w:asciiTheme="minorHAnsi" w:hAnsiTheme="minorHAnsi" w:cstheme="minorHAnsi"/>
          <w:color w:val="000000" w:themeColor="text1"/>
          <w:sz w:val="20"/>
          <w:szCs w:val="20"/>
        </w:rPr>
        <w:t xml:space="preserve"> . </w:t>
      </w:r>
    </w:p>
    <w:p w:rsidR="00E547CE" w:rsidRPr="00E565AE" w:rsidRDefault="00E547CE" w:rsidP="009E5073">
      <w:pPr>
        <w:ind w:left="426" w:right="560"/>
        <w:jc w:val="both"/>
        <w:rPr>
          <w:rFonts w:asciiTheme="minorHAnsi" w:hAnsiTheme="minorHAnsi" w:cstheme="minorHAnsi"/>
          <w:i/>
          <w:iCs/>
          <w:color w:val="000000" w:themeColor="text1"/>
          <w:sz w:val="20"/>
          <w:szCs w:val="20"/>
        </w:rPr>
      </w:pPr>
    </w:p>
    <w:p w:rsidR="000D00E0" w:rsidRPr="00E565AE" w:rsidRDefault="004231D6" w:rsidP="004231D6">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Vi sono inoltre evidenze che la madre modifica l'equilibrio delle risposte delle sue cellule T in Th2 piuttosto che in Th1.</w:t>
      </w:r>
      <w:r w:rsidRPr="00E565AE">
        <w:rPr>
          <w:rStyle w:val="FootnoteReference"/>
          <w:rFonts w:asciiTheme="minorHAnsi" w:hAnsiTheme="minorHAnsi" w:cstheme="minorHAnsi"/>
          <w:color w:val="000000" w:themeColor="text1"/>
          <w:sz w:val="20"/>
          <w:szCs w:val="20"/>
        </w:rPr>
        <w:t xml:space="preserve"> </w:t>
      </w:r>
      <w:r w:rsidRPr="00E565AE">
        <w:rPr>
          <w:rStyle w:val="FootnoteReference"/>
          <w:rFonts w:asciiTheme="minorHAnsi" w:hAnsiTheme="minorHAnsi" w:cstheme="minorHAnsi"/>
          <w:color w:val="000000" w:themeColor="text1"/>
          <w:sz w:val="20"/>
          <w:szCs w:val="20"/>
        </w:rPr>
        <w:footnoteReference w:id="161"/>
      </w:r>
      <w:r w:rsidRPr="00E565AE">
        <w:rPr>
          <w:rFonts w:asciiTheme="minorHAnsi" w:hAnsiTheme="minorHAnsi" w:cstheme="minorHAnsi"/>
          <w:color w:val="000000" w:themeColor="text1"/>
          <w:sz w:val="20"/>
          <w:szCs w:val="20"/>
        </w:rPr>
        <w:t xml:space="preserve"> </w:t>
      </w:r>
    </w:p>
    <w:p w:rsidR="00ED10D4" w:rsidRDefault="00ED10D4" w:rsidP="00ED10D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1552"/>
        <w:jc w:val="both"/>
        <w:rPr>
          <w:rFonts w:asciiTheme="minorHAnsi" w:hAnsiTheme="minorHAnsi" w:cstheme="minorHAnsi"/>
          <w:i/>
          <w:iCs/>
          <w:color w:val="000000" w:themeColor="text1"/>
          <w:sz w:val="20"/>
          <w:szCs w:val="20"/>
        </w:rPr>
      </w:pPr>
    </w:p>
    <w:p w:rsidR="000D00E0" w:rsidRDefault="004231D6" w:rsidP="00ED10D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1552"/>
        <w:jc w:val="both"/>
        <w:rPr>
          <w:rFonts w:asciiTheme="minorHAnsi" w:hAnsiTheme="minorHAnsi" w:cstheme="minorHAnsi"/>
          <w:i/>
          <w:iCs/>
          <w:color w:val="000000" w:themeColor="text1"/>
          <w:sz w:val="20"/>
          <w:szCs w:val="20"/>
        </w:rPr>
      </w:pPr>
      <w:r w:rsidRPr="00ED10D4">
        <w:rPr>
          <w:rFonts w:asciiTheme="minorHAnsi" w:hAnsiTheme="minorHAnsi" w:cstheme="minorHAnsi"/>
          <w:i/>
          <w:iCs/>
          <w:color w:val="000000" w:themeColor="text1"/>
          <w:sz w:val="20"/>
          <w:szCs w:val="20"/>
        </w:rPr>
        <w:t xml:space="preserve">Pertanto, le donne in gravidanza possono mostrare </w:t>
      </w:r>
      <w:r w:rsidRPr="00ED10D4">
        <w:rPr>
          <w:rFonts w:asciiTheme="minorHAnsi" w:hAnsiTheme="minorHAnsi" w:cstheme="minorHAnsi"/>
          <w:b/>
          <w:bCs/>
          <w:i/>
          <w:iCs/>
          <w:color w:val="000000" w:themeColor="text1"/>
          <w:sz w:val="20"/>
          <w:szCs w:val="20"/>
        </w:rPr>
        <w:t>remissioni di malattie autoimmuni</w:t>
      </w:r>
      <w:r w:rsidRPr="00ED10D4">
        <w:rPr>
          <w:rFonts w:asciiTheme="minorHAnsi" w:hAnsiTheme="minorHAnsi" w:cstheme="minorHAnsi"/>
          <w:i/>
          <w:iCs/>
          <w:color w:val="000000" w:themeColor="text1"/>
          <w:sz w:val="20"/>
          <w:szCs w:val="20"/>
        </w:rPr>
        <w:t xml:space="preserve">, ma diventano più </w:t>
      </w:r>
      <w:r w:rsidRPr="00ED10D4">
        <w:rPr>
          <w:rFonts w:asciiTheme="minorHAnsi" w:hAnsiTheme="minorHAnsi" w:cstheme="minorHAnsi"/>
          <w:b/>
          <w:bCs/>
          <w:i/>
          <w:iCs/>
          <w:color w:val="000000" w:themeColor="text1"/>
          <w:sz w:val="20"/>
          <w:szCs w:val="20"/>
        </w:rPr>
        <w:t>suscettibili alle gravi complicanze dell'influenza e altre infezioni,</w:t>
      </w:r>
      <w:r w:rsidRPr="00ED10D4">
        <w:rPr>
          <w:rFonts w:asciiTheme="minorHAnsi" w:hAnsiTheme="minorHAnsi" w:cstheme="minorHAnsi"/>
          <w:i/>
          <w:iCs/>
          <w:color w:val="000000" w:themeColor="text1"/>
          <w:sz w:val="20"/>
          <w:szCs w:val="20"/>
        </w:rPr>
        <w:t xml:space="preserve"> </w:t>
      </w:r>
      <w:r w:rsidRPr="00ED10D4">
        <w:rPr>
          <w:rStyle w:val="FootnoteReference"/>
          <w:rFonts w:asciiTheme="minorHAnsi" w:hAnsiTheme="minorHAnsi" w:cstheme="minorHAnsi"/>
          <w:i/>
          <w:iCs/>
          <w:color w:val="000000" w:themeColor="text1"/>
          <w:sz w:val="20"/>
          <w:szCs w:val="20"/>
        </w:rPr>
        <w:footnoteReference w:id="162"/>
      </w:r>
      <w:r w:rsidRPr="00ED10D4">
        <w:rPr>
          <w:rFonts w:asciiTheme="minorHAnsi" w:hAnsiTheme="minorHAnsi" w:cstheme="minorHAnsi"/>
          <w:i/>
          <w:iCs/>
          <w:color w:val="000000" w:themeColor="text1"/>
          <w:sz w:val="20"/>
          <w:szCs w:val="20"/>
        </w:rPr>
        <w:t xml:space="preserve"> e per la stessa ragione, </w:t>
      </w:r>
      <w:r w:rsidRPr="00ED10D4">
        <w:rPr>
          <w:rFonts w:asciiTheme="minorHAnsi" w:hAnsiTheme="minorHAnsi" w:cstheme="minorHAnsi"/>
          <w:b/>
          <w:bCs/>
          <w:i/>
          <w:iCs/>
          <w:color w:val="000000" w:themeColor="text1"/>
          <w:sz w:val="20"/>
          <w:szCs w:val="20"/>
        </w:rPr>
        <w:t xml:space="preserve">la risposta sierologica ai vaccini (es. vaccino antinfluenzale inattivato </w:t>
      </w:r>
      <w:r w:rsidRPr="00ED10D4">
        <w:rPr>
          <w:rStyle w:val="FootnoteReference"/>
          <w:rFonts w:asciiTheme="minorHAnsi" w:hAnsiTheme="minorHAnsi" w:cstheme="minorHAnsi"/>
          <w:b/>
          <w:bCs/>
          <w:i/>
          <w:iCs/>
          <w:color w:val="000000" w:themeColor="text1"/>
          <w:sz w:val="20"/>
          <w:szCs w:val="20"/>
        </w:rPr>
        <w:footnoteReference w:id="163"/>
      </w:r>
      <w:r w:rsidRPr="00ED10D4">
        <w:rPr>
          <w:rFonts w:asciiTheme="minorHAnsi" w:hAnsiTheme="minorHAnsi" w:cstheme="minorHAnsi"/>
          <w:b/>
          <w:bCs/>
          <w:i/>
          <w:iCs/>
          <w:color w:val="000000" w:themeColor="text1"/>
          <w:sz w:val="20"/>
          <w:szCs w:val="20"/>
        </w:rPr>
        <w:t>) è particolarmente ridotta</w:t>
      </w:r>
      <w:r w:rsidRPr="00ED10D4">
        <w:rPr>
          <w:rFonts w:asciiTheme="minorHAnsi" w:hAnsiTheme="minorHAnsi" w:cstheme="minorHAnsi"/>
          <w:i/>
          <w:iCs/>
          <w:color w:val="000000" w:themeColor="text1"/>
          <w:sz w:val="20"/>
          <w:szCs w:val="20"/>
        </w:rPr>
        <w:t xml:space="preserve">. </w:t>
      </w:r>
    </w:p>
    <w:p w:rsidR="00ED10D4" w:rsidRPr="00ED10D4" w:rsidRDefault="00ED10D4" w:rsidP="00ED10D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1552"/>
        <w:jc w:val="both"/>
        <w:rPr>
          <w:rFonts w:asciiTheme="minorHAnsi" w:hAnsiTheme="minorHAnsi" w:cstheme="minorHAnsi"/>
          <w:i/>
          <w:iCs/>
          <w:color w:val="000000" w:themeColor="text1"/>
          <w:sz w:val="20"/>
          <w:szCs w:val="20"/>
        </w:rPr>
      </w:pPr>
    </w:p>
    <w:p w:rsidR="00ED10D4" w:rsidRPr="00E565AE" w:rsidRDefault="00ED10D4" w:rsidP="004231D6">
      <w:pPr>
        <w:jc w:val="both"/>
        <w:rPr>
          <w:rFonts w:asciiTheme="minorHAnsi" w:hAnsiTheme="minorHAnsi" w:cstheme="minorHAnsi"/>
          <w:color w:val="000000" w:themeColor="text1"/>
          <w:sz w:val="20"/>
          <w:szCs w:val="20"/>
        </w:rPr>
      </w:pPr>
    </w:p>
    <w:p w:rsidR="004231D6" w:rsidRPr="00E565AE" w:rsidRDefault="004231D6" w:rsidP="004231D6">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Questa modulazione immunitaria, necessaria per il benessere del feto, a volte può essere particolarmente dannosa per la madre.</w:t>
      </w:r>
    </w:p>
    <w:p w:rsidR="004231D6" w:rsidRPr="00E565AE" w:rsidRDefault="004231D6" w:rsidP="004231D6">
      <w:pPr>
        <w:jc w:val="both"/>
        <w:rPr>
          <w:rFonts w:asciiTheme="minorHAnsi" w:hAnsiTheme="minorHAnsi" w:cstheme="minorHAnsi"/>
          <w:color w:val="000000" w:themeColor="text1"/>
          <w:sz w:val="20"/>
          <w:szCs w:val="20"/>
        </w:rPr>
      </w:pPr>
    </w:p>
    <w:p w:rsidR="00ED10D4" w:rsidRDefault="00ED10D4" w:rsidP="00C46326">
      <w:pPr>
        <w:jc w:val="both"/>
        <w:rPr>
          <w:rFonts w:asciiTheme="minorHAnsi" w:hAnsiTheme="minorHAnsi" w:cstheme="minorHAnsi"/>
          <w:i/>
          <w:iCs/>
          <w:color w:val="000000" w:themeColor="text1"/>
          <w:sz w:val="20"/>
          <w:szCs w:val="20"/>
        </w:rPr>
      </w:pPr>
    </w:p>
    <w:p w:rsidR="00ED10D4" w:rsidRDefault="00ED10D4" w:rsidP="00C46326">
      <w:pPr>
        <w:jc w:val="both"/>
        <w:rPr>
          <w:rFonts w:asciiTheme="minorHAnsi" w:hAnsiTheme="minorHAnsi" w:cstheme="minorHAnsi"/>
          <w:i/>
          <w:iCs/>
          <w:color w:val="000000" w:themeColor="text1"/>
          <w:sz w:val="20"/>
          <w:szCs w:val="20"/>
        </w:rPr>
      </w:pPr>
    </w:p>
    <w:p w:rsidR="00ED10D4" w:rsidRDefault="00ED10D4" w:rsidP="00C46326">
      <w:pPr>
        <w:jc w:val="both"/>
        <w:rPr>
          <w:rFonts w:asciiTheme="minorHAnsi" w:hAnsiTheme="minorHAnsi" w:cstheme="minorHAnsi"/>
          <w:i/>
          <w:iCs/>
          <w:color w:val="000000" w:themeColor="text1"/>
          <w:sz w:val="20"/>
          <w:szCs w:val="20"/>
        </w:rPr>
      </w:pPr>
    </w:p>
    <w:p w:rsidR="00ED10D4" w:rsidRDefault="00ED10D4" w:rsidP="00C46326">
      <w:pPr>
        <w:jc w:val="both"/>
        <w:rPr>
          <w:rFonts w:asciiTheme="minorHAnsi" w:hAnsiTheme="minorHAnsi" w:cstheme="minorHAnsi"/>
          <w:i/>
          <w:iCs/>
          <w:color w:val="000000" w:themeColor="text1"/>
          <w:sz w:val="20"/>
          <w:szCs w:val="20"/>
        </w:rPr>
      </w:pPr>
    </w:p>
    <w:p w:rsidR="00ED10D4" w:rsidRDefault="00ED10D4" w:rsidP="00C46326">
      <w:pPr>
        <w:jc w:val="both"/>
        <w:rPr>
          <w:rFonts w:asciiTheme="minorHAnsi" w:hAnsiTheme="minorHAnsi" w:cstheme="minorHAnsi"/>
          <w:i/>
          <w:iCs/>
          <w:color w:val="000000" w:themeColor="text1"/>
          <w:sz w:val="20"/>
          <w:szCs w:val="20"/>
        </w:rPr>
      </w:pPr>
    </w:p>
    <w:p w:rsidR="00ED10D4" w:rsidRDefault="00ED10D4" w:rsidP="00C46326">
      <w:pPr>
        <w:jc w:val="both"/>
        <w:rPr>
          <w:rFonts w:asciiTheme="minorHAnsi" w:hAnsiTheme="minorHAnsi" w:cstheme="minorHAnsi"/>
          <w:i/>
          <w:iCs/>
          <w:color w:val="000000" w:themeColor="text1"/>
          <w:sz w:val="20"/>
          <w:szCs w:val="20"/>
        </w:rPr>
      </w:pPr>
    </w:p>
    <w:p w:rsidR="00ED10D4" w:rsidRDefault="00ED10D4" w:rsidP="00C46326">
      <w:pPr>
        <w:jc w:val="both"/>
        <w:rPr>
          <w:rFonts w:asciiTheme="minorHAnsi" w:hAnsiTheme="minorHAnsi" w:cstheme="minorHAnsi"/>
          <w:i/>
          <w:iCs/>
          <w:color w:val="000000" w:themeColor="text1"/>
          <w:sz w:val="20"/>
          <w:szCs w:val="20"/>
        </w:rPr>
      </w:pPr>
    </w:p>
    <w:p w:rsidR="00ED10D4" w:rsidRDefault="00ED10D4" w:rsidP="00C46326">
      <w:pPr>
        <w:jc w:val="both"/>
        <w:rPr>
          <w:rFonts w:asciiTheme="minorHAnsi" w:hAnsiTheme="minorHAnsi" w:cstheme="minorHAnsi"/>
          <w:i/>
          <w:iCs/>
          <w:color w:val="000000" w:themeColor="text1"/>
          <w:sz w:val="20"/>
          <w:szCs w:val="20"/>
        </w:rPr>
      </w:pPr>
    </w:p>
    <w:p w:rsidR="00ED10D4" w:rsidRDefault="00ED10D4" w:rsidP="00C46326">
      <w:pPr>
        <w:jc w:val="both"/>
        <w:rPr>
          <w:rFonts w:asciiTheme="minorHAnsi" w:hAnsiTheme="minorHAnsi" w:cstheme="minorHAnsi"/>
          <w:i/>
          <w:iCs/>
          <w:color w:val="000000" w:themeColor="text1"/>
          <w:sz w:val="20"/>
          <w:szCs w:val="20"/>
        </w:rPr>
      </w:pPr>
    </w:p>
    <w:p w:rsidR="00A52443" w:rsidRPr="00E565AE" w:rsidRDefault="00C46326" w:rsidP="00C46326">
      <w:pPr>
        <w:jc w:val="both"/>
        <w:rPr>
          <w:rFonts w:asciiTheme="minorHAnsi" w:hAnsiTheme="minorHAnsi" w:cstheme="minorHAnsi"/>
          <w:color w:val="000000" w:themeColor="text1"/>
          <w:sz w:val="20"/>
          <w:szCs w:val="20"/>
        </w:rPr>
      </w:pPr>
      <w:r w:rsidRPr="00E565AE">
        <w:rPr>
          <w:rFonts w:asciiTheme="minorHAnsi" w:hAnsiTheme="minorHAnsi" w:cstheme="minorHAnsi"/>
          <w:i/>
          <w:iCs/>
          <w:color w:val="000000" w:themeColor="text1"/>
          <w:sz w:val="20"/>
          <w:szCs w:val="20"/>
        </w:rPr>
        <w:t>Vaccinazioni in gravidanza e durante il puerperio</w:t>
      </w:r>
      <w:r w:rsidR="00E547CE" w:rsidRPr="00E565AE">
        <w:rPr>
          <w:rFonts w:asciiTheme="minorHAnsi" w:hAnsiTheme="minorHAnsi" w:cstheme="minorHAnsi"/>
          <w:i/>
          <w:iCs/>
          <w:color w:val="000000" w:themeColor="text1"/>
          <w:sz w:val="20"/>
          <w:szCs w:val="20"/>
        </w:rPr>
        <w:t>:</w:t>
      </w:r>
      <w:r w:rsidRPr="00E565AE">
        <w:rPr>
          <w:rFonts w:asciiTheme="minorHAnsi" w:hAnsiTheme="minorHAnsi" w:cstheme="minorHAnsi"/>
          <w:i/>
          <w:iCs/>
          <w:color w:val="000000" w:themeColor="text1"/>
          <w:sz w:val="20"/>
          <w:szCs w:val="20"/>
        </w:rPr>
        <w:t xml:space="preserve"> </w:t>
      </w:r>
      <w:r w:rsidRPr="00E565AE">
        <w:rPr>
          <w:rStyle w:val="FootnoteReference"/>
          <w:rFonts w:asciiTheme="minorHAnsi" w:hAnsiTheme="minorHAnsi" w:cstheme="minorHAnsi"/>
          <w:color w:val="000000" w:themeColor="text1"/>
          <w:sz w:val="20"/>
          <w:szCs w:val="20"/>
        </w:rPr>
        <w:footnoteReference w:id="164"/>
      </w:r>
    </w:p>
    <w:p w:rsidR="00C341B6" w:rsidRPr="00E565AE" w:rsidRDefault="00C341B6" w:rsidP="00C46326">
      <w:pPr>
        <w:jc w:val="both"/>
        <w:rPr>
          <w:rFonts w:asciiTheme="minorHAnsi" w:hAnsiTheme="minorHAnsi" w:cstheme="minorHAnsi"/>
          <w:color w:val="000000" w:themeColor="text1"/>
          <w:sz w:val="22"/>
          <w:szCs w:val="22"/>
        </w:rPr>
      </w:pPr>
    </w:p>
    <w:p w:rsidR="00C6567F" w:rsidRPr="00E565AE" w:rsidRDefault="00C341B6" w:rsidP="00C341B6">
      <w:pPr>
        <w:jc w:val="center"/>
        <w:rPr>
          <w:rFonts w:asciiTheme="minorHAnsi" w:hAnsiTheme="minorHAnsi" w:cstheme="minorHAnsi"/>
          <w:color w:val="000000" w:themeColor="text1"/>
          <w:sz w:val="22"/>
          <w:szCs w:val="22"/>
        </w:rPr>
      </w:pPr>
      <w:r w:rsidRPr="00E565AE">
        <w:rPr>
          <w:rFonts w:asciiTheme="minorHAnsi" w:hAnsiTheme="minorHAnsi" w:cstheme="minorHAnsi"/>
          <w:noProof/>
          <w:color w:val="000000" w:themeColor="text1"/>
          <w:sz w:val="22"/>
          <w:szCs w:val="22"/>
        </w:rPr>
        <w:drawing>
          <wp:inline distT="0" distB="0" distL="0" distR="0">
            <wp:extent cx="4425481" cy="2833007"/>
            <wp:effectExtent l="0" t="0" r="0" b="0"/>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chermata 2020-06-05 alle 22.50.16.png"/>
                    <pic:cNvPicPr/>
                  </pic:nvPicPr>
                  <pic:blipFill>
                    <a:blip r:embed="rId143">
                      <a:extLst>
                        <a:ext uri="{28A0092B-C50C-407E-A947-70E740481C1C}">
                          <a14:useLocalDpi xmlns:a14="http://schemas.microsoft.com/office/drawing/2010/main" val="0"/>
                        </a:ext>
                      </a:extLst>
                    </a:blip>
                    <a:stretch>
                      <a:fillRect/>
                    </a:stretch>
                  </pic:blipFill>
                  <pic:spPr>
                    <a:xfrm>
                      <a:off x="0" y="0"/>
                      <a:ext cx="4482604" cy="2869575"/>
                    </a:xfrm>
                    <a:prstGeom prst="rect">
                      <a:avLst/>
                    </a:prstGeom>
                  </pic:spPr>
                </pic:pic>
              </a:graphicData>
            </a:graphic>
          </wp:inline>
        </w:drawing>
      </w:r>
    </w:p>
    <w:p w:rsidR="00C341B6" w:rsidRPr="00E565AE" w:rsidRDefault="00C341B6" w:rsidP="00C341B6">
      <w:pPr>
        <w:jc w:val="both"/>
        <w:rPr>
          <w:rFonts w:asciiTheme="minorHAnsi" w:hAnsiTheme="minorHAnsi" w:cstheme="minorHAnsi"/>
          <w:color w:val="000000" w:themeColor="text1"/>
          <w:sz w:val="20"/>
          <w:szCs w:val="20"/>
        </w:rPr>
      </w:pPr>
    </w:p>
    <w:p w:rsidR="00F97CD2" w:rsidRPr="00E565AE" w:rsidRDefault="00C341B6" w:rsidP="00ED10D4">
      <w:pPr>
        <w:shd w:val="clear" w:color="auto" w:fill="FBF9E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Come si può notare, il vaccino DTaP e antinfluenzale vengono proposti al terzo mese di gravidanza, mentre MRPV e DTaP nel puerperio. </w:t>
      </w:r>
    </w:p>
    <w:p w:rsidR="00ED10D4" w:rsidRDefault="00ED10D4" w:rsidP="00C341B6">
      <w:pPr>
        <w:jc w:val="both"/>
        <w:rPr>
          <w:rFonts w:asciiTheme="minorHAnsi" w:hAnsiTheme="minorHAnsi" w:cstheme="minorHAnsi"/>
          <w:color w:val="000000" w:themeColor="text1"/>
          <w:sz w:val="20"/>
          <w:szCs w:val="20"/>
        </w:rPr>
      </w:pPr>
    </w:p>
    <w:p w:rsidR="00C341B6" w:rsidRPr="00E565AE" w:rsidRDefault="00C341B6" w:rsidP="00C341B6">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 rischi per il feto e il nascituro e per la madre sono stati discussi sopra nel dettaglio e sono legati al potenziamento della malattia in caso di infezione postvaccinale e di reazioni avverse alla risposta infiammatoria da tempesta di citochine indotta dai vaccini. </w:t>
      </w:r>
    </w:p>
    <w:p w:rsidR="00C341B6" w:rsidRPr="00E565AE" w:rsidRDefault="00C341B6" w:rsidP="00C341B6">
      <w:pPr>
        <w:jc w:val="both"/>
        <w:rPr>
          <w:rFonts w:asciiTheme="minorHAnsi" w:hAnsiTheme="minorHAnsi" w:cstheme="minorHAnsi"/>
          <w:color w:val="000000" w:themeColor="text1"/>
          <w:sz w:val="20"/>
          <w:szCs w:val="20"/>
        </w:rPr>
      </w:pPr>
    </w:p>
    <w:p w:rsidR="00C341B6" w:rsidRPr="00DB4F96" w:rsidRDefault="00C341B6" w:rsidP="00C341B6">
      <w:pPr>
        <w:jc w:val="both"/>
        <w:rPr>
          <w:rFonts w:asciiTheme="minorHAnsi" w:hAnsiTheme="minorHAnsi" w:cstheme="minorHAnsi"/>
          <w:color w:val="2F5496" w:themeColor="accent1" w:themeShade="BF"/>
          <w:sz w:val="22"/>
          <w:szCs w:val="22"/>
        </w:rPr>
      </w:pPr>
    </w:p>
    <w:p w:rsidR="00C6567F" w:rsidRPr="006E668D" w:rsidRDefault="00B479BE" w:rsidP="00A52443">
      <w:pPr>
        <w:rPr>
          <w:rFonts w:asciiTheme="minorHAnsi" w:hAnsiTheme="minorHAnsi" w:cstheme="minorHAnsi"/>
          <w:b/>
          <w:bCs/>
          <w:i/>
          <w:iCs/>
          <w:color w:val="C00000"/>
          <w:sz w:val="22"/>
          <w:szCs w:val="22"/>
        </w:rPr>
      </w:pPr>
      <w:r w:rsidRPr="00494C6A">
        <w:rPr>
          <w:rFonts w:asciiTheme="minorHAnsi" w:hAnsiTheme="minorHAnsi" w:cstheme="minorHAnsi"/>
          <w:b/>
          <w:bCs/>
          <w:i/>
          <w:iCs/>
          <w:color w:val="C00000"/>
          <w:sz w:val="20"/>
          <w:szCs w:val="20"/>
        </w:rPr>
        <w:t>Microc</w:t>
      </w:r>
      <w:r w:rsidR="00C6567F" w:rsidRPr="00494C6A">
        <w:rPr>
          <w:rFonts w:asciiTheme="minorHAnsi" w:hAnsiTheme="minorHAnsi" w:cstheme="minorHAnsi"/>
          <w:b/>
          <w:bCs/>
          <w:i/>
          <w:iCs/>
          <w:color w:val="C00000"/>
          <w:sz w:val="20"/>
          <w:szCs w:val="20"/>
        </w:rPr>
        <w:t>himerismo</w:t>
      </w:r>
      <w:r w:rsidR="00A52443" w:rsidRPr="00494C6A">
        <w:rPr>
          <w:rFonts w:asciiTheme="minorHAnsi" w:hAnsiTheme="minorHAnsi" w:cstheme="minorHAnsi"/>
          <w:b/>
          <w:bCs/>
          <w:i/>
          <w:iCs/>
          <w:color w:val="C00000"/>
          <w:sz w:val="20"/>
          <w:szCs w:val="20"/>
        </w:rPr>
        <w:t xml:space="preserve"> </w:t>
      </w:r>
      <w:r w:rsidR="006E668D" w:rsidRPr="00494C6A">
        <w:rPr>
          <w:rFonts w:asciiTheme="minorHAnsi" w:hAnsiTheme="minorHAnsi" w:cstheme="minorHAnsi"/>
          <w:b/>
          <w:bCs/>
          <w:i/>
          <w:iCs/>
          <w:color w:val="C00000"/>
          <w:sz w:val="20"/>
          <w:szCs w:val="20"/>
        </w:rPr>
        <w:t>e tolleranza immunitaria</w:t>
      </w:r>
      <w:r w:rsidR="006E668D" w:rsidRPr="006E668D">
        <w:rPr>
          <w:rFonts w:asciiTheme="minorHAnsi" w:hAnsiTheme="minorHAnsi" w:cstheme="minorHAnsi"/>
          <w:b/>
          <w:bCs/>
          <w:i/>
          <w:iCs/>
          <w:color w:val="C00000"/>
          <w:sz w:val="22"/>
          <w:szCs w:val="22"/>
        </w:rPr>
        <w:t xml:space="preserve"> </w:t>
      </w:r>
      <w:r w:rsidR="00967CC1" w:rsidRPr="006E668D">
        <w:rPr>
          <w:rStyle w:val="FootnoteReference"/>
          <w:rFonts w:asciiTheme="minorHAnsi" w:hAnsiTheme="minorHAnsi" w:cstheme="minorHAnsi"/>
          <w:b/>
          <w:bCs/>
          <w:i/>
          <w:iCs/>
          <w:color w:val="C00000"/>
          <w:sz w:val="22"/>
          <w:szCs w:val="22"/>
        </w:rPr>
        <w:footnoteReference w:id="165"/>
      </w:r>
    </w:p>
    <w:p w:rsidR="003107DC" w:rsidRDefault="00C6567F" w:rsidP="00E5713A">
      <w:pPr>
        <w:jc w:val="both"/>
        <w:rPr>
          <w:rFonts w:asciiTheme="minorHAnsi" w:hAnsiTheme="minorHAnsi" w:cstheme="minorHAnsi"/>
          <w:color w:val="2F5496" w:themeColor="accent1" w:themeShade="BF"/>
          <w:sz w:val="20"/>
          <w:szCs w:val="20"/>
        </w:rPr>
      </w:pPr>
      <w:r w:rsidRPr="006E668D">
        <w:rPr>
          <w:rFonts w:asciiTheme="minorHAnsi" w:hAnsiTheme="minorHAnsi" w:cstheme="minorHAnsi"/>
          <w:color w:val="2F5496" w:themeColor="accent1" w:themeShade="BF"/>
          <w:sz w:val="20"/>
          <w:szCs w:val="20"/>
        </w:rPr>
        <w:t xml:space="preserve">A partire dall'inizio della gravidanza, le cellule fetali si trovano nel sangue e nei tessuti materni, </w:t>
      </w:r>
      <w:r w:rsidR="00C341B6" w:rsidRPr="006E668D">
        <w:rPr>
          <w:rFonts w:asciiTheme="minorHAnsi" w:hAnsiTheme="minorHAnsi" w:cstheme="minorHAnsi"/>
          <w:color w:val="2F5496" w:themeColor="accent1" w:themeShade="BF"/>
          <w:sz w:val="20"/>
          <w:szCs w:val="20"/>
        </w:rPr>
        <w:t>e a</w:t>
      </w:r>
      <w:r w:rsidRPr="006E668D">
        <w:rPr>
          <w:rFonts w:asciiTheme="minorHAnsi" w:hAnsiTheme="minorHAnsi" w:cstheme="minorHAnsi"/>
          <w:color w:val="2F5496" w:themeColor="accent1" w:themeShade="BF"/>
          <w:sz w:val="20"/>
          <w:szCs w:val="20"/>
        </w:rPr>
        <w:t>umenta</w:t>
      </w:r>
      <w:r w:rsidR="00C341B6" w:rsidRPr="006E668D">
        <w:rPr>
          <w:rFonts w:asciiTheme="minorHAnsi" w:hAnsiTheme="minorHAnsi" w:cstheme="minorHAnsi"/>
          <w:color w:val="2F5496" w:themeColor="accent1" w:themeShade="BF"/>
          <w:sz w:val="20"/>
          <w:szCs w:val="20"/>
        </w:rPr>
        <w:t>no</w:t>
      </w:r>
      <w:r w:rsidRPr="006E668D">
        <w:rPr>
          <w:rFonts w:asciiTheme="minorHAnsi" w:hAnsiTheme="minorHAnsi" w:cstheme="minorHAnsi"/>
          <w:color w:val="2F5496" w:themeColor="accent1" w:themeShade="BF"/>
          <w:sz w:val="20"/>
          <w:szCs w:val="20"/>
        </w:rPr>
        <w:t xml:space="preserve"> progressivamente fino al termine</w:t>
      </w:r>
      <w:r w:rsidR="00967CC1" w:rsidRPr="006E668D">
        <w:rPr>
          <w:rFonts w:asciiTheme="minorHAnsi" w:hAnsiTheme="minorHAnsi" w:cstheme="minorHAnsi"/>
          <w:color w:val="2F5496" w:themeColor="accent1" w:themeShade="BF"/>
          <w:sz w:val="20"/>
          <w:szCs w:val="20"/>
        </w:rPr>
        <w:t xml:space="preserve">. </w:t>
      </w:r>
      <w:r w:rsidRPr="006E668D">
        <w:rPr>
          <w:rFonts w:asciiTheme="minorHAnsi" w:hAnsiTheme="minorHAnsi" w:cstheme="minorHAnsi"/>
          <w:color w:val="2F5496" w:themeColor="accent1" w:themeShade="BF"/>
          <w:sz w:val="20"/>
          <w:szCs w:val="20"/>
        </w:rPr>
        <w:t>Allo stesso modo, le cellule materne si trovano nei tessuti fetali a partire dal secondo trimestre di gravidanza</w:t>
      </w:r>
      <w:r w:rsidR="00967CC1" w:rsidRPr="006E668D">
        <w:rPr>
          <w:rFonts w:asciiTheme="minorHAnsi" w:hAnsiTheme="minorHAnsi" w:cstheme="minorHAnsi"/>
          <w:color w:val="2F5496" w:themeColor="accent1" w:themeShade="BF"/>
          <w:sz w:val="20"/>
          <w:szCs w:val="20"/>
        </w:rPr>
        <w:t>. Questo fenomeno è noto come “</w:t>
      </w:r>
      <w:r w:rsidR="00D031E0" w:rsidRPr="003107DC">
        <w:rPr>
          <w:rFonts w:asciiTheme="minorHAnsi" w:hAnsiTheme="minorHAnsi" w:cstheme="minorHAnsi"/>
          <w:b/>
          <w:bCs/>
          <w:color w:val="2F5496" w:themeColor="accent1" w:themeShade="BF"/>
          <w:sz w:val="20"/>
          <w:szCs w:val="20"/>
        </w:rPr>
        <w:t>micro</w:t>
      </w:r>
      <w:r w:rsidR="00967CC1" w:rsidRPr="003107DC">
        <w:rPr>
          <w:rFonts w:asciiTheme="minorHAnsi" w:hAnsiTheme="minorHAnsi" w:cstheme="minorHAnsi"/>
          <w:b/>
          <w:bCs/>
          <w:color w:val="2F5496" w:themeColor="accent1" w:themeShade="BF"/>
          <w:sz w:val="20"/>
          <w:szCs w:val="20"/>
        </w:rPr>
        <w:t>chimerismo”</w:t>
      </w:r>
      <w:r w:rsidR="00967CC1" w:rsidRPr="006E668D">
        <w:rPr>
          <w:rFonts w:asciiTheme="minorHAnsi" w:hAnsiTheme="minorHAnsi" w:cstheme="minorHAnsi"/>
          <w:color w:val="2F5496" w:themeColor="accent1" w:themeShade="BF"/>
          <w:sz w:val="20"/>
          <w:szCs w:val="20"/>
        </w:rPr>
        <w:t xml:space="preserve">. </w:t>
      </w:r>
    </w:p>
    <w:p w:rsidR="003107DC" w:rsidRDefault="003107DC" w:rsidP="00E5713A">
      <w:pPr>
        <w:jc w:val="both"/>
        <w:rPr>
          <w:rFonts w:asciiTheme="minorHAnsi" w:hAnsiTheme="minorHAnsi" w:cstheme="minorHAnsi"/>
          <w:color w:val="2F5496" w:themeColor="accent1" w:themeShade="BF"/>
          <w:sz w:val="20"/>
          <w:szCs w:val="20"/>
        </w:rPr>
      </w:pPr>
    </w:p>
    <w:p w:rsidR="003107DC" w:rsidRDefault="00C6567F" w:rsidP="00E5713A">
      <w:pPr>
        <w:jc w:val="both"/>
        <w:rPr>
          <w:rFonts w:asciiTheme="minorHAnsi" w:hAnsiTheme="minorHAnsi" w:cstheme="minorHAnsi"/>
          <w:color w:val="2F5496" w:themeColor="accent1" w:themeShade="BF"/>
          <w:sz w:val="20"/>
          <w:szCs w:val="20"/>
        </w:rPr>
      </w:pPr>
      <w:r w:rsidRPr="006E668D">
        <w:rPr>
          <w:rFonts w:asciiTheme="minorHAnsi" w:hAnsiTheme="minorHAnsi" w:cstheme="minorHAnsi"/>
          <w:color w:val="2F5496" w:themeColor="accent1" w:themeShade="BF"/>
          <w:sz w:val="20"/>
          <w:szCs w:val="20"/>
        </w:rPr>
        <w:t xml:space="preserve">Forse il dato più </w:t>
      </w:r>
      <w:r w:rsidR="00C341B6" w:rsidRPr="006E668D">
        <w:rPr>
          <w:rFonts w:asciiTheme="minorHAnsi" w:hAnsiTheme="minorHAnsi" w:cstheme="minorHAnsi"/>
          <w:color w:val="2F5496" w:themeColor="accent1" w:themeShade="BF"/>
          <w:sz w:val="20"/>
          <w:szCs w:val="20"/>
        </w:rPr>
        <w:t>eclatante</w:t>
      </w:r>
      <w:r w:rsidRPr="006E668D">
        <w:rPr>
          <w:rFonts w:asciiTheme="minorHAnsi" w:hAnsiTheme="minorHAnsi" w:cstheme="minorHAnsi"/>
          <w:color w:val="2F5496" w:themeColor="accent1" w:themeShade="BF"/>
          <w:sz w:val="20"/>
          <w:szCs w:val="20"/>
        </w:rPr>
        <w:t xml:space="preserve"> è la </w:t>
      </w:r>
      <w:r w:rsidRPr="00ED10D4">
        <w:rPr>
          <w:rFonts w:asciiTheme="minorHAnsi" w:hAnsiTheme="minorHAnsi" w:cstheme="minorHAnsi"/>
          <w:b/>
          <w:bCs/>
          <w:color w:val="2F5496" w:themeColor="accent1" w:themeShade="BF"/>
          <w:sz w:val="20"/>
          <w:szCs w:val="20"/>
        </w:rPr>
        <w:t>persistenza a lungo termine di queste cellule fetali geneticamente di</w:t>
      </w:r>
      <w:r w:rsidR="003107DC" w:rsidRPr="00ED10D4">
        <w:rPr>
          <w:rFonts w:asciiTheme="minorHAnsi" w:hAnsiTheme="minorHAnsi" w:cstheme="minorHAnsi"/>
          <w:b/>
          <w:bCs/>
          <w:color w:val="2F5496" w:themeColor="accent1" w:themeShade="BF"/>
          <w:sz w:val="20"/>
          <w:szCs w:val="20"/>
        </w:rPr>
        <w:t xml:space="preserve">verse </w:t>
      </w:r>
      <w:r w:rsidRPr="00ED10D4">
        <w:rPr>
          <w:rFonts w:asciiTheme="minorHAnsi" w:hAnsiTheme="minorHAnsi" w:cstheme="minorHAnsi"/>
          <w:b/>
          <w:bCs/>
          <w:color w:val="2F5496" w:themeColor="accent1" w:themeShade="BF"/>
          <w:sz w:val="20"/>
          <w:szCs w:val="20"/>
        </w:rPr>
        <w:t xml:space="preserve">nelle madri molti anni dopo la gravidanza e </w:t>
      </w:r>
      <w:r w:rsidR="00C341B6" w:rsidRPr="00ED10D4">
        <w:rPr>
          <w:rFonts w:asciiTheme="minorHAnsi" w:hAnsiTheme="minorHAnsi" w:cstheme="minorHAnsi"/>
          <w:b/>
          <w:bCs/>
          <w:color w:val="2F5496" w:themeColor="accent1" w:themeShade="BF"/>
          <w:sz w:val="20"/>
          <w:szCs w:val="20"/>
        </w:rPr>
        <w:t>il riscontro</w:t>
      </w:r>
      <w:r w:rsidRPr="00ED10D4">
        <w:rPr>
          <w:rFonts w:asciiTheme="minorHAnsi" w:hAnsiTheme="minorHAnsi" w:cstheme="minorHAnsi"/>
          <w:b/>
          <w:bCs/>
          <w:color w:val="2F5496" w:themeColor="accent1" w:themeShade="BF"/>
          <w:sz w:val="20"/>
          <w:szCs w:val="20"/>
        </w:rPr>
        <w:t xml:space="preserve"> </w:t>
      </w:r>
      <w:r w:rsidR="00C341B6" w:rsidRPr="00ED10D4">
        <w:rPr>
          <w:rFonts w:asciiTheme="minorHAnsi" w:hAnsiTheme="minorHAnsi" w:cstheme="minorHAnsi"/>
          <w:b/>
          <w:bCs/>
          <w:color w:val="2F5496" w:themeColor="accent1" w:themeShade="BF"/>
          <w:sz w:val="20"/>
          <w:szCs w:val="20"/>
        </w:rPr>
        <w:t xml:space="preserve">nell'età adulta </w:t>
      </w:r>
      <w:r w:rsidRPr="00ED10D4">
        <w:rPr>
          <w:rFonts w:asciiTheme="minorHAnsi" w:hAnsiTheme="minorHAnsi" w:cstheme="minorHAnsi"/>
          <w:b/>
          <w:bCs/>
          <w:color w:val="2F5496" w:themeColor="accent1" w:themeShade="BF"/>
          <w:sz w:val="20"/>
          <w:szCs w:val="20"/>
        </w:rPr>
        <w:t>delle cellule materne nella prole</w:t>
      </w:r>
      <w:r w:rsidRPr="006E668D">
        <w:rPr>
          <w:rFonts w:asciiTheme="minorHAnsi" w:hAnsiTheme="minorHAnsi" w:cstheme="minorHAnsi"/>
          <w:color w:val="2F5496" w:themeColor="accent1" w:themeShade="BF"/>
          <w:sz w:val="20"/>
          <w:szCs w:val="20"/>
        </w:rPr>
        <w:t xml:space="preserve"> </w:t>
      </w:r>
      <w:r w:rsidR="0020123A" w:rsidRPr="006E668D">
        <w:rPr>
          <w:rFonts w:asciiTheme="minorHAnsi" w:hAnsiTheme="minorHAnsi" w:cstheme="minorHAnsi"/>
          <w:color w:val="2F5496" w:themeColor="accent1" w:themeShade="BF"/>
          <w:sz w:val="20"/>
          <w:szCs w:val="20"/>
        </w:rPr>
        <w:t xml:space="preserve">trasmesse </w:t>
      </w:r>
      <w:r w:rsidRPr="006E668D">
        <w:rPr>
          <w:rFonts w:asciiTheme="minorHAnsi" w:hAnsiTheme="minorHAnsi" w:cstheme="minorHAnsi"/>
          <w:color w:val="2F5496" w:themeColor="accent1" w:themeShade="BF"/>
          <w:sz w:val="20"/>
          <w:szCs w:val="20"/>
        </w:rPr>
        <w:t xml:space="preserve">durante lo sviluppo postnatale. </w:t>
      </w:r>
    </w:p>
    <w:p w:rsidR="00494C6A" w:rsidRDefault="00494C6A" w:rsidP="00E5713A">
      <w:pPr>
        <w:jc w:val="both"/>
        <w:rPr>
          <w:rFonts w:asciiTheme="minorHAnsi" w:hAnsiTheme="minorHAnsi" w:cstheme="minorHAnsi"/>
          <w:color w:val="2F5496" w:themeColor="accent1" w:themeShade="BF"/>
          <w:sz w:val="20"/>
          <w:szCs w:val="20"/>
        </w:rPr>
      </w:pPr>
    </w:p>
    <w:p w:rsidR="00ED10D4" w:rsidRDefault="00ED10D4" w:rsidP="00E5713A">
      <w:pPr>
        <w:jc w:val="both"/>
        <w:rPr>
          <w:rFonts w:asciiTheme="minorHAnsi" w:hAnsiTheme="minorHAnsi" w:cstheme="minorHAnsi"/>
          <w:color w:val="2F5496" w:themeColor="accent1" w:themeShade="BF"/>
          <w:sz w:val="20"/>
          <w:szCs w:val="20"/>
        </w:rPr>
      </w:pPr>
    </w:p>
    <w:p w:rsidR="00ED10D4" w:rsidRDefault="00ED10D4" w:rsidP="00E5713A">
      <w:pPr>
        <w:jc w:val="both"/>
        <w:rPr>
          <w:rFonts w:asciiTheme="minorHAnsi" w:hAnsiTheme="minorHAnsi" w:cstheme="minorHAnsi"/>
          <w:color w:val="2F5496" w:themeColor="accent1" w:themeShade="BF"/>
          <w:sz w:val="20"/>
          <w:szCs w:val="20"/>
        </w:rPr>
      </w:pPr>
    </w:p>
    <w:p w:rsidR="00ED10D4" w:rsidRDefault="00ED10D4" w:rsidP="00E5713A">
      <w:pPr>
        <w:jc w:val="both"/>
        <w:rPr>
          <w:rFonts w:asciiTheme="minorHAnsi" w:hAnsiTheme="minorHAnsi" w:cstheme="minorHAnsi"/>
          <w:color w:val="2F5496" w:themeColor="accent1" w:themeShade="BF"/>
          <w:sz w:val="20"/>
          <w:szCs w:val="20"/>
        </w:rPr>
      </w:pPr>
    </w:p>
    <w:p w:rsidR="003107DC" w:rsidRDefault="003107DC" w:rsidP="00ED10D4">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567" w:right="701"/>
        <w:jc w:val="both"/>
        <w:rPr>
          <w:rFonts w:asciiTheme="minorHAnsi" w:hAnsiTheme="minorHAnsi" w:cstheme="minorHAnsi"/>
          <w:i/>
          <w:iCs/>
          <w:color w:val="2F5496" w:themeColor="accent1" w:themeShade="BF"/>
          <w:sz w:val="18"/>
          <w:szCs w:val="18"/>
        </w:rPr>
      </w:pPr>
    </w:p>
    <w:p w:rsidR="003107DC" w:rsidRPr="003107DC" w:rsidRDefault="0020123A" w:rsidP="00ED10D4">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567" w:right="701"/>
        <w:jc w:val="both"/>
        <w:rPr>
          <w:rFonts w:asciiTheme="minorHAnsi" w:hAnsiTheme="minorHAnsi"/>
          <w:i/>
          <w:iCs/>
          <w:color w:val="2F5496" w:themeColor="accent1" w:themeShade="BF"/>
          <w:sz w:val="18"/>
          <w:szCs w:val="18"/>
        </w:rPr>
      </w:pPr>
      <w:r w:rsidRPr="003107DC">
        <w:rPr>
          <w:rFonts w:asciiTheme="minorHAnsi" w:hAnsiTheme="minorHAnsi" w:cstheme="minorHAnsi"/>
          <w:i/>
          <w:iCs/>
          <w:color w:val="2F5496" w:themeColor="accent1" w:themeShade="BF"/>
          <w:sz w:val="18"/>
          <w:szCs w:val="18"/>
        </w:rPr>
        <w:t>S</w:t>
      </w:r>
      <w:r w:rsidR="00C6567F" w:rsidRPr="003107DC">
        <w:rPr>
          <w:rFonts w:asciiTheme="minorHAnsi" w:hAnsiTheme="minorHAnsi" w:cstheme="minorHAnsi"/>
          <w:i/>
          <w:iCs/>
          <w:color w:val="2F5496" w:themeColor="accent1" w:themeShade="BF"/>
          <w:sz w:val="18"/>
          <w:szCs w:val="18"/>
        </w:rPr>
        <w:t xml:space="preserve">coperte </w:t>
      </w:r>
      <w:r w:rsidRPr="003107DC">
        <w:rPr>
          <w:rFonts w:asciiTheme="minorHAnsi" w:hAnsiTheme="minorHAnsi" w:cstheme="minorHAnsi"/>
          <w:i/>
          <w:iCs/>
          <w:color w:val="2F5496" w:themeColor="accent1" w:themeShade="BF"/>
          <w:sz w:val="18"/>
          <w:szCs w:val="18"/>
        </w:rPr>
        <w:t xml:space="preserve">recenti </w:t>
      </w:r>
      <w:r w:rsidR="00C6567F" w:rsidRPr="003107DC">
        <w:rPr>
          <w:rFonts w:asciiTheme="minorHAnsi" w:hAnsiTheme="minorHAnsi" w:cstheme="minorHAnsi"/>
          <w:i/>
          <w:iCs/>
          <w:color w:val="2F5496" w:themeColor="accent1" w:themeShade="BF"/>
          <w:sz w:val="18"/>
          <w:szCs w:val="18"/>
        </w:rPr>
        <w:t>suggeriscono che queste cellule microchim</w:t>
      </w:r>
      <w:r w:rsidR="00967CC1" w:rsidRPr="003107DC">
        <w:rPr>
          <w:rFonts w:asciiTheme="minorHAnsi" w:hAnsiTheme="minorHAnsi" w:cstheme="minorHAnsi"/>
          <w:i/>
          <w:iCs/>
          <w:color w:val="2F5496" w:themeColor="accent1" w:themeShade="BF"/>
          <w:sz w:val="18"/>
          <w:szCs w:val="18"/>
        </w:rPr>
        <w:t>er</w:t>
      </w:r>
      <w:r w:rsidR="00C6567F" w:rsidRPr="003107DC">
        <w:rPr>
          <w:rFonts w:asciiTheme="minorHAnsi" w:hAnsiTheme="minorHAnsi" w:cstheme="minorHAnsi"/>
          <w:i/>
          <w:iCs/>
          <w:color w:val="2F5496" w:themeColor="accent1" w:themeShade="BF"/>
          <w:sz w:val="18"/>
          <w:szCs w:val="18"/>
        </w:rPr>
        <w:t xml:space="preserve">iche non sono </w:t>
      </w:r>
      <w:r w:rsidRPr="003107DC">
        <w:rPr>
          <w:rFonts w:asciiTheme="minorHAnsi" w:hAnsiTheme="minorHAnsi" w:cstheme="minorHAnsi"/>
          <w:i/>
          <w:iCs/>
          <w:color w:val="2F5496" w:themeColor="accent1" w:themeShade="BF"/>
          <w:sz w:val="18"/>
          <w:szCs w:val="18"/>
        </w:rPr>
        <w:t>accessori</w:t>
      </w:r>
      <w:r w:rsidR="00C6567F" w:rsidRPr="003107DC">
        <w:rPr>
          <w:rFonts w:asciiTheme="minorHAnsi" w:hAnsiTheme="minorHAnsi" w:cstheme="minorHAnsi"/>
          <w:i/>
          <w:iCs/>
          <w:color w:val="2F5496" w:themeColor="accent1" w:themeShade="BF"/>
          <w:sz w:val="18"/>
          <w:szCs w:val="18"/>
        </w:rPr>
        <w:t xml:space="preserve"> accidentali della gravidanza, ma sono invece intenzionalmente conservate </w:t>
      </w:r>
      <w:r w:rsidRPr="003107DC">
        <w:rPr>
          <w:rFonts w:asciiTheme="minorHAnsi" w:hAnsiTheme="minorHAnsi" w:cstheme="minorHAnsi"/>
          <w:i/>
          <w:iCs/>
          <w:color w:val="2F5496" w:themeColor="accent1" w:themeShade="BF"/>
          <w:sz w:val="18"/>
          <w:szCs w:val="18"/>
        </w:rPr>
        <w:t xml:space="preserve">nella madre </w:t>
      </w:r>
      <w:r w:rsidR="00C6567F" w:rsidRPr="003107DC">
        <w:rPr>
          <w:rFonts w:asciiTheme="minorHAnsi" w:hAnsiTheme="minorHAnsi" w:cstheme="minorHAnsi"/>
          <w:i/>
          <w:iCs/>
          <w:color w:val="2F5496" w:themeColor="accent1" w:themeShade="BF"/>
          <w:sz w:val="18"/>
          <w:szCs w:val="18"/>
        </w:rPr>
        <w:t xml:space="preserve">per </w:t>
      </w:r>
      <w:r w:rsidR="00AB1ED1" w:rsidRPr="003107DC">
        <w:rPr>
          <w:rFonts w:asciiTheme="minorHAnsi" w:hAnsiTheme="minorHAnsi" w:cstheme="minorHAnsi"/>
          <w:i/>
          <w:iCs/>
          <w:color w:val="2F5496" w:themeColor="accent1" w:themeShade="BF"/>
          <w:sz w:val="18"/>
          <w:szCs w:val="18"/>
        </w:rPr>
        <w:t>favorire</w:t>
      </w:r>
      <w:r w:rsidR="00C6567F" w:rsidRPr="003107DC">
        <w:rPr>
          <w:rFonts w:asciiTheme="minorHAnsi" w:hAnsiTheme="minorHAnsi" w:cstheme="minorHAnsi"/>
          <w:i/>
          <w:iCs/>
          <w:color w:val="2F5496" w:themeColor="accent1" w:themeShade="BF"/>
          <w:sz w:val="18"/>
          <w:szCs w:val="18"/>
        </w:rPr>
        <w:t xml:space="preserve"> </w:t>
      </w:r>
      <w:r w:rsidR="00AB1ED1" w:rsidRPr="003107DC">
        <w:rPr>
          <w:rFonts w:asciiTheme="minorHAnsi" w:hAnsiTheme="minorHAnsi" w:cstheme="minorHAnsi"/>
          <w:i/>
          <w:iCs/>
          <w:color w:val="2F5496" w:themeColor="accent1" w:themeShade="BF"/>
          <w:sz w:val="18"/>
          <w:szCs w:val="18"/>
        </w:rPr>
        <w:t xml:space="preserve">sia la gestazione in corso che </w:t>
      </w:r>
      <w:r w:rsidR="00C6567F" w:rsidRPr="003107DC">
        <w:rPr>
          <w:rFonts w:asciiTheme="minorHAnsi" w:hAnsiTheme="minorHAnsi" w:cstheme="minorHAnsi"/>
          <w:i/>
          <w:iCs/>
          <w:color w:val="2F5496" w:themeColor="accent1" w:themeShade="BF"/>
          <w:sz w:val="18"/>
          <w:szCs w:val="18"/>
        </w:rPr>
        <w:t>il successo delle future gravidanze</w:t>
      </w:r>
      <w:r w:rsidR="007D227B" w:rsidRPr="003107DC">
        <w:rPr>
          <w:rFonts w:asciiTheme="minorHAnsi" w:hAnsiTheme="minorHAnsi" w:cstheme="minorHAnsi"/>
          <w:i/>
          <w:iCs/>
          <w:color w:val="2F5496" w:themeColor="accent1" w:themeShade="BF"/>
          <w:sz w:val="18"/>
          <w:szCs w:val="18"/>
        </w:rPr>
        <w:t xml:space="preserve"> ampliando la tolleranza immunologica</w:t>
      </w:r>
      <w:r w:rsidR="00AB1ED1" w:rsidRPr="003107DC">
        <w:rPr>
          <w:rFonts w:asciiTheme="minorHAnsi" w:hAnsiTheme="minorHAnsi" w:cstheme="minorHAnsi"/>
          <w:i/>
          <w:iCs/>
          <w:color w:val="2F5496" w:themeColor="accent1" w:themeShade="BF"/>
          <w:sz w:val="18"/>
          <w:szCs w:val="18"/>
        </w:rPr>
        <w:t xml:space="preserve">, mentre </w:t>
      </w:r>
      <w:r w:rsidRPr="003107DC">
        <w:rPr>
          <w:rFonts w:asciiTheme="minorHAnsi" w:hAnsiTheme="minorHAnsi" w:cstheme="minorHAnsi"/>
          <w:i/>
          <w:iCs/>
          <w:color w:val="2F5496" w:themeColor="accent1" w:themeShade="BF"/>
          <w:sz w:val="18"/>
          <w:szCs w:val="18"/>
        </w:rPr>
        <w:t>nel neonato</w:t>
      </w:r>
      <w:r w:rsidR="00AB1ED1" w:rsidRPr="003107DC">
        <w:rPr>
          <w:rFonts w:asciiTheme="minorHAnsi" w:hAnsiTheme="minorHAnsi" w:cstheme="minorHAnsi"/>
          <w:i/>
          <w:iCs/>
          <w:color w:val="2F5496" w:themeColor="accent1" w:themeShade="BF"/>
          <w:sz w:val="18"/>
          <w:szCs w:val="18"/>
        </w:rPr>
        <w:t xml:space="preserve"> </w:t>
      </w:r>
      <w:r w:rsidRPr="003107DC">
        <w:rPr>
          <w:rFonts w:asciiTheme="minorHAnsi" w:hAnsiTheme="minorHAnsi" w:cstheme="minorHAnsi"/>
          <w:i/>
          <w:iCs/>
          <w:color w:val="2F5496" w:themeColor="accent1" w:themeShade="BF"/>
          <w:sz w:val="18"/>
          <w:szCs w:val="18"/>
        </w:rPr>
        <w:t xml:space="preserve">sembra </w:t>
      </w:r>
      <w:r w:rsidR="00AB1ED1" w:rsidRPr="003107DC">
        <w:rPr>
          <w:rFonts w:asciiTheme="minorHAnsi" w:hAnsiTheme="minorHAnsi" w:cstheme="minorHAnsi"/>
          <w:i/>
          <w:iCs/>
          <w:color w:val="2F5496" w:themeColor="accent1" w:themeShade="BF"/>
          <w:sz w:val="18"/>
          <w:szCs w:val="18"/>
        </w:rPr>
        <w:t>abbia</w:t>
      </w:r>
      <w:r w:rsidRPr="003107DC">
        <w:rPr>
          <w:rFonts w:asciiTheme="minorHAnsi" w:hAnsiTheme="minorHAnsi" w:cstheme="minorHAnsi"/>
          <w:i/>
          <w:iCs/>
          <w:color w:val="2F5496" w:themeColor="accent1" w:themeShade="BF"/>
          <w:sz w:val="18"/>
          <w:szCs w:val="18"/>
        </w:rPr>
        <w:t>no</w:t>
      </w:r>
      <w:r w:rsidR="00AB1ED1" w:rsidRPr="003107DC">
        <w:rPr>
          <w:rFonts w:asciiTheme="minorHAnsi" w:hAnsiTheme="minorHAnsi" w:cstheme="minorHAnsi"/>
          <w:i/>
          <w:iCs/>
          <w:color w:val="2F5496" w:themeColor="accent1" w:themeShade="BF"/>
          <w:sz w:val="18"/>
          <w:szCs w:val="18"/>
        </w:rPr>
        <w:t xml:space="preserve"> la funzione di aumentare la difesa contro i microorganismi infettivi e di sopprimere stimoli aberranti che potrebbero causare allergie o autoimmunità.</w:t>
      </w:r>
      <w:r w:rsidR="00967CC1" w:rsidRPr="003107DC">
        <w:rPr>
          <w:rStyle w:val="FootnoteReference"/>
          <w:rFonts w:asciiTheme="minorHAnsi" w:hAnsiTheme="minorHAnsi"/>
          <w:i/>
          <w:iCs/>
          <w:color w:val="2F5496" w:themeColor="accent1" w:themeShade="BF"/>
          <w:sz w:val="18"/>
          <w:szCs w:val="18"/>
        </w:rPr>
        <w:t xml:space="preserve"> </w:t>
      </w:r>
      <w:r w:rsidR="00967CC1" w:rsidRPr="003107DC">
        <w:rPr>
          <w:rStyle w:val="FootnoteReference"/>
          <w:rFonts w:asciiTheme="minorHAnsi" w:hAnsiTheme="minorHAnsi"/>
          <w:i/>
          <w:iCs/>
          <w:color w:val="2F5496" w:themeColor="accent1" w:themeShade="BF"/>
          <w:sz w:val="18"/>
          <w:szCs w:val="18"/>
        </w:rPr>
        <w:footnoteReference w:id="166"/>
      </w:r>
      <w:r w:rsidR="00B479BE" w:rsidRPr="003107DC">
        <w:rPr>
          <w:rFonts w:asciiTheme="minorHAnsi" w:hAnsiTheme="minorHAnsi"/>
          <w:i/>
          <w:iCs/>
          <w:color w:val="2F5496" w:themeColor="accent1" w:themeShade="BF"/>
          <w:sz w:val="18"/>
          <w:szCs w:val="18"/>
        </w:rPr>
        <w:t xml:space="preserve"> </w:t>
      </w:r>
    </w:p>
    <w:p w:rsidR="003107DC" w:rsidRPr="003107DC" w:rsidRDefault="003107DC" w:rsidP="00ED10D4">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567" w:right="701"/>
        <w:jc w:val="both"/>
        <w:rPr>
          <w:rFonts w:asciiTheme="minorHAnsi" w:hAnsiTheme="minorHAnsi"/>
          <w:i/>
          <w:iCs/>
          <w:color w:val="2F5496" w:themeColor="accent1" w:themeShade="BF"/>
          <w:sz w:val="18"/>
          <w:szCs w:val="18"/>
        </w:rPr>
      </w:pPr>
    </w:p>
    <w:p w:rsidR="00C6567F" w:rsidRDefault="00B479BE" w:rsidP="00ED10D4">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567" w:right="701"/>
        <w:jc w:val="both"/>
        <w:rPr>
          <w:rFonts w:asciiTheme="minorHAnsi" w:hAnsiTheme="minorHAnsi"/>
          <w:i/>
          <w:iCs/>
          <w:color w:val="2F5496" w:themeColor="accent1" w:themeShade="BF"/>
          <w:sz w:val="18"/>
          <w:szCs w:val="18"/>
        </w:rPr>
      </w:pPr>
      <w:r w:rsidRPr="003107DC">
        <w:rPr>
          <w:rFonts w:asciiTheme="minorHAnsi" w:hAnsiTheme="minorHAnsi"/>
          <w:i/>
          <w:iCs/>
          <w:color w:val="2F5496" w:themeColor="accent1" w:themeShade="BF"/>
          <w:sz w:val="18"/>
          <w:szCs w:val="18"/>
        </w:rPr>
        <w:t xml:space="preserve">Dall’altro lato, il microchimerismo se associato ad uno stato infiammatorio materno può portare a infiammazione cronica e autoimmunità sia nella madre che nel neonato nel tempo. </w:t>
      </w:r>
      <w:r w:rsidRPr="003107DC">
        <w:rPr>
          <w:rStyle w:val="FootnoteReference"/>
          <w:rFonts w:asciiTheme="minorHAnsi" w:hAnsiTheme="minorHAnsi"/>
          <w:i/>
          <w:iCs/>
          <w:color w:val="2F5496" w:themeColor="accent1" w:themeShade="BF"/>
          <w:sz w:val="18"/>
          <w:szCs w:val="18"/>
        </w:rPr>
        <w:footnoteReference w:id="167"/>
      </w:r>
    </w:p>
    <w:p w:rsidR="003107DC" w:rsidRDefault="003107DC" w:rsidP="00ED10D4">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567" w:right="701"/>
        <w:jc w:val="both"/>
        <w:rPr>
          <w:rFonts w:asciiTheme="minorHAnsi" w:hAnsiTheme="minorHAnsi" w:cstheme="minorHAnsi"/>
          <w:i/>
          <w:iCs/>
          <w:color w:val="2F5496" w:themeColor="accent1" w:themeShade="BF"/>
          <w:sz w:val="18"/>
          <w:szCs w:val="18"/>
        </w:rPr>
      </w:pPr>
    </w:p>
    <w:p w:rsidR="00496BA7" w:rsidRPr="00496BA7" w:rsidRDefault="00496BA7" w:rsidP="00ED10D4">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567" w:right="701"/>
        <w:jc w:val="both"/>
        <w:rPr>
          <w:rFonts w:asciiTheme="minorHAnsi" w:hAnsiTheme="minorHAnsi" w:cstheme="minorHAnsi"/>
          <w:i/>
          <w:iCs/>
          <w:color w:val="2F5496" w:themeColor="accent1" w:themeShade="BF"/>
          <w:sz w:val="18"/>
          <w:szCs w:val="18"/>
        </w:rPr>
      </w:pPr>
      <w:r w:rsidRPr="00496BA7">
        <w:rPr>
          <w:rFonts w:asciiTheme="minorHAnsi" w:hAnsiTheme="minorHAnsi" w:cstheme="minorHAnsi"/>
          <w:i/>
          <w:iCs/>
          <w:color w:val="2F5496" w:themeColor="accent1" w:themeShade="BF"/>
          <w:sz w:val="18"/>
          <w:szCs w:val="18"/>
        </w:rPr>
        <w:t>La tolleranza immunitaria estesa agli antigeni geneticamente estranei espressi dalle cellule microchimiche ("</w:t>
      </w:r>
      <w:r w:rsidRPr="00496BA7">
        <w:rPr>
          <w:rFonts w:asciiTheme="minorHAnsi" w:hAnsiTheme="minorHAnsi" w:cstheme="minorHAnsi"/>
          <w:b/>
          <w:bCs/>
          <w:i/>
          <w:iCs/>
          <w:color w:val="2F5496" w:themeColor="accent1" w:themeShade="BF"/>
          <w:sz w:val="18"/>
          <w:szCs w:val="18"/>
        </w:rPr>
        <w:t>microchioma</w:t>
      </w:r>
      <w:r w:rsidRPr="00496BA7">
        <w:rPr>
          <w:rFonts w:asciiTheme="minorHAnsi" w:hAnsiTheme="minorHAnsi" w:cstheme="minorHAnsi"/>
          <w:i/>
          <w:iCs/>
          <w:color w:val="2F5496" w:themeColor="accent1" w:themeShade="BF"/>
          <w:sz w:val="18"/>
          <w:szCs w:val="18"/>
        </w:rPr>
        <w:t xml:space="preserve">": diversità delle cellule microchimeriche in un individuo) amplia il modo in cui l'identità immunologica degli individui viene definita al di là dei modelli classici di discriminazione binaria "sé" contro "non sé" per includere un </w:t>
      </w:r>
      <w:r w:rsidRPr="00496BA7">
        <w:rPr>
          <w:rFonts w:asciiTheme="minorHAnsi" w:hAnsiTheme="minorHAnsi" w:cstheme="minorHAnsi"/>
          <w:b/>
          <w:bCs/>
          <w:i/>
          <w:iCs/>
          <w:color w:val="2F5496" w:themeColor="accent1" w:themeShade="BF"/>
          <w:sz w:val="18"/>
          <w:szCs w:val="18"/>
        </w:rPr>
        <w:t>repertorio di antigeni "auto-estesi</w:t>
      </w:r>
      <w:r w:rsidRPr="00496BA7">
        <w:rPr>
          <w:rFonts w:asciiTheme="minorHAnsi" w:hAnsiTheme="minorHAnsi" w:cstheme="minorHAnsi"/>
          <w:i/>
          <w:iCs/>
          <w:color w:val="2F5496" w:themeColor="accent1" w:themeShade="BF"/>
          <w:sz w:val="18"/>
          <w:szCs w:val="18"/>
        </w:rPr>
        <w:t>"</w:t>
      </w:r>
      <w:r>
        <w:rPr>
          <w:rFonts w:asciiTheme="minorHAnsi" w:hAnsiTheme="minorHAnsi" w:cstheme="minorHAnsi"/>
          <w:i/>
          <w:iCs/>
          <w:color w:val="2F5496" w:themeColor="accent1" w:themeShade="BF"/>
          <w:sz w:val="18"/>
          <w:szCs w:val="18"/>
        </w:rPr>
        <w:t xml:space="preserve"> </w:t>
      </w:r>
      <w:r w:rsidRPr="00496BA7">
        <w:rPr>
          <w:rFonts w:asciiTheme="minorHAnsi" w:hAnsiTheme="minorHAnsi" w:cstheme="minorHAnsi"/>
          <w:b/>
          <w:bCs/>
          <w:i/>
          <w:iCs/>
          <w:color w:val="2F5496" w:themeColor="accent1" w:themeShade="BF"/>
          <w:sz w:val="18"/>
          <w:szCs w:val="18"/>
        </w:rPr>
        <w:t>proveniente dai progenitori</w:t>
      </w:r>
      <w:r w:rsidRPr="00496BA7">
        <w:rPr>
          <w:rFonts w:asciiTheme="minorHAnsi" w:hAnsiTheme="minorHAnsi" w:cstheme="minorHAnsi"/>
          <w:i/>
          <w:iCs/>
          <w:color w:val="2F5496" w:themeColor="accent1" w:themeShade="BF"/>
          <w:sz w:val="18"/>
          <w:szCs w:val="18"/>
        </w:rPr>
        <w:t>, che vengono trasmessi verticalmente dalle madri di generazione in generazione (trasmissione madre-figlia ma anche ai nipoti attraverso la figlia)</w:t>
      </w:r>
    </w:p>
    <w:p w:rsidR="00496BA7" w:rsidRPr="003107DC" w:rsidRDefault="00496BA7" w:rsidP="00ED10D4">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567" w:right="701"/>
        <w:jc w:val="both"/>
        <w:rPr>
          <w:rFonts w:asciiTheme="minorHAnsi" w:hAnsiTheme="minorHAnsi" w:cstheme="minorHAnsi"/>
          <w:i/>
          <w:iCs/>
          <w:color w:val="2F5496" w:themeColor="accent1" w:themeShade="BF"/>
          <w:sz w:val="18"/>
          <w:szCs w:val="18"/>
        </w:rPr>
      </w:pPr>
    </w:p>
    <w:p w:rsidR="007D227B" w:rsidRPr="00DB4F96" w:rsidRDefault="007D227B" w:rsidP="00E5713A">
      <w:pPr>
        <w:jc w:val="both"/>
        <w:rPr>
          <w:rFonts w:asciiTheme="minorHAnsi" w:hAnsiTheme="minorHAnsi" w:cstheme="minorHAnsi"/>
          <w:color w:val="2F5496" w:themeColor="accent1" w:themeShade="BF"/>
          <w:sz w:val="22"/>
          <w:szCs w:val="22"/>
        </w:rPr>
      </w:pPr>
    </w:p>
    <w:p w:rsidR="00E40608" w:rsidRPr="00DB4F96" w:rsidRDefault="00C41153" w:rsidP="00C41153">
      <w:pPr>
        <w:jc w:val="center"/>
        <w:rPr>
          <w:color w:val="2F5496" w:themeColor="accent1" w:themeShade="BF"/>
        </w:rPr>
      </w:pPr>
      <w:r w:rsidRPr="00DB4F96">
        <w:rPr>
          <w:noProof/>
          <w:color w:val="2F5496" w:themeColor="accent1" w:themeShade="BF"/>
        </w:rPr>
        <w:drawing>
          <wp:inline distT="0" distB="0" distL="0" distR="0">
            <wp:extent cx="4676044" cy="4831882"/>
            <wp:effectExtent l="0" t="0" r="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hermata 2020-05-28 alle 23.06.08.png"/>
                    <pic:cNvPicPr/>
                  </pic:nvPicPr>
                  <pic:blipFill>
                    <a:blip r:embed="rId144">
                      <a:extLst>
                        <a:ext uri="{28A0092B-C50C-407E-A947-70E740481C1C}">
                          <a14:useLocalDpi xmlns:a14="http://schemas.microsoft.com/office/drawing/2010/main" val="0"/>
                        </a:ext>
                      </a:extLst>
                    </a:blip>
                    <a:stretch>
                      <a:fillRect/>
                    </a:stretch>
                  </pic:blipFill>
                  <pic:spPr>
                    <a:xfrm>
                      <a:off x="0" y="0"/>
                      <a:ext cx="4779382" cy="4938664"/>
                    </a:xfrm>
                    <a:prstGeom prst="rect">
                      <a:avLst/>
                    </a:prstGeom>
                  </pic:spPr>
                </pic:pic>
              </a:graphicData>
            </a:graphic>
          </wp:inline>
        </w:drawing>
      </w:r>
    </w:p>
    <w:p w:rsidR="00C41153" w:rsidRPr="009F3BD8" w:rsidRDefault="00C41153" w:rsidP="009F3BD8">
      <w:pPr>
        <w:shd w:val="clear" w:color="auto" w:fill="F2F2F2" w:themeFill="background1" w:themeFillShade="F2"/>
        <w:rPr>
          <w:rFonts w:asciiTheme="minorHAnsi" w:hAnsiTheme="minorHAnsi"/>
          <w:color w:val="2F5496" w:themeColor="accent1" w:themeShade="BF"/>
          <w:sz w:val="18"/>
          <w:szCs w:val="18"/>
        </w:rPr>
      </w:pPr>
      <w:r w:rsidRPr="009F3BD8">
        <w:rPr>
          <w:rFonts w:asciiTheme="minorHAnsi" w:hAnsiTheme="minorHAnsi" w:cstheme="minorHAnsi"/>
          <w:color w:val="2F5496" w:themeColor="accent1" w:themeShade="BF"/>
          <w:sz w:val="18"/>
          <w:szCs w:val="18"/>
        </w:rPr>
        <w:t xml:space="preserve">Tratta da </w:t>
      </w:r>
      <w:hyperlink r:id="rId145" w:history="1">
        <w:r w:rsidRPr="009F3BD8">
          <w:rPr>
            <w:rStyle w:val="Hyperlink"/>
            <w:rFonts w:asciiTheme="minorHAnsi" w:eastAsiaTheme="majorEastAsia" w:hAnsiTheme="minorHAnsi"/>
            <w:color w:val="2F5496" w:themeColor="accent1" w:themeShade="BF"/>
            <w:sz w:val="18"/>
            <w:szCs w:val="18"/>
            <w:u w:val="none"/>
          </w:rPr>
          <w:t>https://www.ncbi.nlm.nih.gov/pmc/articles/PMC5532073/</w:t>
        </w:r>
      </w:hyperlink>
    </w:p>
    <w:p w:rsidR="00ED10D4" w:rsidRDefault="00ED10D4" w:rsidP="003107DC">
      <w:pPr>
        <w:jc w:val="both"/>
        <w:rPr>
          <w:rFonts w:asciiTheme="minorHAnsi" w:eastAsiaTheme="majorEastAsia" w:hAnsiTheme="minorHAnsi" w:cstheme="minorHAnsi"/>
          <w:color w:val="2F5496" w:themeColor="accent1" w:themeShade="BF"/>
          <w:sz w:val="16"/>
          <w:szCs w:val="16"/>
        </w:rPr>
      </w:pPr>
    </w:p>
    <w:p w:rsidR="00ED10D4" w:rsidRPr="00496BA7" w:rsidRDefault="00ED10D4" w:rsidP="003107DC">
      <w:pPr>
        <w:jc w:val="both"/>
        <w:rPr>
          <w:rFonts w:asciiTheme="minorHAnsi" w:eastAsiaTheme="majorEastAsia" w:hAnsiTheme="minorHAnsi" w:cstheme="minorHAnsi"/>
          <w:color w:val="2F5496" w:themeColor="accent1" w:themeShade="BF"/>
          <w:sz w:val="16"/>
          <w:szCs w:val="16"/>
        </w:rPr>
      </w:pPr>
    </w:p>
    <w:p w:rsidR="00385F5C" w:rsidRPr="00ED10D4" w:rsidRDefault="00385F5C" w:rsidP="00ED10D4">
      <w:pPr>
        <w:pStyle w:val="Heading3"/>
        <w:shd w:val="clear" w:color="auto" w:fill="E2EFD9" w:themeFill="accent6" w:themeFillTint="33"/>
        <w:jc w:val="center"/>
        <w:rPr>
          <w:rFonts w:asciiTheme="minorHAnsi" w:hAnsiTheme="minorHAnsi" w:cstheme="minorHAnsi"/>
          <w:color w:val="C00000"/>
          <w:sz w:val="24"/>
          <w:szCs w:val="24"/>
        </w:rPr>
      </w:pPr>
      <w:bookmarkStart w:id="72" w:name="_Toc43342403"/>
      <w:r w:rsidRPr="00ED10D4">
        <w:rPr>
          <w:rFonts w:asciiTheme="minorHAnsi" w:hAnsiTheme="minorHAnsi"/>
          <w:color w:val="C00000"/>
          <w:sz w:val="24"/>
          <w:szCs w:val="24"/>
        </w:rPr>
        <w:lastRenderedPageBreak/>
        <w:t>Microbiota e sistema immunitario in gravidanza e nel neonato</w:t>
      </w:r>
      <w:bookmarkEnd w:id="72"/>
    </w:p>
    <w:p w:rsidR="009F3BD8" w:rsidRDefault="009C183E" w:rsidP="004939F6">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È</w:t>
      </w:r>
      <w:r w:rsidR="00E5713A" w:rsidRPr="00E565AE">
        <w:rPr>
          <w:rFonts w:asciiTheme="minorHAnsi" w:hAnsiTheme="minorHAnsi" w:cstheme="minorHAnsi"/>
          <w:color w:val="000000" w:themeColor="text1"/>
          <w:sz w:val="20"/>
          <w:szCs w:val="20"/>
        </w:rPr>
        <w:t xml:space="preserve"> importante ricordare che molti dei batteri che colonizzano l’intestino e altri siti della mucosa sono essenziali per una vita sana, </w:t>
      </w:r>
      <w:r w:rsidR="00813A20" w:rsidRPr="00E565AE">
        <w:rPr>
          <w:rFonts w:asciiTheme="minorHAnsi" w:hAnsiTheme="minorHAnsi" w:cstheme="minorHAnsi"/>
          <w:color w:val="000000" w:themeColor="text1"/>
          <w:sz w:val="20"/>
          <w:szCs w:val="20"/>
        </w:rPr>
        <w:t>in quanto intervengono nel</w:t>
      </w:r>
      <w:r w:rsidR="00E5713A" w:rsidRPr="00E565AE">
        <w:rPr>
          <w:rFonts w:asciiTheme="minorHAnsi" w:hAnsiTheme="minorHAnsi" w:cstheme="minorHAnsi"/>
          <w:color w:val="000000" w:themeColor="text1"/>
          <w:sz w:val="20"/>
          <w:szCs w:val="20"/>
        </w:rPr>
        <w:t>la digestione del cibo</w:t>
      </w:r>
      <w:r w:rsidR="00813A20" w:rsidRPr="00E565AE">
        <w:rPr>
          <w:rFonts w:asciiTheme="minorHAnsi" w:hAnsiTheme="minorHAnsi" w:cstheme="minorHAnsi"/>
          <w:color w:val="000000" w:themeColor="text1"/>
          <w:sz w:val="20"/>
          <w:szCs w:val="20"/>
        </w:rPr>
        <w:t xml:space="preserve">, </w:t>
      </w:r>
      <w:r w:rsidR="00E5713A" w:rsidRPr="00E565AE">
        <w:rPr>
          <w:rFonts w:asciiTheme="minorHAnsi" w:hAnsiTheme="minorHAnsi" w:cstheme="minorHAnsi"/>
          <w:color w:val="000000" w:themeColor="text1"/>
          <w:sz w:val="20"/>
          <w:szCs w:val="20"/>
        </w:rPr>
        <w:t xml:space="preserve">l’assimilazione di nutrienti vitali e hanno un notevole impatto anche sullo sviluppo del sistema immunitario.  </w:t>
      </w:r>
      <w:r w:rsidR="003111C7" w:rsidRPr="00E565AE">
        <w:rPr>
          <w:rStyle w:val="FootnoteReference"/>
          <w:rFonts w:asciiTheme="minorHAnsi" w:hAnsiTheme="minorHAnsi" w:cstheme="minorHAnsi"/>
          <w:color w:val="000000" w:themeColor="text1"/>
          <w:sz w:val="20"/>
          <w:szCs w:val="20"/>
        </w:rPr>
        <w:footnoteReference w:id="168"/>
      </w:r>
      <w:r w:rsidR="003111C7" w:rsidRPr="00E565AE">
        <w:rPr>
          <w:rFonts w:asciiTheme="minorHAnsi" w:hAnsiTheme="minorHAnsi" w:cstheme="minorHAnsi"/>
          <w:color w:val="000000" w:themeColor="text1"/>
          <w:sz w:val="20"/>
          <w:szCs w:val="20"/>
        </w:rPr>
        <w:t xml:space="preserve"> </w:t>
      </w:r>
      <w:r w:rsidR="009F3BD8">
        <w:rPr>
          <w:rFonts w:asciiTheme="minorHAnsi" w:hAnsiTheme="minorHAnsi" w:cstheme="minorHAnsi"/>
          <w:color w:val="000000" w:themeColor="text1"/>
          <w:sz w:val="20"/>
          <w:szCs w:val="20"/>
        </w:rPr>
        <w:t xml:space="preserve"> </w:t>
      </w:r>
    </w:p>
    <w:p w:rsidR="009F3BD8" w:rsidRDefault="00DD4E91" w:rsidP="004939F6">
      <w:pPr>
        <w:jc w:val="both"/>
        <w:rPr>
          <w:rFonts w:asciiTheme="minorHAnsi" w:hAnsiTheme="minorHAnsi" w:cstheme="minorHAnsi"/>
          <w:color w:val="000000" w:themeColor="text1"/>
          <w:sz w:val="20"/>
          <w:szCs w:val="20"/>
        </w:rPr>
      </w:pPr>
      <w:r w:rsidRPr="009F3BD8">
        <w:rPr>
          <w:rFonts w:asciiTheme="minorHAnsi" w:hAnsiTheme="minorHAnsi" w:cstheme="minorHAnsi"/>
          <w:b/>
          <w:bCs/>
          <w:color w:val="000000" w:themeColor="text1"/>
          <w:sz w:val="20"/>
          <w:szCs w:val="20"/>
          <w:shd w:val="clear" w:color="auto" w:fill="FBF9E1"/>
        </w:rPr>
        <w:t>Nell’intestino risiedono c</w:t>
      </w:r>
      <w:r w:rsidR="00E5713A" w:rsidRPr="009F3BD8">
        <w:rPr>
          <w:rFonts w:asciiTheme="minorHAnsi" w:hAnsiTheme="minorHAnsi" w:cstheme="minorHAnsi"/>
          <w:b/>
          <w:bCs/>
          <w:color w:val="000000" w:themeColor="text1"/>
          <w:sz w:val="20"/>
          <w:szCs w:val="20"/>
          <w:shd w:val="clear" w:color="auto" w:fill="FBF9E1"/>
        </w:rPr>
        <w:t>irca il 20% di tutti i linfociti</w:t>
      </w:r>
      <w:r w:rsidR="00E5713A" w:rsidRPr="00E565AE">
        <w:rPr>
          <w:rFonts w:asciiTheme="minorHAnsi" w:hAnsiTheme="minorHAnsi" w:cstheme="minorHAnsi"/>
          <w:color w:val="000000" w:themeColor="text1"/>
          <w:sz w:val="20"/>
          <w:szCs w:val="20"/>
        </w:rPr>
        <w:t xml:space="preserve">, </w:t>
      </w:r>
      <w:r w:rsidR="003111C7" w:rsidRPr="00E565AE">
        <w:rPr>
          <w:rStyle w:val="FootnoteReference"/>
          <w:rFonts w:asciiTheme="minorHAnsi" w:hAnsiTheme="minorHAnsi" w:cstheme="minorHAnsi"/>
          <w:color w:val="000000" w:themeColor="text1"/>
          <w:sz w:val="20"/>
          <w:szCs w:val="20"/>
        </w:rPr>
        <w:footnoteReference w:id="169"/>
      </w:r>
      <w:r w:rsidR="003111C7"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 xml:space="preserve">che </w:t>
      </w:r>
      <w:r w:rsidR="003111C7" w:rsidRPr="00E565AE">
        <w:rPr>
          <w:rFonts w:asciiTheme="minorHAnsi" w:hAnsiTheme="minorHAnsi" w:cstheme="minorHAnsi"/>
          <w:color w:val="000000" w:themeColor="text1"/>
          <w:sz w:val="20"/>
          <w:szCs w:val="20"/>
        </w:rPr>
        <w:t xml:space="preserve">monitorano le fonti </w:t>
      </w:r>
      <w:r w:rsidR="00717D4D" w:rsidRPr="00E565AE">
        <w:rPr>
          <w:rFonts w:asciiTheme="minorHAnsi" w:hAnsiTheme="minorHAnsi" w:cstheme="minorHAnsi"/>
          <w:color w:val="000000" w:themeColor="text1"/>
          <w:sz w:val="20"/>
          <w:szCs w:val="20"/>
        </w:rPr>
        <w:t>potenzialmente</w:t>
      </w:r>
      <w:r w:rsidR="003111C7" w:rsidRPr="00E565AE">
        <w:rPr>
          <w:rFonts w:asciiTheme="minorHAnsi" w:hAnsiTheme="minorHAnsi" w:cstheme="minorHAnsi"/>
          <w:color w:val="000000" w:themeColor="text1"/>
          <w:sz w:val="20"/>
          <w:szCs w:val="20"/>
        </w:rPr>
        <w:t xml:space="preserve"> pericolose d’infezione.</w:t>
      </w:r>
      <w:r w:rsidR="00E5713A" w:rsidRPr="00E565AE">
        <w:rPr>
          <w:rFonts w:asciiTheme="minorHAnsi" w:hAnsiTheme="minorHAnsi" w:cstheme="minorHAnsi"/>
          <w:color w:val="000000" w:themeColor="text1"/>
          <w:sz w:val="20"/>
          <w:szCs w:val="20"/>
        </w:rPr>
        <w:t xml:space="preserve"> </w:t>
      </w:r>
    </w:p>
    <w:p w:rsidR="00CB502B" w:rsidRDefault="00E5713A" w:rsidP="009F3BD8">
      <w:pPr>
        <w:jc w:val="both"/>
        <w:rPr>
          <w:rFonts w:asciiTheme="minorHAnsi" w:hAnsiTheme="minorHAnsi" w:cstheme="minorHAnsi"/>
          <w:color w:val="000000" w:themeColor="text1"/>
          <w:sz w:val="20"/>
          <w:szCs w:val="20"/>
        </w:rPr>
      </w:pPr>
      <w:r w:rsidRPr="009F3BD8">
        <w:rPr>
          <w:rFonts w:asciiTheme="minorHAnsi" w:hAnsiTheme="minorHAnsi" w:cstheme="minorHAnsi"/>
          <w:color w:val="000000" w:themeColor="text1"/>
          <w:sz w:val="20"/>
          <w:szCs w:val="20"/>
          <w:shd w:val="clear" w:color="auto" w:fill="FFFFFF" w:themeFill="background1"/>
        </w:rPr>
        <w:lastRenderedPageBreak/>
        <w:t>I batteri intestinali influenzano lo sviluppo d</w:t>
      </w:r>
      <w:r w:rsidR="00DD4E91" w:rsidRPr="009F3BD8">
        <w:rPr>
          <w:rFonts w:asciiTheme="minorHAnsi" w:hAnsiTheme="minorHAnsi" w:cstheme="minorHAnsi"/>
          <w:color w:val="000000" w:themeColor="text1"/>
          <w:sz w:val="20"/>
          <w:szCs w:val="20"/>
          <w:shd w:val="clear" w:color="auto" w:fill="FFFFFF" w:themeFill="background1"/>
        </w:rPr>
        <w:t>elle</w:t>
      </w:r>
      <w:r w:rsidRPr="009F3BD8">
        <w:rPr>
          <w:rFonts w:asciiTheme="minorHAnsi" w:hAnsiTheme="minorHAnsi" w:cstheme="minorHAnsi"/>
          <w:color w:val="000000" w:themeColor="text1"/>
          <w:sz w:val="20"/>
          <w:szCs w:val="20"/>
          <w:shd w:val="clear" w:color="auto" w:fill="FFFFFF" w:themeFill="background1"/>
        </w:rPr>
        <w:t xml:space="preserve"> cellule Th17, cellule Treg e </w:t>
      </w:r>
      <w:r w:rsidR="00DD4E91" w:rsidRPr="009F3BD8">
        <w:rPr>
          <w:rFonts w:asciiTheme="minorHAnsi" w:hAnsiTheme="minorHAnsi" w:cstheme="minorHAnsi"/>
          <w:color w:val="000000" w:themeColor="text1"/>
          <w:sz w:val="20"/>
          <w:szCs w:val="20"/>
          <w:shd w:val="clear" w:color="auto" w:fill="FFFFFF" w:themeFill="background1"/>
        </w:rPr>
        <w:t xml:space="preserve">delle </w:t>
      </w:r>
      <w:r w:rsidRPr="009F3BD8">
        <w:rPr>
          <w:rFonts w:asciiTheme="minorHAnsi" w:hAnsiTheme="minorHAnsi" w:cstheme="minorHAnsi"/>
          <w:color w:val="000000" w:themeColor="text1"/>
          <w:sz w:val="20"/>
          <w:szCs w:val="20"/>
          <w:shd w:val="clear" w:color="auto" w:fill="FFFFFF" w:themeFill="background1"/>
        </w:rPr>
        <w:t>cellule T della memoria</w:t>
      </w:r>
      <w:r w:rsidRPr="00E565AE">
        <w:rPr>
          <w:rFonts w:asciiTheme="minorHAnsi" w:hAnsiTheme="minorHAnsi" w:cstheme="minorHAnsi"/>
          <w:color w:val="000000" w:themeColor="text1"/>
          <w:sz w:val="20"/>
          <w:szCs w:val="20"/>
        </w:rPr>
        <w:t xml:space="preserve">. </w:t>
      </w:r>
      <w:r w:rsidR="003111C7" w:rsidRPr="00E565AE">
        <w:rPr>
          <w:rStyle w:val="FootnoteReference"/>
          <w:rFonts w:asciiTheme="minorHAnsi" w:hAnsiTheme="minorHAnsi" w:cstheme="minorHAnsi"/>
          <w:color w:val="000000" w:themeColor="text1"/>
          <w:sz w:val="20"/>
          <w:szCs w:val="20"/>
        </w:rPr>
        <w:footnoteReference w:id="170"/>
      </w:r>
      <w:r w:rsidR="00717D4D" w:rsidRPr="00E565AE">
        <w:rPr>
          <w:rFonts w:asciiTheme="minorHAnsi" w:hAnsiTheme="minorHAnsi" w:cstheme="minorHAnsi"/>
          <w:color w:val="000000" w:themeColor="text1"/>
          <w:sz w:val="20"/>
          <w:szCs w:val="20"/>
        </w:rPr>
        <w:t xml:space="preserve"> </w:t>
      </w:r>
    </w:p>
    <w:p w:rsidR="00CB502B" w:rsidRPr="00E565AE" w:rsidRDefault="004939F6" w:rsidP="009F3BD8">
      <w:pPr>
        <w:ind w:right="-7"/>
        <w:jc w:val="both"/>
        <w:rPr>
          <w:rFonts w:asciiTheme="minorHAnsi" w:hAnsiTheme="minorHAnsi" w:cstheme="minorHAnsi"/>
          <w:color w:val="000000" w:themeColor="text1"/>
          <w:sz w:val="20"/>
          <w:szCs w:val="20"/>
          <w:shd w:val="clear" w:color="auto" w:fill="FFFFFF"/>
        </w:rPr>
      </w:pPr>
      <w:r w:rsidRPr="009F3BD8">
        <w:rPr>
          <w:rFonts w:asciiTheme="minorHAnsi" w:hAnsiTheme="minorHAnsi" w:cstheme="minorHAnsi"/>
          <w:color w:val="000000" w:themeColor="text1"/>
          <w:sz w:val="21"/>
          <w:szCs w:val="21"/>
          <w:shd w:val="clear" w:color="auto" w:fill="FFFFFF"/>
        </w:rPr>
        <w:t xml:space="preserve">Una parte fondamentale dell’effetto barriera contro gli antigeni estranei viene svolto dal </w:t>
      </w:r>
      <w:r w:rsidRPr="009F3BD8">
        <w:rPr>
          <w:rFonts w:asciiTheme="minorHAnsi" w:hAnsiTheme="minorHAnsi" w:cstheme="minorHAnsi"/>
          <w:b/>
          <w:bCs/>
          <w:color w:val="000000" w:themeColor="text1"/>
          <w:sz w:val="21"/>
          <w:szCs w:val="21"/>
          <w:shd w:val="clear" w:color="auto" w:fill="FFFFFF"/>
        </w:rPr>
        <w:t>tessuto linfoide associato all’intestino (</w:t>
      </w:r>
      <w:r w:rsidRPr="009F3BD8">
        <w:rPr>
          <w:rStyle w:val="Strong"/>
          <w:rFonts w:asciiTheme="minorHAnsi" w:eastAsiaTheme="majorEastAsia" w:hAnsiTheme="minorHAnsi" w:cstheme="minorHAnsi"/>
          <w:b w:val="0"/>
          <w:bCs w:val="0"/>
          <w:color w:val="000000" w:themeColor="text1"/>
          <w:sz w:val="21"/>
          <w:szCs w:val="21"/>
          <w:bdr w:val="none" w:sz="0" w:space="0" w:color="auto" w:frame="1"/>
          <w:shd w:val="clear" w:color="auto" w:fill="FFFFFF"/>
        </w:rPr>
        <w:t>GALT</w:t>
      </w:r>
      <w:r w:rsidRPr="009F3BD8">
        <w:rPr>
          <w:rFonts w:asciiTheme="minorHAnsi" w:hAnsiTheme="minorHAnsi" w:cstheme="minorHAnsi"/>
          <w:b/>
          <w:bCs/>
          <w:color w:val="000000" w:themeColor="text1"/>
          <w:sz w:val="21"/>
          <w:szCs w:val="21"/>
          <w:shd w:val="clear" w:color="auto" w:fill="FFFFFF"/>
        </w:rPr>
        <w:t>)</w:t>
      </w:r>
      <w:r w:rsidRPr="009F3BD8">
        <w:rPr>
          <w:rFonts w:asciiTheme="minorHAnsi" w:hAnsiTheme="minorHAnsi" w:cstheme="minorHAnsi"/>
          <w:color w:val="000000" w:themeColor="text1"/>
          <w:sz w:val="21"/>
          <w:szCs w:val="21"/>
          <w:shd w:val="clear" w:color="auto" w:fill="FFFFFF"/>
        </w:rPr>
        <w:t>, costituito prevalentemente da linfociti T, che costituiscono circa un sesto delle cellule dei villi, da linfociti B, cellule dendritiche e plasmacellule (secernenti prevalentemente </w:t>
      </w:r>
      <w:r w:rsidRPr="009F3BD8">
        <w:rPr>
          <w:rStyle w:val="Strong"/>
          <w:rFonts w:asciiTheme="minorHAnsi" w:eastAsiaTheme="majorEastAsia" w:hAnsiTheme="minorHAnsi" w:cstheme="minorHAnsi"/>
          <w:b w:val="0"/>
          <w:bCs w:val="0"/>
          <w:color w:val="000000" w:themeColor="text1"/>
          <w:sz w:val="21"/>
          <w:szCs w:val="21"/>
          <w:bdr w:val="none" w:sz="0" w:space="0" w:color="auto" w:frame="1"/>
          <w:shd w:val="clear" w:color="auto" w:fill="FFFFFF"/>
        </w:rPr>
        <w:t>Ig A</w:t>
      </w:r>
      <w:r w:rsidRPr="009F3BD8">
        <w:rPr>
          <w:rFonts w:asciiTheme="minorHAnsi" w:hAnsiTheme="minorHAnsi" w:cstheme="minorHAnsi"/>
          <w:color w:val="000000" w:themeColor="text1"/>
          <w:sz w:val="21"/>
          <w:szCs w:val="21"/>
          <w:shd w:val="clear" w:color="auto" w:fill="FFFFFF"/>
        </w:rPr>
        <w:t>) presenti nel connettivo della lamina propria e da follicoli linfatici isolati (più frequenti nel colon) o aggregati (</w:t>
      </w:r>
      <w:r w:rsidRPr="009F3BD8">
        <w:rPr>
          <w:rFonts w:asciiTheme="minorHAnsi" w:hAnsiTheme="minorHAnsi" w:cstheme="minorHAnsi"/>
          <w:b/>
          <w:bCs/>
          <w:color w:val="000000" w:themeColor="text1"/>
          <w:sz w:val="21"/>
          <w:szCs w:val="21"/>
          <w:shd w:val="clear" w:color="auto" w:fill="FFFFFF"/>
        </w:rPr>
        <w:t>placche del Peyer</w:t>
      </w:r>
      <w:r w:rsidRPr="009F3BD8">
        <w:rPr>
          <w:rFonts w:asciiTheme="minorHAnsi" w:hAnsiTheme="minorHAnsi" w:cstheme="minorHAnsi"/>
          <w:color w:val="000000" w:themeColor="text1"/>
          <w:sz w:val="21"/>
          <w:szCs w:val="21"/>
          <w:shd w:val="clear" w:color="auto" w:fill="FFFFFF"/>
        </w:rPr>
        <w:t>, nell’ileo).</w:t>
      </w:r>
      <w:r w:rsidR="003D0829" w:rsidRPr="009F3BD8">
        <w:rPr>
          <w:rStyle w:val="FootnoteReference"/>
          <w:rFonts w:asciiTheme="minorHAnsi" w:hAnsiTheme="minorHAnsi" w:cstheme="minorHAnsi"/>
          <w:color w:val="000000" w:themeColor="text1"/>
          <w:sz w:val="21"/>
          <w:szCs w:val="21"/>
          <w:shd w:val="clear" w:color="auto" w:fill="FFFFFF"/>
        </w:rPr>
        <w:footnoteReference w:id="171"/>
      </w:r>
    </w:p>
    <w:p w:rsidR="009F3BD8" w:rsidRDefault="009F3BD8" w:rsidP="009F3BD8">
      <w:pPr>
        <w:ind w:right="-7"/>
        <w:jc w:val="center"/>
        <w:rPr>
          <w:rFonts w:asciiTheme="minorHAnsi" w:hAnsiTheme="minorHAnsi" w:cstheme="minorHAnsi"/>
          <w:color w:val="000000" w:themeColor="text1"/>
          <w:sz w:val="20"/>
          <w:szCs w:val="20"/>
        </w:rPr>
      </w:pPr>
      <w:r w:rsidRPr="00E565AE">
        <w:rPr>
          <w:color w:val="000000" w:themeColor="text1"/>
        </w:rPr>
        <w:fldChar w:fldCharType="begin"/>
      </w:r>
      <w:r w:rsidRPr="00E565AE">
        <w:rPr>
          <w:color w:val="000000" w:themeColor="text1"/>
        </w:rPr>
        <w:instrText xml:space="preserve"> INCLUDEPICTURE "https://media.springernature.com/full/springer-static/image/art%3A10.1038%2Fmi.2016.81/MediaObjects/41385_2017_Article_BFmi201681_Fig1_HTML.jpg" \* MERGEFORMATINET </w:instrText>
      </w:r>
      <w:r w:rsidRPr="00E565AE">
        <w:rPr>
          <w:color w:val="000000" w:themeColor="text1"/>
        </w:rPr>
        <w:fldChar w:fldCharType="separate"/>
      </w:r>
      <w:r w:rsidRPr="00E565AE">
        <w:rPr>
          <w:noProof/>
          <w:color w:val="000000" w:themeColor="text1"/>
        </w:rPr>
        <w:drawing>
          <wp:inline distT="0" distB="0" distL="0" distR="0" wp14:anchorId="07A8D34E" wp14:editId="72BF13A7">
            <wp:extent cx="5172824" cy="2602523"/>
            <wp:effectExtent l="0" t="0" r="0" b="1270"/>
            <wp:docPr id="229" name="Immagine 229"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91693" cy="2612016"/>
                    </a:xfrm>
                    <a:prstGeom prst="rect">
                      <a:avLst/>
                    </a:prstGeom>
                    <a:noFill/>
                    <a:ln>
                      <a:noFill/>
                    </a:ln>
                  </pic:spPr>
                </pic:pic>
              </a:graphicData>
            </a:graphic>
          </wp:inline>
        </w:drawing>
      </w:r>
      <w:r w:rsidRPr="00E565AE">
        <w:rPr>
          <w:color w:val="000000" w:themeColor="text1"/>
        </w:rPr>
        <w:fldChar w:fldCharType="end"/>
      </w:r>
    </w:p>
    <w:p w:rsidR="003302DA" w:rsidRPr="003302DA" w:rsidRDefault="003302DA" w:rsidP="003302DA">
      <w:pPr>
        <w:shd w:val="clear" w:color="auto" w:fill="F2F2F2" w:themeFill="background1" w:themeFillShade="F2"/>
        <w:rPr>
          <w:rFonts w:asciiTheme="minorHAnsi" w:hAnsiTheme="minorHAnsi" w:cstheme="minorHAnsi"/>
          <w:color w:val="000000" w:themeColor="text1"/>
          <w:sz w:val="18"/>
          <w:szCs w:val="18"/>
        </w:rPr>
      </w:pPr>
      <w:r w:rsidRPr="003302DA">
        <w:rPr>
          <w:rFonts w:asciiTheme="minorHAnsi" w:hAnsiTheme="minorHAnsi" w:cstheme="minorHAnsi"/>
          <w:color w:val="000000" w:themeColor="text1"/>
          <w:sz w:val="18"/>
          <w:szCs w:val="18"/>
        </w:rPr>
        <w:lastRenderedPageBreak/>
        <w:t xml:space="preserve">Tratta da </w:t>
      </w:r>
      <w:hyperlink r:id="rId147" w:history="1">
        <w:r w:rsidRPr="003302DA">
          <w:rPr>
            <w:rStyle w:val="Hyperlink"/>
            <w:rFonts w:asciiTheme="minorHAnsi" w:eastAsiaTheme="majorEastAsia" w:hAnsiTheme="minorHAnsi" w:cstheme="minorHAnsi"/>
            <w:color w:val="000000" w:themeColor="text1"/>
            <w:sz w:val="18"/>
            <w:szCs w:val="18"/>
            <w:u w:val="none"/>
          </w:rPr>
          <w:t>https://www.nature.com/articles/mi201681</w:t>
        </w:r>
      </w:hyperlink>
      <w:r w:rsidRPr="003302DA">
        <w:rPr>
          <w:rFonts w:asciiTheme="minorHAnsi" w:hAnsiTheme="minorHAnsi" w:cstheme="minorHAnsi"/>
          <w:color w:val="000000" w:themeColor="text1"/>
          <w:sz w:val="18"/>
          <w:szCs w:val="18"/>
        </w:rPr>
        <w:t xml:space="preserve"> </w:t>
      </w:r>
    </w:p>
    <w:p w:rsidR="003302DA" w:rsidRPr="003302DA" w:rsidRDefault="003302DA" w:rsidP="003302DA">
      <w:pPr>
        <w:shd w:val="clear" w:color="auto" w:fill="F2F2F2" w:themeFill="background1" w:themeFillShade="F2"/>
        <w:jc w:val="both"/>
        <w:rPr>
          <w:rFonts w:asciiTheme="minorHAnsi" w:hAnsiTheme="minorHAnsi" w:cstheme="minorHAnsi"/>
          <w:b/>
          <w:bCs/>
          <w:color w:val="000000" w:themeColor="text1"/>
          <w:sz w:val="18"/>
          <w:szCs w:val="18"/>
        </w:rPr>
      </w:pPr>
      <w:r w:rsidRPr="003302DA">
        <w:rPr>
          <w:rFonts w:asciiTheme="minorHAnsi" w:hAnsiTheme="minorHAnsi" w:cstheme="minorHAnsi"/>
          <w:b/>
          <w:bCs/>
          <w:color w:val="000000" w:themeColor="text1"/>
          <w:sz w:val="18"/>
          <w:szCs w:val="18"/>
        </w:rPr>
        <w:t xml:space="preserve">Sviluppo del sistema immunitario della mucosa intestinale </w:t>
      </w:r>
    </w:p>
    <w:p w:rsidR="003302DA" w:rsidRPr="003302DA" w:rsidRDefault="003302DA" w:rsidP="003302DA">
      <w:pPr>
        <w:shd w:val="clear" w:color="auto" w:fill="F2F2F2" w:themeFill="background1" w:themeFillShade="F2"/>
        <w:jc w:val="both"/>
        <w:rPr>
          <w:rFonts w:asciiTheme="minorHAnsi" w:hAnsiTheme="minorHAnsi" w:cstheme="minorHAnsi"/>
          <w:color w:val="000000" w:themeColor="text1"/>
          <w:sz w:val="18"/>
          <w:szCs w:val="18"/>
        </w:rPr>
      </w:pPr>
      <w:r w:rsidRPr="003302DA">
        <w:rPr>
          <w:rFonts w:asciiTheme="minorHAnsi" w:hAnsiTheme="minorHAnsi" w:cstheme="minorHAnsi"/>
          <w:color w:val="000000" w:themeColor="text1"/>
          <w:sz w:val="18"/>
          <w:szCs w:val="18"/>
        </w:rPr>
        <w:t xml:space="preserve">Prima della nascita, le placche di Peyer si sviluppano attraverso uno scambio tra l'induttore del tessuto linfoide (LTi) e le cellule dello stroma all'interno dell'ambiente sterile dell'utero. La mucosa dell'intestino tenue è popolata dall'onda fetale dei linfociti T γδ. Alla nascita, l'architettura del tessuto intestinale murino è immatura e subisce numerosi cambiamenti dello sviluppo fino a raggiungere lo stato adulto. La mucosa neonatale è caratterizzata da una mancanza di cripte e cellule di Paneth che risiedono nella cripta, una delle principali fonti di sostanze antimicrobiche nel tessuto adulto. </w:t>
      </w:r>
    </w:p>
    <w:p w:rsidR="003302DA" w:rsidRPr="003302DA" w:rsidRDefault="003302DA" w:rsidP="003302DA">
      <w:pPr>
        <w:shd w:val="clear" w:color="auto" w:fill="F2F2F2" w:themeFill="background1" w:themeFillShade="F2"/>
        <w:jc w:val="both"/>
        <w:rPr>
          <w:rFonts w:asciiTheme="minorHAnsi" w:hAnsiTheme="minorHAnsi" w:cstheme="minorHAnsi"/>
          <w:color w:val="000000" w:themeColor="text1"/>
          <w:sz w:val="18"/>
          <w:szCs w:val="18"/>
        </w:rPr>
      </w:pPr>
      <w:r w:rsidRPr="003302DA">
        <w:rPr>
          <w:rFonts w:asciiTheme="minorHAnsi" w:hAnsiTheme="minorHAnsi" w:cstheme="minorHAnsi"/>
          <w:color w:val="000000" w:themeColor="text1"/>
          <w:sz w:val="18"/>
          <w:szCs w:val="18"/>
        </w:rPr>
        <w:t>Gli enterociti neonatali, tuttavia, esprimono il peptide antimicrobico correlato alla catelicidina (CRAMP). La nascita inizia la colonizzazione della mucosa intestinale e la densità microbica nel neonato raggiunge rapidamente i livelli di plateau. Il microbiota neonatale è dominato da lattobacilli, streptococchi e bifidobatteri, mentre le specie del batteriodetes phylum diventano prevalenti solo negli adulti. La diversità microbica nell'intestino postnatale è ridotta di circa 3 volte rispetto alla situazione adulta. Nonostante la presenza di cellule caliciformi, l'espressione delle mucine muc2, muc3 e muc5ac è ridotta nel neonato con conseguente strato di muco più sottile. αβ T (compresi i linfociti T regolatori derivati ​​dal timo (tTregs) e i linfociti B iniziano a popolare l'intestino poco dopo la nascita, tuttavia, mostrano un discreto profilo di residenza solo nelle placche di Peyer e rimangono naïve per tutta la fase neonatale. La presenza di centri germinali e linfociti attivati ​​è nota nelle placche di Peyer. La maturazione delle cellule M, che sono le principali vie di assorbimento dell'antigene nell'adulto, si verifica anche dopo la seconda settimana di vita. I siti effettori della lamina propria e del compartimento intraepiteliale sono popolati solo da linfociti dopo lo svezzamento. Dopo la nascita si nota la formazione di criptopatch e la loro ulteriore maturazione in follicoli linfoidi isolati (ILF) dipende dalla presenza di un microbiota. Durante la fase postnatale, molti fattori bioattivi sono forniti dal latte materno comprese le citochine , fattori di crescita, nonché immunoglobulina secretoria A (SIgA). La SIgA endogena viene prodotta solo dalle plasmacellule e nel tessuto mucoso adulto.</w:t>
      </w:r>
    </w:p>
    <w:p w:rsidR="009F3BD8" w:rsidRDefault="009F3BD8" w:rsidP="009F3BD8">
      <w:pPr>
        <w:ind w:right="-7"/>
        <w:jc w:val="both"/>
        <w:rPr>
          <w:rFonts w:asciiTheme="minorHAnsi" w:hAnsiTheme="minorHAnsi" w:cstheme="minorHAnsi"/>
          <w:color w:val="000000" w:themeColor="text1"/>
          <w:sz w:val="20"/>
          <w:szCs w:val="20"/>
        </w:rPr>
      </w:pPr>
    </w:p>
    <w:p w:rsidR="00CB502B" w:rsidRPr="009F3BD8" w:rsidRDefault="00CB502B" w:rsidP="009F3BD8">
      <w:pPr>
        <w:ind w:right="701"/>
        <w:jc w:val="both"/>
        <w:rPr>
          <w:rFonts w:asciiTheme="minorHAnsi" w:hAnsiTheme="minorHAnsi" w:cstheme="minorHAnsi"/>
          <w:color w:val="000000" w:themeColor="text1"/>
          <w:sz w:val="20"/>
          <w:szCs w:val="20"/>
        </w:rPr>
      </w:pPr>
    </w:p>
    <w:p w:rsidR="009F3BD8" w:rsidRDefault="009F3BD8" w:rsidP="009F3BD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505"/>
          <w:tab w:val="left" w:pos="8789"/>
        </w:tabs>
        <w:ind w:left="851" w:right="1127"/>
        <w:jc w:val="both"/>
        <w:rPr>
          <w:rFonts w:asciiTheme="minorHAnsi" w:hAnsiTheme="minorHAnsi" w:cstheme="minorHAnsi"/>
          <w:color w:val="000000" w:themeColor="text1"/>
          <w:sz w:val="20"/>
          <w:szCs w:val="20"/>
        </w:rPr>
      </w:pPr>
    </w:p>
    <w:p w:rsidR="009F3BD8" w:rsidRPr="009F3BD8" w:rsidRDefault="009F3BD8" w:rsidP="009F3BD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505"/>
          <w:tab w:val="left" w:pos="8789"/>
        </w:tabs>
        <w:ind w:left="851" w:right="1127"/>
        <w:jc w:val="both"/>
        <w:rPr>
          <w:rFonts w:asciiTheme="minorHAnsi" w:hAnsiTheme="minorHAnsi" w:cstheme="minorHAnsi"/>
          <w:i/>
          <w:iCs/>
          <w:color w:val="000000" w:themeColor="text1"/>
          <w:sz w:val="20"/>
          <w:szCs w:val="20"/>
        </w:rPr>
      </w:pPr>
      <w:r w:rsidRPr="009F3BD8">
        <w:rPr>
          <w:rFonts w:asciiTheme="minorHAnsi" w:hAnsiTheme="minorHAnsi" w:cstheme="minorHAnsi"/>
          <w:i/>
          <w:iCs/>
          <w:color w:val="000000" w:themeColor="text1"/>
          <w:sz w:val="20"/>
          <w:szCs w:val="20"/>
        </w:rPr>
        <w:t xml:space="preserve">Alla nascita, quasi tutte le cellule T presentano la glicoproteina CD45RA, tipica delle cellule T naïve che non hanno mai incontrato antigeni estranei. </w:t>
      </w:r>
    </w:p>
    <w:p w:rsidR="009F3BD8" w:rsidRDefault="009F3BD8" w:rsidP="009F3BD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505"/>
        </w:tabs>
        <w:ind w:left="851" w:right="1127"/>
        <w:jc w:val="both"/>
        <w:rPr>
          <w:rFonts w:asciiTheme="minorHAnsi" w:hAnsiTheme="minorHAnsi" w:cstheme="minorHAnsi"/>
          <w:i/>
          <w:iCs/>
          <w:color w:val="000000" w:themeColor="text1"/>
          <w:sz w:val="20"/>
          <w:szCs w:val="20"/>
        </w:rPr>
      </w:pPr>
    </w:p>
    <w:p w:rsidR="009F3BD8" w:rsidRDefault="00E5713A" w:rsidP="009F3BD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505"/>
        </w:tabs>
        <w:ind w:left="851" w:right="1127"/>
        <w:jc w:val="both"/>
        <w:rPr>
          <w:rFonts w:asciiTheme="minorHAnsi" w:hAnsiTheme="minorHAnsi" w:cstheme="minorHAnsi"/>
          <w:i/>
          <w:iCs/>
          <w:color w:val="000000" w:themeColor="text1"/>
          <w:sz w:val="20"/>
          <w:szCs w:val="20"/>
        </w:rPr>
      </w:pPr>
      <w:r w:rsidRPr="009F3BD8">
        <w:rPr>
          <w:rFonts w:asciiTheme="minorHAnsi" w:hAnsiTheme="minorHAnsi" w:cstheme="minorHAnsi"/>
          <w:i/>
          <w:iCs/>
          <w:color w:val="000000" w:themeColor="text1"/>
          <w:sz w:val="20"/>
          <w:szCs w:val="20"/>
        </w:rPr>
        <w:t>Durante l’infanzia le cellule Th17 e Th2 aumentano gradualmente fino ad  uguagliare il numero d</w:t>
      </w:r>
      <w:r w:rsidR="00DD4E91" w:rsidRPr="009F3BD8">
        <w:rPr>
          <w:rFonts w:asciiTheme="minorHAnsi" w:hAnsiTheme="minorHAnsi" w:cstheme="minorHAnsi"/>
          <w:i/>
          <w:iCs/>
          <w:color w:val="000000" w:themeColor="text1"/>
          <w:sz w:val="20"/>
          <w:szCs w:val="20"/>
        </w:rPr>
        <w:t>elle</w:t>
      </w:r>
      <w:r w:rsidRPr="009F3BD8">
        <w:rPr>
          <w:rFonts w:asciiTheme="minorHAnsi" w:hAnsiTheme="minorHAnsi" w:cstheme="minorHAnsi"/>
          <w:i/>
          <w:iCs/>
          <w:color w:val="000000" w:themeColor="text1"/>
          <w:sz w:val="20"/>
          <w:szCs w:val="20"/>
        </w:rPr>
        <w:t xml:space="preserve"> cellule T </w:t>
      </w:r>
      <w:r w:rsidR="006B6A17" w:rsidRPr="009F3BD8">
        <w:rPr>
          <w:rFonts w:asciiTheme="minorHAnsi" w:hAnsiTheme="minorHAnsi" w:cstheme="minorHAnsi"/>
          <w:i/>
          <w:iCs/>
          <w:color w:val="000000" w:themeColor="text1"/>
          <w:sz w:val="20"/>
          <w:szCs w:val="20"/>
        </w:rPr>
        <w:t>naïve</w:t>
      </w:r>
      <w:r w:rsidRPr="009F3BD8">
        <w:rPr>
          <w:rFonts w:asciiTheme="minorHAnsi" w:hAnsiTheme="minorHAnsi" w:cstheme="minorHAnsi"/>
          <w:i/>
          <w:iCs/>
          <w:color w:val="000000" w:themeColor="text1"/>
          <w:sz w:val="20"/>
          <w:szCs w:val="20"/>
        </w:rPr>
        <w:t>.</w:t>
      </w:r>
      <w:r w:rsidR="00717D4D" w:rsidRPr="009F3BD8">
        <w:rPr>
          <w:rFonts w:asciiTheme="minorHAnsi" w:hAnsiTheme="minorHAnsi" w:cstheme="minorHAnsi"/>
          <w:i/>
          <w:iCs/>
          <w:color w:val="000000" w:themeColor="text1"/>
          <w:sz w:val="20"/>
          <w:szCs w:val="20"/>
        </w:rPr>
        <w:t xml:space="preserve"> </w:t>
      </w:r>
      <w:r w:rsidR="00717D4D" w:rsidRPr="009F3BD8">
        <w:rPr>
          <w:rStyle w:val="FootnoteReference"/>
          <w:rFonts w:asciiTheme="minorHAnsi" w:hAnsiTheme="minorHAnsi" w:cstheme="minorHAnsi"/>
          <w:i/>
          <w:iCs/>
          <w:color w:val="000000" w:themeColor="text1"/>
          <w:sz w:val="20"/>
          <w:szCs w:val="20"/>
        </w:rPr>
        <w:footnoteReference w:id="172"/>
      </w:r>
      <w:r w:rsidRPr="009F3BD8">
        <w:rPr>
          <w:rFonts w:asciiTheme="minorHAnsi" w:hAnsiTheme="minorHAnsi" w:cstheme="minorHAnsi"/>
          <w:i/>
          <w:iCs/>
          <w:color w:val="000000" w:themeColor="text1"/>
          <w:sz w:val="20"/>
          <w:szCs w:val="20"/>
        </w:rPr>
        <w:t xml:space="preserve"> </w:t>
      </w:r>
    </w:p>
    <w:p w:rsidR="009F3BD8" w:rsidRDefault="009F3BD8" w:rsidP="009F3BD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505"/>
        </w:tabs>
        <w:ind w:left="851" w:right="1127"/>
        <w:jc w:val="both"/>
        <w:rPr>
          <w:rFonts w:asciiTheme="minorHAnsi" w:hAnsiTheme="minorHAnsi" w:cstheme="minorHAnsi"/>
          <w:i/>
          <w:iCs/>
          <w:color w:val="000000" w:themeColor="text1"/>
          <w:sz w:val="20"/>
          <w:szCs w:val="20"/>
        </w:rPr>
      </w:pPr>
    </w:p>
    <w:p w:rsidR="009F3BD8" w:rsidRDefault="00E5713A" w:rsidP="009F3BD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505"/>
        </w:tabs>
        <w:ind w:left="851" w:right="1127"/>
        <w:jc w:val="both"/>
        <w:rPr>
          <w:rFonts w:asciiTheme="minorHAnsi" w:hAnsiTheme="minorHAnsi" w:cstheme="minorHAnsi"/>
          <w:i/>
          <w:iCs/>
          <w:color w:val="000000" w:themeColor="text1"/>
          <w:sz w:val="20"/>
          <w:szCs w:val="20"/>
        </w:rPr>
      </w:pPr>
      <w:r w:rsidRPr="009F3BD8">
        <w:rPr>
          <w:rFonts w:asciiTheme="minorHAnsi" w:hAnsiTheme="minorHAnsi" w:cstheme="minorHAnsi"/>
          <w:i/>
          <w:iCs/>
          <w:color w:val="000000" w:themeColor="text1"/>
          <w:sz w:val="20"/>
          <w:szCs w:val="20"/>
        </w:rPr>
        <w:t xml:space="preserve">Sebbene alcune </w:t>
      </w:r>
      <w:r w:rsidR="00DD4E91" w:rsidRPr="009F3BD8">
        <w:rPr>
          <w:rFonts w:asciiTheme="minorHAnsi" w:hAnsiTheme="minorHAnsi" w:cstheme="minorHAnsi"/>
          <w:i/>
          <w:iCs/>
          <w:color w:val="000000" w:themeColor="text1"/>
          <w:sz w:val="20"/>
          <w:szCs w:val="20"/>
        </w:rPr>
        <w:t>delle</w:t>
      </w:r>
      <w:r w:rsidRPr="009F3BD8">
        <w:rPr>
          <w:rFonts w:asciiTheme="minorHAnsi" w:hAnsiTheme="minorHAnsi" w:cstheme="minorHAnsi"/>
          <w:i/>
          <w:iCs/>
          <w:color w:val="000000" w:themeColor="text1"/>
          <w:sz w:val="20"/>
          <w:szCs w:val="20"/>
        </w:rPr>
        <w:t xml:space="preserve"> cellule T della memoria possono essere stimolate da infezioni con agenti patogeni specifici e dalle vaccinazioni, molte vengono stimolate dal microbioma, non solo nell'intestino ma anche a livello del tratto respiratorio e della pelle. </w:t>
      </w:r>
    </w:p>
    <w:p w:rsidR="009F3BD8" w:rsidRPr="009F3BD8" w:rsidRDefault="009F3BD8" w:rsidP="009F3BD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505"/>
        </w:tabs>
        <w:ind w:left="851" w:right="1127"/>
        <w:jc w:val="both"/>
        <w:rPr>
          <w:rFonts w:asciiTheme="minorHAnsi" w:hAnsiTheme="minorHAnsi" w:cstheme="minorHAnsi"/>
          <w:i/>
          <w:iCs/>
          <w:color w:val="000000" w:themeColor="text1"/>
          <w:sz w:val="20"/>
          <w:szCs w:val="20"/>
        </w:rPr>
      </w:pPr>
    </w:p>
    <w:p w:rsidR="00827FA6" w:rsidRDefault="00E5713A" w:rsidP="009F3BD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505"/>
        </w:tabs>
        <w:ind w:left="851" w:right="1127"/>
        <w:jc w:val="both"/>
        <w:rPr>
          <w:rFonts w:asciiTheme="minorHAnsi" w:hAnsiTheme="minorHAnsi" w:cstheme="minorHAnsi"/>
          <w:i/>
          <w:iCs/>
          <w:color w:val="000000" w:themeColor="text1"/>
          <w:sz w:val="20"/>
          <w:szCs w:val="20"/>
        </w:rPr>
      </w:pPr>
      <w:r w:rsidRPr="009F3BD8">
        <w:rPr>
          <w:rFonts w:asciiTheme="minorHAnsi" w:hAnsiTheme="minorHAnsi" w:cstheme="minorHAnsi"/>
          <w:i/>
          <w:iCs/>
          <w:color w:val="000000" w:themeColor="text1"/>
          <w:sz w:val="20"/>
          <w:szCs w:val="20"/>
        </w:rPr>
        <w:t>Queste cellule T della memoria sono in grado di rispondere ad infezioni successive attraverso reazioni crociate anche per patogeni che la persona non ha mai incontrato.</w:t>
      </w:r>
      <w:r w:rsidR="00717D4D" w:rsidRPr="009F3BD8">
        <w:rPr>
          <w:rStyle w:val="FootnoteReference"/>
          <w:rFonts w:asciiTheme="minorHAnsi" w:hAnsiTheme="minorHAnsi" w:cstheme="minorHAnsi"/>
          <w:i/>
          <w:iCs/>
          <w:color w:val="000000" w:themeColor="text1"/>
          <w:sz w:val="20"/>
          <w:szCs w:val="20"/>
        </w:rPr>
        <w:footnoteReference w:id="173"/>
      </w:r>
    </w:p>
    <w:p w:rsidR="009F3BD8" w:rsidRPr="009F3BD8" w:rsidRDefault="009F3BD8" w:rsidP="009F3BD8">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505"/>
        </w:tabs>
        <w:ind w:left="851" w:right="1127"/>
        <w:jc w:val="both"/>
        <w:rPr>
          <w:rFonts w:asciiTheme="minorHAnsi" w:hAnsiTheme="minorHAnsi" w:cstheme="minorHAnsi"/>
          <w:i/>
          <w:iCs/>
          <w:color w:val="000000" w:themeColor="text1"/>
          <w:sz w:val="20"/>
          <w:szCs w:val="20"/>
        </w:rPr>
      </w:pPr>
    </w:p>
    <w:p w:rsidR="00CB502B" w:rsidRPr="009F3BD8" w:rsidRDefault="00CB502B" w:rsidP="009F3BD8">
      <w:pPr>
        <w:ind w:right="701"/>
        <w:jc w:val="both"/>
        <w:rPr>
          <w:rFonts w:asciiTheme="minorHAnsi" w:hAnsiTheme="minorHAnsi" w:cstheme="minorHAnsi"/>
          <w:color w:val="000000" w:themeColor="text1"/>
          <w:sz w:val="20"/>
          <w:szCs w:val="20"/>
        </w:rPr>
      </w:pPr>
    </w:p>
    <w:p w:rsidR="00CB502B" w:rsidRPr="00E565AE" w:rsidRDefault="00CB502B"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È</w:t>
      </w:r>
      <w:r w:rsidR="00651BF7" w:rsidRPr="00E565AE">
        <w:rPr>
          <w:rFonts w:asciiTheme="minorHAnsi" w:hAnsiTheme="minorHAnsi" w:cstheme="minorHAnsi"/>
          <w:color w:val="000000" w:themeColor="text1"/>
          <w:sz w:val="20"/>
          <w:szCs w:val="20"/>
        </w:rPr>
        <w:t xml:space="preserve"> importante tenere presente che durante la gravidanza </w:t>
      </w:r>
      <w:r w:rsidR="00AC3FD4" w:rsidRPr="00E565AE">
        <w:rPr>
          <w:rFonts w:asciiTheme="minorHAnsi" w:hAnsiTheme="minorHAnsi" w:cstheme="minorHAnsi"/>
          <w:color w:val="000000" w:themeColor="text1"/>
          <w:sz w:val="20"/>
          <w:szCs w:val="20"/>
        </w:rPr>
        <w:t xml:space="preserve">avvengono importanti </w:t>
      </w:r>
      <w:r w:rsidR="00651BF7" w:rsidRPr="00E565AE">
        <w:rPr>
          <w:rFonts w:asciiTheme="minorHAnsi" w:hAnsiTheme="minorHAnsi" w:cstheme="minorHAnsi"/>
          <w:color w:val="000000" w:themeColor="text1"/>
          <w:sz w:val="20"/>
          <w:szCs w:val="20"/>
        </w:rPr>
        <w:t xml:space="preserve">cambiamenti nei microbiomi materni. La traslocazione di batteri dai microbiomi orali e intestinali materni durante la gravidanza, oltre all'ascensione dei batteri dal microbioma vaginale, può spiegare la presenza di batteri non patogeni in posizioni intrauterine. </w:t>
      </w:r>
    </w:p>
    <w:p w:rsidR="00651BF7" w:rsidRPr="00E565AE" w:rsidRDefault="00651BF7"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I batteri di origine materna rilevati nel meconio neonatale suggeriscono il trasferimento prenatale dei batteri dalla madre al bambino.</w:t>
      </w:r>
    </w:p>
    <w:p w:rsidR="00CB502B" w:rsidRPr="00E565AE" w:rsidRDefault="00CB502B" w:rsidP="00E5713A">
      <w:pPr>
        <w:jc w:val="both"/>
        <w:rPr>
          <w:rFonts w:asciiTheme="minorHAnsi" w:hAnsiTheme="minorHAnsi" w:cstheme="minorHAnsi"/>
          <w:color w:val="000000" w:themeColor="text1"/>
          <w:sz w:val="20"/>
          <w:szCs w:val="20"/>
        </w:rPr>
      </w:pPr>
    </w:p>
    <w:p w:rsidR="00AC3FD4" w:rsidRPr="003302DA" w:rsidRDefault="00651BF7" w:rsidP="00651BF7">
      <w:pPr>
        <w:jc w:val="both"/>
        <w:rPr>
          <w:rFonts w:asciiTheme="minorHAnsi" w:hAnsiTheme="minorHAnsi" w:cstheme="minorHAnsi"/>
          <w:color w:val="000000" w:themeColor="text1"/>
          <w:sz w:val="20"/>
          <w:szCs w:val="20"/>
        </w:rPr>
      </w:pPr>
      <w:r w:rsidRPr="003302DA">
        <w:rPr>
          <w:rFonts w:asciiTheme="minorHAnsi" w:hAnsiTheme="minorHAnsi" w:cstheme="minorHAnsi"/>
          <w:color w:val="000000" w:themeColor="text1"/>
          <w:sz w:val="20"/>
          <w:szCs w:val="20"/>
        </w:rPr>
        <w:t xml:space="preserve">I meccanismi proposti per il trasferimento materno di batteri al feto in utero sono i seguenti: </w:t>
      </w:r>
    </w:p>
    <w:p w:rsidR="00CB502B" w:rsidRPr="00E565AE" w:rsidRDefault="00CB502B" w:rsidP="00651BF7">
      <w:pPr>
        <w:jc w:val="both"/>
        <w:rPr>
          <w:rFonts w:asciiTheme="minorHAnsi" w:hAnsiTheme="minorHAnsi" w:cstheme="minorHAnsi"/>
          <w:color w:val="000000" w:themeColor="text1"/>
          <w:sz w:val="20"/>
          <w:szCs w:val="20"/>
        </w:rPr>
      </w:pPr>
    </w:p>
    <w:p w:rsidR="003302DA" w:rsidRDefault="00651BF7" w:rsidP="003302DA">
      <w:pPr>
        <w:ind w:left="851" w:hanging="851"/>
        <w:jc w:val="both"/>
        <w:rPr>
          <w:rFonts w:asciiTheme="minorHAnsi" w:hAnsiTheme="minorHAnsi" w:cstheme="minorHAnsi"/>
          <w:color w:val="000000" w:themeColor="text1"/>
          <w:sz w:val="20"/>
          <w:szCs w:val="20"/>
        </w:rPr>
      </w:pPr>
      <w:r w:rsidRPr="003302DA">
        <w:rPr>
          <w:rFonts w:asciiTheme="minorHAnsi" w:hAnsiTheme="minorHAnsi" w:cstheme="minorHAnsi"/>
          <w:b/>
          <w:bCs/>
          <w:color w:val="000000" w:themeColor="text1"/>
          <w:sz w:val="20"/>
          <w:szCs w:val="20"/>
          <w:u w:val="single"/>
          <w:shd w:val="clear" w:color="auto" w:fill="FBF9E1"/>
        </w:rPr>
        <w:t>Intestino</w:t>
      </w:r>
      <w:r w:rsidRPr="00E565AE">
        <w:rPr>
          <w:rFonts w:asciiTheme="minorHAnsi" w:hAnsiTheme="minorHAnsi" w:cstheme="minorHAnsi"/>
          <w:b/>
          <w:bCs/>
          <w:color w:val="000000" w:themeColor="text1"/>
          <w:sz w:val="20"/>
          <w:szCs w:val="20"/>
        </w:rPr>
        <w:t>:</w:t>
      </w:r>
      <w:r w:rsidRPr="00E565AE">
        <w:rPr>
          <w:rFonts w:asciiTheme="minorHAnsi" w:hAnsiTheme="minorHAnsi" w:cstheme="minorHAnsi"/>
          <w:color w:val="000000" w:themeColor="text1"/>
          <w:sz w:val="20"/>
          <w:szCs w:val="20"/>
        </w:rPr>
        <w:t xml:space="preserve"> il lume dell'intestino distale materno è rivestito di enterociti che in condizioni normali formano una barriera cellulare e mucosa ai microbi intestinali. </w:t>
      </w:r>
    </w:p>
    <w:p w:rsidR="003302DA" w:rsidRDefault="00651BF7" w:rsidP="003302DA">
      <w:pPr>
        <w:ind w:left="85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Dieta, stress, esposizione agli antibiotici, malattie e la gravidanza stessa possono alterare lo spessore dello strato mucoso e l'integrità del</w:t>
      </w:r>
      <w:r w:rsidR="00DD4E91" w:rsidRPr="00E565AE">
        <w:rPr>
          <w:rFonts w:asciiTheme="minorHAnsi" w:hAnsiTheme="minorHAnsi" w:cstheme="minorHAnsi"/>
          <w:color w:val="000000" w:themeColor="text1"/>
          <w:sz w:val="20"/>
          <w:szCs w:val="20"/>
        </w:rPr>
        <w:t>la barriera</w:t>
      </w:r>
      <w:r w:rsidRPr="00E565AE">
        <w:rPr>
          <w:rFonts w:asciiTheme="minorHAnsi" w:hAnsiTheme="minorHAnsi" w:cstheme="minorHAnsi"/>
          <w:color w:val="000000" w:themeColor="text1"/>
          <w:sz w:val="20"/>
          <w:szCs w:val="20"/>
        </w:rPr>
        <w:t xml:space="preserve"> degli enterociti. </w:t>
      </w:r>
    </w:p>
    <w:p w:rsidR="00AC3FD4" w:rsidRPr="00E565AE" w:rsidRDefault="00651BF7" w:rsidP="003302DA">
      <w:pPr>
        <w:ind w:left="85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 xml:space="preserve">Le lacune in questo strato (permeabilità intestinale) consentono ai batteri di attraversare la barriera intestinale </w:t>
      </w:r>
      <w:r w:rsidR="00DD4E91" w:rsidRPr="00E565AE">
        <w:rPr>
          <w:rFonts w:asciiTheme="minorHAnsi" w:hAnsiTheme="minorHAnsi" w:cstheme="minorHAnsi"/>
          <w:color w:val="000000" w:themeColor="text1"/>
          <w:sz w:val="20"/>
          <w:szCs w:val="20"/>
        </w:rPr>
        <w:t xml:space="preserve">e di entrare </w:t>
      </w:r>
      <w:r w:rsidRPr="00E565AE">
        <w:rPr>
          <w:rFonts w:asciiTheme="minorHAnsi" w:hAnsiTheme="minorHAnsi" w:cstheme="minorHAnsi"/>
          <w:color w:val="000000" w:themeColor="text1"/>
          <w:sz w:val="20"/>
          <w:szCs w:val="20"/>
        </w:rPr>
        <w:t xml:space="preserve">nel </w:t>
      </w:r>
      <w:r w:rsidR="00DD4E91" w:rsidRPr="00E565AE">
        <w:rPr>
          <w:rFonts w:asciiTheme="minorHAnsi" w:hAnsiTheme="minorHAnsi" w:cstheme="minorHAnsi"/>
          <w:color w:val="000000" w:themeColor="text1"/>
          <w:sz w:val="20"/>
          <w:szCs w:val="20"/>
        </w:rPr>
        <w:t>circolo ematico</w:t>
      </w:r>
      <w:r w:rsidRPr="00E565AE">
        <w:rPr>
          <w:rFonts w:asciiTheme="minorHAnsi" w:hAnsiTheme="minorHAnsi" w:cstheme="minorHAnsi"/>
          <w:color w:val="000000" w:themeColor="text1"/>
          <w:sz w:val="20"/>
          <w:szCs w:val="20"/>
        </w:rPr>
        <w:t xml:space="preserve"> o nei vasi linfatici e di traslocare in altri siti del corpo.</w:t>
      </w:r>
    </w:p>
    <w:p w:rsidR="00CB502B" w:rsidRPr="00E565AE" w:rsidRDefault="00CB502B" w:rsidP="00651BF7">
      <w:pPr>
        <w:jc w:val="both"/>
        <w:rPr>
          <w:rFonts w:asciiTheme="minorHAnsi" w:hAnsiTheme="minorHAnsi" w:cstheme="minorHAnsi"/>
          <w:color w:val="000000" w:themeColor="text1"/>
          <w:sz w:val="20"/>
          <w:szCs w:val="20"/>
        </w:rPr>
      </w:pPr>
    </w:p>
    <w:p w:rsidR="00AC3FD4" w:rsidRPr="00E565AE" w:rsidRDefault="00651BF7" w:rsidP="003302DA">
      <w:pPr>
        <w:ind w:left="567" w:hanging="567"/>
        <w:jc w:val="both"/>
        <w:rPr>
          <w:rFonts w:asciiTheme="minorHAnsi" w:hAnsiTheme="minorHAnsi" w:cstheme="minorHAnsi"/>
          <w:color w:val="000000" w:themeColor="text1"/>
          <w:sz w:val="20"/>
          <w:szCs w:val="20"/>
        </w:rPr>
      </w:pPr>
      <w:r w:rsidRPr="003302DA">
        <w:rPr>
          <w:rFonts w:asciiTheme="minorHAnsi" w:hAnsiTheme="minorHAnsi" w:cstheme="minorHAnsi"/>
          <w:b/>
          <w:bCs/>
          <w:color w:val="000000" w:themeColor="text1"/>
          <w:sz w:val="20"/>
          <w:szCs w:val="20"/>
          <w:u w:val="single"/>
          <w:shd w:val="clear" w:color="auto" w:fill="FBF9E1"/>
        </w:rPr>
        <w:t>Orale</w:t>
      </w:r>
      <w:r w:rsidRPr="00E565AE">
        <w:rPr>
          <w:rFonts w:asciiTheme="minorHAnsi" w:hAnsiTheme="minorHAnsi" w:cstheme="minorHAnsi"/>
          <w:b/>
          <w:bCs/>
          <w:color w:val="000000" w:themeColor="text1"/>
          <w:sz w:val="20"/>
          <w:szCs w:val="20"/>
        </w:rPr>
        <w:t>:</w:t>
      </w:r>
      <w:r w:rsidRPr="00E565AE">
        <w:rPr>
          <w:rFonts w:asciiTheme="minorHAnsi" w:hAnsiTheme="minorHAnsi" w:cstheme="minorHAnsi"/>
          <w:color w:val="000000" w:themeColor="text1"/>
          <w:sz w:val="20"/>
          <w:szCs w:val="20"/>
        </w:rPr>
        <w:t xml:space="preserve"> lesioni dentali o interventi chirurgici e condizioni orali che causano infiammazione (gengivite) consentono ai batteri orali contenuti nelle comunità di microbiomi salivari e subgengivali  di essere esposti al sistema circolatorio. </w:t>
      </w:r>
    </w:p>
    <w:p w:rsidR="00CB502B" w:rsidRPr="00E565AE" w:rsidRDefault="00CB502B" w:rsidP="00651BF7">
      <w:pPr>
        <w:jc w:val="both"/>
        <w:rPr>
          <w:rFonts w:asciiTheme="minorHAnsi" w:hAnsiTheme="minorHAnsi" w:cstheme="minorHAnsi"/>
          <w:color w:val="000000" w:themeColor="text1"/>
          <w:sz w:val="20"/>
          <w:szCs w:val="20"/>
        </w:rPr>
      </w:pPr>
    </w:p>
    <w:p w:rsidR="00651BF7" w:rsidRPr="00E565AE" w:rsidRDefault="00651BF7" w:rsidP="003302DA">
      <w:pPr>
        <w:ind w:left="851" w:hanging="851"/>
        <w:jc w:val="both"/>
        <w:rPr>
          <w:rFonts w:asciiTheme="minorHAnsi" w:hAnsiTheme="minorHAnsi" w:cstheme="minorHAnsi"/>
          <w:color w:val="000000" w:themeColor="text1"/>
          <w:sz w:val="20"/>
          <w:szCs w:val="20"/>
        </w:rPr>
      </w:pPr>
      <w:r w:rsidRPr="003302DA">
        <w:rPr>
          <w:rFonts w:asciiTheme="minorHAnsi" w:hAnsiTheme="minorHAnsi" w:cstheme="minorHAnsi"/>
          <w:b/>
          <w:bCs/>
          <w:color w:val="000000" w:themeColor="text1"/>
          <w:sz w:val="20"/>
          <w:szCs w:val="20"/>
          <w:u w:val="single"/>
          <w:shd w:val="clear" w:color="auto" w:fill="FBF9E1"/>
        </w:rPr>
        <w:t>Placenta</w:t>
      </w:r>
      <w:r w:rsidRPr="00E565AE">
        <w:rPr>
          <w:rFonts w:asciiTheme="minorHAnsi" w:hAnsiTheme="minorHAnsi" w:cstheme="minorHAnsi"/>
          <w:b/>
          <w:bCs/>
          <w:color w:val="000000" w:themeColor="text1"/>
          <w:sz w:val="20"/>
          <w:szCs w:val="20"/>
        </w:rPr>
        <w:t>:</w:t>
      </w:r>
      <w:r w:rsidRPr="00E565AE">
        <w:rPr>
          <w:rFonts w:asciiTheme="minorHAnsi" w:hAnsiTheme="minorHAnsi" w:cstheme="minorHAnsi"/>
          <w:color w:val="000000" w:themeColor="text1"/>
          <w:sz w:val="20"/>
          <w:szCs w:val="20"/>
        </w:rPr>
        <w:t xml:space="preserve"> </w:t>
      </w:r>
      <w:r w:rsidR="003302DA">
        <w:rPr>
          <w:rFonts w:asciiTheme="minorHAnsi" w:hAnsiTheme="minorHAnsi" w:cstheme="minorHAnsi"/>
          <w:color w:val="000000" w:themeColor="text1"/>
          <w:sz w:val="20"/>
          <w:szCs w:val="20"/>
        </w:rPr>
        <w:tab/>
      </w:r>
      <w:r w:rsidRPr="00E565AE">
        <w:rPr>
          <w:rFonts w:asciiTheme="minorHAnsi" w:hAnsiTheme="minorHAnsi" w:cstheme="minorHAnsi"/>
          <w:color w:val="000000" w:themeColor="text1"/>
          <w:sz w:val="20"/>
          <w:szCs w:val="20"/>
        </w:rPr>
        <w:t xml:space="preserve">i batteri già presenti nel rivestimento endometriale o nelle regioni urogenitali possono essere incorporati nella decidua placentare in via di sviluppo. I batteri trasferiti nel sangue da altri microbiomi materni alla placenta possono popolare la decidua, le membrane fetali e i </w:t>
      </w:r>
      <w:r w:rsidR="009A5224" w:rsidRPr="00E565AE">
        <w:rPr>
          <w:rFonts w:asciiTheme="minorHAnsi" w:hAnsiTheme="minorHAnsi" w:cstheme="minorHAnsi"/>
          <w:color w:val="000000" w:themeColor="text1"/>
          <w:sz w:val="20"/>
          <w:szCs w:val="20"/>
        </w:rPr>
        <w:t xml:space="preserve">villi </w:t>
      </w:r>
      <w:r w:rsidRPr="00E565AE">
        <w:rPr>
          <w:rFonts w:asciiTheme="minorHAnsi" w:hAnsiTheme="minorHAnsi" w:cstheme="minorHAnsi"/>
          <w:color w:val="000000" w:themeColor="text1"/>
          <w:sz w:val="20"/>
          <w:szCs w:val="20"/>
        </w:rPr>
        <w:t>e trasferirsi nel feto in via di sviluppo nell'utero attraverso il liquido amniotico e il sangue cordonale.</w:t>
      </w:r>
      <w:r w:rsidR="00AC3FD4" w:rsidRPr="00E565AE">
        <w:rPr>
          <w:rFonts w:asciiTheme="minorHAnsi" w:hAnsiTheme="minorHAnsi" w:cstheme="minorHAnsi"/>
          <w:color w:val="000000" w:themeColor="text1"/>
          <w:sz w:val="20"/>
          <w:szCs w:val="20"/>
        </w:rPr>
        <w:t xml:space="preserve"> </w:t>
      </w:r>
      <w:r w:rsidR="00AC3FD4" w:rsidRPr="00E565AE">
        <w:rPr>
          <w:rStyle w:val="FootnoteReference"/>
          <w:rFonts w:asciiTheme="minorHAnsi" w:hAnsiTheme="minorHAnsi" w:cstheme="minorHAnsi"/>
          <w:color w:val="000000" w:themeColor="text1"/>
          <w:sz w:val="20"/>
          <w:szCs w:val="20"/>
        </w:rPr>
        <w:footnoteReference w:id="174"/>
      </w:r>
    </w:p>
    <w:p w:rsidR="00AC3FD4" w:rsidRPr="00E565AE" w:rsidRDefault="00AC3FD4" w:rsidP="00651BF7">
      <w:pPr>
        <w:jc w:val="both"/>
        <w:rPr>
          <w:rFonts w:asciiTheme="minorHAnsi" w:hAnsiTheme="minorHAnsi" w:cstheme="minorHAnsi"/>
          <w:color w:val="000000" w:themeColor="text1"/>
          <w:sz w:val="22"/>
          <w:szCs w:val="22"/>
        </w:rPr>
      </w:pPr>
    </w:p>
    <w:p w:rsidR="0035319E" w:rsidRDefault="0035319E" w:rsidP="00B80B1B">
      <w:pPr>
        <w:jc w:val="center"/>
        <w:rPr>
          <w:color w:val="000000" w:themeColor="text1"/>
        </w:rPr>
      </w:pPr>
      <w:r w:rsidRPr="00E565AE">
        <w:rPr>
          <w:color w:val="000000" w:themeColor="text1"/>
        </w:rPr>
        <w:fldChar w:fldCharType="begin"/>
      </w:r>
      <w:r w:rsidRPr="00E565AE">
        <w:rPr>
          <w:color w:val="000000" w:themeColor="text1"/>
        </w:rPr>
        <w:instrText xml:space="preserve"> INCLUDEPICTURE "https://www.ncbi.nlm.nih.gov/pmc/articles/PMC6163169/bin/medsci-06-00056-g001.jpg" \* MERGEFORMATINET </w:instrText>
      </w:r>
      <w:r w:rsidRPr="00E565AE">
        <w:rPr>
          <w:color w:val="000000" w:themeColor="text1"/>
        </w:rPr>
        <w:fldChar w:fldCharType="separate"/>
      </w:r>
      <w:r w:rsidRPr="00E565AE">
        <w:rPr>
          <w:noProof/>
          <w:color w:val="000000" w:themeColor="text1"/>
        </w:rPr>
        <w:drawing>
          <wp:inline distT="0" distB="0" distL="0" distR="0">
            <wp:extent cx="5920245" cy="2971800"/>
            <wp:effectExtent l="0" t="0" r="0" b="0"/>
            <wp:docPr id="63" name="Immagine 63" descr="An external file that holds a picture, illustration, etc.&#10;Object name is medsci-06-00056-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 external file that holds a picture, illustration, etc.&#10;Object name is medsci-06-00056-g00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67924" cy="3045931"/>
                    </a:xfrm>
                    <a:prstGeom prst="rect">
                      <a:avLst/>
                    </a:prstGeom>
                    <a:noFill/>
                    <a:ln>
                      <a:noFill/>
                    </a:ln>
                  </pic:spPr>
                </pic:pic>
              </a:graphicData>
            </a:graphic>
          </wp:inline>
        </w:drawing>
      </w:r>
      <w:r w:rsidRPr="00E565AE">
        <w:rPr>
          <w:color w:val="000000" w:themeColor="text1"/>
        </w:rPr>
        <w:fldChar w:fldCharType="end"/>
      </w:r>
    </w:p>
    <w:p w:rsidR="003302DA" w:rsidRPr="00E565AE" w:rsidRDefault="003302DA" w:rsidP="00B80B1B">
      <w:pPr>
        <w:jc w:val="center"/>
        <w:rPr>
          <w:color w:val="000000" w:themeColor="text1"/>
        </w:rPr>
      </w:pPr>
    </w:p>
    <w:p w:rsidR="0035319E" w:rsidRPr="003302DA" w:rsidRDefault="0035319E" w:rsidP="003302DA">
      <w:pPr>
        <w:shd w:val="clear" w:color="auto" w:fill="F2F2F2" w:themeFill="background1" w:themeFillShade="F2"/>
        <w:rPr>
          <w:color w:val="000000" w:themeColor="text1"/>
          <w:sz w:val="18"/>
          <w:szCs w:val="18"/>
        </w:rPr>
      </w:pPr>
      <w:r w:rsidRPr="003302DA">
        <w:rPr>
          <w:rFonts w:asciiTheme="minorHAnsi" w:hAnsiTheme="minorHAnsi" w:cstheme="minorHAnsi"/>
          <w:color w:val="000000" w:themeColor="text1"/>
          <w:sz w:val="18"/>
          <w:szCs w:val="18"/>
        </w:rPr>
        <w:t xml:space="preserve">Tratta da </w:t>
      </w:r>
      <w:hyperlink r:id="rId149" w:history="1">
        <w:r w:rsidRPr="003302DA">
          <w:rPr>
            <w:rStyle w:val="Hyperlink"/>
            <w:rFonts w:asciiTheme="minorHAnsi" w:eastAsiaTheme="majorEastAsia" w:hAnsiTheme="minorHAnsi"/>
            <w:color w:val="000000" w:themeColor="text1"/>
            <w:sz w:val="18"/>
            <w:szCs w:val="18"/>
            <w:u w:val="none"/>
          </w:rPr>
          <w:t>https://www.ncbi.nlm.nih.gov/pmc/articles/PMC6163169/</w:t>
        </w:r>
      </w:hyperlink>
    </w:p>
    <w:p w:rsidR="00827FA6" w:rsidRPr="003302DA" w:rsidRDefault="0035319E" w:rsidP="003302DA">
      <w:pPr>
        <w:shd w:val="clear" w:color="auto" w:fill="F2F2F2" w:themeFill="background1" w:themeFillShade="F2"/>
        <w:jc w:val="both"/>
        <w:rPr>
          <w:rFonts w:asciiTheme="minorHAnsi" w:hAnsiTheme="minorHAnsi" w:cstheme="minorHAnsi"/>
          <w:color w:val="000000" w:themeColor="text1"/>
          <w:sz w:val="18"/>
          <w:szCs w:val="18"/>
        </w:rPr>
      </w:pPr>
      <w:r w:rsidRPr="003302DA">
        <w:rPr>
          <w:rFonts w:asciiTheme="minorHAnsi" w:hAnsiTheme="minorHAnsi" w:cstheme="minorHAnsi"/>
          <w:b/>
          <w:color w:val="000000" w:themeColor="text1"/>
          <w:sz w:val="18"/>
          <w:szCs w:val="18"/>
        </w:rPr>
        <w:t>Principali eventi che si verificano nel sistema immunitario e nello sviluppo dell'intestino.</w:t>
      </w:r>
      <w:r w:rsidRPr="003302DA">
        <w:rPr>
          <w:rFonts w:asciiTheme="minorHAnsi" w:hAnsiTheme="minorHAnsi" w:cstheme="minorHAnsi"/>
          <w:color w:val="000000" w:themeColor="text1"/>
          <w:sz w:val="18"/>
          <w:szCs w:val="18"/>
        </w:rPr>
        <w:t xml:space="preserve"> Durante la gravidanza, le cellule T helper del sistema immunitario materno sono </w:t>
      </w:r>
      <w:r w:rsidR="00DB796F" w:rsidRPr="003302DA">
        <w:rPr>
          <w:rFonts w:asciiTheme="minorHAnsi" w:hAnsiTheme="minorHAnsi" w:cstheme="minorHAnsi"/>
          <w:color w:val="000000" w:themeColor="text1"/>
          <w:sz w:val="18"/>
          <w:szCs w:val="18"/>
        </w:rPr>
        <w:t xml:space="preserve">spostate </w:t>
      </w:r>
      <w:r w:rsidRPr="003302DA">
        <w:rPr>
          <w:rFonts w:asciiTheme="minorHAnsi" w:hAnsiTheme="minorHAnsi" w:cstheme="minorHAnsi"/>
          <w:color w:val="000000" w:themeColor="text1"/>
          <w:sz w:val="18"/>
          <w:szCs w:val="18"/>
        </w:rPr>
        <w:t xml:space="preserve">verso l'immunità di tipo T helper (Th) 2, per mantenere la tolleranza del feto in via di sviluppo. La madre contribuisce con mediatori tollerogenici attraverso la placenta (compresi anticorpi e fattori di crescita), istruendo così lo sviluppo del sistema immunitario fetale. Tuttavia, durante le prime settimane e mesi di vita, i bambini successivamente aumentano l'attività di Th1, ripristinando così l'equilibrio delle cellule T helper. Senza questo spostamento, la persistenza di Th2 potrebbe essere associata a malattie atopiche tra cui l'asma. Mentre le cellule Th svolgono un ruolo chiave nella direzione delle risposte immunitarie, principalmente </w:t>
      </w:r>
      <w:r w:rsidR="00DB796F" w:rsidRPr="003302DA">
        <w:rPr>
          <w:rFonts w:asciiTheme="minorHAnsi" w:hAnsiTheme="minorHAnsi" w:cstheme="minorHAnsi"/>
          <w:color w:val="000000" w:themeColor="text1"/>
          <w:sz w:val="18"/>
          <w:szCs w:val="18"/>
        </w:rPr>
        <w:t>nel periodo neonatale</w:t>
      </w:r>
      <w:r w:rsidRPr="003302DA">
        <w:rPr>
          <w:rFonts w:asciiTheme="minorHAnsi" w:hAnsiTheme="minorHAnsi" w:cstheme="minorHAnsi"/>
          <w:color w:val="000000" w:themeColor="text1"/>
          <w:sz w:val="18"/>
          <w:szCs w:val="18"/>
        </w:rPr>
        <w:t>, le cellule T regolatorie sopprimono l'attivazione e lo sviluppo di cellule T naïve verso i tipi di Th, mantenendo così l'omeostasi della mucosa sia durante la gravidanza che durante il periodo dell'infanzia</w:t>
      </w:r>
    </w:p>
    <w:p w:rsidR="00827FA6" w:rsidRPr="00E565AE" w:rsidRDefault="00827FA6" w:rsidP="00E5713A">
      <w:pPr>
        <w:jc w:val="both"/>
        <w:rPr>
          <w:rFonts w:asciiTheme="minorHAnsi" w:hAnsiTheme="minorHAnsi" w:cstheme="minorHAnsi"/>
          <w:color w:val="000000" w:themeColor="text1"/>
          <w:sz w:val="16"/>
          <w:szCs w:val="16"/>
        </w:rPr>
      </w:pPr>
    </w:p>
    <w:p w:rsidR="00CB502B" w:rsidRPr="00E565AE" w:rsidRDefault="00717D4D" w:rsidP="00717D4D">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Il ruolo </w:t>
      </w:r>
      <w:r w:rsidR="00215E59" w:rsidRPr="00E565AE">
        <w:rPr>
          <w:rFonts w:asciiTheme="minorHAnsi" w:hAnsiTheme="minorHAnsi" w:cstheme="minorHAnsi"/>
          <w:color w:val="000000" w:themeColor="text1"/>
          <w:sz w:val="20"/>
          <w:szCs w:val="20"/>
        </w:rPr>
        <w:t xml:space="preserve">chiave </w:t>
      </w:r>
      <w:r w:rsidRPr="00E565AE">
        <w:rPr>
          <w:rFonts w:asciiTheme="minorHAnsi" w:hAnsiTheme="minorHAnsi" w:cstheme="minorHAnsi"/>
          <w:color w:val="000000" w:themeColor="text1"/>
          <w:sz w:val="20"/>
          <w:szCs w:val="20"/>
        </w:rPr>
        <w:t xml:space="preserve">di questi eventi </w:t>
      </w:r>
      <w:r w:rsidR="00215E59" w:rsidRPr="00E565AE">
        <w:rPr>
          <w:rFonts w:asciiTheme="minorHAnsi" w:hAnsiTheme="minorHAnsi" w:cstheme="minorHAnsi"/>
          <w:color w:val="000000" w:themeColor="text1"/>
          <w:sz w:val="20"/>
          <w:szCs w:val="20"/>
        </w:rPr>
        <w:t xml:space="preserve">nel </w:t>
      </w:r>
      <w:r w:rsidRPr="00E565AE">
        <w:rPr>
          <w:rFonts w:asciiTheme="minorHAnsi" w:hAnsiTheme="minorHAnsi" w:cstheme="minorHAnsi"/>
          <w:color w:val="000000" w:themeColor="text1"/>
          <w:sz w:val="20"/>
          <w:szCs w:val="20"/>
        </w:rPr>
        <w:t xml:space="preserve">microbiota nei primi anni di vita è dimostrato da studi in vivo su modelli murini in cui gli animali convenzionali </w:t>
      </w:r>
      <w:r w:rsidR="009A5224" w:rsidRPr="00E565AE">
        <w:rPr>
          <w:rFonts w:asciiTheme="minorHAnsi" w:hAnsiTheme="minorHAnsi" w:cstheme="minorHAnsi"/>
          <w:color w:val="000000" w:themeColor="text1"/>
          <w:sz w:val="20"/>
          <w:szCs w:val="20"/>
        </w:rPr>
        <w:t>sono stati</w:t>
      </w:r>
      <w:r w:rsidRPr="00E565AE">
        <w:rPr>
          <w:rFonts w:asciiTheme="minorHAnsi" w:hAnsiTheme="minorHAnsi" w:cstheme="minorHAnsi"/>
          <w:color w:val="000000" w:themeColor="text1"/>
          <w:sz w:val="20"/>
          <w:szCs w:val="20"/>
        </w:rPr>
        <w:t xml:space="preserve"> confrontati con controparti prive di germi. </w:t>
      </w:r>
    </w:p>
    <w:p w:rsidR="00CB502B" w:rsidRPr="00E565AE" w:rsidRDefault="00CB502B" w:rsidP="00717D4D">
      <w:pPr>
        <w:jc w:val="both"/>
        <w:rPr>
          <w:rFonts w:asciiTheme="minorHAnsi" w:hAnsiTheme="minorHAnsi" w:cstheme="minorHAnsi"/>
          <w:color w:val="000000" w:themeColor="text1"/>
          <w:sz w:val="20"/>
          <w:szCs w:val="20"/>
        </w:rPr>
      </w:pPr>
    </w:p>
    <w:p w:rsidR="003302DA" w:rsidRDefault="00717D4D" w:rsidP="00717D4D">
      <w:pPr>
        <w:jc w:val="both"/>
        <w:rPr>
          <w:rFonts w:asciiTheme="minorHAnsi" w:hAnsiTheme="minorHAnsi" w:cstheme="minorHAnsi"/>
          <w:color w:val="000000" w:themeColor="text1"/>
          <w:sz w:val="20"/>
          <w:szCs w:val="20"/>
        </w:rPr>
      </w:pPr>
      <w:r w:rsidRPr="003302DA">
        <w:rPr>
          <w:rFonts w:asciiTheme="minorHAnsi" w:hAnsiTheme="minorHAnsi" w:cstheme="minorHAnsi"/>
          <w:b/>
          <w:bCs/>
          <w:color w:val="000000" w:themeColor="text1"/>
          <w:sz w:val="20"/>
          <w:szCs w:val="20"/>
          <w:shd w:val="clear" w:color="auto" w:fill="FBF9E1"/>
        </w:rPr>
        <w:t>Queste indagini hanno chiaramente dimostrato le gravi conseguenze per la salute causate dall'assenza di qualsiasi interazione microbiota-ospite</w:t>
      </w:r>
      <w:r w:rsidR="003E2CCD" w:rsidRPr="00E565AE">
        <w:rPr>
          <w:rFonts w:asciiTheme="minorHAnsi" w:hAnsiTheme="minorHAnsi" w:cstheme="minorHAnsi"/>
          <w:color w:val="000000" w:themeColor="text1"/>
          <w:sz w:val="20"/>
          <w:szCs w:val="20"/>
        </w:rPr>
        <w:t xml:space="preserve"> </w:t>
      </w:r>
      <w:r w:rsidR="006954CB" w:rsidRPr="00E565AE">
        <w:rPr>
          <w:rStyle w:val="FootnoteReference"/>
          <w:rFonts w:asciiTheme="minorHAnsi" w:hAnsiTheme="minorHAnsi" w:cstheme="minorHAnsi"/>
          <w:color w:val="000000" w:themeColor="text1"/>
          <w:sz w:val="20"/>
          <w:szCs w:val="20"/>
        </w:rPr>
        <w:footnoteReference w:id="175"/>
      </w:r>
      <w:r w:rsidRPr="00E565AE">
        <w:rPr>
          <w:rFonts w:asciiTheme="minorHAnsi" w:hAnsiTheme="minorHAnsi" w:cstheme="minorHAnsi"/>
          <w:color w:val="000000" w:themeColor="text1"/>
          <w:sz w:val="20"/>
          <w:szCs w:val="20"/>
        </w:rPr>
        <w:t xml:space="preserve">. </w:t>
      </w:r>
    </w:p>
    <w:p w:rsidR="00CB502B" w:rsidRPr="00E565AE" w:rsidRDefault="00717D4D" w:rsidP="00717D4D">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Inoltre, diversi autori hanno studiato l'effetto della ricolonizzazione di animali senza germi, a diverse età, sul ripristino dei parametri alterati dalla mancanza di esposizione microbica. </w:t>
      </w:r>
    </w:p>
    <w:p w:rsidR="00CB502B" w:rsidRDefault="00717D4D" w:rsidP="00717D4D">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 xml:space="preserve">È interessante notare che </w:t>
      </w:r>
      <w:r w:rsidRPr="00E565AE">
        <w:rPr>
          <w:rFonts w:asciiTheme="minorHAnsi" w:hAnsiTheme="minorHAnsi" w:cstheme="minorHAnsi"/>
          <w:b/>
          <w:bCs/>
          <w:color w:val="000000" w:themeColor="text1"/>
          <w:sz w:val="20"/>
          <w:szCs w:val="20"/>
        </w:rPr>
        <w:t>è necessario ricolonizzare gli animali nella prima infanzia</w:t>
      </w:r>
      <w:r w:rsidRPr="00E565AE">
        <w:rPr>
          <w:rFonts w:asciiTheme="minorHAnsi" w:hAnsiTheme="minorHAnsi" w:cstheme="minorHAnsi"/>
          <w:color w:val="000000" w:themeColor="text1"/>
          <w:sz w:val="20"/>
          <w:szCs w:val="20"/>
        </w:rPr>
        <w:t xml:space="preserve">, </w:t>
      </w:r>
      <w:r w:rsidR="00215E59" w:rsidRPr="00E565AE">
        <w:rPr>
          <w:rFonts w:asciiTheme="minorHAnsi" w:hAnsiTheme="minorHAnsi" w:cstheme="minorHAnsi"/>
          <w:color w:val="000000" w:themeColor="text1"/>
          <w:sz w:val="20"/>
          <w:szCs w:val="20"/>
        </w:rPr>
        <w:t>a differenza del</w:t>
      </w:r>
      <w:r w:rsidRPr="00E565AE">
        <w:rPr>
          <w:rFonts w:asciiTheme="minorHAnsi" w:hAnsiTheme="minorHAnsi" w:cstheme="minorHAnsi"/>
          <w:color w:val="000000" w:themeColor="text1"/>
          <w:sz w:val="20"/>
          <w:szCs w:val="20"/>
        </w:rPr>
        <w:t xml:space="preserve">l'età adulta, per ripristinare i fenotipi alterati che si trovano nei modelli senza germi. </w:t>
      </w:r>
    </w:p>
    <w:p w:rsidR="003302DA" w:rsidRPr="00E565AE" w:rsidRDefault="003302DA" w:rsidP="00717D4D">
      <w:pPr>
        <w:jc w:val="both"/>
        <w:rPr>
          <w:rFonts w:asciiTheme="minorHAnsi" w:hAnsiTheme="minorHAnsi" w:cstheme="minorHAnsi"/>
          <w:color w:val="000000" w:themeColor="text1"/>
          <w:sz w:val="20"/>
          <w:szCs w:val="20"/>
        </w:rPr>
      </w:pPr>
    </w:p>
    <w:p w:rsidR="00717D4D" w:rsidRPr="00E565AE" w:rsidRDefault="00717D4D" w:rsidP="00717D4D">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Ad esempio, è stato dimostrato che gli animali privi di un microbiota (</w:t>
      </w:r>
      <w:r w:rsidR="00215E59" w:rsidRPr="00E565AE">
        <w:rPr>
          <w:rFonts w:asciiTheme="minorHAnsi" w:hAnsiTheme="minorHAnsi" w:cstheme="minorHAnsi"/>
          <w:color w:val="000000" w:themeColor="text1"/>
          <w:sz w:val="20"/>
          <w:szCs w:val="20"/>
        </w:rPr>
        <w:t>germ-free</w:t>
      </w:r>
      <w:r w:rsidRPr="00E565AE">
        <w:rPr>
          <w:rFonts w:asciiTheme="minorHAnsi" w:hAnsiTheme="minorHAnsi" w:cstheme="minorHAnsi"/>
          <w:color w:val="000000" w:themeColor="text1"/>
          <w:sz w:val="20"/>
          <w:szCs w:val="20"/>
        </w:rPr>
        <w:t xml:space="preserve">) mostrano livelli aumentati di alcune cellule immunitarie nelle mucose, un fenomeno che viene ripristinato (ai livelli normali) quando questi animali vengono ricolonizzati durante la prima infanzia, ma questa inversione non si verifica quando la ricolonizzazione è </w:t>
      </w:r>
      <w:r w:rsidR="009A5224" w:rsidRPr="00E565AE">
        <w:rPr>
          <w:rFonts w:asciiTheme="minorHAnsi" w:hAnsiTheme="minorHAnsi" w:cstheme="minorHAnsi"/>
          <w:color w:val="000000" w:themeColor="text1"/>
          <w:sz w:val="20"/>
          <w:szCs w:val="20"/>
        </w:rPr>
        <w:t>effettuata</w:t>
      </w:r>
      <w:r w:rsidRPr="00E565AE">
        <w:rPr>
          <w:rFonts w:asciiTheme="minorHAnsi" w:hAnsiTheme="minorHAnsi" w:cstheme="minorHAnsi"/>
          <w:color w:val="000000" w:themeColor="text1"/>
          <w:sz w:val="20"/>
          <w:szCs w:val="20"/>
        </w:rPr>
        <w:t xml:space="preserve"> in età adulta</w:t>
      </w:r>
      <w:r w:rsidR="003E2CCD" w:rsidRPr="00E565AE">
        <w:rPr>
          <w:rFonts w:asciiTheme="minorHAnsi" w:hAnsiTheme="minorHAnsi" w:cstheme="minorHAnsi"/>
          <w:color w:val="000000" w:themeColor="text1"/>
          <w:sz w:val="20"/>
          <w:szCs w:val="20"/>
        </w:rPr>
        <w:t xml:space="preserve"> </w:t>
      </w:r>
      <w:r w:rsidR="003E2CCD" w:rsidRPr="00E565AE">
        <w:rPr>
          <w:rStyle w:val="FootnoteReference"/>
          <w:rFonts w:asciiTheme="minorHAnsi" w:hAnsiTheme="minorHAnsi" w:cstheme="minorHAnsi"/>
          <w:color w:val="000000" w:themeColor="text1"/>
          <w:sz w:val="20"/>
          <w:szCs w:val="20"/>
        </w:rPr>
        <w:footnoteReference w:id="176"/>
      </w:r>
    </w:p>
    <w:p w:rsidR="00CB502B" w:rsidRPr="00E565AE" w:rsidRDefault="00CB502B" w:rsidP="00717D4D">
      <w:pPr>
        <w:jc w:val="both"/>
        <w:rPr>
          <w:rFonts w:asciiTheme="minorHAnsi" w:hAnsiTheme="minorHAnsi" w:cstheme="minorHAnsi"/>
          <w:color w:val="000000" w:themeColor="text1"/>
          <w:sz w:val="20"/>
          <w:szCs w:val="20"/>
        </w:rPr>
      </w:pPr>
    </w:p>
    <w:p w:rsidR="003302DA" w:rsidRDefault="003302DA" w:rsidP="003302DA">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985"/>
        <w:jc w:val="both"/>
        <w:rPr>
          <w:rFonts w:asciiTheme="minorHAnsi" w:hAnsiTheme="minorHAnsi" w:cstheme="minorHAnsi"/>
          <w:i/>
          <w:iCs/>
          <w:color w:val="000000" w:themeColor="text1"/>
          <w:sz w:val="20"/>
          <w:szCs w:val="20"/>
        </w:rPr>
      </w:pPr>
    </w:p>
    <w:p w:rsidR="008314D9" w:rsidRPr="003302DA" w:rsidRDefault="00717D4D" w:rsidP="003302DA">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985"/>
        <w:jc w:val="both"/>
        <w:rPr>
          <w:rFonts w:asciiTheme="minorHAnsi" w:hAnsiTheme="minorHAnsi" w:cstheme="minorHAnsi"/>
          <w:i/>
          <w:iCs/>
          <w:color w:val="000000" w:themeColor="text1"/>
          <w:sz w:val="20"/>
          <w:szCs w:val="20"/>
        </w:rPr>
      </w:pPr>
      <w:r w:rsidRPr="003302DA">
        <w:rPr>
          <w:rFonts w:asciiTheme="minorHAnsi" w:hAnsiTheme="minorHAnsi" w:cstheme="minorHAnsi"/>
          <w:i/>
          <w:iCs/>
          <w:color w:val="000000" w:themeColor="text1"/>
          <w:sz w:val="20"/>
          <w:szCs w:val="20"/>
        </w:rPr>
        <w:t>Pertanto, un modello di colonizzazione precoce alterato può rappresentare un rischio con conseguenze immediate per la salute e lo sviluppo del bambino, ma può anche presentare un rischio per effetti a lungo termine.</w:t>
      </w:r>
    </w:p>
    <w:p w:rsidR="003302DA" w:rsidRPr="003302DA" w:rsidRDefault="003302DA" w:rsidP="003302DA">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985"/>
        <w:jc w:val="both"/>
        <w:rPr>
          <w:rFonts w:asciiTheme="minorHAnsi" w:hAnsiTheme="minorHAnsi" w:cstheme="minorHAnsi"/>
          <w:i/>
          <w:iCs/>
          <w:color w:val="000000" w:themeColor="text1"/>
          <w:sz w:val="20"/>
          <w:szCs w:val="20"/>
        </w:rPr>
      </w:pPr>
    </w:p>
    <w:p w:rsidR="00CB502B" w:rsidRDefault="00CB502B" w:rsidP="00E5713A">
      <w:pPr>
        <w:jc w:val="both"/>
        <w:rPr>
          <w:rFonts w:asciiTheme="minorHAnsi" w:hAnsiTheme="minorHAnsi" w:cstheme="minorHAnsi"/>
          <w:color w:val="000000" w:themeColor="text1"/>
          <w:sz w:val="20"/>
          <w:szCs w:val="20"/>
        </w:rPr>
      </w:pPr>
    </w:p>
    <w:p w:rsidR="003302DA" w:rsidRPr="00E565AE" w:rsidRDefault="003302DA" w:rsidP="00E5713A">
      <w:pPr>
        <w:jc w:val="both"/>
        <w:rPr>
          <w:rFonts w:asciiTheme="minorHAnsi" w:hAnsiTheme="minorHAnsi" w:cstheme="minorHAnsi"/>
          <w:color w:val="000000" w:themeColor="text1"/>
          <w:sz w:val="20"/>
          <w:szCs w:val="20"/>
        </w:rPr>
      </w:pPr>
    </w:p>
    <w:p w:rsidR="0035319E" w:rsidRDefault="0035319E" w:rsidP="00B80B1B">
      <w:pPr>
        <w:jc w:val="center"/>
        <w:rPr>
          <w:color w:val="000000" w:themeColor="text1"/>
        </w:rPr>
      </w:pPr>
      <w:r w:rsidRPr="00E565AE">
        <w:rPr>
          <w:color w:val="000000" w:themeColor="text1"/>
        </w:rPr>
        <w:fldChar w:fldCharType="begin"/>
      </w:r>
      <w:r w:rsidRPr="00E565AE">
        <w:rPr>
          <w:color w:val="000000" w:themeColor="text1"/>
        </w:rPr>
        <w:instrText xml:space="preserve"> INCLUDEPICTURE "https://www.ncbi.nlm.nih.gov/pmc/articles/PMC7147503/bin/fimmu-11-00575-g0001.jpg" \* MERGEFORMATINET </w:instrText>
      </w:r>
      <w:r w:rsidRPr="00E565AE">
        <w:rPr>
          <w:color w:val="000000" w:themeColor="text1"/>
        </w:rPr>
        <w:fldChar w:fldCharType="separate"/>
      </w:r>
      <w:r w:rsidRPr="00E565AE">
        <w:rPr>
          <w:noProof/>
          <w:color w:val="000000" w:themeColor="text1"/>
        </w:rPr>
        <w:drawing>
          <wp:inline distT="0" distB="0" distL="0" distR="0" wp14:anchorId="5BD1F5BE" wp14:editId="20CD6480">
            <wp:extent cx="6036484" cy="4237197"/>
            <wp:effectExtent l="0" t="0" r="0" b="5080"/>
            <wp:docPr id="55" name="Immagine 55" descr="An external file that holds a picture, illustration, etc.&#10;Object name is fimmu-11-00575-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external file that holds a picture, illustration, etc.&#10;Object name is fimmu-11-00575-g000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45793" cy="4384118"/>
                    </a:xfrm>
                    <a:prstGeom prst="rect">
                      <a:avLst/>
                    </a:prstGeom>
                    <a:noFill/>
                    <a:ln>
                      <a:noFill/>
                    </a:ln>
                  </pic:spPr>
                </pic:pic>
              </a:graphicData>
            </a:graphic>
          </wp:inline>
        </w:drawing>
      </w:r>
      <w:r w:rsidRPr="00E565AE">
        <w:rPr>
          <w:color w:val="000000" w:themeColor="text1"/>
        </w:rPr>
        <w:fldChar w:fldCharType="end"/>
      </w:r>
    </w:p>
    <w:p w:rsidR="003302DA" w:rsidRPr="00E565AE" w:rsidRDefault="003302DA" w:rsidP="00B80B1B">
      <w:pPr>
        <w:jc w:val="center"/>
        <w:rPr>
          <w:color w:val="000000" w:themeColor="text1"/>
        </w:rPr>
      </w:pPr>
    </w:p>
    <w:p w:rsidR="0035319E" w:rsidRPr="003302DA" w:rsidRDefault="0035319E" w:rsidP="003302DA">
      <w:pPr>
        <w:shd w:val="clear" w:color="auto" w:fill="F2F2F2" w:themeFill="background1" w:themeFillShade="F2"/>
        <w:rPr>
          <w:rFonts w:asciiTheme="minorHAnsi" w:hAnsiTheme="minorHAnsi"/>
          <w:color w:val="000000" w:themeColor="text1"/>
          <w:sz w:val="18"/>
          <w:szCs w:val="18"/>
        </w:rPr>
      </w:pPr>
      <w:r w:rsidRPr="003302DA">
        <w:rPr>
          <w:rFonts w:asciiTheme="minorHAnsi" w:hAnsiTheme="minorHAnsi"/>
          <w:color w:val="000000" w:themeColor="text1"/>
          <w:sz w:val="18"/>
          <w:szCs w:val="18"/>
        </w:rPr>
        <w:t xml:space="preserve">Tratta da </w:t>
      </w:r>
      <w:hyperlink r:id="rId151" w:history="1">
        <w:r w:rsidRPr="003302DA">
          <w:rPr>
            <w:rStyle w:val="Hyperlink"/>
            <w:rFonts w:asciiTheme="minorHAnsi" w:eastAsiaTheme="majorEastAsia" w:hAnsiTheme="minorHAnsi"/>
            <w:color w:val="000000" w:themeColor="text1"/>
            <w:sz w:val="18"/>
            <w:szCs w:val="18"/>
            <w:u w:val="none"/>
          </w:rPr>
          <w:t>https://www.ncbi.nlm.nih.gov/pmc/articles/PMC7147503/</w:t>
        </w:r>
      </w:hyperlink>
    </w:p>
    <w:p w:rsidR="00215E59" w:rsidRPr="003302DA" w:rsidRDefault="0035319E" w:rsidP="003302DA">
      <w:pPr>
        <w:shd w:val="clear" w:color="auto" w:fill="F2F2F2" w:themeFill="background1" w:themeFillShade="F2"/>
        <w:jc w:val="both"/>
        <w:rPr>
          <w:rFonts w:asciiTheme="minorHAnsi" w:hAnsiTheme="minorHAnsi" w:cstheme="minorHAnsi"/>
          <w:color w:val="000000" w:themeColor="text1"/>
          <w:sz w:val="18"/>
          <w:szCs w:val="18"/>
        </w:rPr>
      </w:pPr>
      <w:r w:rsidRPr="003302DA">
        <w:rPr>
          <w:rFonts w:asciiTheme="minorHAnsi" w:hAnsiTheme="minorHAnsi" w:cstheme="minorHAnsi"/>
          <w:b/>
          <w:color w:val="000000" w:themeColor="text1"/>
          <w:sz w:val="18"/>
          <w:szCs w:val="18"/>
        </w:rPr>
        <w:t>Il microbiota intestinale influenza lo sviluppo del sistema immunitario regionale.</w:t>
      </w:r>
      <w:r w:rsidRPr="003302DA">
        <w:rPr>
          <w:rFonts w:asciiTheme="minorHAnsi" w:hAnsiTheme="minorHAnsi" w:cstheme="minorHAnsi"/>
          <w:color w:val="000000" w:themeColor="text1"/>
          <w:sz w:val="18"/>
          <w:szCs w:val="18"/>
        </w:rPr>
        <w:t xml:space="preserve"> Molti fattori influenzano la struttura e lo sviluppo del sistema immunitario regionale modificando il tipo e la quantità di microbiota intestinale. Il taglio cesareo, l'alimentazione con formula e l'uso di antibiotici dopo la nascita possono portare a</w:t>
      </w:r>
      <w:r w:rsidR="009A5224" w:rsidRPr="003302DA">
        <w:rPr>
          <w:rFonts w:asciiTheme="minorHAnsi" w:hAnsiTheme="minorHAnsi" w:cstheme="minorHAnsi"/>
          <w:color w:val="000000" w:themeColor="text1"/>
          <w:sz w:val="18"/>
          <w:szCs w:val="18"/>
        </w:rPr>
        <w:t>d un</w:t>
      </w:r>
      <w:r w:rsidRPr="003302DA">
        <w:rPr>
          <w:rFonts w:asciiTheme="minorHAnsi" w:hAnsiTheme="minorHAnsi" w:cstheme="minorHAnsi"/>
          <w:color w:val="000000" w:themeColor="text1"/>
          <w:sz w:val="18"/>
          <w:szCs w:val="18"/>
        </w:rPr>
        <w:t xml:space="preserve"> intestin</w:t>
      </w:r>
      <w:r w:rsidR="009A5224" w:rsidRPr="003302DA">
        <w:rPr>
          <w:rFonts w:asciiTheme="minorHAnsi" w:hAnsiTheme="minorHAnsi" w:cstheme="minorHAnsi"/>
          <w:color w:val="000000" w:themeColor="text1"/>
          <w:sz w:val="18"/>
          <w:szCs w:val="18"/>
        </w:rPr>
        <w:t>o</w:t>
      </w:r>
      <w:r w:rsidRPr="003302DA">
        <w:rPr>
          <w:rFonts w:asciiTheme="minorHAnsi" w:hAnsiTheme="minorHAnsi" w:cstheme="minorHAnsi"/>
          <w:color w:val="000000" w:themeColor="text1"/>
          <w:sz w:val="18"/>
          <w:szCs w:val="18"/>
        </w:rPr>
        <w:t xml:space="preserve"> colonizzat</w:t>
      </w:r>
      <w:r w:rsidR="009A5224" w:rsidRPr="003302DA">
        <w:rPr>
          <w:rFonts w:asciiTheme="minorHAnsi" w:hAnsiTheme="minorHAnsi" w:cstheme="minorHAnsi"/>
          <w:color w:val="000000" w:themeColor="text1"/>
          <w:sz w:val="18"/>
          <w:szCs w:val="18"/>
        </w:rPr>
        <w:t>o in modo anormale</w:t>
      </w:r>
      <w:r w:rsidRPr="003302DA">
        <w:rPr>
          <w:rFonts w:asciiTheme="minorHAnsi" w:hAnsiTheme="minorHAnsi" w:cstheme="minorHAnsi"/>
          <w:color w:val="000000" w:themeColor="text1"/>
          <w:sz w:val="18"/>
          <w:szCs w:val="18"/>
        </w:rPr>
        <w:t xml:space="preserve"> rispetto ai feti partoriti per via vaginale e allattati al seno. In un normale tratto intestinale sano con abbondante flora microbica, i follicoli linfoidi isolati e le placche di Peyer sono invariati. Al momento della stimolazione, le cellule presentanti l'antigene migrano verso il linfonodo mesenterico e promuovono la differenziazione delle cellule T. Le plasmacellule che producono </w:t>
      </w:r>
      <w:r w:rsidR="00101CC5" w:rsidRPr="003302DA">
        <w:rPr>
          <w:rFonts w:asciiTheme="minorHAnsi" w:hAnsiTheme="minorHAnsi" w:cstheme="minorHAnsi"/>
          <w:color w:val="000000" w:themeColor="text1"/>
          <w:sz w:val="18"/>
          <w:szCs w:val="18"/>
        </w:rPr>
        <w:t xml:space="preserve">e </w:t>
      </w:r>
      <w:r w:rsidRPr="003302DA">
        <w:rPr>
          <w:rFonts w:asciiTheme="minorHAnsi" w:hAnsiTheme="minorHAnsi" w:cstheme="minorHAnsi"/>
          <w:color w:val="000000" w:themeColor="text1"/>
          <w:sz w:val="18"/>
          <w:szCs w:val="18"/>
        </w:rPr>
        <w:t>secernono IgA svolgono una funzione protettiva della mucosa, mentre i macrofagi migrano verso la lamina propria del tratto intestinale e svolgono la loro normale funzione. Quando l'abbondanza e la diversità delle specie della flora intestinale sono relativamente basse, il sistema immunitario intestinale non viene adeguatamente stimolato e si formano solo follicoli linfoidi isolati.</w:t>
      </w:r>
    </w:p>
    <w:p w:rsidR="00E27D9B" w:rsidRPr="00E565AE" w:rsidRDefault="00215E59"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L'organismo umano attiva molti processi che consentono di rilevare e rispondere sia ai batteri commensali che ai patogeni</w:t>
      </w:r>
      <w:r w:rsidR="00101CC5" w:rsidRPr="00E565AE">
        <w:rPr>
          <w:rFonts w:asciiTheme="minorHAnsi" w:hAnsiTheme="minorHAnsi" w:cstheme="minorHAnsi"/>
          <w:color w:val="000000" w:themeColor="text1"/>
          <w:sz w:val="20"/>
          <w:szCs w:val="20"/>
        </w:rPr>
        <w:t>,</w:t>
      </w:r>
      <w:r w:rsidRPr="00E565AE">
        <w:rPr>
          <w:rFonts w:asciiTheme="minorHAnsi" w:hAnsiTheme="minorHAnsi" w:cstheme="minorHAnsi"/>
          <w:color w:val="000000" w:themeColor="text1"/>
          <w:sz w:val="20"/>
          <w:szCs w:val="20"/>
        </w:rPr>
        <w:t xml:space="preserve"> differenziando le risposte verso le diverse strutture presenti sulle loro pareti cellulari. </w:t>
      </w:r>
    </w:p>
    <w:p w:rsidR="00E27D9B" w:rsidRPr="00E565AE" w:rsidRDefault="00E27D9B" w:rsidP="00E5713A">
      <w:pPr>
        <w:jc w:val="both"/>
        <w:rPr>
          <w:rFonts w:asciiTheme="minorHAnsi" w:hAnsiTheme="minorHAnsi" w:cstheme="minorHAnsi"/>
          <w:color w:val="000000" w:themeColor="text1"/>
          <w:sz w:val="20"/>
          <w:szCs w:val="20"/>
        </w:rPr>
      </w:pPr>
    </w:p>
    <w:p w:rsidR="00215E59" w:rsidRPr="00E565AE" w:rsidRDefault="00215E59" w:rsidP="003302DA">
      <w:pPr>
        <w:shd w:val="clear" w:color="auto" w:fill="FBF9E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All'inizio della vita, il sistema immunitario in via di sviluppo è addestrato a sviluppare la tolleranza immunologica</w:t>
      </w:r>
      <w:r w:rsidR="000F58F5" w:rsidRPr="00E565AE">
        <w:rPr>
          <w:rFonts w:asciiTheme="minorHAnsi" w:hAnsiTheme="minorHAnsi" w:cstheme="minorHAnsi"/>
          <w:color w:val="000000" w:themeColor="text1"/>
          <w:sz w:val="20"/>
          <w:szCs w:val="20"/>
        </w:rPr>
        <w:t xml:space="preserve"> e uno squilibrio nelle risposte inibitorie e stimolanti in questo periodo ha </w:t>
      </w:r>
      <w:r w:rsidRPr="00E565AE">
        <w:rPr>
          <w:rFonts w:asciiTheme="minorHAnsi" w:hAnsiTheme="minorHAnsi" w:cstheme="minorHAnsi"/>
          <w:color w:val="000000" w:themeColor="text1"/>
          <w:sz w:val="20"/>
          <w:szCs w:val="20"/>
        </w:rPr>
        <w:t>potenziali effetti sulle malattie autoimmuni che possono verificarsi in età avanzata</w:t>
      </w:r>
      <w:r w:rsidR="000F58F5" w:rsidRPr="00E565AE">
        <w:rPr>
          <w:rFonts w:asciiTheme="minorHAnsi" w:hAnsiTheme="minorHAnsi" w:cstheme="minorHAnsi"/>
          <w:color w:val="000000" w:themeColor="text1"/>
          <w:sz w:val="20"/>
          <w:szCs w:val="20"/>
        </w:rPr>
        <w:t>.</w:t>
      </w:r>
    </w:p>
    <w:p w:rsidR="003E2CCD" w:rsidRPr="00E565AE" w:rsidRDefault="003E2CCD" w:rsidP="00E5713A">
      <w:pPr>
        <w:jc w:val="both"/>
        <w:rPr>
          <w:rFonts w:asciiTheme="minorHAnsi" w:hAnsiTheme="minorHAnsi" w:cstheme="minorHAnsi"/>
          <w:color w:val="000000" w:themeColor="text1"/>
          <w:sz w:val="20"/>
          <w:szCs w:val="20"/>
        </w:rPr>
      </w:pPr>
    </w:p>
    <w:p w:rsidR="00E27D9B" w:rsidRPr="00E565AE" w:rsidRDefault="003E2CCD"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Sebbene gran parte del lavoro di ricerca si sia concentrato su alcuni aspetti, in particolare la componente batterica del microbioma più frequentemente </w:t>
      </w:r>
      <w:r w:rsidR="00101CC5" w:rsidRPr="00E565AE">
        <w:rPr>
          <w:rFonts w:asciiTheme="minorHAnsi" w:hAnsiTheme="minorHAnsi" w:cstheme="minorHAnsi"/>
          <w:color w:val="000000" w:themeColor="text1"/>
          <w:sz w:val="20"/>
          <w:szCs w:val="20"/>
        </w:rPr>
        <w:t>d</w:t>
      </w:r>
      <w:r w:rsidRPr="00E565AE">
        <w:rPr>
          <w:rFonts w:asciiTheme="minorHAnsi" w:hAnsiTheme="minorHAnsi" w:cstheme="minorHAnsi"/>
          <w:color w:val="000000" w:themeColor="text1"/>
          <w:sz w:val="20"/>
          <w:szCs w:val="20"/>
        </w:rPr>
        <w:t xml:space="preserve">el tratto gastrointestinale, </w:t>
      </w:r>
      <w:r w:rsidRPr="003302DA">
        <w:rPr>
          <w:rFonts w:asciiTheme="minorHAnsi" w:hAnsiTheme="minorHAnsi" w:cstheme="minorHAnsi"/>
          <w:b/>
          <w:bCs/>
          <w:color w:val="000000" w:themeColor="text1"/>
          <w:sz w:val="20"/>
          <w:szCs w:val="20"/>
        </w:rPr>
        <w:t xml:space="preserve">l'uomo e altri animali possono essere colonizzati da una vasta gamma di organismi che coprono tutti i settori della vita, </w:t>
      </w:r>
      <w:r w:rsidR="00101CC5" w:rsidRPr="003302DA">
        <w:rPr>
          <w:rFonts w:asciiTheme="minorHAnsi" w:hAnsiTheme="minorHAnsi" w:cstheme="minorHAnsi"/>
          <w:b/>
          <w:bCs/>
          <w:color w:val="000000" w:themeColor="text1"/>
          <w:sz w:val="20"/>
          <w:szCs w:val="20"/>
        </w:rPr>
        <w:t>e</w:t>
      </w:r>
      <w:r w:rsidR="00F210C5" w:rsidRPr="003302DA">
        <w:rPr>
          <w:rFonts w:asciiTheme="minorHAnsi" w:hAnsiTheme="minorHAnsi" w:cstheme="minorHAnsi"/>
          <w:b/>
          <w:bCs/>
          <w:color w:val="000000" w:themeColor="text1"/>
          <w:sz w:val="20"/>
          <w:szCs w:val="20"/>
        </w:rPr>
        <w:t xml:space="preserve"> comprendono oltre i</w:t>
      </w:r>
      <w:r w:rsidRPr="003302DA">
        <w:rPr>
          <w:rFonts w:asciiTheme="minorHAnsi" w:hAnsiTheme="minorHAnsi" w:cstheme="minorHAnsi"/>
          <w:b/>
          <w:bCs/>
          <w:color w:val="000000" w:themeColor="text1"/>
          <w:sz w:val="20"/>
          <w:szCs w:val="20"/>
        </w:rPr>
        <w:t xml:space="preserve"> batteri e </w:t>
      </w:r>
      <w:r w:rsidR="00F210C5" w:rsidRPr="003302DA">
        <w:rPr>
          <w:rFonts w:asciiTheme="minorHAnsi" w:hAnsiTheme="minorHAnsi" w:cstheme="minorHAnsi"/>
          <w:b/>
          <w:bCs/>
          <w:color w:val="000000" w:themeColor="text1"/>
          <w:sz w:val="20"/>
          <w:szCs w:val="20"/>
        </w:rPr>
        <w:t xml:space="preserve">gli </w:t>
      </w:r>
      <w:r w:rsidRPr="003302DA">
        <w:rPr>
          <w:rFonts w:asciiTheme="minorHAnsi" w:hAnsiTheme="minorHAnsi" w:cstheme="minorHAnsi"/>
          <w:b/>
          <w:bCs/>
          <w:color w:val="000000" w:themeColor="text1"/>
          <w:sz w:val="20"/>
          <w:szCs w:val="20"/>
        </w:rPr>
        <w:t xml:space="preserve">archei, </w:t>
      </w:r>
      <w:r w:rsidR="00F210C5" w:rsidRPr="003302DA">
        <w:rPr>
          <w:rFonts w:asciiTheme="minorHAnsi" w:hAnsiTheme="minorHAnsi" w:cstheme="minorHAnsi"/>
          <w:b/>
          <w:bCs/>
          <w:color w:val="000000" w:themeColor="text1"/>
          <w:sz w:val="20"/>
          <w:szCs w:val="20"/>
        </w:rPr>
        <w:t xml:space="preserve">anche gli </w:t>
      </w:r>
      <w:r w:rsidRPr="003302DA">
        <w:rPr>
          <w:rFonts w:asciiTheme="minorHAnsi" w:hAnsiTheme="minorHAnsi" w:cstheme="minorHAnsi"/>
          <w:b/>
          <w:bCs/>
          <w:color w:val="000000" w:themeColor="text1"/>
          <w:sz w:val="20"/>
          <w:szCs w:val="20"/>
        </w:rPr>
        <w:t>eucarioti unicellulari come funghi, eucarioti multicellulari come elminti e virus</w:t>
      </w:r>
      <w:r w:rsidRPr="00E565AE">
        <w:rPr>
          <w:rFonts w:asciiTheme="minorHAnsi" w:hAnsiTheme="minorHAnsi" w:cstheme="minorHAnsi"/>
          <w:color w:val="000000" w:themeColor="text1"/>
          <w:sz w:val="20"/>
          <w:szCs w:val="20"/>
        </w:rPr>
        <w:t xml:space="preserve">. </w:t>
      </w:r>
    </w:p>
    <w:p w:rsidR="00E27D9B" w:rsidRPr="00E565AE" w:rsidRDefault="00E27D9B" w:rsidP="00E5713A">
      <w:pPr>
        <w:jc w:val="both"/>
        <w:rPr>
          <w:rFonts w:asciiTheme="minorHAnsi" w:hAnsiTheme="minorHAnsi" w:cstheme="minorHAnsi"/>
          <w:color w:val="000000" w:themeColor="text1"/>
          <w:sz w:val="20"/>
          <w:szCs w:val="20"/>
        </w:rPr>
      </w:pPr>
    </w:p>
    <w:p w:rsidR="000F58F5" w:rsidRPr="00E565AE" w:rsidRDefault="003E2CCD"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Poiché condividono le stesse nicchie </w:t>
      </w:r>
      <w:r w:rsidR="00101CC5" w:rsidRPr="00E565AE">
        <w:rPr>
          <w:rFonts w:asciiTheme="minorHAnsi" w:hAnsiTheme="minorHAnsi" w:cstheme="minorHAnsi"/>
          <w:color w:val="000000" w:themeColor="text1"/>
          <w:sz w:val="20"/>
          <w:szCs w:val="20"/>
        </w:rPr>
        <w:t>dell’ospite</w:t>
      </w:r>
      <w:r w:rsidRPr="00E565AE">
        <w:rPr>
          <w:rFonts w:asciiTheme="minorHAnsi" w:hAnsiTheme="minorHAnsi" w:cstheme="minorHAnsi"/>
          <w:color w:val="000000" w:themeColor="text1"/>
          <w:sz w:val="20"/>
          <w:szCs w:val="20"/>
        </w:rPr>
        <w:t>, possono competere, sinergizzare e antagonizzar</w:t>
      </w:r>
      <w:r w:rsidR="00101CC5" w:rsidRPr="00E565AE">
        <w:rPr>
          <w:rFonts w:asciiTheme="minorHAnsi" w:hAnsiTheme="minorHAnsi" w:cstheme="minorHAnsi"/>
          <w:color w:val="000000" w:themeColor="text1"/>
          <w:sz w:val="20"/>
          <w:szCs w:val="20"/>
        </w:rPr>
        <w:t>si</w:t>
      </w:r>
      <w:r w:rsidRPr="00E565AE">
        <w:rPr>
          <w:rFonts w:asciiTheme="minorHAnsi" w:hAnsiTheme="minorHAnsi" w:cstheme="minorHAnsi"/>
          <w:color w:val="000000" w:themeColor="text1"/>
          <w:sz w:val="20"/>
          <w:szCs w:val="20"/>
        </w:rPr>
        <w:t xml:space="preserve"> a vicenda, con potenziali </w:t>
      </w:r>
      <w:r w:rsidR="00101CC5" w:rsidRPr="00E565AE">
        <w:rPr>
          <w:rFonts w:asciiTheme="minorHAnsi" w:hAnsiTheme="minorHAnsi" w:cstheme="minorHAnsi"/>
          <w:color w:val="000000" w:themeColor="text1"/>
          <w:sz w:val="20"/>
          <w:szCs w:val="20"/>
        </w:rPr>
        <w:t>effetti</w:t>
      </w:r>
      <w:r w:rsidRPr="00E565AE">
        <w:rPr>
          <w:rFonts w:asciiTheme="minorHAnsi" w:hAnsiTheme="minorHAnsi" w:cstheme="minorHAnsi"/>
          <w:color w:val="000000" w:themeColor="text1"/>
          <w:sz w:val="20"/>
          <w:szCs w:val="20"/>
        </w:rPr>
        <w:t xml:space="preserve"> sul loro </w:t>
      </w:r>
      <w:r w:rsidR="00F210C5" w:rsidRPr="00E565AE">
        <w:rPr>
          <w:rFonts w:asciiTheme="minorHAnsi" w:hAnsiTheme="minorHAnsi" w:cstheme="minorHAnsi"/>
          <w:color w:val="000000" w:themeColor="text1"/>
          <w:sz w:val="20"/>
          <w:szCs w:val="20"/>
        </w:rPr>
        <w:t xml:space="preserve">ospite. </w:t>
      </w:r>
    </w:p>
    <w:p w:rsidR="00E27D9B" w:rsidRPr="00E565AE" w:rsidRDefault="00F210C5"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Va anche notato che il microbiota intestinale non è una singola comunità omogenea ma mostra invece una </w:t>
      </w:r>
      <w:r w:rsidRPr="003302DA">
        <w:rPr>
          <w:rFonts w:asciiTheme="minorHAnsi" w:hAnsiTheme="minorHAnsi" w:cstheme="minorHAnsi"/>
          <w:b/>
          <w:bCs/>
          <w:color w:val="000000" w:themeColor="text1"/>
          <w:sz w:val="20"/>
          <w:szCs w:val="20"/>
        </w:rPr>
        <w:t>significativa organizzazione tridimensionale</w:t>
      </w:r>
      <w:r w:rsidRPr="00E565AE">
        <w:rPr>
          <w:rFonts w:asciiTheme="minorHAnsi" w:hAnsiTheme="minorHAnsi" w:cstheme="minorHAnsi"/>
          <w:color w:val="000000" w:themeColor="text1"/>
          <w:sz w:val="20"/>
          <w:szCs w:val="20"/>
        </w:rPr>
        <w:t xml:space="preserve">. </w:t>
      </w:r>
    </w:p>
    <w:p w:rsidR="00E27D9B" w:rsidRPr="00E565AE" w:rsidRDefault="00F210C5"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Innanzitutto, l'intestino è composto da diversi </w:t>
      </w:r>
      <w:r w:rsidRPr="003302DA">
        <w:rPr>
          <w:rFonts w:asciiTheme="minorHAnsi" w:hAnsiTheme="minorHAnsi" w:cstheme="minorHAnsi"/>
          <w:b/>
          <w:bCs/>
          <w:color w:val="000000" w:themeColor="text1"/>
          <w:sz w:val="20"/>
          <w:szCs w:val="20"/>
        </w:rPr>
        <w:t xml:space="preserve">ambienti </w:t>
      </w:r>
      <w:r w:rsidR="00101CC5" w:rsidRPr="003302DA">
        <w:rPr>
          <w:rFonts w:asciiTheme="minorHAnsi" w:hAnsiTheme="minorHAnsi" w:cstheme="minorHAnsi"/>
          <w:b/>
          <w:bCs/>
          <w:color w:val="000000" w:themeColor="text1"/>
          <w:sz w:val="20"/>
          <w:szCs w:val="20"/>
        </w:rPr>
        <w:t>distinti</w:t>
      </w:r>
      <w:r w:rsidRPr="00E565AE">
        <w:rPr>
          <w:rFonts w:asciiTheme="minorHAnsi" w:hAnsiTheme="minorHAnsi" w:cstheme="minorHAnsi"/>
          <w:color w:val="000000" w:themeColor="text1"/>
          <w:sz w:val="20"/>
          <w:szCs w:val="20"/>
        </w:rPr>
        <w:t xml:space="preserve">, in particolare lo stomaco, l'intestino tenue (diviso in duodeno, digiuno e ileo) e l'intestino crasso (colon), ognuno dei quali ha proprietà diverse e ospita la propria comunità. </w:t>
      </w:r>
      <w:r w:rsidRPr="00E565AE">
        <w:rPr>
          <w:rStyle w:val="FootnoteReference"/>
          <w:rFonts w:asciiTheme="minorHAnsi" w:hAnsiTheme="minorHAnsi" w:cstheme="minorHAnsi"/>
          <w:color w:val="000000" w:themeColor="text1"/>
          <w:sz w:val="20"/>
          <w:szCs w:val="20"/>
        </w:rPr>
        <w:footnoteReference w:id="177"/>
      </w:r>
      <w:r w:rsidRPr="00E565AE">
        <w:rPr>
          <w:rFonts w:asciiTheme="minorHAnsi" w:hAnsiTheme="minorHAnsi" w:cstheme="minorHAnsi"/>
          <w:color w:val="000000" w:themeColor="text1"/>
          <w:sz w:val="20"/>
          <w:szCs w:val="20"/>
        </w:rPr>
        <w:t xml:space="preserve"> </w:t>
      </w:r>
    </w:p>
    <w:p w:rsidR="00E27D9B" w:rsidRPr="00E565AE" w:rsidRDefault="00F210C5"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Ad oggi, la stragrande maggioranza della ricerca si è concentrata sul colon a causa della facilità di ottenere campioni fecali e d</w:t>
      </w:r>
      <w:r w:rsidR="00101CC5" w:rsidRPr="00E565AE">
        <w:rPr>
          <w:rFonts w:asciiTheme="minorHAnsi" w:hAnsiTheme="minorHAnsi" w:cstheme="minorHAnsi"/>
          <w:color w:val="000000" w:themeColor="text1"/>
          <w:sz w:val="20"/>
          <w:szCs w:val="20"/>
        </w:rPr>
        <w:t>a</w:t>
      </w:r>
      <w:r w:rsidRPr="00E565AE">
        <w:rPr>
          <w:rFonts w:asciiTheme="minorHAnsi" w:hAnsiTheme="minorHAnsi" w:cstheme="minorHAnsi"/>
          <w:color w:val="000000" w:themeColor="text1"/>
          <w:sz w:val="20"/>
          <w:szCs w:val="20"/>
        </w:rPr>
        <w:t xml:space="preserve">l fatto che contiene di gran lunga la più alta densità e numero di batteri. </w:t>
      </w:r>
      <w:r w:rsidRPr="00E565AE">
        <w:rPr>
          <w:rStyle w:val="FootnoteReference"/>
          <w:rFonts w:asciiTheme="minorHAnsi" w:hAnsiTheme="minorHAnsi" w:cstheme="minorHAnsi"/>
          <w:color w:val="000000" w:themeColor="text1"/>
          <w:sz w:val="20"/>
          <w:szCs w:val="20"/>
        </w:rPr>
        <w:footnoteReference w:id="178"/>
      </w:r>
      <w:r w:rsidRPr="00E565AE">
        <w:rPr>
          <w:rFonts w:asciiTheme="minorHAnsi" w:hAnsiTheme="minorHAnsi" w:cstheme="minorHAnsi"/>
          <w:color w:val="000000" w:themeColor="text1"/>
          <w:sz w:val="20"/>
          <w:szCs w:val="20"/>
        </w:rPr>
        <w:t xml:space="preserve"> </w:t>
      </w:r>
    </w:p>
    <w:p w:rsidR="00F210C5" w:rsidRDefault="00F210C5" w:rsidP="00E5713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In secondo luogo, anche all'interno di un dato compartimento, i batteri possono differire lungo l'asse trasversale, con popolazioni diverse trovate nel lume rispetto alla mucosa.</w:t>
      </w:r>
    </w:p>
    <w:p w:rsidR="003302DA" w:rsidRPr="00E565AE" w:rsidRDefault="003302DA" w:rsidP="00E5713A">
      <w:pPr>
        <w:jc w:val="both"/>
        <w:rPr>
          <w:rFonts w:asciiTheme="minorHAnsi" w:hAnsiTheme="minorHAnsi" w:cstheme="minorHAnsi"/>
          <w:color w:val="000000" w:themeColor="text1"/>
          <w:sz w:val="20"/>
          <w:szCs w:val="20"/>
        </w:rPr>
      </w:pPr>
    </w:p>
    <w:p w:rsidR="003302DA" w:rsidRPr="00E565AE" w:rsidRDefault="00E27D9B" w:rsidP="003302DA">
      <w:pPr>
        <w:jc w:val="center"/>
        <w:rPr>
          <w:color w:val="000000" w:themeColor="text1"/>
        </w:rPr>
      </w:pPr>
      <w:r w:rsidRPr="00E565AE">
        <w:rPr>
          <w:color w:val="000000" w:themeColor="text1"/>
        </w:rPr>
        <w:fldChar w:fldCharType="begin"/>
      </w:r>
      <w:r w:rsidRPr="00E565AE">
        <w:rPr>
          <w:color w:val="000000" w:themeColor="text1"/>
        </w:rPr>
        <w:instrText xml:space="preserve"> INCLUDEPICTURE "https://www.ncbi.nlm.nih.gov/pmc/articles/PMC6383444/bin/zmr0011925000001.jpg" \* MERGEFORMATINET </w:instrText>
      </w:r>
      <w:r w:rsidRPr="00E565AE">
        <w:rPr>
          <w:color w:val="000000" w:themeColor="text1"/>
        </w:rPr>
        <w:fldChar w:fldCharType="separate"/>
      </w:r>
      <w:r w:rsidRPr="00E565AE">
        <w:rPr>
          <w:noProof/>
          <w:color w:val="000000" w:themeColor="text1"/>
        </w:rPr>
        <w:drawing>
          <wp:inline distT="0" distB="0" distL="0" distR="0" wp14:anchorId="5DD6779B" wp14:editId="07B7627C">
            <wp:extent cx="3088980" cy="3931138"/>
            <wp:effectExtent l="0" t="0" r="0" b="6350"/>
            <wp:docPr id="48" name="Immagine 48" descr="An external file that holds a picture, illustration, etc.&#10;Object name is zmr0011925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external file that holds a picture, illustration, etc.&#10;Object name is zmr001192500000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212259" cy="4088026"/>
                    </a:xfrm>
                    <a:prstGeom prst="rect">
                      <a:avLst/>
                    </a:prstGeom>
                    <a:noFill/>
                    <a:ln>
                      <a:noFill/>
                    </a:ln>
                  </pic:spPr>
                </pic:pic>
              </a:graphicData>
            </a:graphic>
          </wp:inline>
        </w:drawing>
      </w:r>
      <w:r w:rsidRPr="00E565AE">
        <w:rPr>
          <w:color w:val="000000" w:themeColor="text1"/>
        </w:rPr>
        <w:fldChar w:fldCharType="end"/>
      </w:r>
    </w:p>
    <w:p w:rsidR="00F210C5" w:rsidRPr="003302DA" w:rsidRDefault="00F210C5" w:rsidP="003302DA">
      <w:pPr>
        <w:shd w:val="clear" w:color="auto" w:fill="F2F2F2" w:themeFill="background1" w:themeFillShade="F2"/>
        <w:rPr>
          <w:rFonts w:asciiTheme="minorHAnsi" w:hAnsiTheme="minorHAnsi"/>
          <w:color w:val="000000" w:themeColor="text1"/>
          <w:sz w:val="18"/>
          <w:szCs w:val="18"/>
        </w:rPr>
      </w:pPr>
      <w:r w:rsidRPr="003302DA">
        <w:rPr>
          <w:rFonts w:asciiTheme="minorHAnsi" w:hAnsiTheme="minorHAnsi"/>
          <w:color w:val="000000" w:themeColor="text1"/>
          <w:sz w:val="18"/>
          <w:szCs w:val="18"/>
        </w:rPr>
        <w:lastRenderedPageBreak/>
        <w:t xml:space="preserve">Tratta da </w:t>
      </w:r>
      <w:hyperlink r:id="rId153" w:history="1">
        <w:r w:rsidRPr="003302DA">
          <w:rPr>
            <w:rStyle w:val="Hyperlink"/>
            <w:rFonts w:asciiTheme="minorHAnsi" w:eastAsiaTheme="majorEastAsia" w:hAnsiTheme="minorHAnsi"/>
            <w:color w:val="000000" w:themeColor="text1"/>
            <w:sz w:val="18"/>
            <w:szCs w:val="18"/>
            <w:u w:val="none"/>
          </w:rPr>
          <w:t>https://www.ncbi.nlm.nih.gov/pmc/articles/PMC6383444/</w:t>
        </w:r>
      </w:hyperlink>
    </w:p>
    <w:p w:rsidR="00F210C5" w:rsidRPr="003302DA" w:rsidRDefault="00F210C5" w:rsidP="003302DA">
      <w:pPr>
        <w:shd w:val="clear" w:color="auto" w:fill="F2F2F2" w:themeFill="background1" w:themeFillShade="F2"/>
        <w:jc w:val="both"/>
        <w:rPr>
          <w:rFonts w:asciiTheme="minorHAnsi" w:hAnsiTheme="minorHAnsi"/>
          <w:color w:val="000000" w:themeColor="text1"/>
          <w:sz w:val="18"/>
          <w:szCs w:val="18"/>
        </w:rPr>
      </w:pPr>
      <w:r w:rsidRPr="003302DA">
        <w:rPr>
          <w:rFonts w:asciiTheme="minorHAnsi" w:hAnsiTheme="minorHAnsi"/>
          <w:b/>
          <w:color w:val="000000" w:themeColor="text1"/>
          <w:sz w:val="18"/>
          <w:szCs w:val="18"/>
        </w:rPr>
        <w:t>Cenni sui principali componenti del microbiota umano, riassunti in tutti i siti del corpo, inclusi il tratto gastrointestinale, la cavità orale, la mucosa vaginale e la pelle</w:t>
      </w:r>
      <w:r w:rsidRPr="003302DA">
        <w:rPr>
          <w:rFonts w:asciiTheme="minorHAnsi" w:hAnsiTheme="minorHAnsi"/>
          <w:color w:val="000000" w:themeColor="text1"/>
          <w:sz w:val="18"/>
          <w:szCs w:val="18"/>
        </w:rPr>
        <w:t xml:space="preserve">. </w:t>
      </w:r>
      <w:r w:rsidRPr="003302DA">
        <w:rPr>
          <w:rFonts w:asciiTheme="minorHAnsi" w:hAnsiTheme="minorHAnsi"/>
          <w:b/>
          <w:bCs/>
          <w:color w:val="000000" w:themeColor="text1"/>
          <w:sz w:val="18"/>
          <w:szCs w:val="18"/>
        </w:rPr>
        <w:t>(In alto a sinistra)</w:t>
      </w:r>
      <w:r w:rsidRPr="003302DA">
        <w:rPr>
          <w:rFonts w:asciiTheme="minorHAnsi" w:hAnsiTheme="minorHAnsi"/>
          <w:color w:val="000000" w:themeColor="text1"/>
          <w:sz w:val="18"/>
          <w:szCs w:val="18"/>
        </w:rPr>
        <w:t xml:space="preserve"> I batteri sono i più abbondanti e includono i membri dei phyla Firmicutes (Clostridium, Lactobacillus e Enterococcus), Bacteroidetes (Bacteroides and Prevotella), Proteobacteria (Escherichia e Acinetobacter), Actinobacteria (Bifidobacterium), e Akucomicia (Akifomic). </w:t>
      </w:r>
      <w:r w:rsidRPr="003302DA">
        <w:rPr>
          <w:rFonts w:asciiTheme="minorHAnsi" w:hAnsiTheme="minorHAnsi"/>
          <w:b/>
          <w:bCs/>
          <w:color w:val="000000" w:themeColor="text1"/>
          <w:sz w:val="18"/>
          <w:szCs w:val="18"/>
        </w:rPr>
        <w:t>(In alto a destra)</w:t>
      </w:r>
      <w:r w:rsidRPr="003302DA">
        <w:rPr>
          <w:rFonts w:asciiTheme="minorHAnsi" w:hAnsiTheme="minorHAnsi"/>
          <w:color w:val="000000" w:themeColor="text1"/>
          <w:sz w:val="18"/>
          <w:szCs w:val="18"/>
        </w:rPr>
        <w:t xml:space="preserve"> Sulla base della metagenomica, i funghi associati all'uomo sono significativamente più numerosi dei batteri; sono principalmente membri del phylum Ascomycota (Candida, Saccharomyces, Aspergillus e Malassezia), ma alcuni Basidiomycota sono rilevabili. Gli esseri umani possono anche essere infettati da agenti patogeni eucariotici non fungini, che non sono mostrati qui. </w:t>
      </w:r>
      <w:r w:rsidRPr="003302DA">
        <w:rPr>
          <w:rFonts w:asciiTheme="minorHAnsi" w:hAnsiTheme="minorHAnsi"/>
          <w:b/>
          <w:bCs/>
          <w:color w:val="000000" w:themeColor="text1"/>
          <w:sz w:val="18"/>
          <w:szCs w:val="18"/>
        </w:rPr>
        <w:t>(In basso a destra)</w:t>
      </w:r>
      <w:r w:rsidRPr="003302DA">
        <w:rPr>
          <w:rFonts w:asciiTheme="minorHAnsi" w:hAnsiTheme="minorHAnsi"/>
          <w:color w:val="000000" w:themeColor="text1"/>
          <w:sz w:val="18"/>
          <w:szCs w:val="18"/>
        </w:rPr>
        <w:t xml:space="preserve"> I virus nel microbiota umano sono principalmente batteriofagi e probabilmente superano la popolazione batterica di almeno 10 volte. Il viroma è in gran parte composto da Caudovirales (Siphoviridae, Myoviridae e Podoviridae) e Microviridae, insieme ad alcuni virus eucariotici dell'ospite. </w:t>
      </w:r>
      <w:r w:rsidRPr="003302DA">
        <w:rPr>
          <w:rFonts w:asciiTheme="minorHAnsi" w:hAnsiTheme="minorHAnsi"/>
          <w:b/>
          <w:bCs/>
          <w:color w:val="000000" w:themeColor="text1"/>
          <w:sz w:val="18"/>
          <w:szCs w:val="18"/>
        </w:rPr>
        <w:t>(In basso a sinistra)</w:t>
      </w:r>
      <w:r w:rsidRPr="003302DA">
        <w:rPr>
          <w:rFonts w:asciiTheme="minorHAnsi" w:hAnsiTheme="minorHAnsi"/>
          <w:color w:val="000000" w:themeColor="text1"/>
          <w:sz w:val="18"/>
          <w:szCs w:val="18"/>
        </w:rPr>
        <w:t xml:space="preserve"> Gli elminti sono ora tipicamente assenti dagli umani nelle nazioni ad alto reddito, ma parassitano ancora miliardi in tutto il mondo a vari livelli di gravità. Includono trematodi (vermi piatti), nematodi (nematodi) e cestodi (tenie).</w:t>
      </w:r>
    </w:p>
    <w:p w:rsidR="003E2CCD" w:rsidRPr="00E565AE" w:rsidRDefault="003E2CCD" w:rsidP="00E5713A">
      <w:pPr>
        <w:jc w:val="both"/>
        <w:rPr>
          <w:rFonts w:asciiTheme="minorHAnsi" w:hAnsiTheme="minorHAnsi" w:cstheme="minorHAnsi"/>
          <w:color w:val="000000" w:themeColor="text1"/>
        </w:rPr>
      </w:pPr>
    </w:p>
    <w:p w:rsidR="00E27D9B" w:rsidRPr="00E565AE" w:rsidRDefault="00F210C5"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L’</w:t>
      </w:r>
      <w:r w:rsidR="000F58F5" w:rsidRPr="00E565AE">
        <w:rPr>
          <w:rFonts w:asciiTheme="minorHAnsi" w:hAnsiTheme="minorHAnsi" w:cstheme="minorHAnsi"/>
          <w:color w:val="000000" w:themeColor="text1"/>
          <w:sz w:val="20"/>
          <w:szCs w:val="20"/>
        </w:rPr>
        <w:t xml:space="preserve">altro componente fondamentale per lo sviluppo del microbiota e dell’asse microbiota-sistema immunitario è il </w:t>
      </w:r>
      <w:r w:rsidR="000F58F5" w:rsidRPr="00E565AE">
        <w:rPr>
          <w:rFonts w:asciiTheme="minorHAnsi" w:hAnsiTheme="minorHAnsi" w:cstheme="minorHAnsi"/>
          <w:b/>
          <w:bCs/>
          <w:color w:val="000000" w:themeColor="text1"/>
          <w:sz w:val="20"/>
          <w:szCs w:val="20"/>
        </w:rPr>
        <w:t>viroma intestinale</w:t>
      </w:r>
      <w:r w:rsidR="00101CC5" w:rsidRPr="00E565AE">
        <w:rPr>
          <w:rFonts w:asciiTheme="minorHAnsi" w:hAnsiTheme="minorHAnsi" w:cstheme="minorHAnsi"/>
          <w:color w:val="000000" w:themeColor="text1"/>
          <w:sz w:val="20"/>
          <w:szCs w:val="20"/>
        </w:rPr>
        <w:t>, d</w:t>
      </w:r>
      <w:r w:rsidR="000F58F5" w:rsidRPr="00E565AE">
        <w:rPr>
          <w:rFonts w:asciiTheme="minorHAnsi" w:hAnsiTheme="minorHAnsi" w:cstheme="minorHAnsi"/>
          <w:color w:val="000000" w:themeColor="text1"/>
          <w:sz w:val="20"/>
          <w:szCs w:val="20"/>
        </w:rPr>
        <w:t xml:space="preserve">efinito come la porzione del microbioma intestinale costituita dai virus che </w:t>
      </w:r>
      <w:r w:rsidR="00E27D9B" w:rsidRPr="00E565AE">
        <w:rPr>
          <w:rFonts w:asciiTheme="minorHAnsi" w:hAnsiTheme="minorHAnsi" w:cstheme="minorHAnsi"/>
          <w:color w:val="000000" w:themeColor="text1"/>
          <w:sz w:val="20"/>
          <w:szCs w:val="20"/>
        </w:rPr>
        <w:t>colonizzano</w:t>
      </w:r>
      <w:r w:rsidR="000F58F5" w:rsidRPr="00E565AE">
        <w:rPr>
          <w:rFonts w:asciiTheme="minorHAnsi" w:hAnsiTheme="minorHAnsi" w:cstheme="minorHAnsi"/>
          <w:color w:val="000000" w:themeColor="text1"/>
          <w:sz w:val="20"/>
          <w:szCs w:val="20"/>
        </w:rPr>
        <w:t xml:space="preserve"> le cellule ospiti eucariotiche (viroma eucariotico), i batteri (viroma batterico) e gli archei (viroma archaeal). </w:t>
      </w:r>
    </w:p>
    <w:p w:rsidR="00E27D9B" w:rsidRPr="00E565AE" w:rsidRDefault="000F58F5"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Comprende anche tutti gli elementi genetici derivati da virus che si trovano integrati nei cromosomi dell’ospite (HERVs - elementi virali endogeni).</w:t>
      </w:r>
      <w:r w:rsidRPr="00E565AE">
        <w:rPr>
          <w:rStyle w:val="FootnoteReference"/>
          <w:rFonts w:asciiTheme="minorHAnsi" w:hAnsiTheme="minorHAnsi" w:cstheme="minorHAnsi"/>
          <w:color w:val="000000" w:themeColor="text1"/>
          <w:sz w:val="20"/>
          <w:szCs w:val="20"/>
        </w:rPr>
        <w:footnoteReference w:id="179"/>
      </w:r>
      <w:r w:rsidRPr="00E565AE">
        <w:rPr>
          <w:rFonts w:asciiTheme="minorHAnsi" w:hAnsiTheme="minorHAnsi" w:cstheme="minorHAnsi"/>
          <w:color w:val="000000" w:themeColor="text1"/>
          <w:sz w:val="20"/>
          <w:szCs w:val="20"/>
        </w:rPr>
        <w:t xml:space="preserve"> </w:t>
      </w:r>
    </w:p>
    <w:p w:rsidR="00E27D9B" w:rsidRPr="00E565AE" w:rsidRDefault="00E27D9B" w:rsidP="00A26ACA">
      <w:pPr>
        <w:jc w:val="both"/>
        <w:rPr>
          <w:rFonts w:asciiTheme="minorHAnsi" w:hAnsiTheme="minorHAnsi" w:cstheme="minorHAnsi"/>
          <w:color w:val="000000" w:themeColor="text1"/>
          <w:sz w:val="20"/>
          <w:szCs w:val="20"/>
        </w:rPr>
      </w:pPr>
    </w:p>
    <w:p w:rsidR="00E27D9B" w:rsidRPr="006E12B4" w:rsidRDefault="00E27D9B" w:rsidP="006E12B4">
      <w:pPr>
        <w:pBdr>
          <w:top w:val="double" w:sz="4" w:space="1" w:color="2F5496" w:themeColor="accent1" w:themeShade="BF"/>
          <w:left w:val="double" w:sz="4" w:space="5"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i/>
          <w:iCs/>
          <w:color w:val="000000" w:themeColor="text1"/>
          <w:sz w:val="20"/>
          <w:szCs w:val="20"/>
        </w:rPr>
      </w:pPr>
    </w:p>
    <w:p w:rsidR="00E27D9B" w:rsidRPr="006E12B4" w:rsidRDefault="000F58F5" w:rsidP="006E12B4">
      <w:pPr>
        <w:pBdr>
          <w:top w:val="double" w:sz="4" w:space="1" w:color="2F5496" w:themeColor="accent1" w:themeShade="BF"/>
          <w:left w:val="double" w:sz="4" w:space="5"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i/>
          <w:iCs/>
          <w:color w:val="000000" w:themeColor="text1"/>
          <w:sz w:val="20"/>
          <w:szCs w:val="20"/>
        </w:rPr>
      </w:pPr>
      <w:r w:rsidRPr="006E12B4">
        <w:rPr>
          <w:rFonts w:asciiTheme="minorHAnsi" w:hAnsiTheme="minorHAnsi" w:cstheme="minorHAnsi"/>
          <w:i/>
          <w:iCs/>
          <w:color w:val="000000" w:themeColor="text1"/>
          <w:sz w:val="20"/>
          <w:szCs w:val="20"/>
        </w:rPr>
        <w:t xml:space="preserve">Si stima che l'intestino umano ospiti oltre </w:t>
      </w:r>
      <w:r w:rsidRPr="006E12B4">
        <w:rPr>
          <w:rFonts w:asciiTheme="minorHAnsi" w:hAnsiTheme="minorHAnsi" w:cstheme="minorHAnsi"/>
          <w:b/>
          <w:bCs/>
          <w:i/>
          <w:iCs/>
          <w:color w:val="000000" w:themeColor="text1"/>
          <w:sz w:val="20"/>
          <w:szCs w:val="20"/>
        </w:rPr>
        <w:t>10</w:t>
      </w:r>
      <w:r w:rsidRPr="006E12B4">
        <w:rPr>
          <w:rFonts w:asciiTheme="minorHAnsi" w:hAnsiTheme="minorHAnsi" w:cstheme="minorHAnsi"/>
          <w:b/>
          <w:bCs/>
          <w:i/>
          <w:iCs/>
          <w:color w:val="000000" w:themeColor="text1"/>
          <w:sz w:val="20"/>
          <w:szCs w:val="20"/>
          <w:vertAlign w:val="superscript"/>
        </w:rPr>
        <w:t>12</w:t>
      </w:r>
      <w:r w:rsidRPr="006E12B4">
        <w:rPr>
          <w:rFonts w:asciiTheme="minorHAnsi" w:hAnsiTheme="minorHAnsi" w:cstheme="minorHAnsi"/>
          <w:b/>
          <w:bCs/>
          <w:i/>
          <w:iCs/>
          <w:color w:val="000000" w:themeColor="text1"/>
          <w:sz w:val="20"/>
          <w:szCs w:val="20"/>
        </w:rPr>
        <w:t xml:space="preserve"> cellule batteriche</w:t>
      </w:r>
      <w:r w:rsidRPr="006E12B4">
        <w:rPr>
          <w:rFonts w:asciiTheme="minorHAnsi" w:hAnsiTheme="minorHAnsi" w:cstheme="minorHAnsi"/>
          <w:i/>
          <w:iCs/>
          <w:color w:val="000000" w:themeColor="text1"/>
          <w:sz w:val="20"/>
          <w:szCs w:val="20"/>
        </w:rPr>
        <w:t xml:space="preserve">, che a loro volta sono in un rapporto stimato con le loro controparti virali infettive o associate (batteriofagi o fagi) di 10 (virus) a 1 (batteri). </w:t>
      </w:r>
    </w:p>
    <w:p w:rsidR="00E27D9B" w:rsidRPr="006E12B4" w:rsidRDefault="00E27D9B" w:rsidP="006E12B4">
      <w:pPr>
        <w:pBdr>
          <w:top w:val="double" w:sz="4" w:space="1" w:color="2F5496" w:themeColor="accent1" w:themeShade="BF"/>
          <w:left w:val="double" w:sz="4" w:space="5"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i/>
          <w:iCs/>
          <w:color w:val="000000" w:themeColor="text1"/>
          <w:sz w:val="20"/>
          <w:szCs w:val="20"/>
        </w:rPr>
      </w:pPr>
    </w:p>
    <w:p w:rsidR="00E27D9B" w:rsidRPr="006E12B4" w:rsidRDefault="000F58F5" w:rsidP="006E12B4">
      <w:pPr>
        <w:pBdr>
          <w:top w:val="double" w:sz="4" w:space="1" w:color="2F5496" w:themeColor="accent1" w:themeShade="BF"/>
          <w:left w:val="double" w:sz="4" w:space="5"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i/>
          <w:iCs/>
          <w:color w:val="000000" w:themeColor="text1"/>
          <w:sz w:val="20"/>
          <w:szCs w:val="20"/>
        </w:rPr>
      </w:pPr>
      <w:r w:rsidRPr="006E12B4">
        <w:rPr>
          <w:rFonts w:asciiTheme="minorHAnsi" w:hAnsiTheme="minorHAnsi" w:cstheme="minorHAnsi"/>
          <w:i/>
          <w:iCs/>
          <w:color w:val="000000" w:themeColor="text1"/>
          <w:sz w:val="20"/>
          <w:szCs w:val="20"/>
        </w:rPr>
        <w:t>Si ritiene che la colonizzazione delle popolazioni batteriche da parte dei fagi svolga un ruolo importante nel modellare la struttura della comunità batterica dell'intestino.</w:t>
      </w:r>
      <w:r w:rsidRPr="006E12B4">
        <w:rPr>
          <w:rStyle w:val="FootnoteReference"/>
          <w:rFonts w:asciiTheme="minorHAnsi" w:hAnsiTheme="minorHAnsi" w:cstheme="minorHAnsi"/>
          <w:i/>
          <w:iCs/>
          <w:color w:val="000000" w:themeColor="text1"/>
          <w:sz w:val="20"/>
          <w:szCs w:val="20"/>
        </w:rPr>
        <w:footnoteReference w:id="180"/>
      </w:r>
      <w:r w:rsidR="00101CC5" w:rsidRPr="006E12B4">
        <w:rPr>
          <w:rFonts w:asciiTheme="minorHAnsi" w:hAnsiTheme="minorHAnsi" w:cstheme="minorHAnsi"/>
          <w:i/>
          <w:iCs/>
          <w:color w:val="000000" w:themeColor="text1"/>
          <w:sz w:val="20"/>
          <w:szCs w:val="20"/>
        </w:rPr>
        <w:t xml:space="preserve"> </w:t>
      </w:r>
    </w:p>
    <w:p w:rsidR="00AC3FD4" w:rsidRPr="006E12B4" w:rsidRDefault="00A26ACA" w:rsidP="006E12B4">
      <w:pPr>
        <w:pBdr>
          <w:top w:val="double" w:sz="4" w:space="1" w:color="2F5496" w:themeColor="accent1" w:themeShade="BF"/>
          <w:left w:val="double" w:sz="4" w:space="5"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i/>
          <w:iCs/>
          <w:color w:val="000000" w:themeColor="text1"/>
          <w:sz w:val="20"/>
          <w:szCs w:val="20"/>
        </w:rPr>
      </w:pPr>
      <w:r w:rsidRPr="006E12B4">
        <w:rPr>
          <w:rFonts w:asciiTheme="minorHAnsi" w:hAnsiTheme="minorHAnsi" w:cstheme="minorHAnsi"/>
          <w:i/>
          <w:iCs/>
          <w:color w:val="000000" w:themeColor="text1"/>
          <w:sz w:val="20"/>
          <w:szCs w:val="20"/>
        </w:rPr>
        <w:t>Un</w:t>
      </w:r>
      <w:r w:rsidR="00101CC5" w:rsidRPr="006E12B4">
        <w:rPr>
          <w:rFonts w:asciiTheme="minorHAnsi" w:hAnsiTheme="minorHAnsi" w:cstheme="minorHAnsi"/>
          <w:i/>
          <w:iCs/>
          <w:color w:val="000000" w:themeColor="text1"/>
          <w:sz w:val="20"/>
          <w:szCs w:val="20"/>
        </w:rPr>
        <w:t xml:space="preserve">o </w:t>
      </w:r>
      <w:r w:rsidRPr="006E12B4">
        <w:rPr>
          <w:rFonts w:asciiTheme="minorHAnsi" w:hAnsiTheme="minorHAnsi" w:cstheme="minorHAnsi"/>
          <w:i/>
          <w:iCs/>
          <w:color w:val="000000" w:themeColor="text1"/>
          <w:sz w:val="20"/>
          <w:szCs w:val="20"/>
        </w:rPr>
        <w:t xml:space="preserve">studio </w:t>
      </w:r>
      <w:r w:rsidR="00101CC5" w:rsidRPr="006E12B4">
        <w:rPr>
          <w:rFonts w:asciiTheme="minorHAnsi" w:hAnsiTheme="minorHAnsi" w:cstheme="minorHAnsi"/>
          <w:i/>
          <w:iCs/>
          <w:color w:val="000000" w:themeColor="text1"/>
          <w:sz w:val="20"/>
          <w:szCs w:val="20"/>
        </w:rPr>
        <w:t xml:space="preserve">recente </w:t>
      </w:r>
      <w:r w:rsidRPr="006E12B4">
        <w:rPr>
          <w:rFonts w:asciiTheme="minorHAnsi" w:hAnsiTheme="minorHAnsi" w:cstheme="minorHAnsi"/>
          <w:i/>
          <w:iCs/>
          <w:color w:val="000000" w:themeColor="text1"/>
          <w:sz w:val="20"/>
          <w:szCs w:val="20"/>
        </w:rPr>
        <w:t>ha stabilito che i virus che colonizzano i batteri si trovano in abbondanza nell'intestino infantile</w:t>
      </w:r>
      <w:r w:rsidR="006954CB" w:rsidRPr="006E12B4">
        <w:rPr>
          <w:rFonts w:asciiTheme="minorHAnsi" w:hAnsiTheme="minorHAnsi" w:cstheme="minorHAnsi"/>
          <w:i/>
          <w:iCs/>
          <w:color w:val="000000" w:themeColor="text1"/>
          <w:sz w:val="20"/>
          <w:szCs w:val="20"/>
        </w:rPr>
        <w:t xml:space="preserve">. </w:t>
      </w:r>
      <w:r w:rsidR="006954CB" w:rsidRPr="006E12B4">
        <w:rPr>
          <w:rStyle w:val="FootnoteReference"/>
          <w:rFonts w:asciiTheme="minorHAnsi" w:hAnsiTheme="minorHAnsi" w:cstheme="minorHAnsi"/>
          <w:i/>
          <w:iCs/>
          <w:color w:val="000000" w:themeColor="text1"/>
          <w:sz w:val="20"/>
          <w:szCs w:val="20"/>
        </w:rPr>
        <w:footnoteReference w:id="181"/>
      </w:r>
      <w:r w:rsidR="006954CB" w:rsidRPr="006E12B4">
        <w:rPr>
          <w:rFonts w:asciiTheme="minorHAnsi" w:hAnsiTheme="minorHAnsi" w:cstheme="minorHAnsi"/>
          <w:i/>
          <w:iCs/>
          <w:color w:val="000000" w:themeColor="text1"/>
          <w:sz w:val="20"/>
          <w:szCs w:val="20"/>
        </w:rPr>
        <w:t xml:space="preserve"> </w:t>
      </w:r>
    </w:p>
    <w:p w:rsidR="00E27D9B" w:rsidRPr="006E12B4" w:rsidRDefault="00E27D9B" w:rsidP="006E12B4">
      <w:pPr>
        <w:pBdr>
          <w:top w:val="double" w:sz="4" w:space="1" w:color="2F5496" w:themeColor="accent1" w:themeShade="BF"/>
          <w:left w:val="double" w:sz="4" w:space="5" w:color="2F5496" w:themeColor="accent1" w:themeShade="BF"/>
          <w:bottom w:val="double" w:sz="4" w:space="1" w:color="2F5496" w:themeColor="accent1" w:themeShade="BF"/>
          <w:right w:val="double" w:sz="4" w:space="4" w:color="2F5496" w:themeColor="accent1" w:themeShade="BF"/>
        </w:pBdr>
        <w:shd w:val="clear" w:color="auto" w:fill="FBF9E1"/>
        <w:ind w:left="851" w:right="701"/>
        <w:jc w:val="both"/>
        <w:rPr>
          <w:rFonts w:asciiTheme="minorHAnsi" w:hAnsiTheme="minorHAnsi" w:cstheme="minorHAnsi"/>
          <w:i/>
          <w:iCs/>
          <w:color w:val="000000" w:themeColor="text1"/>
          <w:sz w:val="20"/>
          <w:szCs w:val="20"/>
        </w:rPr>
      </w:pPr>
    </w:p>
    <w:p w:rsidR="00E27D9B" w:rsidRPr="00E565AE" w:rsidRDefault="00E27D9B" w:rsidP="00A26ACA">
      <w:pPr>
        <w:jc w:val="both"/>
        <w:rPr>
          <w:rFonts w:asciiTheme="minorHAnsi" w:hAnsiTheme="minorHAnsi" w:cstheme="minorHAnsi"/>
          <w:color w:val="000000" w:themeColor="text1"/>
          <w:sz w:val="20"/>
          <w:szCs w:val="20"/>
        </w:rPr>
      </w:pPr>
    </w:p>
    <w:p w:rsidR="00E27D9B" w:rsidRPr="00E565AE" w:rsidRDefault="00A26ACA"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È stata proposta un'ipotesi di interazioni tra virus e batteri, in cui entrambe le parti sono responsabili della modulazione della loro composizione relativa e dell'impatto sullo stato di salute dell'ospite</w:t>
      </w:r>
      <w:r w:rsidR="00E27D9B" w:rsidRPr="00E565AE">
        <w:rPr>
          <w:rFonts w:asciiTheme="minorHAnsi" w:hAnsiTheme="minorHAnsi" w:cstheme="minorHAnsi"/>
          <w:color w:val="000000" w:themeColor="text1"/>
          <w:sz w:val="20"/>
          <w:szCs w:val="20"/>
        </w:rPr>
        <w:t>.</w:t>
      </w:r>
    </w:p>
    <w:p w:rsidR="00AC3FD4" w:rsidRPr="00E565AE" w:rsidRDefault="00A26ACA"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Questa relazione dinamica è esemplificata dalla loro progressione dalla prima infanzia all'età adulta (vedi figura sotto).</w:t>
      </w:r>
    </w:p>
    <w:p w:rsidR="00E27D9B" w:rsidRPr="00E565AE" w:rsidRDefault="00E27D9B" w:rsidP="00A26ACA">
      <w:pPr>
        <w:jc w:val="both"/>
        <w:rPr>
          <w:rFonts w:asciiTheme="minorHAnsi" w:hAnsiTheme="minorHAnsi" w:cstheme="minorHAnsi"/>
          <w:color w:val="000000" w:themeColor="text1"/>
          <w:sz w:val="20"/>
          <w:szCs w:val="20"/>
        </w:rPr>
      </w:pPr>
    </w:p>
    <w:p w:rsidR="00AC3FD4" w:rsidRPr="00E565AE" w:rsidRDefault="00A26ACA"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Immediatamente dopo la nascita e fino ai 2 o 3 anni di età, il microbiota intestinale infantile sembra essere estremamente </w:t>
      </w:r>
      <w:r w:rsidR="006954CB" w:rsidRPr="00E565AE">
        <w:rPr>
          <w:rFonts w:asciiTheme="minorHAnsi" w:hAnsiTheme="minorHAnsi" w:cstheme="minorHAnsi"/>
          <w:color w:val="000000" w:themeColor="text1"/>
          <w:sz w:val="20"/>
          <w:szCs w:val="20"/>
        </w:rPr>
        <w:t>plastico</w:t>
      </w:r>
      <w:r w:rsidRPr="00E565AE">
        <w:rPr>
          <w:rFonts w:asciiTheme="minorHAnsi" w:hAnsiTheme="minorHAnsi" w:cstheme="minorHAnsi"/>
          <w:color w:val="000000" w:themeColor="text1"/>
          <w:sz w:val="20"/>
          <w:szCs w:val="20"/>
        </w:rPr>
        <w:t>, sottoposto a un processo di rapida espansione e diversificazione</w:t>
      </w:r>
      <w:r w:rsidR="006954CB" w:rsidRPr="00E565AE">
        <w:rPr>
          <w:rFonts w:asciiTheme="minorHAnsi" w:hAnsiTheme="minorHAnsi" w:cstheme="minorHAnsi"/>
          <w:color w:val="000000" w:themeColor="text1"/>
          <w:sz w:val="20"/>
          <w:szCs w:val="20"/>
        </w:rPr>
        <w:t xml:space="preserve">. </w:t>
      </w:r>
    </w:p>
    <w:p w:rsidR="00E27D9B" w:rsidRPr="00E565AE" w:rsidRDefault="00E27D9B" w:rsidP="00A26ACA">
      <w:pPr>
        <w:jc w:val="both"/>
        <w:rPr>
          <w:rFonts w:asciiTheme="minorHAnsi" w:hAnsiTheme="minorHAnsi" w:cstheme="minorHAnsi"/>
          <w:color w:val="000000" w:themeColor="text1"/>
          <w:sz w:val="20"/>
          <w:szCs w:val="20"/>
        </w:rPr>
      </w:pPr>
    </w:p>
    <w:p w:rsidR="00AC3FD4" w:rsidRPr="00E565AE" w:rsidRDefault="00A26ACA"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Simile al microbiota batterico, </w:t>
      </w:r>
      <w:r w:rsidR="006954CB" w:rsidRPr="00E565AE">
        <w:rPr>
          <w:rFonts w:asciiTheme="minorHAnsi" w:hAnsiTheme="minorHAnsi" w:cstheme="minorHAnsi"/>
          <w:color w:val="000000" w:themeColor="text1"/>
          <w:sz w:val="20"/>
          <w:szCs w:val="20"/>
        </w:rPr>
        <w:t xml:space="preserve">anche </w:t>
      </w:r>
      <w:r w:rsidRPr="00E565AE">
        <w:rPr>
          <w:rFonts w:asciiTheme="minorHAnsi" w:hAnsiTheme="minorHAnsi" w:cstheme="minorHAnsi"/>
          <w:color w:val="000000" w:themeColor="text1"/>
          <w:sz w:val="20"/>
          <w:szCs w:val="20"/>
        </w:rPr>
        <w:t xml:space="preserve">il viroma sembra essere altamente dinamico durante lo sviluppo del microbiota infantile, con la più alta diversità </w:t>
      </w:r>
      <w:r w:rsidR="006954CB" w:rsidRPr="00E565AE">
        <w:rPr>
          <w:rFonts w:asciiTheme="minorHAnsi" w:hAnsiTheme="minorHAnsi" w:cstheme="minorHAnsi"/>
          <w:color w:val="000000" w:themeColor="text1"/>
          <w:sz w:val="20"/>
          <w:szCs w:val="20"/>
        </w:rPr>
        <w:t>nei</w:t>
      </w:r>
      <w:r w:rsidRPr="00E565AE">
        <w:rPr>
          <w:rFonts w:asciiTheme="minorHAnsi" w:hAnsiTheme="minorHAnsi" w:cstheme="minorHAnsi"/>
          <w:color w:val="000000" w:themeColor="text1"/>
          <w:sz w:val="20"/>
          <w:szCs w:val="20"/>
        </w:rPr>
        <w:t xml:space="preserve"> batteriofagi, osservati durante i primi mesi dopo la nascita</w:t>
      </w:r>
      <w:r w:rsidR="006954CB" w:rsidRPr="00E565AE">
        <w:rPr>
          <w:rFonts w:asciiTheme="minorHAnsi" w:hAnsiTheme="minorHAnsi" w:cstheme="minorHAnsi"/>
          <w:color w:val="000000" w:themeColor="text1"/>
          <w:sz w:val="20"/>
          <w:szCs w:val="20"/>
        </w:rPr>
        <w:t xml:space="preserve">. </w:t>
      </w:r>
    </w:p>
    <w:p w:rsidR="00E27D9B" w:rsidRPr="00E565AE" w:rsidRDefault="00E27D9B" w:rsidP="00A26ACA">
      <w:pPr>
        <w:jc w:val="both"/>
        <w:rPr>
          <w:rFonts w:asciiTheme="minorHAnsi" w:hAnsiTheme="minorHAnsi" w:cstheme="minorHAnsi"/>
          <w:color w:val="000000" w:themeColor="text1"/>
          <w:sz w:val="20"/>
          <w:szCs w:val="20"/>
        </w:rPr>
      </w:pPr>
    </w:p>
    <w:p w:rsidR="00AC3FD4" w:rsidRPr="00E565AE" w:rsidRDefault="00A26ACA"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Successivamente, il viroma del fago subisce un meccanismo di contrazione e perdita di diversità</w:t>
      </w:r>
      <w:r w:rsidR="006954CB" w:rsidRPr="00E565AE">
        <w:rPr>
          <w:rFonts w:asciiTheme="minorHAnsi" w:hAnsiTheme="minorHAnsi" w:cstheme="minorHAnsi"/>
          <w:color w:val="000000" w:themeColor="text1"/>
          <w:sz w:val="20"/>
          <w:szCs w:val="20"/>
        </w:rPr>
        <w:t>.</w:t>
      </w:r>
      <w:r w:rsidRPr="00E565AE">
        <w:rPr>
          <w:rFonts w:asciiTheme="minorHAnsi" w:hAnsiTheme="minorHAnsi" w:cstheme="minorHAnsi"/>
          <w:color w:val="000000" w:themeColor="text1"/>
          <w:sz w:val="20"/>
          <w:szCs w:val="20"/>
        </w:rPr>
        <w:t xml:space="preserve"> </w:t>
      </w:r>
    </w:p>
    <w:p w:rsidR="000F58F5" w:rsidRDefault="00A26ACA"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 xml:space="preserve">È interessante notare che </w:t>
      </w:r>
      <w:r w:rsidRPr="003302DA">
        <w:rPr>
          <w:rFonts w:asciiTheme="minorHAnsi" w:hAnsiTheme="minorHAnsi" w:cstheme="minorHAnsi"/>
          <w:b/>
          <w:bCs/>
          <w:color w:val="000000" w:themeColor="text1"/>
          <w:sz w:val="20"/>
          <w:szCs w:val="20"/>
        </w:rPr>
        <w:t>la contrazione del viroma si verifica durante lo stesso periodo in cui il microbiota infantile adotta una composizione simile ad un adulto</w:t>
      </w:r>
      <w:r w:rsidRPr="00E565AE">
        <w:rPr>
          <w:rFonts w:asciiTheme="minorHAnsi" w:hAnsiTheme="minorHAnsi" w:cstheme="minorHAnsi"/>
          <w:color w:val="000000" w:themeColor="text1"/>
          <w:sz w:val="20"/>
          <w:szCs w:val="20"/>
        </w:rPr>
        <w:t xml:space="preserve">, il che indica che la conseguente riduzione del numero di </w:t>
      </w:r>
      <w:r w:rsidR="006954CB" w:rsidRPr="00E565AE">
        <w:rPr>
          <w:rFonts w:asciiTheme="minorHAnsi" w:hAnsiTheme="minorHAnsi" w:cstheme="minorHAnsi"/>
          <w:color w:val="000000" w:themeColor="text1"/>
          <w:sz w:val="20"/>
          <w:szCs w:val="20"/>
        </w:rPr>
        <w:t xml:space="preserve">colonizzatori </w:t>
      </w:r>
      <w:r w:rsidRPr="00E565AE">
        <w:rPr>
          <w:rFonts w:asciiTheme="minorHAnsi" w:hAnsiTheme="minorHAnsi" w:cstheme="minorHAnsi"/>
          <w:color w:val="000000" w:themeColor="text1"/>
          <w:sz w:val="20"/>
          <w:szCs w:val="20"/>
        </w:rPr>
        <w:t>facilita l</w:t>
      </w:r>
      <w:r w:rsidR="006954CB" w:rsidRPr="00E565AE">
        <w:rPr>
          <w:rFonts w:asciiTheme="minorHAnsi" w:hAnsiTheme="minorHAnsi" w:cstheme="minorHAnsi"/>
          <w:color w:val="000000" w:themeColor="text1"/>
          <w:sz w:val="20"/>
          <w:szCs w:val="20"/>
        </w:rPr>
        <w:t>a creazione</w:t>
      </w:r>
      <w:r w:rsidRPr="00E565AE">
        <w:rPr>
          <w:rFonts w:asciiTheme="minorHAnsi" w:hAnsiTheme="minorHAnsi" w:cstheme="minorHAnsi"/>
          <w:color w:val="000000" w:themeColor="text1"/>
          <w:sz w:val="20"/>
          <w:szCs w:val="20"/>
        </w:rPr>
        <w:t xml:space="preserve"> di una diversa comunità batterica nel tratto gastrointestinale </w:t>
      </w:r>
      <w:r w:rsidR="006954CB" w:rsidRPr="00E565AE">
        <w:rPr>
          <w:rStyle w:val="FootnoteReference"/>
          <w:rFonts w:asciiTheme="minorHAnsi" w:hAnsiTheme="minorHAnsi" w:cstheme="minorHAnsi"/>
          <w:color w:val="000000" w:themeColor="text1"/>
          <w:sz w:val="20"/>
          <w:szCs w:val="20"/>
        </w:rPr>
        <w:footnoteReference w:id="182"/>
      </w:r>
      <w:r w:rsidR="006954CB" w:rsidRPr="00E565AE">
        <w:rPr>
          <w:rFonts w:asciiTheme="minorHAnsi" w:hAnsiTheme="minorHAnsi" w:cstheme="minorHAnsi"/>
          <w:color w:val="000000" w:themeColor="text1"/>
          <w:sz w:val="20"/>
          <w:szCs w:val="20"/>
        </w:rPr>
        <w:t>.</w:t>
      </w:r>
    </w:p>
    <w:p w:rsidR="003302DA" w:rsidRPr="00E565AE" w:rsidRDefault="003302DA" w:rsidP="00A26ACA">
      <w:pPr>
        <w:jc w:val="both"/>
        <w:rPr>
          <w:rFonts w:asciiTheme="minorHAnsi" w:hAnsiTheme="minorHAnsi" w:cstheme="minorHAnsi"/>
          <w:color w:val="000000" w:themeColor="text1"/>
          <w:sz w:val="20"/>
          <w:szCs w:val="20"/>
        </w:rPr>
      </w:pPr>
    </w:p>
    <w:p w:rsidR="00101CC5" w:rsidRPr="00E565AE" w:rsidRDefault="00A26ACA"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Al contrario, si osserva che </w:t>
      </w:r>
      <w:r w:rsidRPr="003302DA">
        <w:rPr>
          <w:rFonts w:asciiTheme="minorHAnsi" w:hAnsiTheme="minorHAnsi" w:cstheme="minorHAnsi"/>
          <w:b/>
          <w:bCs/>
          <w:color w:val="000000" w:themeColor="text1"/>
          <w:sz w:val="20"/>
          <w:szCs w:val="20"/>
        </w:rPr>
        <w:t xml:space="preserve">il viroma eucariotico è poco diversificato durante i primi giorni di vita, </w:t>
      </w:r>
      <w:r w:rsidR="00101CC5" w:rsidRPr="003302DA">
        <w:rPr>
          <w:rFonts w:asciiTheme="minorHAnsi" w:hAnsiTheme="minorHAnsi" w:cstheme="minorHAnsi"/>
          <w:b/>
          <w:bCs/>
          <w:color w:val="000000" w:themeColor="text1"/>
          <w:sz w:val="20"/>
          <w:szCs w:val="20"/>
        </w:rPr>
        <w:t xml:space="preserve">e poi va incontro ad </w:t>
      </w:r>
      <w:r w:rsidRPr="003302DA">
        <w:rPr>
          <w:rFonts w:asciiTheme="minorHAnsi" w:hAnsiTheme="minorHAnsi" w:cstheme="minorHAnsi"/>
          <w:b/>
          <w:bCs/>
          <w:color w:val="000000" w:themeColor="text1"/>
          <w:sz w:val="20"/>
          <w:szCs w:val="20"/>
        </w:rPr>
        <w:t xml:space="preserve">un aumento della </w:t>
      </w:r>
      <w:r w:rsidR="006954CB" w:rsidRPr="003302DA">
        <w:rPr>
          <w:rFonts w:asciiTheme="minorHAnsi" w:hAnsiTheme="minorHAnsi" w:cstheme="minorHAnsi"/>
          <w:b/>
          <w:bCs/>
          <w:color w:val="000000" w:themeColor="text1"/>
          <w:sz w:val="20"/>
          <w:szCs w:val="20"/>
        </w:rPr>
        <w:t>diversità</w:t>
      </w:r>
      <w:r w:rsidRPr="003302DA">
        <w:rPr>
          <w:rFonts w:asciiTheme="minorHAnsi" w:hAnsiTheme="minorHAnsi" w:cstheme="minorHAnsi"/>
          <w:b/>
          <w:bCs/>
          <w:color w:val="000000" w:themeColor="text1"/>
          <w:sz w:val="20"/>
          <w:szCs w:val="20"/>
        </w:rPr>
        <w:t xml:space="preserve"> per un periodo di 24 mesi</w:t>
      </w:r>
      <w:r w:rsidRPr="00E565AE">
        <w:rPr>
          <w:rFonts w:asciiTheme="minorHAnsi" w:hAnsiTheme="minorHAnsi" w:cstheme="minorHAnsi"/>
          <w:color w:val="000000" w:themeColor="text1"/>
          <w:sz w:val="20"/>
          <w:szCs w:val="20"/>
        </w:rPr>
        <w:t>. Ciò suggerisce che i virus eucariotici sono ottenuti principalmente da fonti ambientali.</w:t>
      </w:r>
    </w:p>
    <w:p w:rsidR="00E27D9B" w:rsidRPr="00E565AE" w:rsidRDefault="00E27D9B" w:rsidP="00A26ACA">
      <w:pPr>
        <w:jc w:val="both"/>
        <w:rPr>
          <w:rFonts w:asciiTheme="minorHAnsi" w:hAnsiTheme="minorHAnsi" w:cstheme="minorHAnsi"/>
          <w:color w:val="000000" w:themeColor="text1"/>
          <w:sz w:val="20"/>
          <w:szCs w:val="20"/>
        </w:rPr>
      </w:pPr>
    </w:p>
    <w:p w:rsidR="00AC3FD4" w:rsidRPr="00E565AE" w:rsidRDefault="00A26ACA"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La composizione del viroma nell'intestino può essere influenzata da diversi fattori, tra cui la geografia e la dieta sembrano avere la maggiore influenza. </w:t>
      </w:r>
    </w:p>
    <w:p w:rsidR="00E27D9B" w:rsidRPr="00E565AE" w:rsidRDefault="00E27D9B" w:rsidP="00A26ACA">
      <w:pPr>
        <w:jc w:val="both"/>
        <w:rPr>
          <w:rFonts w:asciiTheme="minorHAnsi" w:hAnsiTheme="minorHAnsi" w:cstheme="minorHAnsi"/>
          <w:color w:val="000000" w:themeColor="text1"/>
          <w:sz w:val="20"/>
          <w:szCs w:val="20"/>
        </w:rPr>
      </w:pPr>
    </w:p>
    <w:p w:rsidR="00E27D9B" w:rsidRPr="00E565AE" w:rsidRDefault="00A26ACA"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È interessante notare che gli individui che seguono le stesse abitudini alimentari hanno la tendenza a ospitare un simile viroma, probabilmente riflettendo un </w:t>
      </w:r>
      <w:r w:rsidRPr="003302DA">
        <w:rPr>
          <w:rFonts w:asciiTheme="minorHAnsi" w:hAnsiTheme="minorHAnsi" w:cstheme="minorHAnsi"/>
          <w:b/>
          <w:bCs/>
          <w:color w:val="000000" w:themeColor="text1"/>
          <w:sz w:val="20"/>
          <w:szCs w:val="20"/>
        </w:rPr>
        <w:t>microbiota dietetico-dipendente</w:t>
      </w:r>
      <w:r w:rsidRPr="00E565AE">
        <w:rPr>
          <w:rFonts w:asciiTheme="minorHAnsi" w:hAnsiTheme="minorHAnsi" w:cstheme="minorHAnsi"/>
          <w:color w:val="000000" w:themeColor="text1"/>
          <w:sz w:val="20"/>
          <w:szCs w:val="20"/>
        </w:rPr>
        <w:t xml:space="preserve">, permettendo la proliferazione di fagi che infettano i membri più dominanti di questo microbiota. </w:t>
      </w:r>
      <w:r w:rsidR="006954CB" w:rsidRPr="00E565AE">
        <w:rPr>
          <w:rStyle w:val="FootnoteReference"/>
          <w:rFonts w:asciiTheme="minorHAnsi" w:hAnsiTheme="minorHAnsi" w:cstheme="minorHAnsi"/>
          <w:color w:val="000000" w:themeColor="text1"/>
          <w:sz w:val="20"/>
          <w:szCs w:val="20"/>
        </w:rPr>
        <w:footnoteReference w:id="183"/>
      </w:r>
      <w:r w:rsidR="006954CB" w:rsidRPr="00E565AE">
        <w:rPr>
          <w:rFonts w:asciiTheme="minorHAnsi" w:hAnsiTheme="minorHAnsi" w:cstheme="minorHAnsi"/>
          <w:color w:val="000000" w:themeColor="text1"/>
          <w:sz w:val="20"/>
          <w:szCs w:val="20"/>
        </w:rPr>
        <w:t xml:space="preserve"> </w:t>
      </w:r>
    </w:p>
    <w:p w:rsidR="00A26ACA" w:rsidRPr="00E565AE" w:rsidRDefault="00A26ACA" w:rsidP="00A26AC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Ciò diventa ancora più rilevante nel contesto della prima infanzia, un periodo cruciale in cui avvengono la maturazione immunitaria dell'ospite e vari sviluppi metabolici.</w:t>
      </w:r>
    </w:p>
    <w:p w:rsidR="00E27D9B" w:rsidRPr="00E565AE" w:rsidRDefault="00E27D9B" w:rsidP="00A26ACA">
      <w:pPr>
        <w:jc w:val="both"/>
        <w:rPr>
          <w:rFonts w:asciiTheme="minorHAnsi" w:hAnsiTheme="minorHAnsi" w:cstheme="minorHAnsi"/>
          <w:color w:val="000000" w:themeColor="text1"/>
          <w:sz w:val="20"/>
          <w:szCs w:val="20"/>
        </w:rPr>
      </w:pPr>
    </w:p>
    <w:p w:rsidR="00A26ACA" w:rsidRDefault="00A26ACA" w:rsidP="002A4DD9">
      <w:pPr>
        <w:jc w:val="center"/>
        <w:rPr>
          <w:color w:val="000000" w:themeColor="text1"/>
        </w:rPr>
      </w:pPr>
      <w:r w:rsidRPr="00E565AE">
        <w:rPr>
          <w:color w:val="000000" w:themeColor="text1"/>
        </w:rPr>
        <w:fldChar w:fldCharType="begin"/>
      </w:r>
      <w:r w:rsidRPr="00E565AE">
        <w:rPr>
          <w:color w:val="000000" w:themeColor="text1"/>
        </w:rPr>
        <w:instrText xml:space="preserve"> INCLUDEPICTURE "https://www.ncbi.nlm.nih.gov/pmc/articles/PMC5706746/bin/zmr0041724720010.jpg" \* MERGEFORMATINET </w:instrText>
      </w:r>
      <w:r w:rsidRPr="00E565AE">
        <w:rPr>
          <w:color w:val="000000" w:themeColor="text1"/>
        </w:rPr>
        <w:fldChar w:fldCharType="separate"/>
      </w:r>
      <w:r w:rsidRPr="00E565AE">
        <w:rPr>
          <w:noProof/>
          <w:color w:val="000000" w:themeColor="text1"/>
        </w:rPr>
        <w:drawing>
          <wp:inline distT="0" distB="0" distL="0" distR="0">
            <wp:extent cx="4643828" cy="3821322"/>
            <wp:effectExtent l="0" t="0" r="4445" b="1905"/>
            <wp:docPr id="46" name="Immagine 46" descr="An external file that holds a picture, illustration, etc.&#10;Object name is zmr00417247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xternal file that holds a picture, illustration, etc.&#10;Object name is zmr0041724720010.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89507" cy="3941199"/>
                    </a:xfrm>
                    <a:prstGeom prst="rect">
                      <a:avLst/>
                    </a:prstGeom>
                    <a:noFill/>
                    <a:ln>
                      <a:noFill/>
                    </a:ln>
                  </pic:spPr>
                </pic:pic>
              </a:graphicData>
            </a:graphic>
          </wp:inline>
        </w:drawing>
      </w:r>
      <w:r w:rsidRPr="00E565AE">
        <w:rPr>
          <w:color w:val="000000" w:themeColor="text1"/>
        </w:rPr>
        <w:fldChar w:fldCharType="end"/>
      </w:r>
    </w:p>
    <w:p w:rsidR="003302DA" w:rsidRPr="00E565AE" w:rsidRDefault="003302DA" w:rsidP="002A4DD9">
      <w:pPr>
        <w:jc w:val="center"/>
        <w:rPr>
          <w:color w:val="000000" w:themeColor="text1"/>
        </w:rPr>
      </w:pPr>
    </w:p>
    <w:p w:rsidR="008314D9" w:rsidRPr="003302DA" w:rsidRDefault="00A26ACA" w:rsidP="003302DA">
      <w:pPr>
        <w:shd w:val="clear" w:color="auto" w:fill="F2F2F2" w:themeFill="background1" w:themeFillShade="F2"/>
        <w:jc w:val="both"/>
        <w:rPr>
          <w:rFonts w:asciiTheme="minorHAnsi" w:hAnsiTheme="minorHAnsi"/>
          <w:color w:val="000000" w:themeColor="text1"/>
          <w:sz w:val="18"/>
          <w:szCs w:val="18"/>
        </w:rPr>
      </w:pPr>
      <w:r w:rsidRPr="003302DA">
        <w:rPr>
          <w:rFonts w:asciiTheme="minorHAnsi" w:hAnsiTheme="minorHAnsi" w:cstheme="minorHAnsi"/>
          <w:color w:val="000000" w:themeColor="text1"/>
          <w:sz w:val="18"/>
          <w:szCs w:val="18"/>
        </w:rPr>
        <w:t>Tratta da</w:t>
      </w:r>
      <w:r w:rsidR="002A4DD9" w:rsidRPr="003302DA">
        <w:rPr>
          <w:rFonts w:asciiTheme="minorHAnsi" w:hAnsiTheme="minorHAnsi" w:cstheme="minorHAnsi"/>
          <w:color w:val="000000" w:themeColor="text1"/>
          <w:sz w:val="18"/>
          <w:szCs w:val="18"/>
        </w:rPr>
        <w:t xml:space="preserve"> </w:t>
      </w:r>
      <w:hyperlink r:id="rId155" w:history="1">
        <w:r w:rsidR="008314D9" w:rsidRPr="003302DA">
          <w:rPr>
            <w:rStyle w:val="Hyperlink"/>
            <w:rFonts w:asciiTheme="minorHAnsi" w:eastAsiaTheme="majorEastAsia" w:hAnsiTheme="minorHAnsi"/>
            <w:color w:val="000000" w:themeColor="text1"/>
            <w:sz w:val="18"/>
            <w:szCs w:val="18"/>
            <w:u w:val="none"/>
          </w:rPr>
          <w:t>https://www.ncbi.nlm.nih.gov/pmc/articles/PMC5706746/</w:t>
        </w:r>
      </w:hyperlink>
    </w:p>
    <w:p w:rsidR="00A26ACA" w:rsidRPr="003302DA" w:rsidRDefault="00A26ACA" w:rsidP="003302DA">
      <w:pPr>
        <w:shd w:val="clear" w:color="auto" w:fill="F2F2F2" w:themeFill="background1" w:themeFillShade="F2"/>
        <w:jc w:val="both"/>
        <w:rPr>
          <w:rFonts w:asciiTheme="minorHAnsi" w:hAnsiTheme="minorHAnsi"/>
          <w:color w:val="000000" w:themeColor="text1"/>
          <w:sz w:val="18"/>
          <w:szCs w:val="18"/>
        </w:rPr>
      </w:pPr>
      <w:r w:rsidRPr="003302DA">
        <w:rPr>
          <w:rFonts w:asciiTheme="minorHAnsi" w:hAnsiTheme="minorHAnsi"/>
          <w:b/>
          <w:color w:val="000000" w:themeColor="text1"/>
          <w:sz w:val="18"/>
          <w:szCs w:val="18"/>
        </w:rPr>
        <w:t>Contributo dei fagi allo sviluppo del microbiota intestinale durante l'invecchiamento umano.</w:t>
      </w:r>
      <w:r w:rsidRPr="003302DA">
        <w:rPr>
          <w:rFonts w:asciiTheme="minorHAnsi" w:hAnsiTheme="minorHAnsi"/>
          <w:color w:val="000000" w:themeColor="text1"/>
          <w:sz w:val="18"/>
          <w:szCs w:val="18"/>
        </w:rPr>
        <w:t xml:space="preserve"> I fattori putativi che influenzano la biodiversità del viroma  dall'infanzia all'adulto sono rappresentati schematicamente come fattori della formula della curva. I carichi di fagi e batteri sono rappresentati schematicamente per esprimere il concetto che mentre il carico di fagi diminuisce durante l'invecchiamento, la popolazione microbica intestinale aumenta in complessità e abbondanza. Il numero di particelle batteriche o di fagi rappresenta schematicamente il numero di specie e la complessità della popolazione.</w:t>
      </w:r>
    </w:p>
    <w:p w:rsidR="00A26ACA" w:rsidRPr="00E565AE" w:rsidRDefault="00A26ACA" w:rsidP="008314D9">
      <w:pPr>
        <w:rPr>
          <w:rFonts w:asciiTheme="minorHAnsi" w:hAnsiTheme="minorHAnsi"/>
          <w:color w:val="000000" w:themeColor="text1"/>
        </w:rPr>
      </w:pPr>
    </w:p>
    <w:p w:rsidR="002A4DD9" w:rsidRPr="00E565AE" w:rsidRDefault="002A4DD9" w:rsidP="00E82A6A">
      <w:pPr>
        <w:jc w:val="both"/>
        <w:rPr>
          <w:rFonts w:asciiTheme="minorHAnsi" w:hAnsiTheme="minorHAnsi"/>
          <w:color w:val="000000" w:themeColor="text1"/>
          <w:sz w:val="20"/>
          <w:szCs w:val="20"/>
        </w:rPr>
      </w:pPr>
      <w:r w:rsidRPr="00E565AE">
        <w:rPr>
          <w:rFonts w:asciiTheme="minorHAnsi" w:hAnsiTheme="minorHAnsi" w:cstheme="minorHAnsi"/>
          <w:color w:val="000000" w:themeColor="text1"/>
          <w:sz w:val="20"/>
          <w:szCs w:val="20"/>
        </w:rPr>
        <w:lastRenderedPageBreak/>
        <w:t>Per concludere si riporta una figura sull’ontogenesi (sviluppo biologico di un organismo) della difesa fetale, neonatale e infantile dell'ospite</w:t>
      </w:r>
      <w:r w:rsidR="00F86F89" w:rsidRPr="00E565AE">
        <w:rPr>
          <w:rFonts w:asciiTheme="minorHAnsi" w:hAnsiTheme="minorHAnsi" w:cstheme="minorHAnsi"/>
          <w:color w:val="000000" w:themeColor="text1"/>
          <w:sz w:val="20"/>
          <w:szCs w:val="20"/>
        </w:rPr>
        <w:t xml:space="preserve">: </w:t>
      </w:r>
      <w:r w:rsidR="00F86F89" w:rsidRPr="00E565AE">
        <w:rPr>
          <w:rStyle w:val="FootnoteReference"/>
          <w:rFonts w:asciiTheme="minorHAnsi" w:hAnsiTheme="minorHAnsi" w:cstheme="minorHAnsi"/>
          <w:color w:val="000000" w:themeColor="text1"/>
          <w:sz w:val="20"/>
          <w:szCs w:val="20"/>
        </w:rPr>
        <w:footnoteReference w:id="184"/>
      </w:r>
    </w:p>
    <w:p w:rsidR="00AC3FD4" w:rsidRPr="00E565AE" w:rsidRDefault="00AC3FD4" w:rsidP="00E82A6A">
      <w:pPr>
        <w:jc w:val="both"/>
        <w:rPr>
          <w:rFonts w:asciiTheme="minorHAnsi" w:hAnsiTheme="minorHAnsi" w:cstheme="minorHAnsi"/>
          <w:b/>
          <w:color w:val="000000" w:themeColor="text1"/>
          <w:sz w:val="20"/>
          <w:szCs w:val="20"/>
        </w:rPr>
      </w:pPr>
    </w:p>
    <w:p w:rsidR="00E5713A" w:rsidRPr="00E565AE" w:rsidRDefault="00E5713A" w:rsidP="00A60CA4">
      <w:pPr>
        <w:rPr>
          <w:rFonts w:asciiTheme="minorHAnsi" w:hAnsiTheme="minorHAnsi" w:cstheme="minorHAnsi"/>
          <w:b/>
          <w:color w:val="000000" w:themeColor="text1"/>
        </w:rPr>
      </w:pPr>
      <w:r w:rsidRPr="00E565AE">
        <w:rPr>
          <w:rFonts w:asciiTheme="minorHAnsi" w:hAnsiTheme="minorHAnsi" w:cstheme="minorHAnsi"/>
          <w:b/>
          <w:noProof/>
          <w:color w:val="000000" w:themeColor="text1"/>
        </w:rPr>
        <w:drawing>
          <wp:inline distT="0" distB="0" distL="0" distR="0" wp14:anchorId="6E4D8C75" wp14:editId="3012695A">
            <wp:extent cx="6116320" cy="6001385"/>
            <wp:effectExtent l="0" t="0" r="5080" b="571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20-05-25 alle 00.43.45.png"/>
                    <pic:cNvPicPr/>
                  </pic:nvPicPr>
                  <pic:blipFill>
                    <a:blip r:embed="rId156">
                      <a:extLst>
                        <a:ext uri="{28A0092B-C50C-407E-A947-70E740481C1C}">
                          <a14:useLocalDpi xmlns:a14="http://schemas.microsoft.com/office/drawing/2010/main" val="0"/>
                        </a:ext>
                      </a:extLst>
                    </a:blip>
                    <a:stretch>
                      <a:fillRect/>
                    </a:stretch>
                  </pic:blipFill>
                  <pic:spPr>
                    <a:xfrm>
                      <a:off x="0" y="0"/>
                      <a:ext cx="6116320" cy="6001385"/>
                    </a:xfrm>
                    <a:prstGeom prst="rect">
                      <a:avLst/>
                    </a:prstGeom>
                  </pic:spPr>
                </pic:pic>
              </a:graphicData>
            </a:graphic>
          </wp:inline>
        </w:drawing>
      </w:r>
    </w:p>
    <w:p w:rsidR="003302DA" w:rsidRDefault="003302DA" w:rsidP="00332FA4">
      <w:pPr>
        <w:jc w:val="both"/>
        <w:rPr>
          <w:rFonts w:asciiTheme="minorHAnsi" w:hAnsiTheme="minorHAnsi" w:cstheme="minorHAnsi"/>
          <w:color w:val="000000" w:themeColor="text1"/>
          <w:sz w:val="16"/>
          <w:szCs w:val="16"/>
        </w:rPr>
      </w:pPr>
    </w:p>
    <w:p w:rsidR="00A60CA4" w:rsidRPr="003302DA" w:rsidRDefault="00332FA4" w:rsidP="003302DA">
      <w:pPr>
        <w:shd w:val="clear" w:color="auto" w:fill="F2F2F2" w:themeFill="background1" w:themeFillShade="F2"/>
        <w:jc w:val="both"/>
        <w:rPr>
          <w:rFonts w:asciiTheme="minorHAnsi" w:hAnsiTheme="minorHAnsi"/>
          <w:color w:val="000000" w:themeColor="text1"/>
          <w:sz w:val="18"/>
          <w:szCs w:val="18"/>
        </w:rPr>
      </w:pPr>
      <w:r w:rsidRPr="003302DA">
        <w:rPr>
          <w:rFonts w:asciiTheme="minorHAnsi" w:hAnsiTheme="minorHAnsi" w:cstheme="minorHAnsi"/>
          <w:color w:val="000000" w:themeColor="text1"/>
          <w:sz w:val="18"/>
          <w:szCs w:val="18"/>
        </w:rPr>
        <w:t xml:space="preserve">Tratta da </w:t>
      </w:r>
      <w:hyperlink r:id="rId157" w:history="1">
        <w:r w:rsidR="00A60CA4" w:rsidRPr="003302DA">
          <w:rPr>
            <w:rStyle w:val="Hyperlink"/>
            <w:rFonts w:asciiTheme="minorHAnsi" w:eastAsiaTheme="majorEastAsia" w:hAnsiTheme="minorHAnsi"/>
            <w:color w:val="000000" w:themeColor="text1"/>
            <w:sz w:val="18"/>
            <w:szCs w:val="18"/>
            <w:u w:val="none"/>
          </w:rPr>
          <w:t>https://www.cell.com/action/showPdf?pii=S1074-7613%2817%2930090-0</w:t>
        </w:r>
      </w:hyperlink>
    </w:p>
    <w:p w:rsidR="003302DA" w:rsidRPr="003302DA" w:rsidRDefault="003302DA" w:rsidP="003302DA">
      <w:pPr>
        <w:shd w:val="clear" w:color="auto" w:fill="F2F2F2" w:themeFill="background1" w:themeFillShade="F2"/>
        <w:jc w:val="both"/>
        <w:rPr>
          <w:rFonts w:asciiTheme="minorHAnsi" w:hAnsiTheme="minorHAnsi" w:cstheme="minorHAnsi"/>
          <w:color w:val="000000" w:themeColor="text1"/>
          <w:sz w:val="18"/>
          <w:szCs w:val="18"/>
        </w:rPr>
      </w:pPr>
      <w:r w:rsidRPr="003302DA">
        <w:rPr>
          <w:rFonts w:asciiTheme="minorHAnsi" w:hAnsiTheme="minorHAnsi" w:cstheme="minorHAnsi"/>
          <w:color w:val="000000" w:themeColor="text1"/>
          <w:sz w:val="18"/>
          <w:szCs w:val="18"/>
        </w:rPr>
        <w:t xml:space="preserve">Le funzioni di barriera protettiva dell'ospite comprendono componenti fisici, chimici e funzionali della membrana epiteliale della pelle e delle mucose del feto, del neonato (dalla nascita a 28 giorni di età) e dell’infante (1 mese - 1 anno di età). </w:t>
      </w:r>
    </w:p>
    <w:p w:rsidR="003302DA" w:rsidRPr="003302DA" w:rsidRDefault="003302DA" w:rsidP="003302DA">
      <w:pPr>
        <w:shd w:val="clear" w:color="auto" w:fill="F2F2F2" w:themeFill="background1" w:themeFillShade="F2"/>
        <w:jc w:val="both"/>
        <w:rPr>
          <w:rFonts w:asciiTheme="minorHAnsi" w:hAnsiTheme="minorHAnsi" w:cstheme="minorHAnsi"/>
          <w:color w:val="000000" w:themeColor="text1"/>
          <w:sz w:val="18"/>
          <w:szCs w:val="18"/>
        </w:rPr>
      </w:pPr>
    </w:p>
    <w:p w:rsidR="003302DA" w:rsidRPr="003302DA" w:rsidRDefault="003302DA" w:rsidP="003302DA">
      <w:pPr>
        <w:pStyle w:val="NormalWeb"/>
        <w:numPr>
          <w:ilvl w:val="0"/>
          <w:numId w:val="23"/>
        </w:numPr>
        <w:shd w:val="clear" w:color="auto" w:fill="F2F2F2" w:themeFill="background1" w:themeFillShade="F2"/>
        <w:spacing w:before="0" w:beforeAutospacing="0" w:after="0" w:afterAutospacing="0"/>
        <w:ind w:left="284" w:hanging="284"/>
        <w:jc w:val="both"/>
        <w:rPr>
          <w:rFonts w:asciiTheme="minorHAnsi" w:hAnsiTheme="minorHAnsi"/>
          <w:color w:val="000000" w:themeColor="text1"/>
          <w:sz w:val="18"/>
          <w:szCs w:val="18"/>
        </w:rPr>
      </w:pPr>
      <w:r w:rsidRPr="003302DA">
        <w:rPr>
          <w:rFonts w:asciiTheme="minorHAnsi" w:hAnsiTheme="minorHAnsi" w:cstheme="minorHAnsi"/>
          <w:b/>
          <w:bCs/>
          <w:color w:val="000000" w:themeColor="text1"/>
          <w:sz w:val="18"/>
          <w:szCs w:val="18"/>
          <w:u w:val="single"/>
        </w:rPr>
        <w:t>Pelle</w:t>
      </w:r>
      <w:r w:rsidRPr="003302DA">
        <w:rPr>
          <w:rFonts w:asciiTheme="minorHAnsi" w:hAnsiTheme="minorHAnsi" w:cstheme="minorHAnsi"/>
          <w:b/>
          <w:bCs/>
          <w:color w:val="000000" w:themeColor="text1"/>
          <w:sz w:val="18"/>
          <w:szCs w:val="18"/>
        </w:rPr>
        <w:t>:</w:t>
      </w:r>
      <w:r w:rsidRPr="003302DA">
        <w:rPr>
          <w:rFonts w:asciiTheme="minorHAnsi" w:hAnsiTheme="minorHAnsi" w:cstheme="minorHAnsi"/>
          <w:color w:val="000000" w:themeColor="text1"/>
          <w:sz w:val="18"/>
          <w:szCs w:val="18"/>
        </w:rPr>
        <w:t xml:space="preserve"> mentre le barriere fisiche e chimiche sono ridotte all'inizio della vita, specialmente nei neonati pretermine, la vernice caseosa (vernix) e gli epiteli della pelle dei neonati a termine esprimono in modo efficace APP (</w:t>
      </w:r>
      <w:r w:rsidRPr="003302DA">
        <w:rPr>
          <w:rFonts w:asciiTheme="minorHAnsi" w:hAnsiTheme="minorHAnsi"/>
          <w:color w:val="000000" w:themeColor="text1"/>
          <w:sz w:val="18"/>
          <w:szCs w:val="18"/>
        </w:rPr>
        <w:t>antimicrobial proteins e peptides -proteine e peptidi antimicrobici)</w:t>
      </w:r>
    </w:p>
    <w:p w:rsidR="003302DA" w:rsidRPr="003302DA" w:rsidRDefault="003302DA" w:rsidP="003302DA">
      <w:pPr>
        <w:pStyle w:val="NormalWeb"/>
        <w:shd w:val="clear" w:color="auto" w:fill="F2F2F2" w:themeFill="background1" w:themeFillShade="F2"/>
        <w:spacing w:before="0" w:beforeAutospacing="0" w:after="0" w:afterAutospacing="0"/>
        <w:ind w:left="284" w:hanging="284"/>
        <w:jc w:val="both"/>
        <w:rPr>
          <w:rFonts w:asciiTheme="minorHAnsi" w:hAnsiTheme="minorHAnsi"/>
          <w:color w:val="000000" w:themeColor="text1"/>
          <w:sz w:val="18"/>
          <w:szCs w:val="18"/>
        </w:rPr>
      </w:pPr>
    </w:p>
    <w:p w:rsidR="003302DA" w:rsidRPr="003302DA" w:rsidRDefault="003302DA" w:rsidP="003302DA">
      <w:pPr>
        <w:pStyle w:val="NormalWeb"/>
        <w:numPr>
          <w:ilvl w:val="0"/>
          <w:numId w:val="23"/>
        </w:numPr>
        <w:shd w:val="clear" w:color="auto" w:fill="F2F2F2" w:themeFill="background1" w:themeFillShade="F2"/>
        <w:spacing w:before="0" w:beforeAutospacing="0" w:after="0" w:afterAutospacing="0"/>
        <w:ind w:left="284" w:hanging="284"/>
        <w:jc w:val="both"/>
        <w:rPr>
          <w:rFonts w:asciiTheme="minorHAnsi" w:hAnsiTheme="minorHAnsi" w:cstheme="minorHAnsi"/>
          <w:color w:val="000000" w:themeColor="text1"/>
          <w:sz w:val="18"/>
          <w:szCs w:val="18"/>
        </w:rPr>
      </w:pPr>
      <w:r w:rsidRPr="003302DA">
        <w:rPr>
          <w:rFonts w:asciiTheme="minorHAnsi" w:hAnsiTheme="minorHAnsi" w:cstheme="minorHAnsi"/>
          <w:b/>
          <w:bCs/>
          <w:color w:val="000000" w:themeColor="text1"/>
          <w:sz w:val="18"/>
          <w:szCs w:val="18"/>
          <w:u w:val="single"/>
        </w:rPr>
        <w:t>Membrane mucose</w:t>
      </w:r>
      <w:r w:rsidRPr="003302DA">
        <w:rPr>
          <w:rFonts w:asciiTheme="minorHAnsi" w:hAnsiTheme="minorHAnsi" w:cstheme="minorHAnsi"/>
          <w:b/>
          <w:bCs/>
          <w:color w:val="000000" w:themeColor="text1"/>
          <w:sz w:val="18"/>
          <w:szCs w:val="18"/>
        </w:rPr>
        <w:t>:</w:t>
      </w:r>
      <w:r w:rsidRPr="003302DA">
        <w:rPr>
          <w:rFonts w:asciiTheme="minorHAnsi" w:hAnsiTheme="minorHAnsi" w:cstheme="minorHAnsi"/>
          <w:color w:val="000000" w:themeColor="text1"/>
          <w:sz w:val="18"/>
          <w:szCs w:val="18"/>
        </w:rPr>
        <w:t xml:space="preserve"> parallelamente e indotte da un microbiota sempre più complesso, l'epitelio della mucosa intestinale neonatale cambia struttura rapidamente con l'aumento delle cripte e delle cellule di Paneth basate sulla cripta, nonché funzionalmente con l'espressione degli APP crescenti </w:t>
      </w:r>
    </w:p>
    <w:p w:rsidR="003302DA" w:rsidRPr="003302DA" w:rsidRDefault="003302DA" w:rsidP="003302DA">
      <w:pPr>
        <w:pStyle w:val="NormalWeb"/>
        <w:shd w:val="clear" w:color="auto" w:fill="F2F2F2" w:themeFill="background1" w:themeFillShade="F2"/>
        <w:spacing w:before="0" w:beforeAutospacing="0" w:after="0" w:afterAutospacing="0"/>
        <w:ind w:left="284" w:hanging="284"/>
        <w:jc w:val="both"/>
        <w:rPr>
          <w:rFonts w:asciiTheme="minorHAnsi" w:hAnsiTheme="minorHAnsi" w:cstheme="minorHAnsi"/>
          <w:color w:val="000000" w:themeColor="text1"/>
          <w:sz w:val="18"/>
          <w:szCs w:val="18"/>
        </w:rPr>
      </w:pPr>
    </w:p>
    <w:p w:rsidR="00A60CA4" w:rsidRPr="003302DA" w:rsidRDefault="003302DA" w:rsidP="000C52AF">
      <w:pPr>
        <w:pStyle w:val="ListParagraph"/>
        <w:numPr>
          <w:ilvl w:val="0"/>
          <w:numId w:val="23"/>
        </w:numPr>
        <w:shd w:val="clear" w:color="auto" w:fill="F2F2F2" w:themeFill="background1" w:themeFillShade="F2"/>
        <w:ind w:left="284" w:hanging="284"/>
        <w:jc w:val="both"/>
        <w:rPr>
          <w:rFonts w:asciiTheme="minorHAnsi" w:hAnsiTheme="minorHAnsi"/>
          <w:color w:val="000000" w:themeColor="text1"/>
          <w:sz w:val="18"/>
          <w:szCs w:val="18"/>
        </w:rPr>
      </w:pPr>
      <w:r w:rsidRPr="003302DA">
        <w:rPr>
          <w:rFonts w:asciiTheme="minorHAnsi" w:hAnsiTheme="minorHAnsi" w:cstheme="minorHAnsi"/>
          <w:b/>
          <w:bCs/>
          <w:color w:val="000000" w:themeColor="text1"/>
          <w:sz w:val="18"/>
          <w:szCs w:val="18"/>
          <w:u w:val="single"/>
        </w:rPr>
        <w:lastRenderedPageBreak/>
        <w:t>Sangue</w:t>
      </w:r>
      <w:r w:rsidRPr="003302DA">
        <w:rPr>
          <w:rFonts w:asciiTheme="minorHAnsi" w:hAnsiTheme="minorHAnsi" w:cstheme="minorHAnsi"/>
          <w:b/>
          <w:bCs/>
          <w:color w:val="000000" w:themeColor="text1"/>
          <w:sz w:val="18"/>
          <w:szCs w:val="18"/>
        </w:rPr>
        <w:t>:</w:t>
      </w:r>
      <w:r w:rsidRPr="003302DA">
        <w:rPr>
          <w:rFonts w:asciiTheme="minorHAnsi" w:hAnsiTheme="minorHAnsi" w:cstheme="minorHAnsi"/>
          <w:color w:val="000000" w:themeColor="text1"/>
          <w:sz w:val="18"/>
          <w:szCs w:val="18"/>
        </w:rPr>
        <w:t xml:space="preserve"> la composizione del sangue neonatale è costituita da concentrazioni relativamente basse di componenti del complemento e APP e alte concentrazioni del metabolita immunosoppressivo purinico adenosina. Il plasma contiene anche anticorpi materni trasferiti all'inizio della gestazione e integrati da fattori postnatali derivati ​​dal latte materno. L'immunità innata è rilevabile dalla fine del primo mese di gestazione, con cambiamenti guidati in gran parte dalla crescente esposizione ai microbi ambientali. Gli APC neonatali come i monociti nel sangue esprimono PRR (ad es. TLR) con risposte funzionali distinte tra cui una produzione di citochine con una limitata polarizzazione dei Th1 per la maggior parte degli stimoli. Differenze dipendenti dall'età nell'attività dei fattori di trascrizione del fattore di risposta all'interferone (IRF) e cambiamenti epigenetici contribuiscono all’ontogenesi delle citochine, mentre l’immunità adattativa si sviluppa a partire dalla 4^ settimana di gestazione.</w:t>
      </w:r>
    </w:p>
    <w:p w:rsidR="00332FA4" w:rsidRPr="00717D4D" w:rsidRDefault="00332FA4" w:rsidP="00A60CA4">
      <w:pPr>
        <w:jc w:val="both"/>
        <w:rPr>
          <w:rFonts w:asciiTheme="minorHAnsi" w:hAnsiTheme="minorHAnsi"/>
        </w:rPr>
      </w:pPr>
    </w:p>
    <w:p w:rsidR="00A60CA4" w:rsidRDefault="00A60CA4" w:rsidP="00A60CA4">
      <w:pPr>
        <w:rPr>
          <w:rFonts w:asciiTheme="minorHAnsi" w:hAnsiTheme="minorHAnsi"/>
        </w:rPr>
      </w:pPr>
    </w:p>
    <w:p w:rsidR="003302DA" w:rsidRPr="00717D4D" w:rsidRDefault="003302DA" w:rsidP="00A60CA4">
      <w:pPr>
        <w:rPr>
          <w:rFonts w:asciiTheme="minorHAnsi" w:hAnsiTheme="minorHAnsi"/>
        </w:rPr>
      </w:pPr>
    </w:p>
    <w:p w:rsidR="00E5713A" w:rsidRPr="00717D4D" w:rsidRDefault="00E5713A" w:rsidP="003302DA">
      <w:pPr>
        <w:pStyle w:val="Heading2"/>
        <w:shd w:val="clear" w:color="auto" w:fill="E2EFD9" w:themeFill="accent6" w:themeFillTint="33"/>
        <w:jc w:val="center"/>
        <w:rPr>
          <w:rFonts w:asciiTheme="minorHAnsi" w:hAnsiTheme="minorHAnsi" w:cstheme="minorHAnsi"/>
          <w:b/>
          <w:color w:val="000000" w:themeColor="text1"/>
          <w:sz w:val="24"/>
          <w:szCs w:val="24"/>
        </w:rPr>
      </w:pPr>
      <w:bookmarkStart w:id="73" w:name="_Toc43342404"/>
      <w:r w:rsidRPr="00E27D9B">
        <w:rPr>
          <w:rFonts w:asciiTheme="minorHAnsi" w:hAnsiTheme="minorHAnsi" w:cstheme="minorHAnsi"/>
          <w:b/>
          <w:color w:val="C00000"/>
          <w:sz w:val="24"/>
          <w:szCs w:val="24"/>
        </w:rPr>
        <w:t xml:space="preserve">Età avanzata </w:t>
      </w:r>
      <w:r w:rsidRPr="00717D4D">
        <w:rPr>
          <w:rStyle w:val="FootnoteReference"/>
          <w:rFonts w:asciiTheme="minorHAnsi" w:hAnsiTheme="minorHAnsi" w:cstheme="minorHAnsi"/>
          <w:b/>
          <w:color w:val="000000" w:themeColor="text1"/>
          <w:sz w:val="24"/>
          <w:szCs w:val="24"/>
        </w:rPr>
        <w:footnoteReference w:id="185"/>
      </w:r>
      <w:bookmarkEnd w:id="73"/>
    </w:p>
    <w:p w:rsidR="00E5713A" w:rsidRPr="00717D4D" w:rsidRDefault="00E5713A" w:rsidP="00E5713A">
      <w:pPr>
        <w:rPr>
          <w:rFonts w:asciiTheme="minorHAnsi" w:hAnsiTheme="minorHAnsi"/>
        </w:rPr>
      </w:pPr>
    </w:p>
    <w:p w:rsidR="00444D71" w:rsidRDefault="00E5713A" w:rsidP="00E5713A">
      <w:pPr>
        <w:jc w:val="both"/>
        <w:rPr>
          <w:rFonts w:asciiTheme="minorHAnsi" w:hAnsiTheme="minorHAnsi" w:cstheme="minorHAnsi"/>
          <w:sz w:val="20"/>
          <w:szCs w:val="20"/>
        </w:rPr>
      </w:pPr>
      <w:r w:rsidRPr="00E27D9B">
        <w:rPr>
          <w:rFonts w:asciiTheme="minorHAnsi" w:hAnsiTheme="minorHAnsi" w:cstheme="minorHAnsi"/>
          <w:sz w:val="20"/>
          <w:szCs w:val="20"/>
        </w:rPr>
        <w:t xml:space="preserve">Con l'avanzare dell'età, il sistema immunitario subisce un profondo rimodellamento e declino, con grande impatto sulla salute e sopravvivenza. </w:t>
      </w:r>
      <w:r w:rsidR="001B1EE4" w:rsidRPr="00E27D9B">
        <w:rPr>
          <w:rStyle w:val="FootnoteReference"/>
          <w:rFonts w:asciiTheme="minorHAnsi" w:hAnsiTheme="minorHAnsi" w:cstheme="minorHAnsi"/>
          <w:sz w:val="20"/>
          <w:szCs w:val="20"/>
        </w:rPr>
        <w:footnoteReference w:id="186"/>
      </w:r>
      <w:r w:rsidR="001B1EE4" w:rsidRPr="00E27D9B">
        <w:rPr>
          <w:rFonts w:asciiTheme="minorHAnsi" w:hAnsiTheme="minorHAnsi" w:cstheme="minorHAnsi"/>
          <w:sz w:val="20"/>
          <w:szCs w:val="20"/>
        </w:rPr>
        <w:t xml:space="preserve"> </w:t>
      </w:r>
    </w:p>
    <w:p w:rsidR="00444D71" w:rsidRDefault="00E5713A" w:rsidP="003302DA">
      <w:pPr>
        <w:shd w:val="clear" w:color="auto" w:fill="FBF9E1"/>
        <w:jc w:val="both"/>
        <w:rPr>
          <w:rFonts w:asciiTheme="minorHAnsi" w:hAnsiTheme="minorHAnsi" w:cstheme="minorHAnsi"/>
          <w:sz w:val="20"/>
          <w:szCs w:val="20"/>
        </w:rPr>
      </w:pPr>
      <w:r w:rsidRPr="00E27D9B">
        <w:rPr>
          <w:rFonts w:asciiTheme="minorHAnsi" w:hAnsiTheme="minorHAnsi" w:cstheme="minorHAnsi"/>
          <w:sz w:val="20"/>
          <w:szCs w:val="20"/>
        </w:rPr>
        <w:t xml:space="preserve">Questa </w:t>
      </w:r>
      <w:r w:rsidRPr="00444D71">
        <w:rPr>
          <w:rFonts w:asciiTheme="minorHAnsi" w:hAnsiTheme="minorHAnsi" w:cstheme="minorHAnsi"/>
          <w:b/>
          <w:bCs/>
          <w:sz w:val="20"/>
          <w:szCs w:val="20"/>
        </w:rPr>
        <w:t>senescenza immunitaria</w:t>
      </w:r>
      <w:r w:rsidRPr="00E27D9B">
        <w:rPr>
          <w:rFonts w:asciiTheme="minorHAnsi" w:hAnsiTheme="minorHAnsi" w:cstheme="minorHAnsi"/>
          <w:sz w:val="20"/>
          <w:szCs w:val="20"/>
        </w:rPr>
        <w:t xml:space="preserve"> predispone gli anziani ad un rischio più elevato di infezioni virali e batteriche acute. </w:t>
      </w:r>
    </w:p>
    <w:p w:rsidR="00C567FA" w:rsidRDefault="00E5713A" w:rsidP="003302DA">
      <w:pPr>
        <w:shd w:val="clear" w:color="auto" w:fill="FBF9E1"/>
        <w:jc w:val="both"/>
        <w:rPr>
          <w:rFonts w:asciiTheme="minorHAnsi" w:hAnsiTheme="minorHAnsi" w:cstheme="minorHAnsi"/>
          <w:sz w:val="20"/>
          <w:szCs w:val="20"/>
        </w:rPr>
      </w:pPr>
      <w:r w:rsidRPr="00E27D9B">
        <w:rPr>
          <w:rFonts w:asciiTheme="minorHAnsi" w:hAnsiTheme="minorHAnsi" w:cstheme="minorHAnsi"/>
          <w:sz w:val="20"/>
          <w:szCs w:val="20"/>
        </w:rPr>
        <w:t xml:space="preserve">I tassi di mortalità di queste infezioni sono </w:t>
      </w:r>
      <w:r w:rsidRPr="00444D71">
        <w:rPr>
          <w:rFonts w:asciiTheme="minorHAnsi" w:hAnsiTheme="minorHAnsi" w:cstheme="minorHAnsi"/>
          <w:b/>
          <w:bCs/>
          <w:sz w:val="20"/>
          <w:szCs w:val="20"/>
        </w:rPr>
        <w:t>tre volte più elevat</w:t>
      </w:r>
      <w:r w:rsidR="002D3602" w:rsidRPr="00444D71">
        <w:rPr>
          <w:rFonts w:asciiTheme="minorHAnsi" w:hAnsiTheme="minorHAnsi" w:cstheme="minorHAnsi"/>
          <w:b/>
          <w:bCs/>
          <w:sz w:val="20"/>
          <w:szCs w:val="20"/>
        </w:rPr>
        <w:t>e</w:t>
      </w:r>
      <w:r w:rsidRPr="00E27D9B">
        <w:rPr>
          <w:rFonts w:asciiTheme="minorHAnsi" w:hAnsiTheme="minorHAnsi" w:cstheme="minorHAnsi"/>
          <w:sz w:val="20"/>
          <w:szCs w:val="20"/>
        </w:rPr>
        <w:t xml:space="preserve"> nei pazienti anziani rispetto agli adulti più giovani. </w:t>
      </w:r>
    </w:p>
    <w:p w:rsidR="00444D71" w:rsidRPr="00E27D9B" w:rsidRDefault="00444D71" w:rsidP="00E5713A">
      <w:pPr>
        <w:jc w:val="both"/>
        <w:rPr>
          <w:rFonts w:asciiTheme="minorHAnsi" w:hAnsiTheme="minorHAnsi" w:cstheme="minorHAnsi"/>
          <w:sz w:val="20"/>
          <w:szCs w:val="20"/>
        </w:rPr>
      </w:pPr>
    </w:p>
    <w:p w:rsidR="00444D71" w:rsidRDefault="00E5713A" w:rsidP="00E5713A">
      <w:pPr>
        <w:jc w:val="both"/>
        <w:rPr>
          <w:rFonts w:asciiTheme="minorHAnsi" w:hAnsiTheme="minorHAnsi" w:cstheme="minorHAnsi"/>
          <w:sz w:val="20"/>
          <w:szCs w:val="20"/>
        </w:rPr>
      </w:pPr>
      <w:r w:rsidRPr="00E27D9B">
        <w:rPr>
          <w:rFonts w:asciiTheme="minorHAnsi" w:hAnsiTheme="minorHAnsi" w:cstheme="minorHAnsi"/>
          <w:sz w:val="20"/>
          <w:szCs w:val="20"/>
        </w:rPr>
        <w:t xml:space="preserve">Le malattie infettive sono ancora la </w:t>
      </w:r>
      <w:r w:rsidRPr="00444D71">
        <w:rPr>
          <w:rFonts w:asciiTheme="minorHAnsi" w:hAnsiTheme="minorHAnsi" w:cstheme="minorHAnsi"/>
          <w:b/>
          <w:bCs/>
          <w:sz w:val="20"/>
          <w:szCs w:val="20"/>
        </w:rPr>
        <w:t>quarta causa comune di morte</w:t>
      </w:r>
      <w:r w:rsidRPr="00E27D9B">
        <w:rPr>
          <w:rFonts w:asciiTheme="minorHAnsi" w:hAnsiTheme="minorHAnsi" w:cstheme="minorHAnsi"/>
          <w:sz w:val="20"/>
          <w:szCs w:val="20"/>
        </w:rPr>
        <w:t xml:space="preserve"> tra gli anziani nei paesi in via di sviluppo. </w:t>
      </w:r>
    </w:p>
    <w:p w:rsidR="00444D71" w:rsidRPr="00E27D9B" w:rsidRDefault="00E5713A" w:rsidP="00E5713A">
      <w:pPr>
        <w:jc w:val="both"/>
        <w:rPr>
          <w:rFonts w:asciiTheme="minorHAnsi" w:hAnsiTheme="minorHAnsi" w:cstheme="minorHAnsi"/>
          <w:sz w:val="20"/>
          <w:szCs w:val="20"/>
        </w:rPr>
      </w:pPr>
      <w:r w:rsidRPr="00E27D9B">
        <w:rPr>
          <w:rFonts w:asciiTheme="minorHAnsi" w:hAnsiTheme="minorHAnsi" w:cstheme="minorHAnsi"/>
          <w:sz w:val="20"/>
          <w:szCs w:val="20"/>
        </w:rPr>
        <w:t>Risposte immunitarie aberranti negli anziani possono esacerbare l'infiammazione, eventualmente contribuendo ad altre patologie tipiche della vecchiaia: cancro, malattie cardiovascolari, ictus, morbo di Alzheimer e demenza.</w:t>
      </w:r>
      <w:r w:rsidR="001B1EE4" w:rsidRPr="00E27D9B">
        <w:rPr>
          <w:rFonts w:asciiTheme="minorHAnsi" w:hAnsiTheme="minorHAnsi" w:cstheme="minorHAnsi"/>
          <w:sz w:val="20"/>
          <w:szCs w:val="20"/>
        </w:rPr>
        <w:t xml:space="preserve"> </w:t>
      </w:r>
      <w:r w:rsidR="001B1EE4" w:rsidRPr="00E27D9B">
        <w:rPr>
          <w:rStyle w:val="FootnoteReference"/>
          <w:rFonts w:asciiTheme="minorHAnsi" w:hAnsiTheme="minorHAnsi" w:cstheme="minorHAnsi"/>
          <w:sz w:val="20"/>
          <w:szCs w:val="20"/>
        </w:rPr>
        <w:footnoteReference w:id="187"/>
      </w:r>
      <w:r w:rsidRPr="00E27D9B">
        <w:rPr>
          <w:rFonts w:asciiTheme="minorHAnsi" w:hAnsiTheme="minorHAnsi" w:cstheme="minorHAnsi"/>
          <w:sz w:val="20"/>
          <w:szCs w:val="20"/>
        </w:rPr>
        <w:t xml:space="preserve"> </w:t>
      </w:r>
    </w:p>
    <w:p w:rsidR="00444D71" w:rsidRDefault="00E5713A" w:rsidP="00E5713A">
      <w:pPr>
        <w:jc w:val="both"/>
        <w:rPr>
          <w:rFonts w:asciiTheme="minorHAnsi" w:hAnsiTheme="minorHAnsi" w:cstheme="minorHAnsi"/>
          <w:sz w:val="20"/>
          <w:szCs w:val="20"/>
        </w:rPr>
      </w:pPr>
      <w:r w:rsidRPr="00E27D9B">
        <w:rPr>
          <w:rFonts w:asciiTheme="minorHAnsi" w:hAnsiTheme="minorHAnsi" w:cstheme="minorHAnsi"/>
          <w:sz w:val="20"/>
          <w:szCs w:val="20"/>
        </w:rPr>
        <w:lastRenderedPageBreak/>
        <w:t xml:space="preserve">Durante una normale stagione influenzale, </w:t>
      </w:r>
      <w:r w:rsidRPr="00444D71">
        <w:rPr>
          <w:rFonts w:asciiTheme="minorHAnsi" w:hAnsiTheme="minorHAnsi" w:cstheme="minorHAnsi"/>
          <w:b/>
          <w:bCs/>
          <w:sz w:val="20"/>
          <w:szCs w:val="20"/>
        </w:rPr>
        <w:t>circa il 90% dei decessi in eccesso si verificano nelle persone di età superiore ai 65 anni</w:t>
      </w:r>
      <w:r w:rsidRPr="00E27D9B">
        <w:rPr>
          <w:rFonts w:asciiTheme="minorHAnsi" w:hAnsiTheme="minorHAnsi" w:cstheme="minorHAnsi"/>
          <w:sz w:val="20"/>
          <w:szCs w:val="20"/>
        </w:rPr>
        <w:t xml:space="preserve">. Inoltre, le scarse risposte immunitarie spiegano la ridotta efficacia dei vaccini. </w:t>
      </w:r>
      <w:r w:rsidR="001B1EE4" w:rsidRPr="00E27D9B">
        <w:rPr>
          <w:rStyle w:val="FootnoteReference"/>
          <w:rFonts w:asciiTheme="minorHAnsi" w:hAnsiTheme="minorHAnsi" w:cstheme="minorHAnsi"/>
          <w:sz w:val="20"/>
          <w:szCs w:val="20"/>
        </w:rPr>
        <w:footnoteReference w:id="188"/>
      </w:r>
      <w:r w:rsidR="001B1EE4" w:rsidRPr="00E27D9B">
        <w:rPr>
          <w:rFonts w:asciiTheme="minorHAnsi" w:hAnsiTheme="minorHAnsi" w:cstheme="minorHAnsi"/>
          <w:sz w:val="20"/>
          <w:szCs w:val="20"/>
        </w:rPr>
        <w:t xml:space="preserve"> </w:t>
      </w:r>
    </w:p>
    <w:p w:rsidR="00F31E61" w:rsidRDefault="00F31E61" w:rsidP="00E5713A">
      <w:pPr>
        <w:jc w:val="both"/>
        <w:rPr>
          <w:rFonts w:asciiTheme="minorHAnsi" w:hAnsiTheme="minorHAnsi" w:cstheme="minorHAnsi"/>
          <w:sz w:val="20"/>
          <w:szCs w:val="20"/>
        </w:rPr>
      </w:pPr>
    </w:p>
    <w:p w:rsidR="00444D71" w:rsidRDefault="00E5713A" w:rsidP="00E5713A">
      <w:pPr>
        <w:jc w:val="both"/>
        <w:rPr>
          <w:rFonts w:asciiTheme="minorHAnsi" w:hAnsiTheme="minorHAnsi" w:cstheme="minorHAnsi"/>
          <w:sz w:val="20"/>
          <w:szCs w:val="20"/>
        </w:rPr>
      </w:pPr>
      <w:r w:rsidRPr="00E27D9B">
        <w:rPr>
          <w:rFonts w:asciiTheme="minorHAnsi" w:hAnsiTheme="minorHAnsi" w:cstheme="minorHAnsi"/>
          <w:sz w:val="20"/>
          <w:szCs w:val="20"/>
        </w:rPr>
        <w:t xml:space="preserve">La senescenza immunitaria provoca anche la riattivazione di virus latenti, come il virus della varicella-zoster, causando il fuoco di Sant'Antonio e la nevralgia cronica. </w:t>
      </w:r>
    </w:p>
    <w:p w:rsidR="00F31E61" w:rsidRDefault="00F31E61" w:rsidP="00E5713A">
      <w:pPr>
        <w:jc w:val="both"/>
        <w:rPr>
          <w:rFonts w:asciiTheme="minorHAnsi" w:hAnsiTheme="minorHAnsi" w:cstheme="minorHAnsi"/>
          <w:sz w:val="20"/>
          <w:szCs w:val="20"/>
        </w:rPr>
      </w:pPr>
    </w:p>
    <w:p w:rsidR="004C0B7F" w:rsidRPr="00E27D9B" w:rsidRDefault="00E5713A" w:rsidP="00E5713A">
      <w:pPr>
        <w:jc w:val="both"/>
        <w:rPr>
          <w:rFonts w:asciiTheme="minorHAnsi" w:hAnsiTheme="minorHAnsi" w:cstheme="minorHAnsi"/>
          <w:sz w:val="20"/>
          <w:szCs w:val="20"/>
        </w:rPr>
      </w:pPr>
      <w:r w:rsidRPr="00E27D9B">
        <w:rPr>
          <w:rFonts w:asciiTheme="minorHAnsi" w:hAnsiTheme="minorHAnsi" w:cstheme="minorHAnsi"/>
          <w:sz w:val="20"/>
          <w:szCs w:val="20"/>
        </w:rPr>
        <w:t xml:space="preserve">L'aumento con l'età nei </w:t>
      </w:r>
      <w:r w:rsidRPr="00FB0180">
        <w:rPr>
          <w:rFonts w:asciiTheme="minorHAnsi" w:hAnsiTheme="minorHAnsi" w:cstheme="minorHAnsi"/>
          <w:b/>
          <w:bCs/>
          <w:sz w:val="20"/>
          <w:szCs w:val="20"/>
        </w:rPr>
        <w:t>patobionti pro-infiammatori</w:t>
      </w:r>
      <w:r w:rsidRPr="00E27D9B">
        <w:rPr>
          <w:rFonts w:asciiTheme="minorHAnsi" w:hAnsiTheme="minorHAnsi" w:cstheme="minorHAnsi"/>
          <w:sz w:val="20"/>
          <w:szCs w:val="20"/>
        </w:rPr>
        <w:t xml:space="preserve"> può favorire la riduzione delle specie del microbiota con attività immunomodulante e sostenere disturbi infiammatori. </w:t>
      </w:r>
    </w:p>
    <w:p w:rsidR="004C0B7F" w:rsidRPr="00E27D9B" w:rsidRDefault="004C0B7F" w:rsidP="00E5713A">
      <w:pPr>
        <w:jc w:val="both"/>
        <w:rPr>
          <w:rFonts w:asciiTheme="minorHAnsi" w:hAnsiTheme="minorHAnsi" w:cstheme="minorHAnsi"/>
          <w:sz w:val="20"/>
          <w:szCs w:val="20"/>
        </w:rPr>
      </w:pPr>
    </w:p>
    <w:p w:rsidR="00444D71" w:rsidRDefault="00444D71" w:rsidP="00444D71">
      <w:pPr>
        <w:pBdr>
          <w:top w:val="dashSmallGap" w:sz="4" w:space="1" w:color="auto"/>
          <w:left w:val="dashSmallGap" w:sz="4" w:space="4" w:color="auto"/>
          <w:bottom w:val="dashSmallGap" w:sz="4" w:space="1" w:color="auto"/>
          <w:right w:val="dashSmallGap" w:sz="4" w:space="4" w:color="auto"/>
        </w:pBdr>
        <w:rPr>
          <w:rFonts w:asciiTheme="minorHAnsi" w:hAnsiTheme="minorHAnsi" w:cstheme="minorHAnsi"/>
          <w:i/>
          <w:iCs/>
          <w:sz w:val="18"/>
          <w:szCs w:val="18"/>
        </w:rPr>
      </w:pPr>
    </w:p>
    <w:p w:rsidR="004C0B7F" w:rsidRPr="00444D71" w:rsidRDefault="004C0B7F" w:rsidP="00444D71">
      <w:pPr>
        <w:pBdr>
          <w:top w:val="dashSmallGap" w:sz="4" w:space="1" w:color="auto"/>
          <w:left w:val="dashSmallGap" w:sz="4" w:space="4" w:color="auto"/>
          <w:bottom w:val="dashSmallGap" w:sz="4" w:space="1" w:color="auto"/>
          <w:right w:val="dashSmallGap" w:sz="4" w:space="4" w:color="auto"/>
        </w:pBdr>
        <w:rPr>
          <w:rFonts w:asciiTheme="minorHAnsi" w:hAnsiTheme="minorHAnsi" w:cstheme="minorHAnsi"/>
          <w:i/>
          <w:iCs/>
          <w:sz w:val="18"/>
          <w:szCs w:val="18"/>
        </w:rPr>
      </w:pPr>
      <w:r w:rsidRPr="00444D71">
        <w:rPr>
          <w:rFonts w:asciiTheme="minorHAnsi" w:hAnsiTheme="minorHAnsi" w:cstheme="minorHAnsi"/>
          <w:i/>
          <w:iCs/>
          <w:sz w:val="18"/>
          <w:szCs w:val="18"/>
        </w:rPr>
        <w:t xml:space="preserve">SIMBIONTI: batteri essenziali che vivono con beneficio dell‘organismo ospite </w:t>
      </w:r>
    </w:p>
    <w:p w:rsidR="004C0B7F" w:rsidRPr="00444D71" w:rsidRDefault="004C0B7F" w:rsidP="00444D71">
      <w:pPr>
        <w:pBdr>
          <w:top w:val="dashSmallGap" w:sz="4" w:space="1" w:color="auto"/>
          <w:left w:val="dashSmallGap" w:sz="4" w:space="4" w:color="auto"/>
          <w:bottom w:val="dashSmallGap" w:sz="4" w:space="1" w:color="auto"/>
          <w:right w:val="dashSmallGap" w:sz="4" w:space="4" w:color="auto"/>
        </w:pBdr>
        <w:rPr>
          <w:rFonts w:asciiTheme="minorHAnsi" w:hAnsiTheme="minorHAnsi" w:cstheme="minorHAnsi"/>
          <w:i/>
          <w:iCs/>
          <w:sz w:val="18"/>
          <w:szCs w:val="18"/>
        </w:rPr>
      </w:pPr>
      <w:r w:rsidRPr="00444D71">
        <w:rPr>
          <w:rFonts w:asciiTheme="minorHAnsi" w:hAnsiTheme="minorHAnsi" w:cstheme="minorHAnsi"/>
          <w:i/>
          <w:iCs/>
          <w:sz w:val="18"/>
          <w:szCs w:val="18"/>
        </w:rPr>
        <w:t xml:space="preserve">COMMENSALI: batteri che convivono beneficiando di un organismo ospite </w:t>
      </w:r>
    </w:p>
    <w:p w:rsidR="004C0B7F" w:rsidRPr="00444D71" w:rsidRDefault="004C0B7F" w:rsidP="00444D71">
      <w:pPr>
        <w:pBdr>
          <w:top w:val="dashSmallGap" w:sz="4" w:space="1" w:color="auto"/>
          <w:left w:val="dashSmallGap" w:sz="4" w:space="4" w:color="auto"/>
          <w:bottom w:val="dashSmallGap" w:sz="4" w:space="1" w:color="auto"/>
          <w:right w:val="dashSmallGap" w:sz="4" w:space="4" w:color="auto"/>
        </w:pBdr>
        <w:rPr>
          <w:rFonts w:asciiTheme="minorHAnsi" w:hAnsiTheme="minorHAnsi" w:cstheme="minorHAnsi"/>
          <w:i/>
          <w:iCs/>
          <w:sz w:val="18"/>
          <w:szCs w:val="18"/>
        </w:rPr>
      </w:pPr>
      <w:r w:rsidRPr="00444D71">
        <w:rPr>
          <w:rFonts w:asciiTheme="minorHAnsi" w:hAnsiTheme="minorHAnsi" w:cstheme="minorHAnsi"/>
          <w:i/>
          <w:iCs/>
          <w:sz w:val="18"/>
          <w:szCs w:val="18"/>
        </w:rPr>
        <w:t xml:space="preserve">PATOBIONTI: organismi che convivono con un organismo ospite senza recar danno o beneficio in condizioni normali, ma possono diventare patogeni in situazioni di disequilibrio tra le specie (disbiosi) </w:t>
      </w:r>
    </w:p>
    <w:p w:rsidR="004C0B7F" w:rsidRDefault="004C0B7F" w:rsidP="00444D71">
      <w:pPr>
        <w:pBdr>
          <w:top w:val="dashSmallGap" w:sz="4" w:space="1" w:color="auto"/>
          <w:left w:val="dashSmallGap" w:sz="4" w:space="4" w:color="auto"/>
          <w:bottom w:val="dashSmallGap" w:sz="4" w:space="1" w:color="auto"/>
          <w:right w:val="dashSmallGap" w:sz="4" w:space="4" w:color="auto"/>
        </w:pBdr>
        <w:rPr>
          <w:rFonts w:asciiTheme="minorHAnsi" w:hAnsiTheme="minorHAnsi" w:cstheme="minorHAnsi"/>
          <w:i/>
          <w:iCs/>
          <w:sz w:val="18"/>
          <w:szCs w:val="18"/>
        </w:rPr>
      </w:pPr>
      <w:r w:rsidRPr="00444D71">
        <w:rPr>
          <w:rFonts w:asciiTheme="minorHAnsi" w:hAnsiTheme="minorHAnsi" w:cstheme="minorHAnsi"/>
          <w:i/>
          <w:iCs/>
          <w:sz w:val="18"/>
          <w:szCs w:val="18"/>
        </w:rPr>
        <w:t>PATOGENI: batteri esterni che infettando un organismo ospite scatenano un’infezione</w:t>
      </w:r>
    </w:p>
    <w:p w:rsidR="00444D71" w:rsidRPr="00444D71" w:rsidRDefault="00444D71" w:rsidP="00444D71">
      <w:pPr>
        <w:pBdr>
          <w:top w:val="dashSmallGap" w:sz="4" w:space="1" w:color="auto"/>
          <w:left w:val="dashSmallGap" w:sz="4" w:space="4" w:color="auto"/>
          <w:bottom w:val="dashSmallGap" w:sz="4" w:space="1" w:color="auto"/>
          <w:right w:val="dashSmallGap" w:sz="4" w:space="4" w:color="auto"/>
        </w:pBdr>
        <w:rPr>
          <w:rFonts w:asciiTheme="minorHAnsi" w:hAnsiTheme="minorHAnsi" w:cstheme="minorHAnsi"/>
          <w:i/>
          <w:iCs/>
          <w:sz w:val="18"/>
          <w:szCs w:val="18"/>
        </w:rPr>
      </w:pPr>
    </w:p>
    <w:p w:rsidR="004C0B7F" w:rsidRPr="00E27D9B" w:rsidRDefault="004C0B7F" w:rsidP="00E5713A">
      <w:pPr>
        <w:jc w:val="both"/>
        <w:rPr>
          <w:rFonts w:asciiTheme="minorHAnsi" w:hAnsiTheme="minorHAnsi" w:cstheme="minorHAnsi"/>
          <w:sz w:val="20"/>
          <w:szCs w:val="20"/>
        </w:rPr>
      </w:pPr>
    </w:p>
    <w:p w:rsidR="003B68FD" w:rsidRPr="00F31E61" w:rsidRDefault="003B68FD"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sz w:val="20"/>
          <w:szCs w:val="20"/>
        </w:rPr>
      </w:pPr>
    </w:p>
    <w:p w:rsidR="00052B0C" w:rsidRPr="00F31E61" w:rsidRDefault="00A85F1D"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r>
        <w:rPr>
          <w:rFonts w:asciiTheme="minorHAnsi" w:hAnsiTheme="minorHAnsi" w:cstheme="minorHAnsi"/>
          <w:i/>
          <w:iCs/>
          <w:sz w:val="20"/>
          <w:szCs w:val="20"/>
        </w:rPr>
        <w:t>Il</w:t>
      </w:r>
      <w:r w:rsidR="00E5713A" w:rsidRPr="00F31E61">
        <w:rPr>
          <w:rFonts w:asciiTheme="minorHAnsi" w:hAnsiTheme="minorHAnsi" w:cstheme="minorHAnsi"/>
          <w:i/>
          <w:iCs/>
          <w:sz w:val="20"/>
          <w:szCs w:val="20"/>
        </w:rPr>
        <w:t xml:space="preserve"> sistema immunitario che invecchia non riesce a mantenere la piena tolleranza agli autoantigeni, con una </w:t>
      </w:r>
      <w:r w:rsidR="00E5713A" w:rsidRPr="00F31E61">
        <w:rPr>
          <w:rFonts w:asciiTheme="minorHAnsi" w:hAnsiTheme="minorHAnsi" w:cstheme="minorHAnsi"/>
          <w:b/>
          <w:bCs/>
          <w:i/>
          <w:iCs/>
          <w:sz w:val="20"/>
          <w:szCs w:val="20"/>
        </w:rPr>
        <w:t>maggiore incidenza di malattie autoimmuni</w:t>
      </w:r>
      <w:r w:rsidR="00E5713A" w:rsidRPr="00F31E61">
        <w:rPr>
          <w:rFonts w:asciiTheme="minorHAnsi" w:hAnsiTheme="minorHAnsi" w:cstheme="minorHAnsi"/>
          <w:i/>
          <w:iCs/>
          <w:sz w:val="20"/>
          <w:szCs w:val="20"/>
        </w:rPr>
        <w:t>.</w:t>
      </w:r>
      <w:r w:rsidR="001B1EE4" w:rsidRPr="00F31E61">
        <w:rPr>
          <w:rStyle w:val="FootnoteReference"/>
          <w:rFonts w:asciiTheme="minorHAnsi" w:hAnsiTheme="minorHAnsi" w:cstheme="minorHAnsi"/>
          <w:i/>
          <w:iCs/>
          <w:sz w:val="20"/>
          <w:szCs w:val="20"/>
        </w:rPr>
        <w:footnoteReference w:id="189"/>
      </w:r>
      <w:r w:rsidR="00E5713A" w:rsidRPr="00F31E61">
        <w:rPr>
          <w:rFonts w:asciiTheme="minorHAnsi" w:hAnsiTheme="minorHAnsi" w:cstheme="minorHAnsi"/>
          <w:i/>
          <w:iCs/>
          <w:sz w:val="20"/>
          <w:szCs w:val="20"/>
        </w:rPr>
        <w:t xml:space="preserve"> </w:t>
      </w:r>
    </w:p>
    <w:p w:rsidR="003B68FD" w:rsidRPr="00F31E61" w:rsidRDefault="003B68FD"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p>
    <w:p w:rsidR="003B68FD" w:rsidRPr="00F31E61" w:rsidRDefault="00052B0C"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r w:rsidRPr="00F31E61">
        <w:rPr>
          <w:rFonts w:asciiTheme="minorHAnsi" w:hAnsiTheme="minorHAnsi" w:cstheme="minorHAnsi"/>
          <w:i/>
          <w:iCs/>
          <w:sz w:val="20"/>
          <w:szCs w:val="20"/>
        </w:rPr>
        <w:t xml:space="preserve">Ciò è probabilmente dovuto alla </w:t>
      </w:r>
      <w:r w:rsidRPr="00F31E61">
        <w:rPr>
          <w:rFonts w:asciiTheme="minorHAnsi" w:hAnsiTheme="minorHAnsi" w:cstheme="minorHAnsi"/>
          <w:b/>
          <w:bCs/>
          <w:i/>
          <w:iCs/>
          <w:sz w:val="20"/>
          <w:szCs w:val="20"/>
        </w:rPr>
        <w:t xml:space="preserve">linfopenia </w:t>
      </w:r>
      <w:r w:rsidR="00444D71" w:rsidRPr="00F31E61">
        <w:rPr>
          <w:rFonts w:asciiTheme="minorHAnsi" w:hAnsiTheme="minorHAnsi" w:cstheme="minorHAnsi"/>
          <w:b/>
          <w:bCs/>
          <w:i/>
          <w:iCs/>
          <w:sz w:val="20"/>
          <w:szCs w:val="20"/>
        </w:rPr>
        <w:t xml:space="preserve">* </w:t>
      </w:r>
      <w:r w:rsidRPr="00F31E61">
        <w:rPr>
          <w:rFonts w:asciiTheme="minorHAnsi" w:hAnsiTheme="minorHAnsi" w:cstheme="minorHAnsi"/>
          <w:i/>
          <w:iCs/>
          <w:sz w:val="20"/>
          <w:szCs w:val="20"/>
        </w:rPr>
        <w:t xml:space="preserve">che si verifica con l'età, portando a un eccesso di proliferazione dei linfociti omeostatici, nonché a una diminuzione della funzione delle cellule T regolatorie e alla riduzione della clearance delle cellule apoptotiche da parte dei macrofagi. </w:t>
      </w:r>
      <w:r w:rsidRPr="00F31E61">
        <w:rPr>
          <w:rStyle w:val="FootnoteReference"/>
          <w:rFonts w:asciiTheme="minorHAnsi" w:hAnsiTheme="minorHAnsi" w:cstheme="minorHAnsi"/>
          <w:i/>
          <w:iCs/>
          <w:sz w:val="20"/>
          <w:szCs w:val="20"/>
        </w:rPr>
        <w:footnoteReference w:id="190"/>
      </w:r>
    </w:p>
    <w:p w:rsidR="003B68FD" w:rsidRPr="00F31E61" w:rsidRDefault="003B68FD"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sz w:val="20"/>
          <w:szCs w:val="20"/>
        </w:rPr>
      </w:pPr>
    </w:p>
    <w:p w:rsidR="003B68FD" w:rsidRPr="00F31E61" w:rsidRDefault="003B68FD"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r w:rsidRPr="00F31E61">
        <w:rPr>
          <w:rFonts w:asciiTheme="minorHAnsi" w:hAnsiTheme="minorHAnsi" w:cstheme="minorHAnsi"/>
          <w:i/>
          <w:iCs/>
          <w:sz w:val="20"/>
          <w:szCs w:val="20"/>
        </w:rPr>
        <w:t xml:space="preserve">Il cambiamento più critico dovuto all'invecchiamento nel sistema immunitario innato è </w:t>
      </w:r>
      <w:r w:rsidRPr="00F31E61">
        <w:rPr>
          <w:rFonts w:asciiTheme="minorHAnsi" w:hAnsiTheme="minorHAnsi" w:cstheme="minorHAnsi"/>
          <w:b/>
          <w:bCs/>
          <w:i/>
          <w:iCs/>
          <w:sz w:val="20"/>
          <w:szCs w:val="20"/>
        </w:rPr>
        <w:t>l'aumento delle citochine pro-infiammatorie</w:t>
      </w:r>
      <w:r w:rsidRPr="00F31E61">
        <w:rPr>
          <w:rFonts w:asciiTheme="minorHAnsi" w:hAnsiTheme="minorHAnsi" w:cstheme="minorHAnsi"/>
          <w:i/>
          <w:iCs/>
          <w:sz w:val="20"/>
          <w:szCs w:val="20"/>
        </w:rPr>
        <w:t xml:space="preserve"> IL-1</w:t>
      </w:r>
      <w:r w:rsidRPr="00F31E61">
        <w:rPr>
          <w:rFonts w:ascii="Calibri" w:hAnsi="Calibri" w:cs="Calibri"/>
          <w:i/>
          <w:iCs/>
          <w:sz w:val="20"/>
          <w:szCs w:val="20"/>
        </w:rPr>
        <w:t>ß</w:t>
      </w:r>
      <w:r w:rsidRPr="00F31E61">
        <w:rPr>
          <w:rFonts w:asciiTheme="minorHAnsi" w:hAnsiTheme="minorHAnsi" w:cstheme="minorHAnsi"/>
          <w:i/>
          <w:iCs/>
          <w:sz w:val="20"/>
          <w:szCs w:val="20"/>
        </w:rPr>
        <w:t>, IL-6, IL-18 e TNF</w:t>
      </w:r>
      <w:r w:rsidRPr="00F31E61">
        <w:rPr>
          <w:rFonts w:asciiTheme="minorHAnsi" w:hAnsiTheme="minorHAnsi" w:cstheme="minorHAnsi"/>
          <w:color w:val="000000"/>
          <w:sz w:val="20"/>
          <w:szCs w:val="20"/>
          <w:shd w:val="clear" w:color="auto" w:fill="FFFFFF"/>
        </w:rPr>
        <w:t>α</w:t>
      </w:r>
      <w:r w:rsidRPr="00F31E61">
        <w:rPr>
          <w:rFonts w:asciiTheme="minorHAnsi" w:hAnsiTheme="minorHAnsi" w:cstheme="minorHAnsi"/>
          <w:i/>
          <w:iCs/>
          <w:sz w:val="20"/>
          <w:szCs w:val="20"/>
        </w:rPr>
        <w:t xml:space="preserve">, il quale porta all’insorgenza di uno </w:t>
      </w:r>
      <w:r w:rsidRPr="00F31E61">
        <w:rPr>
          <w:rFonts w:asciiTheme="minorHAnsi" w:hAnsiTheme="minorHAnsi" w:cstheme="minorHAnsi"/>
          <w:b/>
          <w:bCs/>
          <w:i/>
          <w:iCs/>
          <w:sz w:val="20"/>
          <w:szCs w:val="20"/>
        </w:rPr>
        <w:t>stato infiammatorio di basso grado</w:t>
      </w:r>
      <w:r w:rsidRPr="00F31E61">
        <w:rPr>
          <w:rFonts w:asciiTheme="minorHAnsi" w:hAnsiTheme="minorHAnsi" w:cstheme="minorHAnsi"/>
          <w:i/>
          <w:iCs/>
          <w:sz w:val="20"/>
          <w:szCs w:val="20"/>
        </w:rPr>
        <w:t xml:space="preserve"> che probabilmente contribuisce all'aterosclerosi, alla demenza e al cancro. </w:t>
      </w:r>
      <w:r w:rsidRPr="00F31E61">
        <w:rPr>
          <w:rStyle w:val="FootnoteReference"/>
          <w:rFonts w:asciiTheme="minorHAnsi" w:hAnsiTheme="minorHAnsi" w:cstheme="minorHAnsi"/>
          <w:i/>
          <w:iCs/>
          <w:sz w:val="20"/>
          <w:szCs w:val="20"/>
        </w:rPr>
        <w:footnoteReference w:id="191"/>
      </w:r>
    </w:p>
    <w:p w:rsidR="00444D71" w:rsidRPr="00444D71" w:rsidRDefault="00444D71" w:rsidP="00444D71">
      <w:pPr>
        <w:pBdr>
          <w:top w:val="dashSmallGap" w:sz="4" w:space="1" w:color="auto"/>
          <w:left w:val="dashSmallGap" w:sz="4" w:space="4" w:color="auto"/>
          <w:bottom w:val="dashSmallGap" w:sz="4" w:space="1" w:color="auto"/>
          <w:right w:val="dashSmallGap" w:sz="4" w:space="4" w:color="auto"/>
        </w:pBdr>
        <w:jc w:val="both"/>
        <w:rPr>
          <w:rFonts w:asciiTheme="minorHAnsi" w:hAnsiTheme="minorHAnsi" w:cstheme="minorHAnsi"/>
          <w:i/>
          <w:iCs/>
          <w:color w:val="000000"/>
          <w:sz w:val="18"/>
          <w:szCs w:val="18"/>
          <w:shd w:val="clear" w:color="auto" w:fill="FFFFFF"/>
        </w:rPr>
      </w:pPr>
    </w:p>
    <w:p w:rsidR="00444D71" w:rsidRPr="00444D71" w:rsidRDefault="00444D71" w:rsidP="00444D71">
      <w:pPr>
        <w:pBdr>
          <w:top w:val="dashSmallGap" w:sz="4" w:space="1" w:color="auto"/>
          <w:left w:val="dashSmallGap" w:sz="4" w:space="4" w:color="auto"/>
          <w:bottom w:val="dashSmallGap" w:sz="4" w:space="1" w:color="auto"/>
          <w:right w:val="dashSmallGap" w:sz="4" w:space="4" w:color="auto"/>
        </w:pBdr>
        <w:jc w:val="both"/>
        <w:rPr>
          <w:rFonts w:asciiTheme="minorHAnsi" w:hAnsiTheme="minorHAnsi" w:cstheme="minorHAnsi"/>
          <w:i/>
          <w:iCs/>
          <w:color w:val="000000"/>
          <w:sz w:val="18"/>
          <w:szCs w:val="18"/>
          <w:shd w:val="clear" w:color="auto" w:fill="FFFFFF"/>
        </w:rPr>
      </w:pPr>
      <w:r>
        <w:rPr>
          <w:rFonts w:asciiTheme="minorHAnsi" w:hAnsiTheme="minorHAnsi" w:cstheme="minorHAnsi"/>
          <w:i/>
          <w:iCs/>
          <w:color w:val="000000"/>
          <w:sz w:val="18"/>
          <w:szCs w:val="18"/>
          <w:shd w:val="clear" w:color="auto" w:fill="FFFFFF"/>
        </w:rPr>
        <w:t xml:space="preserve">*  </w:t>
      </w:r>
      <w:r w:rsidRPr="00444D71">
        <w:rPr>
          <w:rFonts w:asciiTheme="minorHAnsi" w:hAnsiTheme="minorHAnsi" w:cstheme="minorHAnsi"/>
          <w:i/>
          <w:iCs/>
          <w:color w:val="000000"/>
          <w:sz w:val="18"/>
          <w:szCs w:val="18"/>
          <w:shd w:val="clear" w:color="auto" w:fill="FFFFFF"/>
        </w:rPr>
        <w:t xml:space="preserve">La </w:t>
      </w:r>
      <w:r w:rsidRPr="00444D71">
        <w:rPr>
          <w:rFonts w:asciiTheme="minorHAnsi" w:hAnsiTheme="minorHAnsi" w:cstheme="minorHAnsi"/>
          <w:b/>
          <w:bCs/>
          <w:i/>
          <w:iCs/>
          <w:color w:val="000000"/>
          <w:sz w:val="18"/>
          <w:szCs w:val="18"/>
          <w:shd w:val="clear" w:color="auto" w:fill="FFFFFF"/>
        </w:rPr>
        <w:t>proliferazione indotta da linfopenia</w:t>
      </w:r>
      <w:r w:rsidRPr="00444D71">
        <w:rPr>
          <w:rFonts w:asciiTheme="minorHAnsi" w:hAnsiTheme="minorHAnsi" w:cstheme="minorHAnsi"/>
          <w:i/>
          <w:iCs/>
          <w:color w:val="000000"/>
          <w:sz w:val="18"/>
          <w:szCs w:val="18"/>
          <w:shd w:val="clear" w:color="auto" w:fill="FFFFFF"/>
        </w:rPr>
        <w:t xml:space="preserve"> (LIP), un meccanismo per mantenere un numero costante di cellule T in circolazione, si verifica sia nell'invecchiamento normale che nella malattia autoimmune.</w:t>
      </w:r>
    </w:p>
    <w:p w:rsidR="00444D71" w:rsidRPr="00444D71" w:rsidRDefault="00444D71" w:rsidP="00444D71">
      <w:pPr>
        <w:pBdr>
          <w:top w:val="dashSmallGap" w:sz="4" w:space="1" w:color="auto"/>
          <w:left w:val="dashSmallGap" w:sz="4" w:space="4" w:color="auto"/>
          <w:bottom w:val="dashSmallGap" w:sz="4" w:space="1" w:color="auto"/>
          <w:right w:val="dashSmallGap" w:sz="4" w:space="4" w:color="auto"/>
        </w:pBdr>
        <w:jc w:val="both"/>
        <w:rPr>
          <w:rFonts w:asciiTheme="minorHAnsi" w:hAnsiTheme="minorHAnsi" w:cstheme="minorHAnsi"/>
          <w:i/>
          <w:iCs/>
          <w:color w:val="000000"/>
          <w:sz w:val="18"/>
          <w:szCs w:val="18"/>
          <w:shd w:val="clear" w:color="auto" w:fill="FFFFFF"/>
        </w:rPr>
      </w:pPr>
      <w:r w:rsidRPr="00444D71">
        <w:rPr>
          <w:rFonts w:asciiTheme="minorHAnsi" w:hAnsiTheme="minorHAnsi" w:cstheme="minorHAnsi"/>
          <w:i/>
          <w:iCs/>
          <w:color w:val="000000"/>
          <w:sz w:val="18"/>
          <w:szCs w:val="18"/>
          <w:shd w:val="clear" w:color="auto" w:fill="FFFFFF"/>
        </w:rPr>
        <w:t>L'incidenza della maggior parte delle malattie autoimmuni aumenta con l'età e l'invecchiamento precoce delle cellule T CD4 + è stato riportato in diverse malattie autoimmuni.</w:t>
      </w:r>
    </w:p>
    <w:p w:rsidR="00444D71" w:rsidRPr="00444D71" w:rsidRDefault="00444D71" w:rsidP="00444D71">
      <w:pPr>
        <w:pBdr>
          <w:top w:val="dashSmallGap" w:sz="4" w:space="1" w:color="auto"/>
          <w:left w:val="dashSmallGap" w:sz="4" w:space="4" w:color="auto"/>
          <w:bottom w:val="dashSmallGap" w:sz="4" w:space="1" w:color="auto"/>
          <w:right w:val="dashSmallGap" w:sz="4" w:space="4" w:color="auto"/>
        </w:pBdr>
        <w:jc w:val="both"/>
        <w:rPr>
          <w:rFonts w:asciiTheme="minorHAnsi" w:hAnsiTheme="minorHAnsi" w:cstheme="minorHAnsi"/>
          <w:i/>
          <w:iCs/>
          <w:color w:val="000000"/>
          <w:sz w:val="18"/>
          <w:szCs w:val="18"/>
          <w:shd w:val="clear" w:color="auto" w:fill="FFFFFF"/>
        </w:rPr>
      </w:pPr>
    </w:p>
    <w:p w:rsidR="00F31E61" w:rsidRDefault="00F31E61" w:rsidP="00E27D9B">
      <w:pPr>
        <w:pStyle w:val="Heading3"/>
        <w:jc w:val="center"/>
        <w:rPr>
          <w:rFonts w:asciiTheme="minorHAnsi" w:hAnsiTheme="minorHAnsi"/>
          <w:color w:val="C00000"/>
          <w:sz w:val="22"/>
          <w:szCs w:val="22"/>
        </w:rPr>
      </w:pPr>
      <w:bookmarkStart w:id="74" w:name="_Toc43342405"/>
    </w:p>
    <w:p w:rsidR="00E5713A" w:rsidRDefault="00C567FA" w:rsidP="00F31E61">
      <w:pPr>
        <w:pStyle w:val="Heading3"/>
        <w:spacing w:before="0" w:beforeAutospacing="0" w:after="0" w:afterAutospacing="0"/>
        <w:jc w:val="both"/>
        <w:rPr>
          <w:rFonts w:asciiTheme="minorHAnsi" w:hAnsiTheme="minorHAnsi"/>
          <w:color w:val="C00000"/>
          <w:sz w:val="24"/>
          <w:szCs w:val="24"/>
        </w:rPr>
      </w:pPr>
      <w:r w:rsidRPr="00F9498B">
        <w:rPr>
          <w:rFonts w:asciiTheme="minorHAnsi" w:hAnsiTheme="minorHAnsi"/>
          <w:color w:val="C00000"/>
          <w:sz w:val="24"/>
          <w:szCs w:val="24"/>
        </w:rPr>
        <w:t xml:space="preserve">Immuno-senescenza e inflamm-aging </w:t>
      </w:r>
      <w:r w:rsidRPr="00F9498B">
        <w:rPr>
          <w:rStyle w:val="FootnoteReference"/>
          <w:rFonts w:asciiTheme="minorHAnsi" w:hAnsiTheme="minorHAnsi"/>
          <w:color w:val="2F5496" w:themeColor="accent1" w:themeShade="BF"/>
          <w:sz w:val="24"/>
          <w:szCs w:val="24"/>
        </w:rPr>
        <w:footnoteReference w:id="192"/>
      </w:r>
      <w:bookmarkEnd w:id="74"/>
    </w:p>
    <w:p w:rsidR="00F9498B" w:rsidRPr="00F9498B" w:rsidRDefault="00F9498B" w:rsidP="00F31E61">
      <w:pPr>
        <w:pStyle w:val="Heading3"/>
        <w:spacing w:before="0" w:beforeAutospacing="0" w:after="0" w:afterAutospacing="0"/>
        <w:jc w:val="both"/>
        <w:rPr>
          <w:rFonts w:asciiTheme="minorHAnsi" w:hAnsiTheme="minorHAnsi"/>
          <w:color w:val="2F5496" w:themeColor="accent1" w:themeShade="BF"/>
          <w:sz w:val="24"/>
          <w:szCs w:val="24"/>
        </w:rPr>
      </w:pPr>
    </w:p>
    <w:p w:rsidR="003B68FD" w:rsidRPr="00E565AE" w:rsidRDefault="007D79E5" w:rsidP="00E82A6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"Il </w:t>
      </w:r>
      <w:r w:rsidRPr="00F31E61">
        <w:rPr>
          <w:rFonts w:asciiTheme="minorHAnsi" w:hAnsiTheme="minorHAnsi" w:cstheme="minorHAnsi"/>
          <w:b/>
          <w:bCs/>
          <w:color w:val="000000" w:themeColor="text1"/>
          <w:sz w:val="20"/>
          <w:szCs w:val="20"/>
          <w:shd w:val="clear" w:color="auto" w:fill="FBF9E1"/>
        </w:rPr>
        <w:t>fenotipo dell'invecchiamento</w:t>
      </w:r>
      <w:r w:rsidRPr="00E565AE">
        <w:rPr>
          <w:rFonts w:asciiTheme="minorHAnsi" w:hAnsiTheme="minorHAnsi" w:cstheme="minorHAnsi"/>
          <w:color w:val="000000" w:themeColor="text1"/>
          <w:sz w:val="20"/>
          <w:szCs w:val="20"/>
        </w:rPr>
        <w:t>", compresa l'immunosenescenza è il risultato di uno squilibrio tra meccanismi infiammatori e antinfiammatori con la conseguenza di uno stato definito come "</w:t>
      </w:r>
      <w:r w:rsidRPr="00F31E61">
        <w:rPr>
          <w:rFonts w:asciiTheme="minorHAnsi" w:hAnsiTheme="minorHAnsi" w:cstheme="minorHAnsi"/>
          <w:b/>
          <w:bCs/>
          <w:color w:val="000000" w:themeColor="text1"/>
          <w:sz w:val="20"/>
          <w:szCs w:val="20"/>
          <w:shd w:val="clear" w:color="auto" w:fill="FBF9E1"/>
        </w:rPr>
        <w:t>infiamm-aging</w:t>
      </w:r>
      <w:r w:rsidRPr="00E565AE">
        <w:rPr>
          <w:rFonts w:asciiTheme="minorHAnsi" w:hAnsiTheme="minorHAnsi" w:cstheme="minorHAnsi"/>
          <w:color w:val="000000" w:themeColor="text1"/>
          <w:sz w:val="20"/>
          <w:szCs w:val="20"/>
        </w:rPr>
        <w:t xml:space="preserve">". </w:t>
      </w:r>
    </w:p>
    <w:p w:rsidR="003B68FD" w:rsidRDefault="003B68FD" w:rsidP="00E82A6A">
      <w:pPr>
        <w:jc w:val="both"/>
        <w:rPr>
          <w:rFonts w:asciiTheme="minorHAnsi" w:hAnsiTheme="minorHAnsi" w:cstheme="minorHAnsi"/>
          <w:color w:val="000000" w:themeColor="text1"/>
          <w:sz w:val="20"/>
          <w:szCs w:val="20"/>
        </w:rPr>
      </w:pPr>
    </w:p>
    <w:p w:rsidR="00F31E61" w:rsidRPr="00E565AE" w:rsidRDefault="00F31E61" w:rsidP="00E82A6A">
      <w:pPr>
        <w:jc w:val="both"/>
        <w:rPr>
          <w:rFonts w:asciiTheme="minorHAnsi" w:hAnsiTheme="minorHAnsi" w:cstheme="minorHAnsi"/>
          <w:color w:val="000000" w:themeColor="text1"/>
          <w:sz w:val="20"/>
          <w:szCs w:val="20"/>
        </w:rPr>
      </w:pPr>
    </w:p>
    <w:p w:rsidR="003B68FD" w:rsidRPr="00F31E61" w:rsidRDefault="003B68FD"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364"/>
        </w:tabs>
        <w:ind w:left="1276" w:right="1268"/>
        <w:jc w:val="both"/>
        <w:rPr>
          <w:rFonts w:asciiTheme="minorHAnsi" w:hAnsiTheme="minorHAnsi" w:cstheme="minorHAnsi"/>
          <w:i/>
          <w:iCs/>
          <w:color w:val="000000" w:themeColor="text1"/>
          <w:sz w:val="20"/>
          <w:szCs w:val="20"/>
        </w:rPr>
      </w:pPr>
    </w:p>
    <w:p w:rsidR="00F31E61" w:rsidRDefault="007D79E5"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364"/>
        </w:tabs>
        <w:ind w:left="1276" w:right="1268"/>
        <w:jc w:val="both"/>
        <w:rPr>
          <w:rFonts w:asciiTheme="minorHAnsi" w:hAnsiTheme="minorHAnsi" w:cstheme="minorHAnsi"/>
          <w:color w:val="000000" w:themeColor="text1"/>
          <w:sz w:val="20"/>
          <w:szCs w:val="20"/>
        </w:rPr>
      </w:pPr>
      <w:r w:rsidRPr="00F31E61">
        <w:rPr>
          <w:rFonts w:asciiTheme="minorHAnsi" w:hAnsiTheme="minorHAnsi" w:cstheme="minorHAnsi"/>
          <w:i/>
          <w:iCs/>
          <w:color w:val="000000" w:themeColor="text1"/>
          <w:sz w:val="20"/>
          <w:szCs w:val="20"/>
        </w:rPr>
        <w:t>L’Inflamma-ging è dovuto alla stimolazione cronica antigenica che si verifica nel corso della vita e allo stress ossidativo che comporta la produzione di radicali liberi dell'ossigeno e prodotti tossici.</w:t>
      </w:r>
      <w:r w:rsidR="00E2570C" w:rsidRPr="00F31E61">
        <w:rPr>
          <w:rStyle w:val="FootnoteReference"/>
          <w:rFonts w:asciiTheme="minorHAnsi" w:hAnsiTheme="minorHAnsi" w:cstheme="minorHAnsi"/>
          <w:b/>
          <w:bCs/>
          <w:i/>
          <w:iCs/>
          <w:color w:val="000000" w:themeColor="text1"/>
          <w:sz w:val="20"/>
          <w:szCs w:val="20"/>
        </w:rPr>
        <w:t xml:space="preserve"> </w:t>
      </w:r>
      <w:r w:rsidR="00E2570C" w:rsidRPr="00F31E61">
        <w:rPr>
          <w:rStyle w:val="FootnoteReference"/>
          <w:rFonts w:asciiTheme="minorHAnsi" w:hAnsiTheme="minorHAnsi" w:cstheme="minorHAnsi"/>
          <w:b/>
          <w:bCs/>
          <w:i/>
          <w:iCs/>
          <w:color w:val="000000" w:themeColor="text1"/>
          <w:sz w:val="20"/>
          <w:szCs w:val="20"/>
        </w:rPr>
        <w:footnoteReference w:id="193"/>
      </w:r>
      <w:r w:rsidR="00F31E61" w:rsidRPr="00F31E61">
        <w:rPr>
          <w:rFonts w:asciiTheme="minorHAnsi" w:hAnsiTheme="minorHAnsi" w:cstheme="minorHAnsi"/>
          <w:color w:val="000000" w:themeColor="text1"/>
          <w:sz w:val="20"/>
          <w:szCs w:val="20"/>
        </w:rPr>
        <w:t xml:space="preserve"> </w:t>
      </w:r>
    </w:p>
    <w:p w:rsidR="00F31E61" w:rsidRDefault="00F31E61"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364"/>
        </w:tabs>
        <w:ind w:left="1276" w:right="1268"/>
        <w:jc w:val="both"/>
        <w:rPr>
          <w:rFonts w:asciiTheme="minorHAnsi" w:hAnsiTheme="minorHAnsi" w:cstheme="minorHAnsi"/>
          <w:i/>
          <w:iCs/>
          <w:color w:val="000000" w:themeColor="text1"/>
          <w:sz w:val="20"/>
          <w:szCs w:val="20"/>
        </w:rPr>
      </w:pPr>
    </w:p>
    <w:p w:rsidR="00F31E61" w:rsidRDefault="00F31E61"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364"/>
        </w:tabs>
        <w:ind w:left="1276" w:right="1268"/>
        <w:jc w:val="both"/>
        <w:rPr>
          <w:rFonts w:asciiTheme="minorHAnsi" w:hAnsiTheme="minorHAnsi" w:cstheme="minorHAnsi"/>
          <w:color w:val="000000" w:themeColor="text1"/>
          <w:sz w:val="20"/>
          <w:szCs w:val="20"/>
        </w:rPr>
      </w:pPr>
      <w:r w:rsidRPr="00F31E61">
        <w:rPr>
          <w:rFonts w:asciiTheme="minorHAnsi" w:hAnsiTheme="minorHAnsi" w:cstheme="minorHAnsi"/>
          <w:i/>
          <w:iCs/>
          <w:color w:val="000000" w:themeColor="text1"/>
          <w:sz w:val="20"/>
          <w:szCs w:val="20"/>
        </w:rPr>
        <w:t xml:space="preserve">Gli agenti nocivi sono prodotti dall'organismo come conseguenza dei </w:t>
      </w:r>
      <w:r w:rsidRPr="00F31E61">
        <w:rPr>
          <w:rFonts w:asciiTheme="minorHAnsi" w:hAnsiTheme="minorHAnsi" w:cstheme="minorHAnsi"/>
          <w:b/>
          <w:bCs/>
          <w:i/>
          <w:iCs/>
          <w:color w:val="000000" w:themeColor="text1"/>
          <w:sz w:val="20"/>
          <w:szCs w:val="20"/>
        </w:rPr>
        <w:t xml:space="preserve">normali processi metabolici </w:t>
      </w:r>
      <w:r w:rsidRPr="00F31E61">
        <w:rPr>
          <w:rFonts w:asciiTheme="minorHAnsi" w:hAnsiTheme="minorHAnsi" w:cstheme="minorHAnsi"/>
          <w:i/>
          <w:iCs/>
          <w:color w:val="000000" w:themeColor="text1"/>
          <w:sz w:val="20"/>
          <w:szCs w:val="20"/>
        </w:rPr>
        <w:t xml:space="preserve">(inevitabili) (ad es. specie reattive dell'ossigeno, ROS, da metabolismo ossidativo) o derivanti dall'esposizione a una </w:t>
      </w:r>
      <w:r w:rsidRPr="00F31E61">
        <w:rPr>
          <w:rFonts w:asciiTheme="minorHAnsi" w:hAnsiTheme="minorHAnsi" w:cstheme="minorHAnsi"/>
          <w:b/>
          <w:bCs/>
          <w:i/>
          <w:iCs/>
          <w:color w:val="000000" w:themeColor="text1"/>
          <w:sz w:val="20"/>
          <w:szCs w:val="20"/>
        </w:rPr>
        <w:t>varietà di fattori fisici</w:t>
      </w:r>
      <w:r w:rsidRPr="00F31E61">
        <w:rPr>
          <w:rFonts w:asciiTheme="minorHAnsi" w:hAnsiTheme="minorHAnsi" w:cstheme="minorHAnsi"/>
          <w:i/>
          <w:iCs/>
          <w:color w:val="000000" w:themeColor="text1"/>
          <w:sz w:val="20"/>
          <w:szCs w:val="20"/>
        </w:rPr>
        <w:t xml:space="preserve"> (ad esempio raggi UV dall'esposizione solare) o </w:t>
      </w:r>
      <w:r w:rsidRPr="00F31E61">
        <w:rPr>
          <w:rFonts w:asciiTheme="minorHAnsi" w:hAnsiTheme="minorHAnsi" w:cstheme="minorHAnsi"/>
          <w:b/>
          <w:bCs/>
          <w:i/>
          <w:iCs/>
          <w:color w:val="000000" w:themeColor="text1"/>
          <w:sz w:val="20"/>
          <w:szCs w:val="20"/>
        </w:rPr>
        <w:t>agenti biologici</w:t>
      </w:r>
      <w:r w:rsidRPr="00F31E61">
        <w:rPr>
          <w:rFonts w:asciiTheme="minorHAnsi" w:hAnsiTheme="minorHAnsi" w:cstheme="minorHAnsi"/>
          <w:i/>
          <w:iCs/>
          <w:color w:val="000000" w:themeColor="text1"/>
          <w:sz w:val="20"/>
          <w:szCs w:val="20"/>
        </w:rPr>
        <w:t xml:space="preserve"> (virus, batteri, parassiti).</w:t>
      </w:r>
      <w:r w:rsidRPr="00F31E61">
        <w:rPr>
          <w:rFonts w:asciiTheme="minorHAnsi" w:hAnsiTheme="minorHAnsi" w:cstheme="minorHAnsi"/>
          <w:color w:val="000000" w:themeColor="text1"/>
          <w:sz w:val="20"/>
          <w:szCs w:val="20"/>
        </w:rPr>
        <w:t xml:space="preserve"> </w:t>
      </w:r>
    </w:p>
    <w:p w:rsidR="00F31E61" w:rsidRDefault="00F31E61"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364"/>
        </w:tabs>
        <w:ind w:left="1276" w:right="1268"/>
        <w:jc w:val="both"/>
        <w:rPr>
          <w:rFonts w:asciiTheme="minorHAnsi" w:hAnsiTheme="minorHAnsi" w:cstheme="minorHAnsi"/>
          <w:color w:val="000000" w:themeColor="text1"/>
          <w:sz w:val="20"/>
          <w:szCs w:val="20"/>
        </w:rPr>
      </w:pPr>
    </w:p>
    <w:p w:rsidR="00F31E61" w:rsidRDefault="00F31E61"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364"/>
        </w:tabs>
        <w:ind w:left="1276" w:right="1268"/>
        <w:jc w:val="both"/>
        <w:rPr>
          <w:rFonts w:asciiTheme="minorHAnsi" w:hAnsiTheme="minorHAnsi" w:cstheme="minorHAnsi"/>
          <w:i/>
          <w:iCs/>
          <w:color w:val="000000" w:themeColor="text1"/>
          <w:sz w:val="20"/>
          <w:szCs w:val="20"/>
        </w:rPr>
      </w:pPr>
      <w:r w:rsidRPr="00F31E61">
        <w:rPr>
          <w:rFonts w:asciiTheme="minorHAnsi" w:hAnsiTheme="minorHAnsi" w:cstheme="minorHAnsi"/>
          <w:i/>
          <w:iCs/>
          <w:color w:val="000000" w:themeColor="text1"/>
          <w:sz w:val="20"/>
          <w:szCs w:val="20"/>
        </w:rPr>
        <w:t>Collettivamente rappresentano l'</w:t>
      </w:r>
      <w:r w:rsidRPr="00F31E61">
        <w:rPr>
          <w:rFonts w:asciiTheme="minorHAnsi" w:hAnsiTheme="minorHAnsi" w:cstheme="minorHAnsi"/>
          <w:b/>
          <w:bCs/>
          <w:i/>
          <w:iCs/>
          <w:color w:val="000000" w:themeColor="text1"/>
          <w:sz w:val="20"/>
          <w:szCs w:val="20"/>
        </w:rPr>
        <w:t>ambiente</w:t>
      </w:r>
      <w:r w:rsidRPr="00F31E61">
        <w:rPr>
          <w:rFonts w:asciiTheme="minorHAnsi" w:hAnsiTheme="minorHAnsi" w:cstheme="minorHAnsi"/>
          <w:i/>
          <w:iCs/>
          <w:color w:val="000000" w:themeColor="text1"/>
          <w:sz w:val="20"/>
          <w:szCs w:val="20"/>
        </w:rPr>
        <w:t xml:space="preserve"> e una chiara distinzione tra ambiente interno ed esterno è molto difficile se non impossibile</w:t>
      </w:r>
    </w:p>
    <w:p w:rsidR="00F31E61" w:rsidRPr="00F31E61" w:rsidRDefault="00F31E61"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tabs>
          <w:tab w:val="left" w:pos="8364"/>
        </w:tabs>
        <w:ind w:left="1276" w:right="1268"/>
        <w:jc w:val="both"/>
        <w:rPr>
          <w:rFonts w:asciiTheme="minorHAnsi" w:hAnsiTheme="minorHAnsi" w:cstheme="minorHAnsi"/>
          <w:i/>
          <w:iCs/>
          <w:color w:val="000000" w:themeColor="text1"/>
          <w:sz w:val="20"/>
          <w:szCs w:val="20"/>
        </w:rPr>
      </w:pPr>
    </w:p>
    <w:p w:rsidR="00F31E61" w:rsidRDefault="00F31E61" w:rsidP="00E82A6A">
      <w:pPr>
        <w:jc w:val="both"/>
        <w:rPr>
          <w:rFonts w:asciiTheme="minorHAnsi" w:hAnsiTheme="minorHAnsi" w:cstheme="minorHAnsi"/>
          <w:color w:val="000000" w:themeColor="text1"/>
          <w:sz w:val="20"/>
          <w:szCs w:val="20"/>
        </w:rPr>
      </w:pPr>
    </w:p>
    <w:p w:rsidR="003B68FD" w:rsidRPr="00E565AE" w:rsidRDefault="003B68FD" w:rsidP="00E82A6A">
      <w:pPr>
        <w:jc w:val="both"/>
        <w:rPr>
          <w:rFonts w:asciiTheme="minorHAnsi" w:hAnsiTheme="minorHAnsi" w:cstheme="minorHAnsi"/>
          <w:color w:val="000000" w:themeColor="text1"/>
          <w:sz w:val="20"/>
          <w:szCs w:val="20"/>
        </w:rPr>
      </w:pPr>
    </w:p>
    <w:p w:rsidR="00643447" w:rsidRPr="00E565AE" w:rsidRDefault="00643447" w:rsidP="00E82A6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Il corpo è dotato di un pannello di meccanismi </w:t>
      </w:r>
      <w:r w:rsidR="00D727E0" w:rsidRPr="00E565AE">
        <w:rPr>
          <w:rFonts w:asciiTheme="minorHAnsi" w:hAnsiTheme="minorHAnsi" w:cstheme="minorHAnsi"/>
          <w:color w:val="000000" w:themeColor="text1"/>
          <w:sz w:val="20"/>
          <w:szCs w:val="20"/>
        </w:rPr>
        <w:t xml:space="preserve">che servono </w:t>
      </w:r>
      <w:r w:rsidRPr="00E565AE">
        <w:rPr>
          <w:rFonts w:asciiTheme="minorHAnsi" w:hAnsiTheme="minorHAnsi" w:cstheme="minorHAnsi"/>
          <w:color w:val="000000" w:themeColor="text1"/>
          <w:sz w:val="20"/>
          <w:szCs w:val="20"/>
        </w:rPr>
        <w:t>per contrastare e neutralizzare gli effetti negativi di tali agenti:</w:t>
      </w:r>
    </w:p>
    <w:p w:rsidR="003B68FD" w:rsidRPr="00E565AE" w:rsidRDefault="003B68FD" w:rsidP="00E82A6A">
      <w:pPr>
        <w:jc w:val="both"/>
        <w:rPr>
          <w:rFonts w:asciiTheme="minorHAnsi" w:hAnsiTheme="minorHAnsi" w:cstheme="minorHAnsi"/>
          <w:color w:val="000000" w:themeColor="text1"/>
          <w:sz w:val="20"/>
          <w:szCs w:val="20"/>
        </w:rPr>
      </w:pPr>
    </w:p>
    <w:p w:rsidR="00643447" w:rsidRPr="00E565AE" w:rsidRDefault="00643447" w:rsidP="003B68FD">
      <w:pPr>
        <w:pStyle w:val="ListParagraph"/>
        <w:numPr>
          <w:ilvl w:val="0"/>
          <w:numId w:val="24"/>
        </w:numPr>
        <w:jc w:val="both"/>
        <w:rPr>
          <w:rFonts w:asciiTheme="minorHAnsi" w:hAnsiTheme="minorHAnsi" w:cstheme="minorHAnsi"/>
          <w:color w:val="000000" w:themeColor="text1"/>
          <w:sz w:val="20"/>
          <w:szCs w:val="20"/>
        </w:rPr>
      </w:pPr>
      <w:r w:rsidRPr="00E565AE">
        <w:rPr>
          <w:rFonts w:asciiTheme="minorHAnsi" w:hAnsiTheme="minorHAnsi" w:cstheme="minorHAnsi"/>
          <w:b/>
          <w:bCs/>
          <w:color w:val="000000" w:themeColor="text1"/>
          <w:sz w:val="20"/>
          <w:szCs w:val="20"/>
          <w:u w:val="single"/>
        </w:rPr>
        <w:t>a livello molecolare</w:t>
      </w:r>
      <w:r w:rsidRPr="00E565AE">
        <w:rPr>
          <w:rFonts w:asciiTheme="minorHAnsi" w:hAnsiTheme="minorHAnsi" w:cstheme="minorHAnsi"/>
          <w:color w:val="000000" w:themeColor="text1"/>
          <w:sz w:val="20"/>
          <w:szCs w:val="20"/>
        </w:rPr>
        <w:t>: meccanismi di riparazione del DNA, produzione di proteine ​​da shock termico e altri chaperone</w:t>
      </w:r>
      <w:r w:rsidR="00533DE1" w:rsidRPr="00E565AE">
        <w:rPr>
          <w:rFonts w:asciiTheme="minorHAnsi" w:hAnsiTheme="minorHAnsi" w:cstheme="minorHAnsi"/>
          <w:color w:val="000000" w:themeColor="text1"/>
          <w:sz w:val="20"/>
          <w:szCs w:val="20"/>
        </w:rPr>
        <w:t xml:space="preserve"> (famiglie di proteine che assistono nel ripiegamento e nell’assemblaggio di altre proteine e complessi enzimatici),</w:t>
      </w:r>
      <w:r w:rsidRPr="00E565AE">
        <w:rPr>
          <w:rFonts w:asciiTheme="minorHAnsi" w:hAnsiTheme="minorHAnsi" w:cstheme="minorHAnsi"/>
          <w:color w:val="000000" w:themeColor="text1"/>
          <w:sz w:val="20"/>
          <w:szCs w:val="20"/>
        </w:rPr>
        <w:t xml:space="preserve"> ricambio di proteine ​​e organelli, sistemi antiossidanti e disintossicanti;</w:t>
      </w:r>
    </w:p>
    <w:p w:rsidR="003B68FD" w:rsidRPr="00E565AE" w:rsidRDefault="003B68FD" w:rsidP="003B68FD">
      <w:pPr>
        <w:pStyle w:val="ListParagraph"/>
        <w:jc w:val="both"/>
        <w:rPr>
          <w:rFonts w:asciiTheme="minorHAnsi" w:hAnsiTheme="minorHAnsi" w:cstheme="minorHAnsi"/>
          <w:color w:val="000000" w:themeColor="text1"/>
          <w:sz w:val="20"/>
          <w:szCs w:val="20"/>
        </w:rPr>
      </w:pPr>
    </w:p>
    <w:p w:rsidR="00643447" w:rsidRPr="00E565AE" w:rsidRDefault="00643447" w:rsidP="003B68FD">
      <w:pPr>
        <w:pStyle w:val="ListParagraph"/>
        <w:numPr>
          <w:ilvl w:val="0"/>
          <w:numId w:val="24"/>
        </w:numPr>
        <w:jc w:val="both"/>
        <w:rPr>
          <w:rFonts w:asciiTheme="minorHAnsi" w:hAnsiTheme="minorHAnsi" w:cstheme="minorHAnsi"/>
          <w:color w:val="000000" w:themeColor="text1"/>
          <w:sz w:val="20"/>
          <w:szCs w:val="20"/>
        </w:rPr>
      </w:pPr>
      <w:r w:rsidRPr="00E565AE">
        <w:rPr>
          <w:rFonts w:asciiTheme="minorHAnsi" w:hAnsiTheme="minorHAnsi" w:cstheme="minorHAnsi"/>
          <w:b/>
          <w:bCs/>
          <w:color w:val="000000" w:themeColor="text1"/>
          <w:sz w:val="20"/>
          <w:szCs w:val="20"/>
          <w:u w:val="single"/>
        </w:rPr>
        <w:t>a livello cellulare</w:t>
      </w:r>
      <w:r w:rsidRPr="00E565AE">
        <w:rPr>
          <w:rFonts w:asciiTheme="minorHAnsi" w:hAnsiTheme="minorHAnsi" w:cstheme="minorHAnsi"/>
          <w:b/>
          <w:bCs/>
          <w:color w:val="000000" w:themeColor="text1"/>
          <w:sz w:val="20"/>
          <w:szCs w:val="20"/>
        </w:rPr>
        <w:t>:</w:t>
      </w:r>
      <w:r w:rsidRPr="00E565AE">
        <w:rPr>
          <w:rFonts w:asciiTheme="minorHAnsi" w:hAnsiTheme="minorHAnsi" w:cstheme="minorHAnsi"/>
          <w:color w:val="000000" w:themeColor="text1"/>
          <w:sz w:val="20"/>
          <w:szCs w:val="20"/>
        </w:rPr>
        <w:t xml:space="preserve"> apoptosi e morte cellulare autofagica, fagocitosi ed eliminazione delle cellule danneggiate e senescenti, sostituzione delle cellule morte con progenitori derivati da cellule staminali (rinnovamento di cellule e tessuti);</w:t>
      </w:r>
    </w:p>
    <w:p w:rsidR="003B68FD" w:rsidRPr="00E565AE" w:rsidRDefault="003B68FD" w:rsidP="003B68FD">
      <w:pPr>
        <w:jc w:val="both"/>
        <w:rPr>
          <w:rFonts w:asciiTheme="minorHAnsi" w:hAnsiTheme="minorHAnsi" w:cstheme="minorHAnsi"/>
          <w:color w:val="000000" w:themeColor="text1"/>
          <w:sz w:val="20"/>
          <w:szCs w:val="20"/>
        </w:rPr>
      </w:pPr>
    </w:p>
    <w:p w:rsidR="00643447" w:rsidRPr="00E565AE" w:rsidRDefault="00643447" w:rsidP="003B68FD">
      <w:pPr>
        <w:pStyle w:val="ListParagraph"/>
        <w:numPr>
          <w:ilvl w:val="0"/>
          <w:numId w:val="24"/>
        </w:numPr>
        <w:jc w:val="both"/>
        <w:rPr>
          <w:rFonts w:asciiTheme="minorHAnsi" w:hAnsiTheme="minorHAnsi" w:cstheme="minorHAnsi"/>
          <w:color w:val="000000" w:themeColor="text1"/>
          <w:sz w:val="20"/>
          <w:szCs w:val="20"/>
        </w:rPr>
      </w:pPr>
      <w:r w:rsidRPr="00E565AE">
        <w:rPr>
          <w:rFonts w:asciiTheme="minorHAnsi" w:hAnsiTheme="minorHAnsi" w:cstheme="minorHAnsi"/>
          <w:b/>
          <w:bCs/>
          <w:color w:val="000000" w:themeColor="text1"/>
          <w:sz w:val="20"/>
          <w:szCs w:val="20"/>
          <w:u w:val="single"/>
        </w:rPr>
        <w:t>a livello sistemico</w:t>
      </w:r>
      <w:r w:rsidRPr="00E565AE">
        <w:rPr>
          <w:rFonts w:asciiTheme="minorHAnsi" w:hAnsiTheme="minorHAnsi" w:cstheme="minorHAnsi"/>
          <w:b/>
          <w:bCs/>
          <w:color w:val="000000" w:themeColor="text1"/>
          <w:sz w:val="20"/>
          <w:szCs w:val="20"/>
        </w:rPr>
        <w:t>:</w:t>
      </w:r>
      <w:r w:rsidRPr="00E565AE">
        <w:rPr>
          <w:rFonts w:asciiTheme="minorHAnsi" w:hAnsiTheme="minorHAnsi" w:cstheme="minorHAnsi"/>
          <w:color w:val="000000" w:themeColor="text1"/>
          <w:sz w:val="20"/>
          <w:szCs w:val="20"/>
        </w:rPr>
        <w:t xml:space="preserve"> risposte immunitarie e infiammatorie, risposta allo stress, risposta neuroendocrina;</w:t>
      </w:r>
    </w:p>
    <w:p w:rsidR="003B68FD" w:rsidRPr="00E565AE" w:rsidRDefault="003B68FD" w:rsidP="003B68FD">
      <w:pPr>
        <w:jc w:val="both"/>
        <w:rPr>
          <w:rFonts w:asciiTheme="minorHAnsi" w:hAnsiTheme="minorHAnsi" w:cstheme="minorHAnsi"/>
          <w:color w:val="000000" w:themeColor="text1"/>
          <w:sz w:val="20"/>
          <w:szCs w:val="20"/>
        </w:rPr>
      </w:pPr>
    </w:p>
    <w:p w:rsidR="00643447" w:rsidRPr="00E565AE" w:rsidRDefault="00643447" w:rsidP="003B68FD">
      <w:pPr>
        <w:pStyle w:val="ListParagraph"/>
        <w:numPr>
          <w:ilvl w:val="0"/>
          <w:numId w:val="24"/>
        </w:numPr>
        <w:jc w:val="both"/>
        <w:rPr>
          <w:rFonts w:asciiTheme="minorHAnsi" w:hAnsiTheme="minorHAnsi" w:cstheme="minorHAnsi"/>
          <w:color w:val="000000" w:themeColor="text1"/>
          <w:sz w:val="20"/>
          <w:szCs w:val="20"/>
        </w:rPr>
      </w:pPr>
      <w:r w:rsidRPr="00E565AE">
        <w:rPr>
          <w:rFonts w:asciiTheme="minorHAnsi" w:hAnsiTheme="minorHAnsi" w:cstheme="minorHAnsi"/>
          <w:b/>
          <w:bCs/>
          <w:color w:val="000000" w:themeColor="text1"/>
          <w:sz w:val="20"/>
          <w:szCs w:val="20"/>
          <w:u w:val="single"/>
        </w:rPr>
        <w:t>a livello di organismo</w:t>
      </w:r>
      <w:r w:rsidRPr="00E565AE">
        <w:rPr>
          <w:rFonts w:asciiTheme="minorHAnsi" w:hAnsiTheme="minorHAnsi" w:cstheme="minorHAnsi"/>
          <w:b/>
          <w:bCs/>
          <w:color w:val="000000" w:themeColor="text1"/>
          <w:sz w:val="20"/>
          <w:szCs w:val="20"/>
        </w:rPr>
        <w:t>:</w:t>
      </w:r>
      <w:r w:rsidRPr="00E565AE">
        <w:rPr>
          <w:rFonts w:asciiTheme="minorHAnsi" w:hAnsiTheme="minorHAnsi" w:cstheme="minorHAnsi"/>
          <w:color w:val="000000" w:themeColor="text1"/>
          <w:sz w:val="20"/>
          <w:szCs w:val="20"/>
        </w:rPr>
        <w:t xml:space="preserve"> risposte comportamentali / di evasione mirate a minimizzare pericoli e danni. </w:t>
      </w:r>
    </w:p>
    <w:p w:rsidR="003B68FD" w:rsidRPr="00E565AE" w:rsidRDefault="003B68FD" w:rsidP="003B68FD">
      <w:pPr>
        <w:jc w:val="both"/>
        <w:rPr>
          <w:rFonts w:asciiTheme="minorHAnsi" w:hAnsiTheme="minorHAnsi" w:cstheme="minorHAnsi"/>
          <w:color w:val="000000" w:themeColor="text1"/>
          <w:sz w:val="20"/>
          <w:szCs w:val="20"/>
        </w:rPr>
      </w:pPr>
    </w:p>
    <w:p w:rsidR="003B68FD" w:rsidRPr="00E565AE" w:rsidRDefault="00643447" w:rsidP="00E82A6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Tutti questi tipi di risposte contribuiscono alla sopravvivenza in modo integrato e si può prevedere che il livello globale di invecchiamento e la longevità finale raggiunta da una specie sia (più che) la somma di tutti questi meccanismi (adattamento</w:t>
      </w:r>
      <w:r w:rsidR="00D727E0"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o</w:t>
      </w:r>
      <w:r w:rsidR="00D727E0"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 xml:space="preserve">capacità di rimodellamento a livello di diverse specie). </w:t>
      </w:r>
    </w:p>
    <w:p w:rsidR="003B68FD" w:rsidRPr="00E565AE" w:rsidRDefault="003B68FD" w:rsidP="00E82A6A">
      <w:pPr>
        <w:jc w:val="both"/>
        <w:rPr>
          <w:rFonts w:asciiTheme="minorHAnsi" w:hAnsiTheme="minorHAnsi" w:cstheme="minorHAnsi"/>
          <w:color w:val="000000" w:themeColor="text1"/>
          <w:sz w:val="20"/>
          <w:szCs w:val="20"/>
        </w:rPr>
      </w:pPr>
    </w:p>
    <w:p w:rsidR="00643447" w:rsidRDefault="00643447" w:rsidP="00E82A6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Durante l’evoluzione si è verificato un </w:t>
      </w:r>
      <w:r w:rsidRPr="00F31E61">
        <w:rPr>
          <w:rFonts w:asciiTheme="minorHAnsi" w:hAnsiTheme="minorHAnsi" w:cstheme="minorHAnsi"/>
          <w:b/>
          <w:bCs/>
          <w:color w:val="000000" w:themeColor="text1"/>
          <w:sz w:val="20"/>
          <w:szCs w:val="20"/>
        </w:rPr>
        <w:t>processo di selezione positiva</w:t>
      </w:r>
      <w:r w:rsidRPr="00E565AE">
        <w:rPr>
          <w:rFonts w:asciiTheme="minorHAnsi" w:hAnsiTheme="minorHAnsi" w:cstheme="minorHAnsi"/>
          <w:color w:val="000000" w:themeColor="text1"/>
          <w:sz w:val="20"/>
          <w:szCs w:val="20"/>
        </w:rPr>
        <w:t xml:space="preserve"> al fine di massimizzare l'efficienza di questi meccanismi di difesa come un insieme unico, perché erano fondamentali per mantenere uno stato sano e di conseguenza per massimizzare la capacità riproduttiva e l’efficienza. </w:t>
      </w:r>
      <w:r w:rsidRPr="00E565AE">
        <w:rPr>
          <w:rStyle w:val="FootnoteReference"/>
          <w:rFonts w:asciiTheme="minorHAnsi" w:hAnsiTheme="minorHAnsi" w:cstheme="minorHAnsi"/>
          <w:b/>
          <w:bCs/>
          <w:color w:val="000000" w:themeColor="text1"/>
          <w:sz w:val="20"/>
          <w:szCs w:val="20"/>
        </w:rPr>
        <w:footnoteReference w:id="194"/>
      </w:r>
    </w:p>
    <w:p w:rsidR="00F31E61" w:rsidRDefault="00F31E61" w:rsidP="00E82A6A">
      <w:pPr>
        <w:jc w:val="both"/>
        <w:rPr>
          <w:rFonts w:asciiTheme="minorHAnsi" w:hAnsiTheme="minorHAnsi" w:cstheme="minorHAnsi"/>
          <w:color w:val="000000" w:themeColor="text1"/>
          <w:sz w:val="20"/>
          <w:szCs w:val="20"/>
        </w:rPr>
      </w:pPr>
    </w:p>
    <w:p w:rsidR="00F31E61" w:rsidRDefault="00F31E61" w:rsidP="00E82A6A">
      <w:pPr>
        <w:jc w:val="both"/>
        <w:rPr>
          <w:rFonts w:asciiTheme="minorHAnsi" w:hAnsiTheme="minorHAnsi" w:cstheme="minorHAnsi"/>
          <w:color w:val="000000" w:themeColor="text1"/>
          <w:sz w:val="20"/>
          <w:szCs w:val="20"/>
        </w:rPr>
      </w:pPr>
    </w:p>
    <w:p w:rsidR="00F31E61" w:rsidRDefault="00F31E61" w:rsidP="00E82A6A">
      <w:pPr>
        <w:jc w:val="both"/>
        <w:rPr>
          <w:rFonts w:asciiTheme="minorHAnsi" w:hAnsiTheme="minorHAnsi" w:cstheme="minorHAnsi"/>
          <w:color w:val="000000" w:themeColor="text1"/>
          <w:sz w:val="20"/>
          <w:szCs w:val="20"/>
        </w:rPr>
      </w:pPr>
    </w:p>
    <w:p w:rsidR="00F31E61" w:rsidRDefault="00F31E61" w:rsidP="00E82A6A">
      <w:pPr>
        <w:jc w:val="both"/>
        <w:rPr>
          <w:rFonts w:asciiTheme="minorHAnsi" w:hAnsiTheme="minorHAnsi" w:cstheme="minorHAnsi"/>
          <w:color w:val="000000" w:themeColor="text1"/>
          <w:sz w:val="20"/>
          <w:szCs w:val="20"/>
        </w:rPr>
      </w:pPr>
    </w:p>
    <w:p w:rsidR="00F31E61" w:rsidRDefault="00F31E61" w:rsidP="00E82A6A">
      <w:pPr>
        <w:jc w:val="both"/>
        <w:rPr>
          <w:rFonts w:asciiTheme="minorHAnsi" w:hAnsiTheme="minorHAnsi" w:cstheme="minorHAnsi"/>
          <w:color w:val="000000" w:themeColor="text1"/>
          <w:sz w:val="20"/>
          <w:szCs w:val="20"/>
        </w:rPr>
      </w:pPr>
    </w:p>
    <w:p w:rsidR="00F31E61" w:rsidRPr="00E565AE" w:rsidRDefault="00F31E61" w:rsidP="00E82A6A">
      <w:pPr>
        <w:jc w:val="both"/>
        <w:rPr>
          <w:rFonts w:asciiTheme="minorHAnsi" w:hAnsiTheme="minorHAnsi" w:cstheme="minorHAnsi"/>
          <w:color w:val="000000" w:themeColor="text1"/>
          <w:sz w:val="20"/>
          <w:szCs w:val="20"/>
        </w:rPr>
      </w:pPr>
    </w:p>
    <w:p w:rsidR="003B68FD" w:rsidRPr="00E565AE" w:rsidRDefault="003B68FD" w:rsidP="00E82A6A">
      <w:pPr>
        <w:jc w:val="both"/>
        <w:rPr>
          <w:rFonts w:asciiTheme="minorHAnsi" w:hAnsiTheme="minorHAnsi" w:cstheme="minorHAnsi"/>
          <w:color w:val="000000" w:themeColor="text1"/>
          <w:sz w:val="20"/>
          <w:szCs w:val="20"/>
        </w:rPr>
      </w:pPr>
    </w:p>
    <w:p w:rsidR="003B68FD" w:rsidRPr="00F31E61" w:rsidRDefault="003B68FD"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985"/>
        <w:jc w:val="both"/>
        <w:rPr>
          <w:rFonts w:asciiTheme="minorHAnsi" w:hAnsiTheme="minorHAnsi" w:cstheme="minorHAnsi"/>
          <w:color w:val="000000" w:themeColor="text1"/>
          <w:sz w:val="20"/>
          <w:szCs w:val="20"/>
        </w:rPr>
      </w:pPr>
    </w:p>
    <w:p w:rsidR="003B68FD" w:rsidRPr="00F31E61" w:rsidRDefault="006F71AE"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985"/>
        <w:jc w:val="both"/>
        <w:rPr>
          <w:rFonts w:asciiTheme="minorHAnsi" w:eastAsiaTheme="minorHAnsi" w:hAnsiTheme="minorHAnsi" w:cstheme="minorHAnsi"/>
          <w:i/>
          <w:iCs/>
          <w:color w:val="000000" w:themeColor="text1"/>
          <w:sz w:val="20"/>
          <w:szCs w:val="20"/>
          <w:lang w:eastAsia="en-US"/>
        </w:rPr>
      </w:pPr>
      <w:r w:rsidRPr="00F31E61">
        <w:rPr>
          <w:rFonts w:asciiTheme="minorHAnsi" w:hAnsiTheme="minorHAnsi" w:cstheme="minorHAnsi"/>
          <w:i/>
          <w:iCs/>
          <w:color w:val="000000" w:themeColor="text1"/>
          <w:sz w:val="20"/>
          <w:szCs w:val="20"/>
        </w:rPr>
        <w:t>La stimolazione antigenica cronica, ripetitiva, per tutta la vita da parte di agenti stimolanti provenienti dall'interno e dall'esterno dell'organismo, abbreviata dai termini recenti in "</w:t>
      </w:r>
      <w:r w:rsidRPr="00F31E61">
        <w:rPr>
          <w:rFonts w:asciiTheme="minorHAnsi" w:hAnsiTheme="minorHAnsi" w:cstheme="minorHAnsi"/>
          <w:b/>
          <w:bCs/>
          <w:i/>
          <w:iCs/>
          <w:color w:val="000000" w:themeColor="text1"/>
          <w:sz w:val="20"/>
          <w:szCs w:val="20"/>
        </w:rPr>
        <w:t>storia immunitaria</w:t>
      </w:r>
      <w:r w:rsidRPr="00F31E61">
        <w:rPr>
          <w:rFonts w:asciiTheme="minorHAnsi" w:hAnsiTheme="minorHAnsi" w:cstheme="minorHAnsi"/>
          <w:i/>
          <w:iCs/>
          <w:color w:val="000000" w:themeColor="text1"/>
          <w:sz w:val="20"/>
          <w:szCs w:val="20"/>
        </w:rPr>
        <w:t>" e "</w:t>
      </w:r>
      <w:r w:rsidRPr="00F31E61">
        <w:rPr>
          <w:rFonts w:asciiTheme="minorHAnsi" w:hAnsiTheme="minorHAnsi" w:cstheme="minorHAnsi"/>
          <w:b/>
          <w:bCs/>
          <w:i/>
          <w:iCs/>
          <w:color w:val="000000" w:themeColor="text1"/>
          <w:sz w:val="20"/>
          <w:szCs w:val="20"/>
        </w:rPr>
        <w:t>immunobiografia</w:t>
      </w:r>
      <w:r w:rsidRPr="00F31E61">
        <w:rPr>
          <w:rFonts w:asciiTheme="minorHAnsi" w:hAnsiTheme="minorHAnsi" w:cstheme="minorHAnsi"/>
          <w:i/>
          <w:iCs/>
          <w:color w:val="000000" w:themeColor="text1"/>
          <w:sz w:val="20"/>
          <w:szCs w:val="20"/>
        </w:rPr>
        <w:t>", modella l'intero sistema immunitario</w:t>
      </w:r>
      <w:r w:rsidR="00131CE6" w:rsidRPr="00F31E61">
        <w:rPr>
          <w:rFonts w:asciiTheme="minorHAnsi" w:eastAsiaTheme="minorHAnsi" w:hAnsiTheme="minorHAnsi" w:cstheme="minorHAnsi"/>
          <w:i/>
          <w:iCs/>
          <w:color w:val="000000" w:themeColor="text1"/>
          <w:sz w:val="20"/>
          <w:szCs w:val="20"/>
          <w:lang w:eastAsia="en-US"/>
        </w:rPr>
        <w:t xml:space="preserve">. </w:t>
      </w:r>
      <w:r w:rsidR="00131CE6" w:rsidRPr="00F31E61">
        <w:rPr>
          <w:rStyle w:val="FootnoteReference"/>
          <w:rFonts w:asciiTheme="minorHAnsi" w:eastAsiaTheme="minorHAnsi" w:hAnsiTheme="minorHAnsi" w:cstheme="minorHAnsi"/>
          <w:i/>
          <w:iCs/>
          <w:color w:val="000000" w:themeColor="text1"/>
          <w:sz w:val="20"/>
          <w:szCs w:val="20"/>
          <w:lang w:eastAsia="en-US"/>
        </w:rPr>
        <w:footnoteReference w:id="195"/>
      </w:r>
    </w:p>
    <w:p w:rsidR="003B68FD" w:rsidRPr="00F31E61" w:rsidRDefault="003B68FD"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985"/>
        <w:jc w:val="both"/>
        <w:rPr>
          <w:rFonts w:asciiTheme="minorHAnsi" w:eastAsiaTheme="minorHAnsi" w:hAnsiTheme="minorHAnsi" w:cstheme="minorHAnsi"/>
          <w:i/>
          <w:iCs/>
          <w:color w:val="000000" w:themeColor="text1"/>
          <w:sz w:val="20"/>
          <w:szCs w:val="20"/>
          <w:lang w:eastAsia="en-US"/>
        </w:rPr>
      </w:pPr>
    </w:p>
    <w:p w:rsidR="003B68FD" w:rsidRPr="00F31E61" w:rsidRDefault="006F71AE"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985"/>
        <w:jc w:val="both"/>
        <w:rPr>
          <w:rFonts w:asciiTheme="minorHAnsi" w:hAnsiTheme="minorHAnsi" w:cstheme="minorHAnsi"/>
          <w:i/>
          <w:iCs/>
          <w:color w:val="000000" w:themeColor="text1"/>
          <w:sz w:val="20"/>
          <w:szCs w:val="20"/>
        </w:rPr>
      </w:pPr>
      <w:r w:rsidRPr="00F31E61">
        <w:rPr>
          <w:rFonts w:asciiTheme="minorHAnsi" w:hAnsiTheme="minorHAnsi" w:cstheme="minorHAnsi"/>
          <w:i/>
          <w:iCs/>
          <w:color w:val="000000" w:themeColor="text1"/>
          <w:sz w:val="20"/>
          <w:szCs w:val="20"/>
        </w:rPr>
        <w:t xml:space="preserve">Le </w:t>
      </w:r>
      <w:r w:rsidR="00131CE6" w:rsidRPr="00F31E61">
        <w:rPr>
          <w:rFonts w:asciiTheme="minorHAnsi" w:hAnsiTheme="minorHAnsi" w:cstheme="minorHAnsi"/>
          <w:i/>
          <w:iCs/>
          <w:color w:val="000000" w:themeColor="text1"/>
          <w:sz w:val="20"/>
          <w:szCs w:val="20"/>
        </w:rPr>
        <w:t>stimolazioni antigeniche</w:t>
      </w:r>
      <w:r w:rsidRPr="00F31E61">
        <w:rPr>
          <w:rFonts w:asciiTheme="minorHAnsi" w:hAnsiTheme="minorHAnsi" w:cstheme="minorHAnsi"/>
          <w:i/>
          <w:iCs/>
          <w:color w:val="000000" w:themeColor="text1"/>
          <w:sz w:val="20"/>
          <w:szCs w:val="20"/>
        </w:rPr>
        <w:t xml:space="preserve">, a parte quelle </w:t>
      </w:r>
      <w:r w:rsidR="00131CE6" w:rsidRPr="00F31E61">
        <w:rPr>
          <w:rFonts w:asciiTheme="minorHAnsi" w:hAnsiTheme="minorHAnsi" w:cstheme="minorHAnsi"/>
          <w:i/>
          <w:iCs/>
          <w:color w:val="000000" w:themeColor="text1"/>
          <w:sz w:val="20"/>
          <w:szCs w:val="20"/>
        </w:rPr>
        <w:t>dovute agli</w:t>
      </w:r>
      <w:r w:rsidRPr="00F31E61">
        <w:rPr>
          <w:rFonts w:asciiTheme="minorHAnsi" w:hAnsiTheme="minorHAnsi" w:cstheme="minorHAnsi"/>
          <w:i/>
          <w:iCs/>
          <w:color w:val="000000" w:themeColor="text1"/>
          <w:sz w:val="20"/>
          <w:szCs w:val="20"/>
        </w:rPr>
        <w:t xml:space="preserve"> agenti patogeni (batteri, funghi, parassiti e virus) e le cellule neoplastiche in continua </w:t>
      </w:r>
      <w:r w:rsidR="00131CE6" w:rsidRPr="00F31E61">
        <w:rPr>
          <w:rFonts w:asciiTheme="minorHAnsi" w:hAnsiTheme="minorHAnsi" w:cstheme="minorHAnsi"/>
          <w:i/>
          <w:iCs/>
          <w:color w:val="000000" w:themeColor="text1"/>
          <w:sz w:val="20"/>
          <w:szCs w:val="20"/>
        </w:rPr>
        <w:t>formazione</w:t>
      </w:r>
      <w:r w:rsidRPr="00F31E61">
        <w:rPr>
          <w:rFonts w:asciiTheme="minorHAnsi" w:hAnsiTheme="minorHAnsi" w:cstheme="minorHAnsi"/>
          <w:i/>
          <w:iCs/>
          <w:color w:val="000000" w:themeColor="text1"/>
          <w:sz w:val="20"/>
          <w:szCs w:val="20"/>
        </w:rPr>
        <w:t>, includ</w:t>
      </w:r>
      <w:r w:rsidR="00131CE6" w:rsidRPr="00F31E61">
        <w:rPr>
          <w:rFonts w:asciiTheme="minorHAnsi" w:hAnsiTheme="minorHAnsi" w:cstheme="minorHAnsi"/>
          <w:i/>
          <w:iCs/>
          <w:color w:val="000000" w:themeColor="text1"/>
          <w:sz w:val="20"/>
          <w:szCs w:val="20"/>
        </w:rPr>
        <w:t>ono anche</w:t>
      </w:r>
      <w:r w:rsidRPr="00F31E61">
        <w:rPr>
          <w:rFonts w:asciiTheme="minorHAnsi" w:hAnsiTheme="minorHAnsi" w:cstheme="minorHAnsi"/>
          <w:i/>
          <w:iCs/>
          <w:color w:val="000000" w:themeColor="text1"/>
          <w:sz w:val="20"/>
          <w:szCs w:val="20"/>
        </w:rPr>
        <w:t xml:space="preserve"> la produzione e l'accumulo di rifiuti cellulari, ad esempio</w:t>
      </w:r>
      <w:r w:rsidR="00131CE6" w:rsidRPr="00F31E61">
        <w:rPr>
          <w:rFonts w:asciiTheme="minorHAnsi" w:hAnsiTheme="minorHAnsi" w:cstheme="minorHAnsi"/>
          <w:i/>
          <w:iCs/>
          <w:color w:val="000000" w:themeColor="text1"/>
          <w:sz w:val="20"/>
          <w:szCs w:val="20"/>
        </w:rPr>
        <w:t xml:space="preserve"> proteine e molecole</w:t>
      </w:r>
      <w:r w:rsidRPr="00F31E61">
        <w:rPr>
          <w:rFonts w:asciiTheme="minorHAnsi" w:hAnsiTheme="minorHAnsi" w:cstheme="minorHAnsi"/>
          <w:i/>
          <w:iCs/>
          <w:color w:val="000000" w:themeColor="text1"/>
          <w:sz w:val="20"/>
          <w:szCs w:val="20"/>
        </w:rPr>
        <w:t xml:space="preserve"> </w:t>
      </w:r>
      <w:r w:rsidR="00131CE6" w:rsidRPr="00F31E61">
        <w:rPr>
          <w:rFonts w:asciiTheme="minorHAnsi" w:hAnsiTheme="minorHAnsi" w:cstheme="minorHAnsi"/>
          <w:i/>
          <w:iCs/>
          <w:color w:val="000000" w:themeColor="text1"/>
          <w:sz w:val="20"/>
          <w:szCs w:val="20"/>
        </w:rPr>
        <w:t xml:space="preserve">con la conformazione scorretta e </w:t>
      </w:r>
      <w:r w:rsidRPr="00F31E61">
        <w:rPr>
          <w:rFonts w:asciiTheme="minorHAnsi" w:hAnsiTheme="minorHAnsi" w:cstheme="minorHAnsi"/>
          <w:i/>
          <w:iCs/>
          <w:color w:val="000000" w:themeColor="text1"/>
          <w:sz w:val="20"/>
          <w:szCs w:val="20"/>
        </w:rPr>
        <w:t xml:space="preserve">non funzionali. </w:t>
      </w:r>
    </w:p>
    <w:p w:rsidR="003B68FD" w:rsidRPr="00F31E61" w:rsidRDefault="003B68FD"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985"/>
        <w:jc w:val="both"/>
        <w:rPr>
          <w:rFonts w:asciiTheme="minorHAnsi" w:hAnsiTheme="minorHAnsi" w:cstheme="minorHAnsi"/>
          <w:i/>
          <w:iCs/>
          <w:color w:val="000000" w:themeColor="text1"/>
          <w:sz w:val="20"/>
          <w:szCs w:val="20"/>
        </w:rPr>
      </w:pPr>
    </w:p>
    <w:p w:rsidR="006F71AE" w:rsidRPr="00F31E61" w:rsidRDefault="006F71AE"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985"/>
        <w:jc w:val="both"/>
        <w:rPr>
          <w:rFonts w:asciiTheme="minorHAnsi" w:hAnsiTheme="minorHAnsi" w:cstheme="minorHAnsi"/>
          <w:i/>
          <w:iCs/>
          <w:color w:val="000000" w:themeColor="text1"/>
          <w:sz w:val="20"/>
          <w:szCs w:val="20"/>
        </w:rPr>
      </w:pPr>
      <w:r w:rsidRPr="00F31E61">
        <w:rPr>
          <w:rFonts w:asciiTheme="minorHAnsi" w:hAnsiTheme="minorHAnsi" w:cstheme="minorHAnsi"/>
          <w:i/>
          <w:iCs/>
          <w:color w:val="000000" w:themeColor="text1"/>
          <w:sz w:val="20"/>
          <w:szCs w:val="20"/>
        </w:rPr>
        <w:t xml:space="preserve">L'accumulo di questa spazzatura nelle cellule che invecchiano, </w:t>
      </w:r>
      <w:r w:rsidR="00131CE6" w:rsidRPr="00F31E61">
        <w:rPr>
          <w:rFonts w:asciiTheme="minorHAnsi" w:hAnsiTheme="minorHAnsi" w:cstheme="minorHAnsi"/>
          <w:i/>
          <w:iCs/>
          <w:color w:val="000000" w:themeColor="text1"/>
          <w:sz w:val="20"/>
          <w:szCs w:val="20"/>
        </w:rPr>
        <w:t xml:space="preserve">che </w:t>
      </w:r>
      <w:r w:rsidRPr="00F31E61">
        <w:rPr>
          <w:rFonts w:asciiTheme="minorHAnsi" w:hAnsiTheme="minorHAnsi" w:cstheme="minorHAnsi"/>
          <w:i/>
          <w:iCs/>
          <w:color w:val="000000" w:themeColor="text1"/>
          <w:sz w:val="20"/>
          <w:szCs w:val="20"/>
        </w:rPr>
        <w:t>alla fine porta a infiammazione, è stato recentemente soprannominato "</w:t>
      </w:r>
      <w:r w:rsidRPr="00F31E61">
        <w:rPr>
          <w:rFonts w:asciiTheme="minorHAnsi" w:hAnsiTheme="minorHAnsi" w:cstheme="minorHAnsi"/>
          <w:b/>
          <w:bCs/>
          <w:i/>
          <w:iCs/>
          <w:color w:val="000000" w:themeColor="text1"/>
          <w:sz w:val="20"/>
          <w:szCs w:val="20"/>
        </w:rPr>
        <w:t>garb</w:t>
      </w:r>
      <w:r w:rsidR="003B68FD" w:rsidRPr="00F31E61">
        <w:rPr>
          <w:rFonts w:asciiTheme="minorHAnsi" w:hAnsiTheme="minorHAnsi" w:cstheme="minorHAnsi"/>
          <w:b/>
          <w:bCs/>
          <w:i/>
          <w:iCs/>
          <w:color w:val="000000" w:themeColor="text1"/>
          <w:sz w:val="20"/>
          <w:szCs w:val="20"/>
        </w:rPr>
        <w:t>-</w:t>
      </w:r>
      <w:r w:rsidRPr="00F31E61">
        <w:rPr>
          <w:rFonts w:asciiTheme="minorHAnsi" w:hAnsiTheme="minorHAnsi" w:cstheme="minorHAnsi"/>
          <w:b/>
          <w:bCs/>
          <w:i/>
          <w:iCs/>
          <w:color w:val="000000" w:themeColor="text1"/>
          <w:sz w:val="20"/>
          <w:szCs w:val="20"/>
        </w:rPr>
        <w:t>aging</w:t>
      </w:r>
      <w:r w:rsidRPr="00F31E61">
        <w:rPr>
          <w:rFonts w:asciiTheme="minorHAnsi" w:hAnsiTheme="minorHAnsi" w:cstheme="minorHAnsi"/>
          <w:i/>
          <w:iCs/>
          <w:color w:val="000000" w:themeColor="text1"/>
          <w:sz w:val="20"/>
          <w:szCs w:val="20"/>
        </w:rPr>
        <w:t>".</w:t>
      </w:r>
      <w:r w:rsidR="00131CE6" w:rsidRPr="00F31E61">
        <w:rPr>
          <w:rFonts w:asciiTheme="minorHAnsi" w:hAnsiTheme="minorHAnsi" w:cstheme="minorHAnsi"/>
          <w:i/>
          <w:iCs/>
          <w:color w:val="000000" w:themeColor="text1"/>
          <w:sz w:val="20"/>
          <w:szCs w:val="20"/>
        </w:rPr>
        <w:t xml:space="preserve"> </w:t>
      </w:r>
      <w:r w:rsidR="00131CE6" w:rsidRPr="00F31E61">
        <w:rPr>
          <w:rStyle w:val="FootnoteReference"/>
          <w:rFonts w:asciiTheme="minorHAnsi" w:hAnsiTheme="minorHAnsi" w:cstheme="minorHAnsi"/>
          <w:b/>
          <w:bCs/>
          <w:i/>
          <w:iCs/>
          <w:color w:val="000000" w:themeColor="text1"/>
          <w:sz w:val="20"/>
          <w:szCs w:val="20"/>
        </w:rPr>
        <w:footnoteReference w:id="196"/>
      </w:r>
    </w:p>
    <w:p w:rsidR="003B68FD" w:rsidRPr="00F31E61" w:rsidRDefault="003B68FD" w:rsidP="00F31E61">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985"/>
        <w:jc w:val="both"/>
        <w:rPr>
          <w:rFonts w:asciiTheme="minorHAnsi" w:hAnsiTheme="minorHAnsi" w:cstheme="minorHAnsi"/>
          <w:color w:val="000000" w:themeColor="text1"/>
          <w:sz w:val="20"/>
          <w:szCs w:val="20"/>
        </w:rPr>
      </w:pPr>
    </w:p>
    <w:p w:rsidR="00F31E61" w:rsidRDefault="00F31E61" w:rsidP="00D727E0">
      <w:pPr>
        <w:jc w:val="both"/>
        <w:rPr>
          <w:rFonts w:asciiTheme="minorHAnsi" w:hAnsiTheme="minorHAnsi" w:cstheme="minorHAnsi"/>
          <w:color w:val="000000" w:themeColor="text1"/>
          <w:sz w:val="20"/>
          <w:szCs w:val="20"/>
        </w:rPr>
      </w:pPr>
    </w:p>
    <w:p w:rsidR="003B68FD" w:rsidRPr="00E565AE" w:rsidRDefault="00F31E61" w:rsidP="00D727E0">
      <w:p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Lo</w:t>
      </w:r>
      <w:r w:rsidR="00BE7BB7" w:rsidRPr="00E565AE">
        <w:rPr>
          <w:rFonts w:asciiTheme="minorHAnsi" w:hAnsiTheme="minorHAnsi" w:cstheme="minorHAnsi"/>
          <w:color w:val="000000" w:themeColor="text1"/>
          <w:sz w:val="20"/>
          <w:szCs w:val="20"/>
        </w:rPr>
        <w:t xml:space="preserve"> stato di buona salute negli anziani </w:t>
      </w:r>
      <w:r w:rsidR="00D727E0" w:rsidRPr="00E565AE">
        <w:rPr>
          <w:rFonts w:asciiTheme="minorHAnsi" w:hAnsiTheme="minorHAnsi" w:cstheme="minorHAnsi"/>
          <w:color w:val="000000" w:themeColor="text1"/>
          <w:sz w:val="20"/>
          <w:szCs w:val="20"/>
        </w:rPr>
        <w:t>dipende</w:t>
      </w:r>
      <w:r w:rsidR="00BE7BB7" w:rsidRPr="00E565AE">
        <w:rPr>
          <w:rFonts w:asciiTheme="minorHAnsi" w:hAnsiTheme="minorHAnsi" w:cstheme="minorHAnsi"/>
          <w:color w:val="000000" w:themeColor="text1"/>
          <w:sz w:val="20"/>
          <w:szCs w:val="20"/>
        </w:rPr>
        <w:t xml:space="preserve"> non solo d</w:t>
      </w:r>
      <w:r w:rsidR="00D727E0" w:rsidRPr="00E565AE">
        <w:rPr>
          <w:rFonts w:asciiTheme="minorHAnsi" w:hAnsiTheme="minorHAnsi" w:cstheme="minorHAnsi"/>
          <w:color w:val="000000" w:themeColor="text1"/>
          <w:sz w:val="20"/>
          <w:szCs w:val="20"/>
        </w:rPr>
        <w:t>a</w:t>
      </w:r>
      <w:r w:rsidR="00BE7BB7" w:rsidRPr="00E565AE">
        <w:rPr>
          <w:rFonts w:asciiTheme="minorHAnsi" w:hAnsiTheme="minorHAnsi" w:cstheme="minorHAnsi"/>
          <w:color w:val="000000" w:themeColor="text1"/>
          <w:sz w:val="20"/>
          <w:szCs w:val="20"/>
        </w:rPr>
        <w:t xml:space="preserve">i meccanismi </w:t>
      </w:r>
      <w:r w:rsidR="007D79E5" w:rsidRPr="00E565AE">
        <w:rPr>
          <w:rFonts w:asciiTheme="minorHAnsi" w:hAnsiTheme="minorHAnsi" w:cstheme="minorHAnsi"/>
          <w:color w:val="000000" w:themeColor="text1"/>
          <w:sz w:val="20"/>
          <w:szCs w:val="20"/>
        </w:rPr>
        <w:t>pro-</w:t>
      </w:r>
      <w:r w:rsidR="00BE7BB7" w:rsidRPr="00E565AE">
        <w:rPr>
          <w:rFonts w:asciiTheme="minorHAnsi" w:hAnsiTheme="minorHAnsi" w:cstheme="minorHAnsi"/>
          <w:color w:val="000000" w:themeColor="text1"/>
          <w:sz w:val="20"/>
          <w:szCs w:val="20"/>
        </w:rPr>
        <w:t>infiammatori a basso livello, ma anche d</w:t>
      </w:r>
      <w:r w:rsidR="00D727E0" w:rsidRPr="00E565AE">
        <w:rPr>
          <w:rFonts w:asciiTheme="minorHAnsi" w:hAnsiTheme="minorHAnsi" w:cstheme="minorHAnsi"/>
          <w:color w:val="000000" w:themeColor="text1"/>
          <w:sz w:val="20"/>
          <w:szCs w:val="20"/>
        </w:rPr>
        <w:t>alla presenza di</w:t>
      </w:r>
      <w:r w:rsidR="00BE7BB7" w:rsidRPr="00E565AE">
        <w:rPr>
          <w:rFonts w:asciiTheme="minorHAnsi" w:hAnsiTheme="minorHAnsi" w:cstheme="minorHAnsi"/>
          <w:color w:val="000000" w:themeColor="text1"/>
          <w:sz w:val="20"/>
          <w:szCs w:val="20"/>
        </w:rPr>
        <w:t xml:space="preserve"> una rete efficiente in grado di neutralizzare </w:t>
      </w:r>
      <w:r w:rsidR="00AC1CDF" w:rsidRPr="00E565AE">
        <w:rPr>
          <w:rFonts w:asciiTheme="minorHAnsi" w:hAnsiTheme="minorHAnsi" w:cstheme="minorHAnsi"/>
          <w:color w:val="000000" w:themeColor="text1"/>
          <w:sz w:val="20"/>
          <w:szCs w:val="20"/>
        </w:rPr>
        <w:t xml:space="preserve">con una risposta antinfiammatoria efficace </w:t>
      </w:r>
      <w:r w:rsidR="00BE7BB7" w:rsidRPr="00E565AE">
        <w:rPr>
          <w:rFonts w:asciiTheme="minorHAnsi" w:hAnsiTheme="minorHAnsi" w:cstheme="minorHAnsi"/>
          <w:color w:val="000000" w:themeColor="text1"/>
          <w:sz w:val="20"/>
          <w:szCs w:val="20"/>
        </w:rPr>
        <w:t xml:space="preserve">gli insulti antigenici ricevuti nel corso della vita. </w:t>
      </w:r>
    </w:p>
    <w:p w:rsidR="003B68FD" w:rsidRPr="00E565AE" w:rsidRDefault="003B68FD" w:rsidP="00D727E0">
      <w:pPr>
        <w:jc w:val="both"/>
        <w:rPr>
          <w:rFonts w:asciiTheme="minorHAnsi" w:hAnsiTheme="minorHAnsi" w:cstheme="minorHAnsi"/>
          <w:color w:val="000000" w:themeColor="text1"/>
          <w:sz w:val="20"/>
          <w:szCs w:val="20"/>
        </w:rPr>
      </w:pPr>
    </w:p>
    <w:p w:rsidR="00AC1CDF" w:rsidRPr="00E565AE" w:rsidRDefault="00BE7BB7"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Per questo motivo, </w:t>
      </w:r>
      <w:r w:rsidRPr="00E565AE">
        <w:rPr>
          <w:rFonts w:asciiTheme="minorHAnsi" w:hAnsiTheme="minorHAnsi" w:cstheme="minorHAnsi"/>
          <w:b/>
          <w:bCs/>
          <w:color w:val="000000" w:themeColor="text1"/>
          <w:sz w:val="20"/>
          <w:szCs w:val="20"/>
        </w:rPr>
        <w:t xml:space="preserve">l'infiammazione non </w:t>
      </w:r>
      <w:r w:rsidR="007D79E5" w:rsidRPr="00E565AE">
        <w:rPr>
          <w:rFonts w:asciiTheme="minorHAnsi" w:hAnsiTheme="minorHAnsi" w:cstheme="minorHAnsi"/>
          <w:b/>
          <w:bCs/>
          <w:color w:val="000000" w:themeColor="text1"/>
          <w:sz w:val="20"/>
          <w:szCs w:val="20"/>
        </w:rPr>
        <w:t>è</w:t>
      </w:r>
      <w:r w:rsidRPr="00E565AE">
        <w:rPr>
          <w:rFonts w:asciiTheme="minorHAnsi" w:hAnsiTheme="minorHAnsi" w:cstheme="minorHAnsi"/>
          <w:b/>
          <w:bCs/>
          <w:color w:val="000000" w:themeColor="text1"/>
          <w:sz w:val="20"/>
          <w:szCs w:val="20"/>
        </w:rPr>
        <w:t xml:space="preserve"> importante solo per i meccanismi di immunosenescenza, ma anche per </w:t>
      </w:r>
      <w:r w:rsidR="00AC1CDF" w:rsidRPr="00E565AE">
        <w:rPr>
          <w:rFonts w:asciiTheme="minorHAnsi" w:hAnsiTheme="minorHAnsi" w:cstheme="minorHAnsi"/>
          <w:b/>
          <w:bCs/>
          <w:color w:val="000000" w:themeColor="text1"/>
          <w:sz w:val="20"/>
          <w:szCs w:val="20"/>
        </w:rPr>
        <w:t>la questione</w:t>
      </w:r>
      <w:r w:rsidRPr="00E565AE">
        <w:rPr>
          <w:rFonts w:asciiTheme="minorHAnsi" w:hAnsiTheme="minorHAnsi" w:cstheme="minorHAnsi"/>
          <w:b/>
          <w:bCs/>
          <w:color w:val="000000" w:themeColor="text1"/>
          <w:sz w:val="20"/>
          <w:szCs w:val="20"/>
        </w:rPr>
        <w:t xml:space="preserve"> della longevità</w:t>
      </w:r>
      <w:r w:rsidRPr="00E565AE">
        <w:rPr>
          <w:rFonts w:asciiTheme="minorHAnsi" w:hAnsiTheme="minorHAnsi" w:cstheme="minorHAnsi"/>
          <w:color w:val="000000" w:themeColor="text1"/>
          <w:sz w:val="20"/>
          <w:szCs w:val="20"/>
        </w:rPr>
        <w:t xml:space="preserve">. </w:t>
      </w:r>
    </w:p>
    <w:p w:rsidR="00AC1CDF" w:rsidRPr="00E565AE" w:rsidRDefault="00AC1CDF" w:rsidP="001F5DBD">
      <w:pPr>
        <w:rPr>
          <w:rFonts w:asciiTheme="minorHAnsi" w:hAnsiTheme="minorHAnsi" w:cstheme="minorHAnsi"/>
          <w:color w:val="000000" w:themeColor="text1"/>
          <w:sz w:val="22"/>
          <w:szCs w:val="22"/>
        </w:rPr>
      </w:pPr>
    </w:p>
    <w:p w:rsidR="00AC1CDF" w:rsidRPr="00E565AE" w:rsidRDefault="00AC1CDF" w:rsidP="00B648DA">
      <w:pPr>
        <w:jc w:val="center"/>
        <w:rPr>
          <w:rFonts w:asciiTheme="minorHAnsi" w:hAnsiTheme="minorHAnsi" w:cstheme="minorHAnsi"/>
          <w:color w:val="000000" w:themeColor="text1"/>
          <w:sz w:val="22"/>
          <w:szCs w:val="22"/>
        </w:rPr>
      </w:pPr>
      <w:r w:rsidRPr="00E565AE">
        <w:rPr>
          <w:rFonts w:asciiTheme="minorHAnsi" w:hAnsiTheme="minorHAnsi" w:cstheme="minorHAnsi"/>
          <w:noProof/>
          <w:color w:val="000000" w:themeColor="text1"/>
          <w:sz w:val="22"/>
          <w:szCs w:val="22"/>
        </w:rPr>
        <w:drawing>
          <wp:inline distT="0" distB="0" distL="0" distR="0" wp14:anchorId="04204022" wp14:editId="2AE3207A">
            <wp:extent cx="4196442" cy="2204961"/>
            <wp:effectExtent l="0" t="0" r="0" b="508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233149" cy="2224248"/>
                    </a:xfrm>
                    <a:prstGeom prst="rect">
                      <a:avLst/>
                    </a:prstGeom>
                  </pic:spPr>
                </pic:pic>
              </a:graphicData>
            </a:graphic>
          </wp:inline>
        </w:drawing>
      </w:r>
    </w:p>
    <w:p w:rsidR="00AC1CDF" w:rsidRPr="00E565AE" w:rsidRDefault="00AC1CDF" w:rsidP="001F5DBD">
      <w:pPr>
        <w:rPr>
          <w:rFonts w:asciiTheme="minorHAnsi" w:hAnsiTheme="minorHAnsi" w:cstheme="minorHAnsi"/>
          <w:color w:val="000000" w:themeColor="text1"/>
          <w:sz w:val="22"/>
          <w:szCs w:val="22"/>
        </w:rPr>
      </w:pPr>
    </w:p>
    <w:p w:rsidR="00AC1CDF" w:rsidRPr="00F31E61" w:rsidRDefault="00AC1CDF" w:rsidP="00F31E61">
      <w:pPr>
        <w:shd w:val="clear" w:color="auto" w:fill="F2F2F2" w:themeFill="background1" w:themeFillShade="F2"/>
        <w:jc w:val="both"/>
        <w:rPr>
          <w:rFonts w:asciiTheme="minorHAnsi" w:hAnsiTheme="minorHAnsi" w:cstheme="minorHAnsi"/>
          <w:color w:val="000000" w:themeColor="text1"/>
          <w:sz w:val="18"/>
          <w:szCs w:val="18"/>
        </w:rPr>
      </w:pPr>
      <w:r w:rsidRPr="00F31E61">
        <w:rPr>
          <w:rFonts w:asciiTheme="minorHAnsi" w:hAnsiTheme="minorHAnsi" w:cstheme="minorHAnsi"/>
          <w:color w:val="000000" w:themeColor="text1"/>
          <w:sz w:val="18"/>
          <w:szCs w:val="18"/>
        </w:rPr>
        <w:t xml:space="preserve">Tratta da </w:t>
      </w:r>
      <w:hyperlink r:id="rId159" w:history="1">
        <w:r w:rsidRPr="00F31E61">
          <w:rPr>
            <w:rStyle w:val="Hyperlink"/>
            <w:rFonts w:asciiTheme="minorHAnsi" w:eastAsiaTheme="majorEastAsia" w:hAnsiTheme="minorHAnsi" w:cstheme="minorHAnsi"/>
            <w:color w:val="000000" w:themeColor="text1"/>
            <w:sz w:val="18"/>
            <w:szCs w:val="18"/>
            <w:u w:val="none"/>
          </w:rPr>
          <w:t>https://www.ncbi.nlm.nih.gov/pmc/articles/PMC5767595/pdf/fimmu-08-01960.pdf</w:t>
        </w:r>
      </w:hyperlink>
    </w:p>
    <w:p w:rsidR="00AC1CDF" w:rsidRPr="00F31E61" w:rsidRDefault="00AC1CDF" w:rsidP="00F31E61">
      <w:pPr>
        <w:shd w:val="clear" w:color="auto" w:fill="F2F2F2" w:themeFill="background1" w:themeFillShade="F2"/>
        <w:jc w:val="both"/>
        <w:rPr>
          <w:rFonts w:asciiTheme="minorHAnsi" w:hAnsiTheme="minorHAnsi" w:cstheme="minorHAnsi"/>
          <w:color w:val="000000" w:themeColor="text1"/>
          <w:sz w:val="18"/>
          <w:szCs w:val="18"/>
        </w:rPr>
      </w:pPr>
      <w:r w:rsidRPr="00F31E61">
        <w:rPr>
          <w:rFonts w:asciiTheme="minorHAnsi" w:hAnsiTheme="minorHAnsi" w:cstheme="minorHAnsi"/>
          <w:b/>
          <w:bCs/>
          <w:color w:val="000000" w:themeColor="text1"/>
          <w:sz w:val="18"/>
          <w:szCs w:val="18"/>
        </w:rPr>
        <w:t>Il nuovo paradigma per il ruolo dell'infiammazione e dell'immunoadattamento / rimodellamento nel processo di invecchiamento</w:t>
      </w:r>
      <w:r w:rsidRPr="00F31E61">
        <w:rPr>
          <w:rFonts w:asciiTheme="minorHAnsi" w:hAnsiTheme="minorHAnsi" w:cstheme="minorHAnsi"/>
          <w:color w:val="000000" w:themeColor="text1"/>
          <w:sz w:val="18"/>
          <w:szCs w:val="18"/>
        </w:rPr>
        <w:t xml:space="preserve">. * Ottimizzazione: tutti e tre i processi aumentano di concerto, bilanciandosi a vicenda. ** Deterioramento: l'invecchiamento dell'influenza aumenta e non è bilanciato da processi opposti di invecchiamento dell'infiammazione e adattamento / rimodellamento immunitario, che stanno diminuendo. Intendiamo per invecchiamento antinfiammatorio tutti i meccanismi compensativi </w:t>
      </w:r>
      <w:r w:rsidR="00D727E0" w:rsidRPr="00F31E61">
        <w:rPr>
          <w:rFonts w:asciiTheme="minorHAnsi" w:hAnsiTheme="minorHAnsi" w:cstheme="minorHAnsi"/>
          <w:color w:val="000000" w:themeColor="text1"/>
          <w:sz w:val="18"/>
          <w:szCs w:val="18"/>
        </w:rPr>
        <w:t>del</w:t>
      </w:r>
      <w:r w:rsidRPr="00F31E61">
        <w:rPr>
          <w:rFonts w:asciiTheme="minorHAnsi" w:hAnsiTheme="minorHAnsi" w:cstheme="minorHAnsi"/>
          <w:color w:val="000000" w:themeColor="text1"/>
          <w:sz w:val="18"/>
          <w:szCs w:val="18"/>
        </w:rPr>
        <w:t>l'invecchiamento infiammatorio cronico. Le malattie più importanti che potrebbero avere una componente dell'invecchiamento dell'infiammazione sono i tumori, le malattie cardiovascolari e le malattie neurodegenerative.</w:t>
      </w:r>
    </w:p>
    <w:p w:rsidR="00AC1CDF" w:rsidRPr="00E565AE" w:rsidRDefault="00AC1CDF" w:rsidP="001F5DBD">
      <w:pPr>
        <w:rPr>
          <w:rFonts w:asciiTheme="minorHAnsi" w:hAnsiTheme="minorHAnsi" w:cstheme="minorHAnsi"/>
          <w:color w:val="000000" w:themeColor="text1"/>
          <w:sz w:val="22"/>
          <w:szCs w:val="22"/>
        </w:rPr>
      </w:pPr>
    </w:p>
    <w:p w:rsidR="003B68FD" w:rsidRPr="00E565AE" w:rsidRDefault="00AC1CDF" w:rsidP="00F31E61">
      <w:pPr>
        <w:shd w:val="clear" w:color="auto" w:fill="FBF9E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Gli ultracentenari sembrano far fronte all'infiammazione subclinica cronica attraverso una risposta antinfiammatoria, chiamata quindi "</w:t>
      </w:r>
      <w:r w:rsidRPr="00E565AE">
        <w:rPr>
          <w:rFonts w:asciiTheme="minorHAnsi" w:hAnsiTheme="minorHAnsi" w:cstheme="minorHAnsi"/>
          <w:b/>
          <w:bCs/>
          <w:color w:val="000000" w:themeColor="text1"/>
          <w:sz w:val="20"/>
          <w:szCs w:val="20"/>
        </w:rPr>
        <w:t>anti-inflammaging</w:t>
      </w:r>
      <w:r w:rsidRPr="00E565AE">
        <w:rPr>
          <w:rFonts w:asciiTheme="minorHAnsi" w:hAnsiTheme="minorHAnsi" w:cstheme="minorHAnsi"/>
          <w:color w:val="000000" w:themeColor="text1"/>
          <w:sz w:val="20"/>
          <w:szCs w:val="20"/>
        </w:rPr>
        <w:t xml:space="preserve">”. </w:t>
      </w:r>
    </w:p>
    <w:p w:rsidR="003B68FD" w:rsidRPr="00E565AE" w:rsidRDefault="003B68FD" w:rsidP="00D727E0">
      <w:pPr>
        <w:jc w:val="both"/>
        <w:rPr>
          <w:rFonts w:asciiTheme="minorHAnsi" w:hAnsiTheme="minorHAnsi" w:cstheme="minorHAnsi"/>
          <w:color w:val="000000" w:themeColor="text1"/>
          <w:sz w:val="20"/>
          <w:szCs w:val="20"/>
        </w:rPr>
      </w:pPr>
    </w:p>
    <w:p w:rsidR="00AC1CDF" w:rsidRPr="00E565AE" w:rsidRDefault="00AC1CDF"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Le citochine circolanti sono coinvolte sia nell'infiammazione che anti-infiammazione, e sono l'espressione di un sistema che coinvolge geni, polimorfismi e ambiente. </w:t>
      </w:r>
      <w:r w:rsidRPr="00E565AE">
        <w:rPr>
          <w:rStyle w:val="FootnoteReference"/>
          <w:rFonts w:asciiTheme="minorHAnsi" w:hAnsiTheme="minorHAnsi" w:cstheme="minorHAnsi"/>
          <w:b/>
          <w:bCs/>
          <w:color w:val="000000" w:themeColor="text1"/>
          <w:sz w:val="20"/>
          <w:szCs w:val="20"/>
        </w:rPr>
        <w:footnoteReference w:id="197"/>
      </w:r>
    </w:p>
    <w:p w:rsidR="003B68FD" w:rsidRPr="00E565AE" w:rsidRDefault="003B68FD" w:rsidP="00D727E0">
      <w:pPr>
        <w:jc w:val="both"/>
        <w:rPr>
          <w:rFonts w:asciiTheme="minorHAnsi" w:hAnsiTheme="minorHAnsi" w:cstheme="minorHAnsi"/>
          <w:color w:val="000000" w:themeColor="text1"/>
          <w:sz w:val="20"/>
          <w:szCs w:val="20"/>
        </w:rPr>
      </w:pPr>
    </w:p>
    <w:p w:rsidR="003B68FD" w:rsidRPr="00E565AE" w:rsidRDefault="00BE7BB7"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È stato ri</w:t>
      </w:r>
      <w:r w:rsidR="007D79E5" w:rsidRPr="00E565AE">
        <w:rPr>
          <w:rFonts w:asciiTheme="minorHAnsi" w:hAnsiTheme="minorHAnsi" w:cstheme="minorHAnsi"/>
          <w:color w:val="000000" w:themeColor="text1"/>
          <w:sz w:val="20"/>
          <w:szCs w:val="20"/>
        </w:rPr>
        <w:t>portato</w:t>
      </w:r>
      <w:r w:rsidRPr="00E565AE">
        <w:rPr>
          <w:rFonts w:asciiTheme="minorHAnsi" w:hAnsiTheme="minorHAnsi" w:cstheme="minorHAnsi"/>
          <w:color w:val="000000" w:themeColor="text1"/>
          <w:sz w:val="20"/>
          <w:szCs w:val="20"/>
        </w:rPr>
        <w:t xml:space="preserve"> che </w:t>
      </w:r>
      <w:r w:rsidRPr="00E565AE">
        <w:rPr>
          <w:rFonts w:asciiTheme="minorHAnsi" w:hAnsiTheme="minorHAnsi" w:cstheme="minorHAnsi"/>
          <w:b/>
          <w:bCs/>
          <w:color w:val="000000" w:themeColor="text1"/>
          <w:sz w:val="20"/>
          <w:szCs w:val="20"/>
        </w:rPr>
        <w:t xml:space="preserve">la fragilità </w:t>
      </w:r>
      <w:r w:rsidR="007D79E5" w:rsidRPr="00E565AE">
        <w:rPr>
          <w:rFonts w:asciiTheme="minorHAnsi" w:hAnsiTheme="minorHAnsi" w:cstheme="minorHAnsi"/>
          <w:b/>
          <w:bCs/>
          <w:color w:val="000000" w:themeColor="text1"/>
          <w:sz w:val="20"/>
          <w:szCs w:val="20"/>
        </w:rPr>
        <w:t xml:space="preserve">nell’anziano </w:t>
      </w:r>
      <w:r w:rsidRPr="00E565AE">
        <w:rPr>
          <w:rFonts w:asciiTheme="minorHAnsi" w:hAnsiTheme="minorHAnsi" w:cstheme="minorHAnsi"/>
          <w:b/>
          <w:bCs/>
          <w:color w:val="000000" w:themeColor="text1"/>
          <w:sz w:val="20"/>
          <w:szCs w:val="20"/>
        </w:rPr>
        <w:t xml:space="preserve">è il risultato di uno stato infiammatorio associato alla sovrapproduzione di alcune linfochine, tra cui </w:t>
      </w:r>
      <w:r w:rsidRPr="00F31E61">
        <w:rPr>
          <w:rFonts w:asciiTheme="minorHAnsi" w:hAnsiTheme="minorHAnsi" w:cstheme="minorHAnsi"/>
          <w:b/>
          <w:bCs/>
          <w:color w:val="000000" w:themeColor="text1"/>
          <w:sz w:val="20"/>
          <w:szCs w:val="20"/>
          <w:shd w:val="clear" w:color="auto" w:fill="FBF9E1"/>
        </w:rPr>
        <w:t>IL-6</w:t>
      </w:r>
      <w:r w:rsidRPr="00E565AE">
        <w:rPr>
          <w:rFonts w:asciiTheme="minorHAnsi" w:hAnsiTheme="minorHAnsi" w:cstheme="minorHAnsi"/>
          <w:b/>
          <w:bCs/>
          <w:color w:val="000000" w:themeColor="text1"/>
          <w:sz w:val="20"/>
          <w:szCs w:val="20"/>
        </w:rPr>
        <w:t xml:space="preserve">, chiamata </w:t>
      </w:r>
      <w:r w:rsidRPr="00F31E61">
        <w:rPr>
          <w:rFonts w:asciiTheme="minorHAnsi" w:hAnsiTheme="minorHAnsi" w:cstheme="minorHAnsi"/>
          <w:b/>
          <w:bCs/>
          <w:color w:val="000000" w:themeColor="text1"/>
          <w:sz w:val="20"/>
          <w:szCs w:val="20"/>
          <w:shd w:val="clear" w:color="auto" w:fill="FBF9E1"/>
        </w:rPr>
        <w:t>citochina dei geriatrici</w:t>
      </w:r>
      <w:r w:rsidRPr="00E565AE">
        <w:rPr>
          <w:rFonts w:asciiTheme="minorHAnsi" w:hAnsiTheme="minorHAnsi" w:cstheme="minorHAnsi"/>
          <w:color w:val="000000" w:themeColor="text1"/>
          <w:sz w:val="20"/>
          <w:szCs w:val="20"/>
        </w:rPr>
        <w:t xml:space="preserve">. </w:t>
      </w:r>
    </w:p>
    <w:p w:rsidR="003B68FD" w:rsidRPr="00E565AE" w:rsidRDefault="003B68FD" w:rsidP="00D727E0">
      <w:pPr>
        <w:jc w:val="both"/>
        <w:rPr>
          <w:rFonts w:asciiTheme="minorHAnsi" w:hAnsiTheme="minorHAnsi" w:cstheme="minorHAnsi"/>
          <w:color w:val="000000" w:themeColor="text1"/>
          <w:sz w:val="20"/>
          <w:szCs w:val="20"/>
        </w:rPr>
      </w:pPr>
    </w:p>
    <w:p w:rsidR="003B68FD" w:rsidRPr="00E565AE" w:rsidRDefault="00BE7BB7"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Questo fattore, insieme a cambiamenti ormonali, carenze nutrizionali e inattività fisica porterebbe a uno dei componenti più importanti della fragilità che è la </w:t>
      </w:r>
      <w:r w:rsidRPr="00F31E61">
        <w:rPr>
          <w:rFonts w:asciiTheme="minorHAnsi" w:hAnsiTheme="minorHAnsi" w:cstheme="minorHAnsi"/>
          <w:b/>
          <w:bCs/>
          <w:color w:val="000000" w:themeColor="text1"/>
          <w:sz w:val="20"/>
          <w:szCs w:val="20"/>
          <w:shd w:val="clear" w:color="auto" w:fill="FBF9E1"/>
        </w:rPr>
        <w:t>sarcopenia</w:t>
      </w:r>
      <w:r w:rsidRPr="00E565AE">
        <w:rPr>
          <w:rFonts w:asciiTheme="minorHAnsi" w:hAnsiTheme="minorHAnsi" w:cstheme="minorHAnsi"/>
          <w:color w:val="000000" w:themeColor="text1"/>
          <w:sz w:val="20"/>
          <w:szCs w:val="20"/>
        </w:rPr>
        <w:t xml:space="preserve">, nonché alla </w:t>
      </w:r>
      <w:r w:rsidRPr="00F31E61">
        <w:rPr>
          <w:rFonts w:asciiTheme="minorHAnsi" w:hAnsiTheme="minorHAnsi" w:cstheme="minorHAnsi"/>
          <w:b/>
          <w:bCs/>
          <w:color w:val="000000" w:themeColor="text1"/>
          <w:sz w:val="20"/>
          <w:szCs w:val="20"/>
          <w:shd w:val="clear" w:color="auto" w:fill="FBF9E1"/>
        </w:rPr>
        <w:t>riduzione della massa ossea</w:t>
      </w:r>
      <w:r w:rsidRPr="00E565AE">
        <w:rPr>
          <w:rFonts w:asciiTheme="minorHAnsi" w:hAnsiTheme="minorHAnsi" w:cstheme="minorHAnsi"/>
          <w:color w:val="000000" w:themeColor="text1"/>
          <w:sz w:val="20"/>
          <w:szCs w:val="20"/>
        </w:rPr>
        <w:t xml:space="preserve">. </w:t>
      </w:r>
    </w:p>
    <w:p w:rsidR="003B68FD" w:rsidRPr="00E565AE" w:rsidRDefault="003B68FD" w:rsidP="00D727E0">
      <w:pPr>
        <w:jc w:val="both"/>
        <w:rPr>
          <w:rFonts w:asciiTheme="minorHAnsi" w:hAnsiTheme="minorHAnsi" w:cstheme="minorHAnsi"/>
          <w:color w:val="000000" w:themeColor="text1"/>
          <w:sz w:val="20"/>
          <w:szCs w:val="20"/>
        </w:rPr>
      </w:pPr>
    </w:p>
    <w:p w:rsidR="003B68FD" w:rsidRPr="00E565AE" w:rsidRDefault="00BE7BB7"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In questo contesto, l'immunità sembra svolgere un ruolo importante, sia nella regolazione dei meccanismi dell'invecchiamento sia nell'insorgenza delle malattie tipiche dell'invecchiamento (cioè malattie infettive, autoimmunità, cancro, malattie metaboliche e malattie neurodegenerative).</w:t>
      </w:r>
      <w:r w:rsidR="00533DE1" w:rsidRPr="00E565AE">
        <w:rPr>
          <w:rFonts w:asciiTheme="minorHAnsi" w:hAnsiTheme="minorHAnsi" w:cstheme="minorHAnsi"/>
          <w:color w:val="000000" w:themeColor="text1"/>
          <w:sz w:val="20"/>
          <w:szCs w:val="20"/>
        </w:rPr>
        <w:t xml:space="preserve"> </w:t>
      </w:r>
    </w:p>
    <w:p w:rsidR="003B68FD" w:rsidRPr="00E565AE" w:rsidRDefault="003B68FD" w:rsidP="00D727E0">
      <w:pPr>
        <w:jc w:val="both"/>
        <w:rPr>
          <w:rFonts w:asciiTheme="minorHAnsi" w:hAnsiTheme="minorHAnsi" w:cstheme="minorHAnsi"/>
          <w:color w:val="000000" w:themeColor="text1"/>
          <w:sz w:val="20"/>
          <w:szCs w:val="20"/>
        </w:rPr>
      </w:pPr>
    </w:p>
    <w:p w:rsidR="00BE7BB7" w:rsidRPr="00E565AE" w:rsidRDefault="00533DE1"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shd w:val="clear" w:color="auto" w:fill="FFFFFF"/>
        </w:rPr>
        <w:t xml:space="preserve">La chiave per un invecchiamento sano </w:t>
      </w:r>
      <w:r w:rsidR="00DC4C1B" w:rsidRPr="00E565AE">
        <w:rPr>
          <w:rFonts w:asciiTheme="minorHAnsi" w:hAnsiTheme="minorHAnsi" w:cstheme="minorHAnsi"/>
          <w:color w:val="000000" w:themeColor="text1"/>
          <w:sz w:val="20"/>
          <w:szCs w:val="20"/>
          <w:shd w:val="clear" w:color="auto" w:fill="FFFFFF"/>
        </w:rPr>
        <w:t>quindi</w:t>
      </w:r>
      <w:r w:rsidRPr="00E565AE">
        <w:rPr>
          <w:rFonts w:asciiTheme="minorHAnsi" w:hAnsiTheme="minorHAnsi" w:cstheme="minorHAnsi"/>
          <w:color w:val="000000" w:themeColor="text1"/>
          <w:sz w:val="20"/>
          <w:szCs w:val="20"/>
          <w:shd w:val="clear" w:color="auto" w:fill="FFFFFF"/>
        </w:rPr>
        <w:t xml:space="preserve"> risiede nella </w:t>
      </w:r>
      <w:r w:rsidRPr="00E565AE">
        <w:rPr>
          <w:rFonts w:asciiTheme="minorHAnsi" w:hAnsiTheme="minorHAnsi" w:cstheme="minorHAnsi"/>
          <w:b/>
          <w:bCs/>
          <w:color w:val="000000" w:themeColor="text1"/>
          <w:sz w:val="20"/>
          <w:szCs w:val="20"/>
          <w:shd w:val="clear" w:color="auto" w:fill="FFFFFF"/>
        </w:rPr>
        <w:t>capacità di mantenere una risposta equilibrata</w:t>
      </w:r>
      <w:r w:rsidRPr="00E565AE">
        <w:rPr>
          <w:rFonts w:asciiTheme="minorHAnsi" w:hAnsiTheme="minorHAnsi" w:cstheme="minorHAnsi"/>
          <w:color w:val="000000" w:themeColor="text1"/>
          <w:sz w:val="20"/>
          <w:szCs w:val="20"/>
          <w:shd w:val="clear" w:color="auto" w:fill="FFFFFF"/>
        </w:rPr>
        <w:t xml:space="preserve"> a questi messaggeri immunitari e un ritorno rapido e integrato alla risoluzione dell'infiammazione e all'omeostasi immunitaria.</w:t>
      </w:r>
      <w:r w:rsidR="00E2570C" w:rsidRPr="00E565AE">
        <w:rPr>
          <w:rStyle w:val="FootnoteReference"/>
          <w:rFonts w:asciiTheme="minorHAnsi" w:hAnsiTheme="minorHAnsi" w:cstheme="minorHAnsi"/>
          <w:b/>
          <w:bCs/>
          <w:color w:val="000000" w:themeColor="text1"/>
          <w:sz w:val="20"/>
          <w:szCs w:val="20"/>
        </w:rPr>
        <w:footnoteReference w:id="198"/>
      </w:r>
    </w:p>
    <w:p w:rsidR="00DC4C1B" w:rsidRPr="00E565AE" w:rsidRDefault="00DC4C1B" w:rsidP="001F5DBD">
      <w:pPr>
        <w:rPr>
          <w:rFonts w:asciiTheme="minorHAnsi" w:hAnsiTheme="minorHAnsi" w:cstheme="minorHAnsi"/>
          <w:color w:val="000000" w:themeColor="text1"/>
          <w:sz w:val="20"/>
          <w:szCs w:val="20"/>
        </w:rPr>
      </w:pPr>
    </w:p>
    <w:p w:rsidR="00DC4C1B" w:rsidRPr="00E565AE" w:rsidRDefault="006703CC" w:rsidP="00D727E0">
      <w:pPr>
        <w:jc w:val="center"/>
        <w:rPr>
          <w:rFonts w:asciiTheme="minorHAnsi" w:hAnsiTheme="minorHAnsi" w:cstheme="minorHAnsi"/>
          <w:color w:val="000000" w:themeColor="text1"/>
          <w:sz w:val="22"/>
          <w:szCs w:val="22"/>
        </w:rPr>
      </w:pPr>
      <w:r w:rsidRPr="00E565AE">
        <w:rPr>
          <w:rFonts w:asciiTheme="minorHAnsi" w:hAnsiTheme="minorHAnsi" w:cstheme="minorHAnsi"/>
          <w:noProof/>
          <w:color w:val="000000" w:themeColor="text1"/>
          <w:sz w:val="22"/>
          <w:szCs w:val="22"/>
        </w:rPr>
        <w:lastRenderedPageBreak/>
        <w:drawing>
          <wp:inline distT="0" distB="0" distL="0" distR="0" wp14:anchorId="3A0FB007" wp14:editId="3F53B10C">
            <wp:extent cx="4181408" cy="2964581"/>
            <wp:effectExtent l="0" t="0" r="0" b="0"/>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224655" cy="2995243"/>
                    </a:xfrm>
                    <a:prstGeom prst="rect">
                      <a:avLst/>
                    </a:prstGeom>
                  </pic:spPr>
                </pic:pic>
              </a:graphicData>
            </a:graphic>
          </wp:inline>
        </w:drawing>
      </w:r>
    </w:p>
    <w:p w:rsidR="006703CC" w:rsidRPr="00E565AE" w:rsidRDefault="006703CC" w:rsidP="001F5DBD">
      <w:pPr>
        <w:rPr>
          <w:rFonts w:asciiTheme="minorHAnsi" w:hAnsiTheme="minorHAnsi" w:cstheme="minorHAnsi"/>
          <w:color w:val="000000" w:themeColor="text1"/>
          <w:sz w:val="22"/>
          <w:szCs w:val="22"/>
        </w:rPr>
      </w:pPr>
    </w:p>
    <w:p w:rsidR="00DC4C1B" w:rsidRPr="00F31E61" w:rsidRDefault="00DC4C1B" w:rsidP="00F31E61">
      <w:pPr>
        <w:shd w:val="clear" w:color="auto" w:fill="F2F2F2" w:themeFill="background1" w:themeFillShade="F2"/>
        <w:jc w:val="both"/>
        <w:rPr>
          <w:rFonts w:asciiTheme="minorHAnsi" w:hAnsiTheme="minorHAnsi" w:cstheme="minorHAnsi"/>
          <w:color w:val="000000" w:themeColor="text1"/>
          <w:sz w:val="18"/>
          <w:szCs w:val="18"/>
        </w:rPr>
      </w:pPr>
      <w:r w:rsidRPr="00F31E61">
        <w:rPr>
          <w:rFonts w:asciiTheme="minorHAnsi" w:hAnsiTheme="minorHAnsi" w:cstheme="minorHAnsi"/>
          <w:color w:val="000000" w:themeColor="text1"/>
          <w:sz w:val="18"/>
          <w:szCs w:val="18"/>
        </w:rPr>
        <w:t xml:space="preserve">Tratta da </w:t>
      </w:r>
      <w:hyperlink r:id="rId161" w:history="1">
        <w:r w:rsidRPr="00F31E61">
          <w:rPr>
            <w:rStyle w:val="Hyperlink"/>
            <w:rFonts w:asciiTheme="minorHAnsi" w:eastAsiaTheme="majorEastAsia" w:hAnsiTheme="minorHAnsi" w:cstheme="minorHAnsi"/>
            <w:color w:val="000000" w:themeColor="text1"/>
            <w:sz w:val="18"/>
            <w:szCs w:val="18"/>
            <w:u w:val="none"/>
          </w:rPr>
          <w:t>https://cmb.i-learn.unito.it/pluginfile.php/5044/mod_resource/content/1/Minciullo_et_al.pdf</w:t>
        </w:r>
      </w:hyperlink>
    </w:p>
    <w:p w:rsidR="007D79E5" w:rsidRPr="00F31E61" w:rsidRDefault="006703CC" w:rsidP="00F31E61">
      <w:pPr>
        <w:shd w:val="clear" w:color="auto" w:fill="F2F2F2" w:themeFill="background1" w:themeFillShade="F2"/>
        <w:jc w:val="both"/>
        <w:rPr>
          <w:rFonts w:asciiTheme="minorHAnsi" w:hAnsiTheme="minorHAnsi" w:cstheme="minorHAnsi"/>
          <w:color w:val="000000" w:themeColor="text1"/>
          <w:sz w:val="18"/>
          <w:szCs w:val="18"/>
        </w:rPr>
      </w:pPr>
      <w:r w:rsidRPr="00F31E61">
        <w:rPr>
          <w:rFonts w:asciiTheme="minorHAnsi" w:hAnsiTheme="minorHAnsi" w:cstheme="minorHAnsi"/>
          <w:b/>
          <w:bCs/>
          <w:color w:val="000000" w:themeColor="text1"/>
          <w:sz w:val="18"/>
          <w:szCs w:val="18"/>
        </w:rPr>
        <w:t>Il "peso" delle citochine pro e antinfiammatorie nell'invecchiamento e nella longevità.</w:t>
      </w:r>
      <w:r w:rsidRPr="00F31E61">
        <w:rPr>
          <w:rFonts w:asciiTheme="minorHAnsi" w:hAnsiTheme="minorHAnsi" w:cstheme="minorHAnsi"/>
          <w:color w:val="000000" w:themeColor="text1"/>
          <w:sz w:val="18"/>
          <w:szCs w:val="18"/>
        </w:rPr>
        <w:t xml:space="preserve"> L’aumento delle citochine pro-infiammatorie promuove la fragilità e le malattie legate all'età e riduce la vita aspettativa. L'equilibrio tra pro-inflammaging e anti-inflammaging favorisce l'adattamento alle condizioni di vita,   consente di evitare malattie o ritardare l'insorgenza e porta alla longevità</w:t>
      </w:r>
    </w:p>
    <w:p w:rsidR="00FD321C" w:rsidRPr="00E565AE" w:rsidRDefault="00FD321C" w:rsidP="001F5DBD">
      <w:pPr>
        <w:rPr>
          <w:rFonts w:asciiTheme="minorHAnsi" w:hAnsiTheme="minorHAnsi" w:cstheme="minorHAnsi"/>
          <w:color w:val="000000" w:themeColor="text1"/>
          <w:sz w:val="22"/>
          <w:szCs w:val="22"/>
          <w:shd w:val="clear" w:color="auto" w:fill="FFFFFF"/>
        </w:rPr>
      </w:pPr>
    </w:p>
    <w:p w:rsidR="00D840C5" w:rsidRPr="00E565AE" w:rsidRDefault="006703CC" w:rsidP="00D727E0">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Il processo di invecchiamento è strettamente correlato a significative alterazioni del sistema immunitario innato e adatt</w:t>
      </w:r>
      <w:r w:rsidR="00E80444" w:rsidRPr="00E565AE">
        <w:rPr>
          <w:rFonts w:asciiTheme="minorHAnsi" w:hAnsiTheme="minorHAnsi" w:cstheme="minorHAnsi"/>
          <w:color w:val="000000" w:themeColor="text1"/>
          <w:sz w:val="20"/>
          <w:szCs w:val="20"/>
          <w:shd w:val="clear" w:color="auto" w:fill="FFFFFF"/>
        </w:rPr>
        <w:t>at</w:t>
      </w:r>
      <w:r w:rsidRPr="00E565AE">
        <w:rPr>
          <w:rFonts w:asciiTheme="minorHAnsi" w:hAnsiTheme="minorHAnsi" w:cstheme="minorHAnsi"/>
          <w:color w:val="000000" w:themeColor="text1"/>
          <w:sz w:val="20"/>
          <w:szCs w:val="20"/>
          <w:shd w:val="clear" w:color="auto" w:fill="FFFFFF"/>
        </w:rPr>
        <w:t xml:space="preserve">ivo (Tabella 1). </w:t>
      </w:r>
    </w:p>
    <w:p w:rsidR="00D840C5" w:rsidRPr="00E565AE" w:rsidRDefault="00D840C5" w:rsidP="00D727E0">
      <w:pPr>
        <w:jc w:val="both"/>
        <w:rPr>
          <w:rFonts w:asciiTheme="minorHAnsi" w:hAnsiTheme="minorHAnsi" w:cstheme="minorHAnsi"/>
          <w:color w:val="000000" w:themeColor="text1"/>
          <w:sz w:val="20"/>
          <w:szCs w:val="20"/>
          <w:shd w:val="clear" w:color="auto" w:fill="FFFFFF"/>
        </w:rPr>
      </w:pPr>
    </w:p>
    <w:p w:rsidR="00F31E61" w:rsidRDefault="006703CC" w:rsidP="00D840C5">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In termini di </w:t>
      </w:r>
      <w:r w:rsidRPr="00E565AE">
        <w:rPr>
          <w:rFonts w:asciiTheme="minorHAnsi" w:hAnsiTheme="minorHAnsi" w:cstheme="minorHAnsi"/>
          <w:b/>
          <w:bCs/>
          <w:color w:val="000000" w:themeColor="text1"/>
          <w:sz w:val="20"/>
          <w:szCs w:val="20"/>
          <w:shd w:val="clear" w:color="auto" w:fill="FFFFFF"/>
        </w:rPr>
        <w:t>immunità innata</w:t>
      </w:r>
      <w:r w:rsidRPr="00E565AE">
        <w:rPr>
          <w:rFonts w:asciiTheme="minorHAnsi" w:hAnsiTheme="minorHAnsi" w:cstheme="minorHAnsi"/>
          <w:color w:val="000000" w:themeColor="text1"/>
          <w:sz w:val="20"/>
          <w:szCs w:val="20"/>
          <w:shd w:val="clear" w:color="auto" w:fill="FFFFFF"/>
        </w:rPr>
        <w:t>, l'invecchiamento può comportare cambiamenti sia quantitativi che qualitativi, tra cui un</w:t>
      </w:r>
    </w:p>
    <w:p w:rsidR="00D840C5" w:rsidRPr="00E565AE" w:rsidRDefault="006703CC" w:rsidP="00D840C5">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 </w:t>
      </w:r>
    </w:p>
    <w:p w:rsidR="00D840C5" w:rsidRPr="00E565AE" w:rsidRDefault="006703CC" w:rsidP="00D840C5">
      <w:pPr>
        <w:pStyle w:val="ListParagraph"/>
        <w:numPr>
          <w:ilvl w:val="0"/>
          <w:numId w:val="22"/>
        </w:numPr>
        <w:tabs>
          <w:tab w:val="left" w:pos="284"/>
        </w:tabs>
        <w:ind w:left="0" w:firstLine="0"/>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b/>
          <w:bCs/>
          <w:color w:val="000000" w:themeColor="text1"/>
          <w:sz w:val="20"/>
          <w:szCs w:val="20"/>
          <w:shd w:val="clear" w:color="auto" w:fill="FFFFFF"/>
        </w:rPr>
        <w:t xml:space="preserve">numero ridotto di cellule monocitiche e dendritiche circolanti </w:t>
      </w:r>
      <w:r w:rsidRPr="00E565AE">
        <w:rPr>
          <w:rFonts w:asciiTheme="minorHAnsi" w:hAnsiTheme="minorHAnsi" w:cstheme="minorHAnsi"/>
          <w:color w:val="000000" w:themeColor="text1"/>
          <w:sz w:val="20"/>
          <w:szCs w:val="20"/>
          <w:shd w:val="clear" w:color="auto" w:fill="FFFFFF"/>
        </w:rPr>
        <w:t>(DC),</w:t>
      </w:r>
    </w:p>
    <w:p w:rsidR="00D840C5" w:rsidRDefault="006703CC" w:rsidP="00D840C5">
      <w:pPr>
        <w:pStyle w:val="ListParagraph"/>
        <w:numPr>
          <w:ilvl w:val="0"/>
          <w:numId w:val="22"/>
        </w:numPr>
        <w:tabs>
          <w:tab w:val="left" w:pos="284"/>
        </w:tabs>
        <w:ind w:left="0" w:firstLine="0"/>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b/>
          <w:bCs/>
          <w:color w:val="000000" w:themeColor="text1"/>
          <w:sz w:val="20"/>
          <w:szCs w:val="20"/>
          <w:shd w:val="clear" w:color="auto" w:fill="FFFFFF"/>
        </w:rPr>
        <w:t>attività fagocitiche ridotte</w:t>
      </w:r>
      <w:r w:rsidRPr="00E565AE">
        <w:rPr>
          <w:rFonts w:asciiTheme="minorHAnsi" w:hAnsiTheme="minorHAnsi" w:cstheme="minorHAnsi"/>
          <w:color w:val="000000" w:themeColor="text1"/>
          <w:sz w:val="20"/>
          <w:szCs w:val="20"/>
          <w:shd w:val="clear" w:color="auto" w:fill="FFFFFF"/>
        </w:rPr>
        <w:t xml:space="preserve"> di macrofagi o neutrofili migratori e capacità di presentazione dell’antigene alterate da </w:t>
      </w:r>
      <w:r w:rsidR="00D840C5" w:rsidRPr="00E565AE">
        <w:rPr>
          <w:rFonts w:asciiTheme="minorHAnsi" w:hAnsiTheme="minorHAnsi" w:cstheme="minorHAnsi"/>
          <w:color w:val="000000" w:themeColor="text1"/>
          <w:sz w:val="20"/>
          <w:szCs w:val="20"/>
          <w:shd w:val="clear" w:color="auto" w:fill="FFFFFF"/>
        </w:rPr>
        <w:tab/>
      </w:r>
      <w:r w:rsidRPr="00E565AE">
        <w:rPr>
          <w:rFonts w:asciiTheme="minorHAnsi" w:hAnsiTheme="minorHAnsi" w:cstheme="minorHAnsi"/>
          <w:color w:val="000000" w:themeColor="text1"/>
          <w:sz w:val="20"/>
          <w:szCs w:val="20"/>
          <w:shd w:val="clear" w:color="auto" w:fill="FFFFFF"/>
        </w:rPr>
        <w:t xml:space="preserve">parte delle DC. </w:t>
      </w:r>
    </w:p>
    <w:p w:rsidR="00F31E61" w:rsidRPr="00E565AE" w:rsidRDefault="00F31E61" w:rsidP="00F31E61">
      <w:pPr>
        <w:pStyle w:val="ListParagraph"/>
        <w:tabs>
          <w:tab w:val="left" w:pos="284"/>
        </w:tabs>
        <w:ind w:left="0"/>
        <w:jc w:val="both"/>
        <w:rPr>
          <w:rFonts w:asciiTheme="minorHAnsi" w:hAnsiTheme="minorHAnsi" w:cstheme="minorHAnsi"/>
          <w:color w:val="000000" w:themeColor="text1"/>
          <w:sz w:val="20"/>
          <w:szCs w:val="20"/>
          <w:shd w:val="clear" w:color="auto" w:fill="FFFFFF"/>
        </w:rPr>
      </w:pPr>
    </w:p>
    <w:p w:rsidR="00D840C5" w:rsidRPr="00E565AE" w:rsidRDefault="006703CC" w:rsidP="00D840C5">
      <w:pPr>
        <w:pStyle w:val="ListParagraph"/>
        <w:tabs>
          <w:tab w:val="left" w:pos="284"/>
        </w:tabs>
        <w:ind w:left="0"/>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Rispetto alle </w:t>
      </w:r>
      <w:r w:rsidRPr="00E565AE">
        <w:rPr>
          <w:rFonts w:asciiTheme="minorHAnsi" w:hAnsiTheme="minorHAnsi" w:cstheme="minorHAnsi"/>
          <w:b/>
          <w:bCs/>
          <w:color w:val="000000" w:themeColor="text1"/>
          <w:sz w:val="20"/>
          <w:szCs w:val="20"/>
          <w:shd w:val="clear" w:color="auto" w:fill="FFFFFF"/>
        </w:rPr>
        <w:t>cellule T</w:t>
      </w:r>
      <w:r w:rsidRPr="00E565AE">
        <w:rPr>
          <w:rFonts w:asciiTheme="minorHAnsi" w:hAnsiTheme="minorHAnsi" w:cstheme="minorHAnsi"/>
          <w:color w:val="000000" w:themeColor="text1"/>
          <w:sz w:val="20"/>
          <w:szCs w:val="20"/>
          <w:shd w:val="clear" w:color="auto" w:fill="FFFFFF"/>
        </w:rPr>
        <w:t xml:space="preserve">, l'invecchiamento può comportare la </w:t>
      </w:r>
      <w:r w:rsidRPr="00E565AE">
        <w:rPr>
          <w:rFonts w:asciiTheme="minorHAnsi" w:hAnsiTheme="minorHAnsi" w:cstheme="minorHAnsi"/>
          <w:b/>
          <w:bCs/>
          <w:color w:val="000000" w:themeColor="text1"/>
          <w:sz w:val="20"/>
          <w:szCs w:val="20"/>
          <w:shd w:val="clear" w:color="auto" w:fill="FFFFFF"/>
        </w:rPr>
        <w:t>riduzione del repertorio d</w:t>
      </w:r>
      <w:r w:rsidR="00D840C5" w:rsidRPr="00E565AE">
        <w:rPr>
          <w:rFonts w:asciiTheme="minorHAnsi" w:hAnsiTheme="minorHAnsi" w:cstheme="minorHAnsi"/>
          <w:b/>
          <w:bCs/>
          <w:color w:val="000000" w:themeColor="text1"/>
          <w:sz w:val="20"/>
          <w:szCs w:val="20"/>
          <w:shd w:val="clear" w:color="auto" w:fill="FFFFFF"/>
        </w:rPr>
        <w:t>e</w:t>
      </w:r>
      <w:r w:rsidRPr="00E565AE">
        <w:rPr>
          <w:rFonts w:asciiTheme="minorHAnsi" w:hAnsiTheme="minorHAnsi" w:cstheme="minorHAnsi"/>
          <w:b/>
          <w:bCs/>
          <w:color w:val="000000" w:themeColor="text1"/>
          <w:sz w:val="20"/>
          <w:szCs w:val="20"/>
          <w:shd w:val="clear" w:color="auto" w:fill="FFFFFF"/>
        </w:rPr>
        <w:t>i TCR</w:t>
      </w:r>
      <w:r w:rsidRPr="00E565AE">
        <w:rPr>
          <w:rFonts w:asciiTheme="minorHAnsi" w:hAnsiTheme="minorHAnsi" w:cstheme="minorHAnsi"/>
          <w:color w:val="000000" w:themeColor="text1"/>
          <w:sz w:val="20"/>
          <w:szCs w:val="20"/>
          <w:shd w:val="clear" w:color="auto" w:fill="FFFFFF"/>
        </w:rPr>
        <w:t>, a causa dell'</w:t>
      </w:r>
      <w:r w:rsidRPr="00E565AE">
        <w:rPr>
          <w:rFonts w:asciiTheme="minorHAnsi" w:hAnsiTheme="minorHAnsi" w:cstheme="minorHAnsi"/>
          <w:b/>
          <w:bCs/>
          <w:color w:val="000000" w:themeColor="text1"/>
          <w:sz w:val="20"/>
          <w:szCs w:val="20"/>
          <w:shd w:val="clear" w:color="auto" w:fill="FFFFFF"/>
        </w:rPr>
        <w:t xml:space="preserve">involuzione timica </w:t>
      </w:r>
      <w:r w:rsidRPr="00E565AE">
        <w:rPr>
          <w:rFonts w:asciiTheme="minorHAnsi" w:hAnsiTheme="minorHAnsi" w:cstheme="minorHAnsi"/>
          <w:color w:val="000000" w:themeColor="text1"/>
          <w:sz w:val="20"/>
          <w:szCs w:val="20"/>
          <w:shd w:val="clear" w:color="auto" w:fill="FFFFFF"/>
        </w:rPr>
        <w:t>durante la pubertà e dell'</w:t>
      </w:r>
      <w:r w:rsidRPr="00E565AE">
        <w:rPr>
          <w:rFonts w:asciiTheme="minorHAnsi" w:hAnsiTheme="minorHAnsi" w:cstheme="minorHAnsi"/>
          <w:b/>
          <w:bCs/>
          <w:color w:val="000000" w:themeColor="text1"/>
          <w:sz w:val="20"/>
          <w:szCs w:val="20"/>
          <w:shd w:val="clear" w:color="auto" w:fill="FFFFFF"/>
        </w:rPr>
        <w:t xml:space="preserve">accumulo di cellule T senescenti o esaurite </w:t>
      </w:r>
      <w:r w:rsidRPr="00E565AE">
        <w:rPr>
          <w:rFonts w:asciiTheme="minorHAnsi" w:hAnsiTheme="minorHAnsi" w:cstheme="minorHAnsi"/>
          <w:color w:val="000000" w:themeColor="text1"/>
          <w:sz w:val="20"/>
          <w:szCs w:val="20"/>
          <w:shd w:val="clear" w:color="auto" w:fill="FFFFFF"/>
        </w:rPr>
        <w:t xml:space="preserve">che sono funzionalmente inerti o dormienti. </w:t>
      </w:r>
    </w:p>
    <w:p w:rsidR="00D840C5" w:rsidRPr="00E565AE" w:rsidRDefault="00D840C5" w:rsidP="00D840C5">
      <w:pPr>
        <w:jc w:val="both"/>
        <w:rPr>
          <w:rFonts w:asciiTheme="minorHAnsi" w:hAnsiTheme="minorHAnsi" w:cstheme="minorHAnsi"/>
          <w:color w:val="000000" w:themeColor="text1"/>
          <w:sz w:val="20"/>
          <w:szCs w:val="20"/>
          <w:shd w:val="clear" w:color="auto" w:fill="FFFFFF"/>
        </w:rPr>
      </w:pPr>
    </w:p>
    <w:p w:rsidR="00D840C5" w:rsidRPr="00E565AE" w:rsidRDefault="006703CC" w:rsidP="00D840C5">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Numerosi fattori, tra cui l'</w:t>
      </w:r>
      <w:r w:rsidRPr="00E565AE">
        <w:rPr>
          <w:rFonts w:asciiTheme="minorHAnsi" w:hAnsiTheme="minorHAnsi" w:cstheme="minorHAnsi"/>
          <w:b/>
          <w:bCs/>
          <w:color w:val="000000" w:themeColor="text1"/>
          <w:sz w:val="20"/>
          <w:szCs w:val="20"/>
          <w:shd w:val="clear" w:color="auto" w:fill="FFFFFF"/>
        </w:rPr>
        <w:t xml:space="preserve">infezione virale cronica </w:t>
      </w:r>
      <w:r w:rsidRPr="00E565AE">
        <w:rPr>
          <w:rFonts w:asciiTheme="minorHAnsi" w:hAnsiTheme="minorHAnsi" w:cstheme="minorHAnsi"/>
          <w:color w:val="000000" w:themeColor="text1"/>
          <w:sz w:val="20"/>
          <w:szCs w:val="20"/>
          <w:shd w:val="clear" w:color="auto" w:fill="FFFFFF"/>
        </w:rPr>
        <w:t xml:space="preserve">e il rilascio di </w:t>
      </w:r>
      <w:r w:rsidR="00D727E0" w:rsidRPr="00E565AE">
        <w:rPr>
          <w:rFonts w:asciiTheme="minorHAnsi" w:hAnsiTheme="minorHAnsi" w:cstheme="minorHAnsi"/>
          <w:color w:val="000000" w:themeColor="text1"/>
          <w:sz w:val="20"/>
          <w:szCs w:val="20"/>
          <w:shd w:val="clear" w:color="auto" w:fill="FFFFFF"/>
        </w:rPr>
        <w:t>profili</w:t>
      </w:r>
      <w:r w:rsidRPr="00E565AE">
        <w:rPr>
          <w:rFonts w:asciiTheme="minorHAnsi" w:hAnsiTheme="minorHAnsi" w:cstheme="minorHAnsi"/>
          <w:color w:val="000000" w:themeColor="text1"/>
          <w:sz w:val="20"/>
          <w:szCs w:val="20"/>
          <w:shd w:val="clear" w:color="auto" w:fill="FFFFFF"/>
        </w:rPr>
        <w:t xml:space="preserve"> molecolari associati al danno (DAMP), possono contribuire alla disregolazione immunitaria dipendente dall'età che determina malattie associate all'età, come l'aterosclerosi, il morbo di Alzheimer e le malattie infettive.</w:t>
      </w:r>
    </w:p>
    <w:p w:rsidR="00D840C5" w:rsidRPr="00E565AE" w:rsidRDefault="00D840C5" w:rsidP="00D840C5">
      <w:pPr>
        <w:jc w:val="both"/>
        <w:rPr>
          <w:rFonts w:asciiTheme="minorHAnsi" w:hAnsiTheme="minorHAnsi" w:cstheme="minorHAnsi"/>
          <w:color w:val="000000" w:themeColor="text1"/>
          <w:sz w:val="20"/>
          <w:szCs w:val="20"/>
          <w:shd w:val="clear" w:color="auto" w:fill="FFFFFF"/>
        </w:rPr>
      </w:pPr>
    </w:p>
    <w:p w:rsidR="00FD321C" w:rsidRPr="00E565AE" w:rsidRDefault="00D840C5" w:rsidP="00D840C5">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I</w:t>
      </w:r>
      <w:r w:rsidR="006703CC" w:rsidRPr="00E565AE">
        <w:rPr>
          <w:rFonts w:asciiTheme="minorHAnsi" w:hAnsiTheme="minorHAnsi" w:cstheme="minorHAnsi"/>
          <w:color w:val="000000" w:themeColor="text1"/>
          <w:sz w:val="20"/>
          <w:szCs w:val="20"/>
          <w:shd w:val="clear" w:color="auto" w:fill="FFFFFF"/>
        </w:rPr>
        <w:t>noltre, l'</w:t>
      </w:r>
      <w:r w:rsidR="006703CC" w:rsidRPr="00E565AE">
        <w:rPr>
          <w:rFonts w:asciiTheme="minorHAnsi" w:hAnsiTheme="minorHAnsi" w:cstheme="minorHAnsi"/>
          <w:b/>
          <w:bCs/>
          <w:color w:val="000000" w:themeColor="text1"/>
          <w:sz w:val="20"/>
          <w:szCs w:val="20"/>
          <w:shd w:val="clear" w:color="auto" w:fill="FFFFFF"/>
        </w:rPr>
        <w:t>efficacia de</w:t>
      </w:r>
      <w:r w:rsidRPr="00E565AE">
        <w:rPr>
          <w:rFonts w:asciiTheme="minorHAnsi" w:hAnsiTheme="minorHAnsi" w:cstheme="minorHAnsi"/>
          <w:b/>
          <w:bCs/>
          <w:color w:val="000000" w:themeColor="text1"/>
          <w:sz w:val="20"/>
          <w:szCs w:val="20"/>
          <w:shd w:val="clear" w:color="auto" w:fill="FFFFFF"/>
        </w:rPr>
        <w:t>i</w:t>
      </w:r>
      <w:r w:rsidR="006703CC" w:rsidRPr="00E565AE">
        <w:rPr>
          <w:rFonts w:asciiTheme="minorHAnsi" w:hAnsiTheme="minorHAnsi" w:cstheme="minorHAnsi"/>
          <w:b/>
          <w:bCs/>
          <w:color w:val="000000" w:themeColor="text1"/>
          <w:sz w:val="20"/>
          <w:szCs w:val="20"/>
          <w:shd w:val="clear" w:color="auto" w:fill="FFFFFF"/>
        </w:rPr>
        <w:t xml:space="preserve"> vaccin</w:t>
      </w:r>
      <w:r w:rsidRPr="00E565AE">
        <w:rPr>
          <w:rFonts w:asciiTheme="minorHAnsi" w:hAnsiTheme="minorHAnsi" w:cstheme="minorHAnsi"/>
          <w:b/>
          <w:bCs/>
          <w:color w:val="000000" w:themeColor="text1"/>
          <w:sz w:val="20"/>
          <w:szCs w:val="20"/>
          <w:shd w:val="clear" w:color="auto" w:fill="FFFFFF"/>
        </w:rPr>
        <w:t>i</w:t>
      </w:r>
      <w:r w:rsidR="006703CC" w:rsidRPr="00E565AE">
        <w:rPr>
          <w:rFonts w:asciiTheme="minorHAnsi" w:hAnsiTheme="minorHAnsi" w:cstheme="minorHAnsi"/>
          <w:b/>
          <w:bCs/>
          <w:color w:val="000000" w:themeColor="text1"/>
          <w:sz w:val="20"/>
          <w:szCs w:val="20"/>
          <w:shd w:val="clear" w:color="auto" w:fill="FFFFFF"/>
        </w:rPr>
        <w:t xml:space="preserve"> </w:t>
      </w:r>
      <w:r w:rsidR="006703CC" w:rsidRPr="00E565AE">
        <w:rPr>
          <w:rFonts w:asciiTheme="minorHAnsi" w:hAnsiTheme="minorHAnsi" w:cstheme="minorHAnsi"/>
          <w:color w:val="000000" w:themeColor="text1"/>
          <w:sz w:val="20"/>
          <w:szCs w:val="20"/>
          <w:shd w:val="clear" w:color="auto" w:fill="FFFFFF"/>
        </w:rPr>
        <w:t xml:space="preserve">nelle persone anziane è influenzata da alterazioni legate all'età, che vanno dal ridotto numero di cellule B e T naïve circolanti, alla limitata diversità dei repertori BCR e alla risposta </w:t>
      </w:r>
      <w:r w:rsidR="00B965D1" w:rsidRPr="00E565AE">
        <w:rPr>
          <w:rFonts w:asciiTheme="minorHAnsi" w:hAnsiTheme="minorHAnsi" w:cstheme="minorHAnsi"/>
          <w:color w:val="000000" w:themeColor="text1"/>
          <w:sz w:val="20"/>
          <w:szCs w:val="20"/>
          <w:shd w:val="clear" w:color="auto" w:fill="FFFFFF"/>
        </w:rPr>
        <w:t>anticorpale</w:t>
      </w:r>
      <w:r w:rsidR="006703CC" w:rsidRPr="00E565AE">
        <w:rPr>
          <w:rFonts w:asciiTheme="minorHAnsi" w:hAnsiTheme="minorHAnsi" w:cstheme="minorHAnsi"/>
          <w:color w:val="000000" w:themeColor="text1"/>
          <w:sz w:val="20"/>
          <w:szCs w:val="20"/>
          <w:shd w:val="clear" w:color="auto" w:fill="FFFFFF"/>
        </w:rPr>
        <w:t xml:space="preserve"> difettosa ai nuovi </w:t>
      </w:r>
      <w:r w:rsidR="00B965D1" w:rsidRPr="00E565AE">
        <w:rPr>
          <w:rFonts w:asciiTheme="minorHAnsi" w:hAnsiTheme="minorHAnsi" w:cstheme="minorHAnsi"/>
          <w:color w:val="000000" w:themeColor="text1"/>
          <w:sz w:val="20"/>
          <w:szCs w:val="20"/>
          <w:shd w:val="clear" w:color="auto" w:fill="FFFFFF"/>
        </w:rPr>
        <w:t>antigeni</w:t>
      </w:r>
      <w:r w:rsidR="006703CC" w:rsidRPr="00E565AE">
        <w:rPr>
          <w:rFonts w:asciiTheme="minorHAnsi" w:hAnsiTheme="minorHAnsi" w:cstheme="minorHAnsi"/>
          <w:color w:val="000000" w:themeColor="text1"/>
          <w:sz w:val="20"/>
          <w:szCs w:val="20"/>
          <w:shd w:val="clear" w:color="auto" w:fill="FFFFFF"/>
        </w:rPr>
        <w:t>.</w:t>
      </w:r>
      <w:r w:rsidR="00F976A5" w:rsidRPr="00E565AE">
        <w:rPr>
          <w:rStyle w:val="FootnoteReference"/>
          <w:rFonts w:asciiTheme="minorHAnsi" w:hAnsiTheme="minorHAnsi" w:cstheme="minorHAnsi"/>
          <w:color w:val="000000" w:themeColor="text1"/>
          <w:sz w:val="20"/>
          <w:szCs w:val="20"/>
          <w:shd w:val="clear" w:color="auto" w:fill="FFFFFF"/>
        </w:rPr>
        <w:footnoteReference w:id="199"/>
      </w:r>
    </w:p>
    <w:p w:rsidR="00D96A72" w:rsidRPr="00E565AE" w:rsidRDefault="00D96A72" w:rsidP="00D727E0">
      <w:pPr>
        <w:jc w:val="both"/>
        <w:rPr>
          <w:rFonts w:asciiTheme="minorHAnsi" w:hAnsiTheme="minorHAnsi" w:cstheme="minorHAnsi"/>
          <w:color w:val="000000" w:themeColor="text1"/>
          <w:sz w:val="20"/>
          <w:szCs w:val="20"/>
          <w:shd w:val="clear" w:color="auto" w:fill="FFFFFF"/>
        </w:rPr>
      </w:pPr>
    </w:p>
    <w:p w:rsidR="00D727E0" w:rsidRPr="00E565AE" w:rsidRDefault="0048471D"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Le 2 caratteristiche dell'invecchiamento del sistema immunitario innato che </w:t>
      </w:r>
      <w:r w:rsidR="00D727E0" w:rsidRPr="00E565AE">
        <w:rPr>
          <w:rFonts w:asciiTheme="minorHAnsi" w:hAnsiTheme="minorHAnsi" w:cstheme="minorHAnsi"/>
          <w:color w:val="000000" w:themeColor="text1"/>
          <w:sz w:val="20"/>
          <w:szCs w:val="20"/>
        </w:rPr>
        <w:t>sono</w:t>
      </w:r>
      <w:r w:rsidRPr="00E565AE">
        <w:rPr>
          <w:rFonts w:asciiTheme="minorHAnsi" w:hAnsiTheme="minorHAnsi" w:cstheme="minorHAnsi"/>
          <w:color w:val="000000" w:themeColor="text1"/>
          <w:sz w:val="20"/>
          <w:szCs w:val="20"/>
        </w:rPr>
        <w:t xml:space="preserve"> important</w:t>
      </w:r>
      <w:r w:rsidR="00D727E0" w:rsidRPr="00E565AE">
        <w:rPr>
          <w:rFonts w:asciiTheme="minorHAnsi" w:hAnsiTheme="minorHAnsi" w:cstheme="minorHAnsi"/>
          <w:color w:val="000000" w:themeColor="text1"/>
          <w:sz w:val="20"/>
          <w:szCs w:val="20"/>
        </w:rPr>
        <w:t>i da</w:t>
      </w:r>
      <w:r w:rsidRPr="00E565AE">
        <w:rPr>
          <w:rFonts w:asciiTheme="minorHAnsi" w:hAnsiTheme="minorHAnsi" w:cstheme="minorHAnsi"/>
          <w:color w:val="000000" w:themeColor="text1"/>
          <w:sz w:val="20"/>
          <w:szCs w:val="20"/>
        </w:rPr>
        <w:t xml:space="preserve"> evidenziare sono: </w:t>
      </w:r>
    </w:p>
    <w:p w:rsidR="00D840C5" w:rsidRPr="00E565AE" w:rsidRDefault="00D840C5" w:rsidP="00D727E0">
      <w:pPr>
        <w:jc w:val="both"/>
        <w:rPr>
          <w:rFonts w:asciiTheme="minorHAnsi" w:hAnsiTheme="minorHAnsi" w:cstheme="minorHAnsi"/>
          <w:color w:val="000000" w:themeColor="text1"/>
          <w:sz w:val="20"/>
          <w:szCs w:val="20"/>
        </w:rPr>
      </w:pPr>
    </w:p>
    <w:p w:rsidR="00F976A5" w:rsidRPr="00E565AE" w:rsidRDefault="0048471D" w:rsidP="00F9498B">
      <w:pPr>
        <w:pStyle w:val="ListParagraph"/>
        <w:numPr>
          <w:ilvl w:val="0"/>
          <w:numId w:val="25"/>
        </w:numPr>
        <w:shd w:val="clear" w:color="auto" w:fill="FBF9E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il suo </w:t>
      </w:r>
      <w:r w:rsidRPr="00E565AE">
        <w:rPr>
          <w:rFonts w:asciiTheme="minorHAnsi" w:hAnsiTheme="minorHAnsi" w:cstheme="minorHAnsi"/>
          <w:b/>
          <w:bCs/>
          <w:color w:val="000000" w:themeColor="text1"/>
          <w:sz w:val="20"/>
          <w:szCs w:val="20"/>
        </w:rPr>
        <w:t>stato pre-attivato in assenza di riconoscimento antigenico</w:t>
      </w:r>
      <w:r w:rsidRPr="00E565AE">
        <w:rPr>
          <w:rFonts w:asciiTheme="minorHAnsi" w:hAnsiTheme="minorHAnsi" w:cstheme="minorHAnsi"/>
          <w:color w:val="000000" w:themeColor="text1"/>
          <w:sz w:val="20"/>
          <w:szCs w:val="20"/>
        </w:rPr>
        <w:t xml:space="preserve"> (allo stato basale) e </w:t>
      </w:r>
    </w:p>
    <w:p w:rsidR="00F976A5" w:rsidRPr="00E565AE" w:rsidRDefault="0048471D" w:rsidP="00F9498B">
      <w:pPr>
        <w:pStyle w:val="ListParagraph"/>
        <w:numPr>
          <w:ilvl w:val="0"/>
          <w:numId w:val="25"/>
        </w:numPr>
        <w:shd w:val="clear" w:color="auto" w:fill="FBF9E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la </w:t>
      </w:r>
      <w:r w:rsidRPr="00E565AE">
        <w:rPr>
          <w:rFonts w:asciiTheme="minorHAnsi" w:hAnsiTheme="minorHAnsi" w:cstheme="minorHAnsi"/>
          <w:b/>
          <w:bCs/>
          <w:color w:val="000000" w:themeColor="text1"/>
          <w:sz w:val="20"/>
          <w:szCs w:val="20"/>
        </w:rPr>
        <w:t>paralisi  immunitaria in presenza di antigeni</w:t>
      </w:r>
      <w:r w:rsidRPr="00E565AE">
        <w:rPr>
          <w:rFonts w:asciiTheme="minorHAnsi" w:hAnsiTheme="minorHAnsi" w:cstheme="minorHAnsi"/>
          <w:color w:val="000000" w:themeColor="text1"/>
          <w:sz w:val="20"/>
          <w:szCs w:val="20"/>
        </w:rPr>
        <w:t xml:space="preserve"> (allo stato di attivazione). </w:t>
      </w:r>
      <w:r w:rsidR="00F976A5" w:rsidRPr="00E565AE">
        <w:rPr>
          <w:rStyle w:val="FootnoteReference"/>
          <w:rFonts w:asciiTheme="minorHAnsi" w:hAnsiTheme="minorHAnsi" w:cstheme="minorHAnsi"/>
          <w:b/>
          <w:bCs/>
          <w:color w:val="000000" w:themeColor="text1"/>
          <w:sz w:val="20"/>
          <w:szCs w:val="20"/>
        </w:rPr>
        <w:footnoteReference w:id="200"/>
      </w:r>
    </w:p>
    <w:p w:rsidR="00D840C5" w:rsidRPr="00E565AE" w:rsidRDefault="00D840C5" w:rsidP="00D840C5">
      <w:pPr>
        <w:pStyle w:val="ListParagraph"/>
        <w:rPr>
          <w:rFonts w:asciiTheme="minorHAnsi" w:hAnsiTheme="minorHAnsi" w:cstheme="minorHAnsi"/>
          <w:color w:val="000000" w:themeColor="text1"/>
          <w:sz w:val="20"/>
          <w:szCs w:val="20"/>
        </w:rPr>
      </w:pPr>
    </w:p>
    <w:p w:rsidR="00D840C5" w:rsidRPr="00E565AE" w:rsidRDefault="0048471D"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Questa dicotomia è estremamente importante per comprendere le conseguenze dei cambiamenti immunitari per tutta la vita. </w:t>
      </w:r>
    </w:p>
    <w:p w:rsidR="00D840C5" w:rsidRPr="00E565AE" w:rsidRDefault="00D840C5" w:rsidP="00D727E0">
      <w:pPr>
        <w:jc w:val="both"/>
        <w:rPr>
          <w:rFonts w:asciiTheme="minorHAnsi" w:hAnsiTheme="minorHAnsi" w:cstheme="minorHAnsi"/>
          <w:color w:val="000000" w:themeColor="text1"/>
          <w:sz w:val="20"/>
          <w:szCs w:val="20"/>
        </w:rPr>
      </w:pPr>
    </w:p>
    <w:p w:rsidR="00D96A72" w:rsidRPr="00E565AE" w:rsidRDefault="0048471D"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Lo stato di base attivato riflette ciò che, come già discusso, viene definito come </w:t>
      </w:r>
      <w:r w:rsidRPr="00E565AE">
        <w:rPr>
          <w:rFonts w:asciiTheme="minorHAnsi" w:hAnsiTheme="minorHAnsi" w:cstheme="minorHAnsi"/>
          <w:b/>
          <w:bCs/>
          <w:color w:val="000000" w:themeColor="text1"/>
          <w:sz w:val="20"/>
          <w:szCs w:val="20"/>
        </w:rPr>
        <w:t>memoria dell’immunità innata</w:t>
      </w:r>
      <w:r w:rsidRPr="00E565AE">
        <w:rPr>
          <w:rFonts w:asciiTheme="minorHAnsi" w:hAnsiTheme="minorHAnsi" w:cstheme="minorHAnsi"/>
          <w:color w:val="000000" w:themeColor="text1"/>
          <w:sz w:val="20"/>
          <w:szCs w:val="20"/>
        </w:rPr>
        <w:t xml:space="preserve"> (trained immunity). </w:t>
      </w:r>
    </w:p>
    <w:p w:rsidR="00D840C5" w:rsidRPr="00E565AE" w:rsidRDefault="00D840C5"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In </w:t>
      </w:r>
      <w:r w:rsidR="0048471D" w:rsidRPr="00E565AE">
        <w:rPr>
          <w:rFonts w:asciiTheme="minorHAnsi" w:hAnsiTheme="minorHAnsi" w:cstheme="minorHAnsi"/>
          <w:color w:val="000000" w:themeColor="text1"/>
          <w:sz w:val="20"/>
          <w:szCs w:val="20"/>
        </w:rPr>
        <w:t xml:space="preserve">seguito ad una risposta antigenica, le cellule immunitarie innate tornano allo stato di quiescenza attraverso una serie di </w:t>
      </w:r>
      <w:r w:rsidR="0048471D" w:rsidRPr="00F9498B">
        <w:rPr>
          <w:rFonts w:asciiTheme="minorHAnsi" w:hAnsiTheme="minorHAnsi" w:cstheme="minorHAnsi"/>
          <w:b/>
          <w:bCs/>
          <w:color w:val="000000" w:themeColor="text1"/>
          <w:sz w:val="20"/>
          <w:szCs w:val="20"/>
        </w:rPr>
        <w:t>processi molecolari</w:t>
      </w:r>
      <w:r w:rsidR="0048471D" w:rsidRPr="00E565AE">
        <w:rPr>
          <w:rFonts w:asciiTheme="minorHAnsi" w:hAnsiTheme="minorHAnsi" w:cstheme="minorHAnsi"/>
          <w:color w:val="000000" w:themeColor="text1"/>
          <w:sz w:val="20"/>
          <w:szCs w:val="20"/>
        </w:rPr>
        <w:t xml:space="preserve"> (a livello di epigenomi e trascrittomi) e </w:t>
      </w:r>
      <w:r w:rsidR="0048471D" w:rsidRPr="00F9498B">
        <w:rPr>
          <w:rFonts w:asciiTheme="minorHAnsi" w:hAnsiTheme="minorHAnsi" w:cstheme="minorHAnsi"/>
          <w:b/>
          <w:bCs/>
          <w:color w:val="000000" w:themeColor="text1"/>
          <w:sz w:val="20"/>
          <w:szCs w:val="20"/>
        </w:rPr>
        <w:t>regolazione metabolica</w:t>
      </w:r>
      <w:r w:rsidR="0048471D" w:rsidRPr="00E565AE">
        <w:rPr>
          <w:rFonts w:asciiTheme="minorHAnsi" w:hAnsiTheme="minorHAnsi" w:cstheme="minorHAnsi"/>
          <w:color w:val="000000" w:themeColor="text1"/>
          <w:sz w:val="20"/>
          <w:szCs w:val="20"/>
        </w:rPr>
        <w:t xml:space="preserve"> (alternando tra fosforilazione aerobica ossidativa e glicolisi anaerobica [effetto Warburg ]) ma mantengono alcuni </w:t>
      </w:r>
      <w:r w:rsidR="0048471D" w:rsidRPr="00F9498B">
        <w:rPr>
          <w:rFonts w:asciiTheme="minorHAnsi" w:hAnsiTheme="minorHAnsi" w:cstheme="minorHAnsi"/>
          <w:b/>
          <w:bCs/>
          <w:color w:val="000000" w:themeColor="text1"/>
          <w:sz w:val="20"/>
          <w:szCs w:val="20"/>
        </w:rPr>
        <w:t>cambiamenti epigenetici / molecolari</w:t>
      </w:r>
      <w:r w:rsidR="0048471D" w:rsidRPr="00E565AE">
        <w:rPr>
          <w:rFonts w:asciiTheme="minorHAnsi" w:hAnsiTheme="minorHAnsi" w:cstheme="minorHAnsi"/>
          <w:color w:val="000000" w:themeColor="text1"/>
          <w:sz w:val="20"/>
          <w:szCs w:val="20"/>
        </w:rPr>
        <w:t xml:space="preserve"> </w:t>
      </w:r>
      <w:r w:rsidR="00D1613B" w:rsidRPr="00E565AE">
        <w:rPr>
          <w:rFonts w:asciiTheme="minorHAnsi" w:hAnsiTheme="minorHAnsi" w:cstheme="minorHAnsi"/>
          <w:color w:val="000000" w:themeColor="text1"/>
          <w:sz w:val="20"/>
          <w:szCs w:val="20"/>
        </w:rPr>
        <w:t xml:space="preserve">che </w:t>
      </w:r>
      <w:r w:rsidR="0048471D" w:rsidRPr="00E565AE">
        <w:rPr>
          <w:rFonts w:asciiTheme="minorHAnsi" w:hAnsiTheme="minorHAnsi" w:cstheme="minorHAnsi"/>
          <w:color w:val="000000" w:themeColor="text1"/>
          <w:sz w:val="20"/>
          <w:szCs w:val="20"/>
        </w:rPr>
        <w:t>costituisc</w:t>
      </w:r>
      <w:r w:rsidR="00D1613B" w:rsidRPr="00E565AE">
        <w:rPr>
          <w:rFonts w:asciiTheme="minorHAnsi" w:hAnsiTheme="minorHAnsi" w:cstheme="minorHAnsi"/>
          <w:color w:val="000000" w:themeColor="text1"/>
          <w:sz w:val="20"/>
          <w:szCs w:val="20"/>
        </w:rPr>
        <w:t>ono</w:t>
      </w:r>
      <w:r w:rsidR="0048471D" w:rsidRPr="00E565AE">
        <w:rPr>
          <w:rFonts w:asciiTheme="minorHAnsi" w:hAnsiTheme="minorHAnsi" w:cstheme="minorHAnsi"/>
          <w:color w:val="000000" w:themeColor="text1"/>
          <w:sz w:val="20"/>
          <w:szCs w:val="20"/>
        </w:rPr>
        <w:t xml:space="preserve"> la loro </w:t>
      </w:r>
      <w:r w:rsidR="00D1613B" w:rsidRPr="00E565AE">
        <w:rPr>
          <w:rFonts w:asciiTheme="minorHAnsi" w:hAnsiTheme="minorHAnsi" w:cstheme="minorHAnsi"/>
          <w:color w:val="000000" w:themeColor="text1"/>
          <w:sz w:val="20"/>
          <w:szCs w:val="20"/>
        </w:rPr>
        <w:t>memoria</w:t>
      </w:r>
      <w:r w:rsidR="0048471D" w:rsidRPr="00E565AE">
        <w:rPr>
          <w:rFonts w:asciiTheme="minorHAnsi" w:hAnsiTheme="minorHAnsi" w:cstheme="minorHAnsi"/>
          <w:color w:val="000000" w:themeColor="text1"/>
          <w:sz w:val="20"/>
          <w:szCs w:val="20"/>
        </w:rPr>
        <w:t>.</w:t>
      </w:r>
      <w:r w:rsidR="00D96A72" w:rsidRPr="00E565AE">
        <w:rPr>
          <w:rStyle w:val="FootnoteReference"/>
          <w:rFonts w:asciiTheme="minorHAnsi" w:hAnsiTheme="minorHAnsi" w:cstheme="minorHAnsi"/>
          <w:b/>
          <w:bCs/>
          <w:color w:val="000000" w:themeColor="text1"/>
          <w:sz w:val="20"/>
          <w:szCs w:val="20"/>
        </w:rPr>
        <w:footnoteReference w:id="201"/>
      </w:r>
      <w:r w:rsidR="0048471D" w:rsidRPr="00E565AE">
        <w:rPr>
          <w:rFonts w:asciiTheme="minorHAnsi" w:hAnsiTheme="minorHAnsi" w:cstheme="minorHAnsi"/>
          <w:color w:val="000000" w:themeColor="text1"/>
          <w:sz w:val="20"/>
          <w:szCs w:val="20"/>
        </w:rPr>
        <w:t xml:space="preserve"> </w:t>
      </w:r>
    </w:p>
    <w:p w:rsidR="0048471D" w:rsidRPr="00E565AE" w:rsidRDefault="0048471D"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La successiva stimolazione di queste cellule che avevano già risposto ai patogeni</w:t>
      </w:r>
      <w:r w:rsidR="00D727E0" w:rsidRPr="00E565AE">
        <w:rPr>
          <w:rFonts w:asciiTheme="minorHAnsi" w:hAnsiTheme="minorHAnsi" w:cstheme="minorHAnsi"/>
          <w:color w:val="000000" w:themeColor="text1"/>
          <w:sz w:val="20"/>
          <w:szCs w:val="20"/>
        </w:rPr>
        <w:t>,</w:t>
      </w:r>
      <w:r w:rsidRPr="00E565AE">
        <w:rPr>
          <w:rFonts w:asciiTheme="minorHAnsi" w:hAnsiTheme="minorHAnsi" w:cstheme="minorHAnsi"/>
          <w:color w:val="000000" w:themeColor="text1"/>
          <w:sz w:val="20"/>
          <w:szCs w:val="20"/>
        </w:rPr>
        <w:t xml:space="preserve"> suscita una risposta diversa</w:t>
      </w:r>
      <w:r w:rsidR="00D1613B" w:rsidRPr="00E565AE">
        <w:rPr>
          <w:rFonts w:asciiTheme="minorHAnsi" w:hAnsiTheme="minorHAnsi" w:cstheme="minorHAnsi"/>
          <w:color w:val="000000" w:themeColor="text1"/>
          <w:sz w:val="20"/>
          <w:szCs w:val="20"/>
        </w:rPr>
        <w:t xml:space="preserve"> in</w:t>
      </w:r>
      <w:r w:rsidR="00D727E0"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 xml:space="preserve">intensità e nel tipo </w:t>
      </w:r>
      <w:r w:rsidR="00D727E0" w:rsidRPr="00E565AE">
        <w:rPr>
          <w:rFonts w:asciiTheme="minorHAnsi" w:hAnsiTheme="minorHAnsi" w:cstheme="minorHAnsi"/>
          <w:color w:val="000000" w:themeColor="text1"/>
          <w:sz w:val="20"/>
          <w:szCs w:val="20"/>
        </w:rPr>
        <w:t xml:space="preserve">rispetto alla </w:t>
      </w:r>
      <w:r w:rsidRPr="00E565AE">
        <w:rPr>
          <w:rFonts w:asciiTheme="minorHAnsi" w:hAnsiTheme="minorHAnsi" w:cstheme="minorHAnsi"/>
          <w:color w:val="000000" w:themeColor="text1"/>
          <w:sz w:val="20"/>
          <w:szCs w:val="20"/>
        </w:rPr>
        <w:t>prim</w:t>
      </w:r>
      <w:r w:rsidR="00D727E0" w:rsidRPr="00E565AE">
        <w:rPr>
          <w:rFonts w:asciiTheme="minorHAnsi" w:hAnsiTheme="minorHAnsi" w:cstheme="minorHAnsi"/>
          <w:color w:val="000000" w:themeColor="text1"/>
          <w:sz w:val="20"/>
          <w:szCs w:val="20"/>
        </w:rPr>
        <w:t>a</w:t>
      </w:r>
      <w:r w:rsidRPr="00E565AE">
        <w:rPr>
          <w:rFonts w:asciiTheme="minorHAnsi" w:hAnsiTheme="minorHAnsi" w:cstheme="minorHAnsi"/>
          <w:color w:val="000000" w:themeColor="text1"/>
          <w:sz w:val="20"/>
          <w:szCs w:val="20"/>
        </w:rPr>
        <w:t xml:space="preserve"> a causa </w:t>
      </w:r>
      <w:r w:rsidR="00D1613B" w:rsidRPr="00E565AE">
        <w:rPr>
          <w:rFonts w:asciiTheme="minorHAnsi" w:hAnsiTheme="minorHAnsi" w:cstheme="minorHAnsi"/>
          <w:color w:val="000000" w:themeColor="text1"/>
          <w:sz w:val="20"/>
          <w:szCs w:val="20"/>
        </w:rPr>
        <w:t>della memoria innata</w:t>
      </w:r>
      <w:r w:rsidRPr="00E565AE">
        <w:rPr>
          <w:rFonts w:asciiTheme="minorHAnsi" w:hAnsiTheme="minorHAnsi" w:cstheme="minorHAnsi"/>
          <w:color w:val="000000" w:themeColor="text1"/>
          <w:sz w:val="20"/>
          <w:szCs w:val="20"/>
        </w:rPr>
        <w:t>.</w:t>
      </w:r>
    </w:p>
    <w:p w:rsidR="00D840C5" w:rsidRPr="00E565AE" w:rsidRDefault="00D840C5" w:rsidP="00D727E0">
      <w:pPr>
        <w:jc w:val="both"/>
        <w:rPr>
          <w:rFonts w:asciiTheme="minorHAnsi" w:hAnsiTheme="minorHAnsi" w:cstheme="minorHAnsi"/>
          <w:color w:val="000000" w:themeColor="text1"/>
          <w:sz w:val="20"/>
          <w:szCs w:val="20"/>
        </w:rPr>
      </w:pPr>
    </w:p>
    <w:p w:rsidR="00A93341" w:rsidRPr="00E565AE" w:rsidRDefault="00D1613B" w:rsidP="00D727E0">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L’altra caratteristica è la </w:t>
      </w:r>
      <w:r w:rsidRPr="00E565AE">
        <w:rPr>
          <w:rFonts w:asciiTheme="minorHAnsi" w:hAnsiTheme="minorHAnsi" w:cstheme="minorHAnsi"/>
          <w:b/>
          <w:bCs/>
          <w:color w:val="000000" w:themeColor="text1"/>
          <w:sz w:val="20"/>
          <w:szCs w:val="20"/>
          <w:shd w:val="clear" w:color="auto" w:fill="FFFFFF"/>
        </w:rPr>
        <w:t>paralisi immunitaria</w:t>
      </w:r>
      <w:r w:rsidRPr="00E565AE">
        <w:rPr>
          <w:rFonts w:asciiTheme="minorHAnsi" w:hAnsiTheme="minorHAnsi" w:cstheme="minorHAnsi"/>
          <w:color w:val="000000" w:themeColor="text1"/>
          <w:sz w:val="20"/>
          <w:szCs w:val="20"/>
          <w:shd w:val="clear" w:color="auto" w:fill="FFFFFF"/>
        </w:rPr>
        <w:t xml:space="preserve">, intesa come </w:t>
      </w:r>
      <w:r w:rsidRPr="00E565AE">
        <w:rPr>
          <w:rFonts w:asciiTheme="minorHAnsi" w:hAnsiTheme="minorHAnsi" w:cstheme="minorHAnsi"/>
          <w:b/>
          <w:bCs/>
          <w:color w:val="000000" w:themeColor="text1"/>
          <w:sz w:val="20"/>
          <w:szCs w:val="20"/>
          <w:shd w:val="clear" w:color="auto" w:fill="FFFFFF"/>
        </w:rPr>
        <w:t>sottoregolazione della reattività del sistema immunitario innato alle stimolazioni antigeniche</w:t>
      </w:r>
      <w:r w:rsidR="00D727E0" w:rsidRPr="00E565AE">
        <w:rPr>
          <w:rFonts w:asciiTheme="minorHAnsi" w:hAnsiTheme="minorHAnsi" w:cstheme="minorHAnsi"/>
          <w:color w:val="000000" w:themeColor="text1"/>
          <w:sz w:val="20"/>
          <w:szCs w:val="20"/>
          <w:shd w:val="clear" w:color="auto" w:fill="FFFFFF"/>
        </w:rPr>
        <w:t xml:space="preserve">, </w:t>
      </w:r>
      <w:r w:rsidRPr="00E565AE">
        <w:rPr>
          <w:rFonts w:asciiTheme="minorHAnsi" w:hAnsiTheme="minorHAnsi" w:cstheme="minorHAnsi"/>
          <w:color w:val="000000" w:themeColor="text1"/>
          <w:sz w:val="20"/>
          <w:szCs w:val="20"/>
          <w:shd w:val="clear" w:color="auto" w:fill="FFFFFF"/>
        </w:rPr>
        <w:t xml:space="preserve">o eventualmente una sorta di </w:t>
      </w:r>
      <w:r w:rsidRPr="00E565AE">
        <w:rPr>
          <w:rFonts w:asciiTheme="minorHAnsi" w:hAnsiTheme="minorHAnsi" w:cstheme="minorHAnsi"/>
          <w:b/>
          <w:bCs/>
          <w:color w:val="000000" w:themeColor="text1"/>
          <w:sz w:val="20"/>
          <w:szCs w:val="20"/>
          <w:shd w:val="clear" w:color="auto" w:fill="FFFFFF"/>
        </w:rPr>
        <w:t>tolleranza innata immunitaria</w:t>
      </w:r>
      <w:r w:rsidR="00D727E0" w:rsidRPr="00E565AE">
        <w:rPr>
          <w:rFonts w:asciiTheme="minorHAnsi" w:hAnsiTheme="minorHAnsi" w:cstheme="minorHAnsi"/>
          <w:color w:val="000000" w:themeColor="text1"/>
          <w:sz w:val="20"/>
          <w:szCs w:val="20"/>
          <w:shd w:val="clear" w:color="auto" w:fill="FFFFFF"/>
        </w:rPr>
        <w:t>.</w:t>
      </w:r>
      <w:r w:rsidRPr="00E565AE">
        <w:rPr>
          <w:rFonts w:asciiTheme="minorHAnsi" w:hAnsiTheme="minorHAnsi" w:cstheme="minorHAnsi"/>
          <w:color w:val="000000" w:themeColor="text1"/>
          <w:sz w:val="20"/>
          <w:szCs w:val="20"/>
          <w:shd w:val="clear" w:color="auto" w:fill="FFFFFF"/>
        </w:rPr>
        <w:t xml:space="preserve"> </w:t>
      </w:r>
    </w:p>
    <w:p w:rsidR="00D840C5" w:rsidRPr="00E565AE" w:rsidRDefault="00D1613B" w:rsidP="00D727E0">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Questa condizione fisiologica può servire a proteggere l'organismo da ulteriori dann</w:t>
      </w:r>
      <w:r w:rsidR="007C5449" w:rsidRPr="00E565AE">
        <w:rPr>
          <w:rFonts w:asciiTheme="minorHAnsi" w:hAnsiTheme="minorHAnsi" w:cstheme="minorHAnsi"/>
          <w:color w:val="000000" w:themeColor="text1"/>
          <w:sz w:val="20"/>
          <w:szCs w:val="20"/>
          <w:shd w:val="clear" w:color="auto" w:fill="FFFFFF"/>
        </w:rPr>
        <w:t>i</w:t>
      </w:r>
      <w:r w:rsidRPr="00E565AE">
        <w:rPr>
          <w:rFonts w:asciiTheme="minorHAnsi" w:hAnsiTheme="minorHAnsi" w:cstheme="minorHAnsi"/>
          <w:color w:val="000000" w:themeColor="text1"/>
          <w:sz w:val="20"/>
          <w:szCs w:val="20"/>
          <w:shd w:val="clear" w:color="auto" w:fill="FFFFFF"/>
        </w:rPr>
        <w:t xml:space="preserve"> infiammatori</w:t>
      </w:r>
      <w:r w:rsidR="007C5449" w:rsidRPr="00E565AE">
        <w:rPr>
          <w:rFonts w:asciiTheme="minorHAnsi" w:hAnsiTheme="minorHAnsi" w:cstheme="minorHAnsi"/>
          <w:color w:val="000000" w:themeColor="text1"/>
          <w:sz w:val="20"/>
          <w:szCs w:val="20"/>
          <w:shd w:val="clear" w:color="auto" w:fill="FFFFFF"/>
        </w:rPr>
        <w:t xml:space="preserve"> autoindotti</w:t>
      </w:r>
      <w:r w:rsidRPr="00E565AE">
        <w:rPr>
          <w:rFonts w:asciiTheme="minorHAnsi" w:hAnsiTheme="minorHAnsi" w:cstheme="minorHAnsi"/>
          <w:color w:val="000000" w:themeColor="text1"/>
          <w:sz w:val="20"/>
          <w:szCs w:val="20"/>
          <w:shd w:val="clear" w:color="auto" w:fill="FFFFFF"/>
        </w:rPr>
        <w:t xml:space="preserve">, anche se a scapito dell'eliminazione efficace di agenti patogeni o </w:t>
      </w:r>
      <w:r w:rsidR="007C5449" w:rsidRPr="00E565AE">
        <w:rPr>
          <w:rFonts w:asciiTheme="minorHAnsi" w:hAnsiTheme="minorHAnsi" w:cstheme="minorHAnsi"/>
          <w:color w:val="000000" w:themeColor="text1"/>
          <w:sz w:val="20"/>
          <w:szCs w:val="20"/>
          <w:shd w:val="clear" w:color="auto" w:fill="FFFFFF"/>
        </w:rPr>
        <w:t>degli scarti</w:t>
      </w:r>
      <w:r w:rsidRPr="00E565AE">
        <w:rPr>
          <w:rFonts w:asciiTheme="minorHAnsi" w:hAnsiTheme="minorHAnsi" w:cstheme="minorHAnsi"/>
          <w:color w:val="000000" w:themeColor="text1"/>
          <w:sz w:val="20"/>
          <w:szCs w:val="20"/>
          <w:shd w:val="clear" w:color="auto" w:fill="FFFFFF"/>
        </w:rPr>
        <w:t xml:space="preserve"> cellular</w:t>
      </w:r>
      <w:r w:rsidR="007C5449" w:rsidRPr="00E565AE">
        <w:rPr>
          <w:rFonts w:asciiTheme="minorHAnsi" w:hAnsiTheme="minorHAnsi" w:cstheme="minorHAnsi"/>
          <w:color w:val="000000" w:themeColor="text1"/>
          <w:sz w:val="20"/>
          <w:szCs w:val="20"/>
          <w:shd w:val="clear" w:color="auto" w:fill="FFFFFF"/>
        </w:rPr>
        <w:t>i</w:t>
      </w:r>
      <w:r w:rsidRPr="00E565AE">
        <w:rPr>
          <w:rFonts w:asciiTheme="minorHAnsi" w:hAnsiTheme="minorHAnsi" w:cstheme="minorHAnsi"/>
          <w:color w:val="000000" w:themeColor="text1"/>
          <w:sz w:val="20"/>
          <w:szCs w:val="20"/>
          <w:shd w:val="clear" w:color="auto" w:fill="FFFFFF"/>
        </w:rPr>
        <w:t xml:space="preserve">. </w:t>
      </w:r>
    </w:p>
    <w:p w:rsidR="00D840C5" w:rsidRPr="00E565AE" w:rsidRDefault="00D1613B" w:rsidP="00D727E0">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Tuttavia, </w:t>
      </w:r>
      <w:r w:rsidR="007C5449" w:rsidRPr="00E565AE">
        <w:rPr>
          <w:rFonts w:asciiTheme="minorHAnsi" w:hAnsiTheme="minorHAnsi" w:cstheme="minorHAnsi"/>
          <w:color w:val="000000" w:themeColor="text1"/>
          <w:sz w:val="20"/>
          <w:szCs w:val="20"/>
          <w:shd w:val="clear" w:color="auto" w:fill="FFFFFF"/>
        </w:rPr>
        <w:t>va</w:t>
      </w:r>
      <w:r w:rsidRPr="00E565AE">
        <w:rPr>
          <w:rFonts w:asciiTheme="minorHAnsi" w:hAnsiTheme="minorHAnsi" w:cstheme="minorHAnsi"/>
          <w:color w:val="000000" w:themeColor="text1"/>
          <w:sz w:val="20"/>
          <w:szCs w:val="20"/>
          <w:shd w:val="clear" w:color="auto" w:fill="FFFFFF"/>
        </w:rPr>
        <w:t xml:space="preserve"> sottolinea</w:t>
      </w:r>
      <w:r w:rsidR="007C5449" w:rsidRPr="00E565AE">
        <w:rPr>
          <w:rFonts w:asciiTheme="minorHAnsi" w:hAnsiTheme="minorHAnsi" w:cstheme="minorHAnsi"/>
          <w:color w:val="000000" w:themeColor="text1"/>
          <w:sz w:val="20"/>
          <w:szCs w:val="20"/>
          <w:shd w:val="clear" w:color="auto" w:fill="FFFFFF"/>
        </w:rPr>
        <w:t xml:space="preserve">to </w:t>
      </w:r>
      <w:r w:rsidRPr="00E565AE">
        <w:rPr>
          <w:rFonts w:asciiTheme="minorHAnsi" w:hAnsiTheme="minorHAnsi" w:cstheme="minorHAnsi"/>
          <w:color w:val="000000" w:themeColor="text1"/>
          <w:sz w:val="20"/>
          <w:szCs w:val="20"/>
          <w:shd w:val="clear" w:color="auto" w:fill="FFFFFF"/>
        </w:rPr>
        <w:t xml:space="preserve">che la paralisi </w:t>
      </w:r>
      <w:r w:rsidR="007C5449" w:rsidRPr="00E565AE">
        <w:rPr>
          <w:rFonts w:asciiTheme="minorHAnsi" w:hAnsiTheme="minorHAnsi" w:cstheme="minorHAnsi"/>
          <w:color w:val="000000" w:themeColor="text1"/>
          <w:sz w:val="20"/>
          <w:szCs w:val="20"/>
          <w:shd w:val="clear" w:color="auto" w:fill="FFFFFF"/>
        </w:rPr>
        <w:t xml:space="preserve">immunitaria </w:t>
      </w:r>
      <w:r w:rsidRPr="00E565AE">
        <w:rPr>
          <w:rFonts w:asciiTheme="minorHAnsi" w:hAnsiTheme="minorHAnsi" w:cstheme="minorHAnsi"/>
          <w:color w:val="000000" w:themeColor="text1"/>
          <w:sz w:val="20"/>
          <w:szCs w:val="20"/>
          <w:shd w:val="clear" w:color="auto" w:fill="FFFFFF"/>
        </w:rPr>
        <w:t xml:space="preserve">non </w:t>
      </w:r>
      <w:r w:rsidR="007C5449" w:rsidRPr="00E565AE">
        <w:rPr>
          <w:rFonts w:asciiTheme="minorHAnsi" w:hAnsiTheme="minorHAnsi" w:cstheme="minorHAnsi"/>
          <w:color w:val="000000" w:themeColor="text1"/>
          <w:sz w:val="20"/>
          <w:szCs w:val="20"/>
          <w:shd w:val="clear" w:color="auto" w:fill="FFFFFF"/>
        </w:rPr>
        <w:t>significa</w:t>
      </w:r>
      <w:r w:rsidRPr="00E565AE">
        <w:rPr>
          <w:rFonts w:asciiTheme="minorHAnsi" w:hAnsiTheme="minorHAnsi" w:cstheme="minorHAnsi"/>
          <w:color w:val="000000" w:themeColor="text1"/>
          <w:sz w:val="20"/>
          <w:szCs w:val="20"/>
          <w:shd w:val="clear" w:color="auto" w:fill="FFFFFF"/>
        </w:rPr>
        <w:t xml:space="preserve"> </w:t>
      </w:r>
      <w:r w:rsidR="007C5449" w:rsidRPr="00E565AE">
        <w:rPr>
          <w:rFonts w:asciiTheme="minorHAnsi" w:hAnsiTheme="minorHAnsi" w:cstheme="minorHAnsi"/>
          <w:color w:val="000000" w:themeColor="text1"/>
          <w:sz w:val="20"/>
          <w:szCs w:val="20"/>
          <w:shd w:val="clear" w:color="auto" w:fill="FFFFFF"/>
        </w:rPr>
        <w:t xml:space="preserve">che il sistema immunitario è in uno </w:t>
      </w:r>
      <w:r w:rsidRPr="00E565AE">
        <w:rPr>
          <w:rFonts w:asciiTheme="minorHAnsi" w:hAnsiTheme="minorHAnsi" w:cstheme="minorHAnsi"/>
          <w:color w:val="000000" w:themeColor="text1"/>
          <w:sz w:val="20"/>
          <w:szCs w:val="20"/>
          <w:shd w:val="clear" w:color="auto" w:fill="FFFFFF"/>
        </w:rPr>
        <w:t xml:space="preserve">stato non funzionale. </w:t>
      </w:r>
    </w:p>
    <w:p w:rsidR="00D840C5" w:rsidRPr="00E565AE" w:rsidRDefault="00D840C5" w:rsidP="00D727E0">
      <w:pPr>
        <w:jc w:val="both"/>
        <w:rPr>
          <w:rFonts w:asciiTheme="minorHAnsi" w:hAnsiTheme="minorHAnsi" w:cstheme="minorHAnsi"/>
          <w:color w:val="000000" w:themeColor="text1"/>
          <w:sz w:val="20"/>
          <w:szCs w:val="20"/>
          <w:shd w:val="clear" w:color="auto" w:fill="FFFFFF"/>
        </w:rPr>
      </w:pPr>
    </w:p>
    <w:p w:rsidR="00F9498B" w:rsidRDefault="00F9498B" w:rsidP="00F9498B">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1268"/>
        <w:jc w:val="both"/>
        <w:rPr>
          <w:rFonts w:asciiTheme="minorHAnsi" w:hAnsiTheme="minorHAnsi" w:cstheme="minorHAnsi"/>
          <w:i/>
          <w:iCs/>
          <w:color w:val="000000" w:themeColor="text1"/>
          <w:sz w:val="20"/>
          <w:szCs w:val="20"/>
          <w:shd w:val="clear" w:color="auto" w:fill="FFFFFF"/>
        </w:rPr>
      </w:pPr>
    </w:p>
    <w:p w:rsidR="00A93341" w:rsidRDefault="00D1613B" w:rsidP="00F9498B">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1268"/>
        <w:jc w:val="both"/>
        <w:rPr>
          <w:rFonts w:asciiTheme="minorHAnsi" w:hAnsiTheme="minorHAnsi" w:cstheme="minorHAnsi"/>
          <w:i/>
          <w:iCs/>
          <w:color w:val="000000" w:themeColor="text1"/>
          <w:sz w:val="20"/>
          <w:szCs w:val="20"/>
          <w:shd w:val="clear" w:color="auto" w:fill="FFFFFF"/>
        </w:rPr>
      </w:pPr>
      <w:r w:rsidRPr="00F9498B">
        <w:rPr>
          <w:rFonts w:asciiTheme="minorHAnsi" w:hAnsiTheme="minorHAnsi" w:cstheme="minorHAnsi"/>
          <w:i/>
          <w:iCs/>
          <w:color w:val="000000" w:themeColor="text1"/>
          <w:sz w:val="20"/>
          <w:szCs w:val="20"/>
          <w:shd w:val="clear" w:color="auto" w:fill="FBF9E1"/>
        </w:rPr>
        <w:t>Sebbene ci s</w:t>
      </w:r>
      <w:r w:rsidR="007C5449" w:rsidRPr="00F9498B">
        <w:rPr>
          <w:rFonts w:asciiTheme="minorHAnsi" w:hAnsiTheme="minorHAnsi" w:cstheme="minorHAnsi"/>
          <w:i/>
          <w:iCs/>
          <w:color w:val="000000" w:themeColor="text1"/>
          <w:sz w:val="20"/>
          <w:szCs w:val="20"/>
          <w:shd w:val="clear" w:color="auto" w:fill="FBF9E1"/>
        </w:rPr>
        <w:t>ia</w:t>
      </w:r>
      <w:r w:rsidRPr="00F9498B">
        <w:rPr>
          <w:rFonts w:asciiTheme="minorHAnsi" w:hAnsiTheme="minorHAnsi" w:cstheme="minorHAnsi"/>
          <w:i/>
          <w:iCs/>
          <w:color w:val="000000" w:themeColor="text1"/>
          <w:sz w:val="20"/>
          <w:szCs w:val="20"/>
          <w:shd w:val="clear" w:color="auto" w:fill="FBF9E1"/>
        </w:rPr>
        <w:t>no alterazioni funzionali negli individui anziani</w:t>
      </w:r>
      <w:r w:rsidR="007C5449" w:rsidRPr="00F9498B">
        <w:rPr>
          <w:rFonts w:asciiTheme="minorHAnsi" w:hAnsiTheme="minorHAnsi" w:cstheme="minorHAnsi"/>
          <w:i/>
          <w:iCs/>
          <w:color w:val="000000" w:themeColor="text1"/>
          <w:sz w:val="20"/>
          <w:szCs w:val="20"/>
          <w:shd w:val="clear" w:color="auto" w:fill="FBF9E1"/>
        </w:rPr>
        <w:t xml:space="preserve"> </w:t>
      </w:r>
      <w:r w:rsidRPr="00F9498B">
        <w:rPr>
          <w:rFonts w:asciiTheme="minorHAnsi" w:hAnsiTheme="minorHAnsi" w:cstheme="minorHAnsi"/>
          <w:i/>
          <w:iCs/>
          <w:color w:val="000000" w:themeColor="text1"/>
          <w:sz w:val="20"/>
          <w:szCs w:val="20"/>
          <w:shd w:val="clear" w:color="auto" w:fill="FBF9E1"/>
        </w:rPr>
        <w:t xml:space="preserve">rispetto ai </w:t>
      </w:r>
      <w:r w:rsidR="007C5449" w:rsidRPr="00F9498B">
        <w:rPr>
          <w:rFonts w:asciiTheme="minorHAnsi" w:hAnsiTheme="minorHAnsi" w:cstheme="minorHAnsi"/>
          <w:i/>
          <w:iCs/>
          <w:color w:val="000000" w:themeColor="text1"/>
          <w:sz w:val="20"/>
          <w:szCs w:val="20"/>
          <w:shd w:val="clear" w:color="auto" w:fill="FBF9E1"/>
        </w:rPr>
        <w:t xml:space="preserve">soggetti </w:t>
      </w:r>
      <w:r w:rsidRPr="00F9498B">
        <w:rPr>
          <w:rFonts w:asciiTheme="minorHAnsi" w:hAnsiTheme="minorHAnsi" w:cstheme="minorHAnsi"/>
          <w:i/>
          <w:iCs/>
          <w:color w:val="000000" w:themeColor="text1"/>
          <w:sz w:val="20"/>
          <w:szCs w:val="20"/>
          <w:shd w:val="clear" w:color="auto" w:fill="FBF9E1"/>
        </w:rPr>
        <w:t xml:space="preserve">giovani, </w:t>
      </w:r>
      <w:r w:rsidR="007C5449" w:rsidRPr="00F9498B">
        <w:rPr>
          <w:rFonts w:asciiTheme="minorHAnsi" w:hAnsiTheme="minorHAnsi" w:cstheme="minorHAnsi"/>
          <w:i/>
          <w:iCs/>
          <w:color w:val="000000" w:themeColor="text1"/>
          <w:sz w:val="20"/>
          <w:szCs w:val="20"/>
          <w:shd w:val="clear" w:color="auto" w:fill="FBF9E1"/>
        </w:rPr>
        <w:t>il</w:t>
      </w:r>
      <w:r w:rsidRPr="00F9498B">
        <w:rPr>
          <w:rFonts w:asciiTheme="minorHAnsi" w:hAnsiTheme="minorHAnsi" w:cstheme="minorHAnsi"/>
          <w:i/>
          <w:iCs/>
          <w:color w:val="000000" w:themeColor="text1"/>
          <w:sz w:val="20"/>
          <w:szCs w:val="20"/>
          <w:shd w:val="clear" w:color="auto" w:fill="FBF9E1"/>
        </w:rPr>
        <w:t xml:space="preserve"> semplice </w:t>
      </w:r>
      <w:r w:rsidR="007C5449" w:rsidRPr="00F9498B">
        <w:rPr>
          <w:rFonts w:asciiTheme="minorHAnsi" w:hAnsiTheme="minorHAnsi" w:cstheme="minorHAnsi"/>
          <w:i/>
          <w:iCs/>
          <w:color w:val="000000" w:themeColor="text1"/>
          <w:sz w:val="20"/>
          <w:szCs w:val="20"/>
          <w:shd w:val="clear" w:color="auto" w:fill="FBF9E1"/>
        </w:rPr>
        <w:t xml:space="preserve">presupposto </w:t>
      </w:r>
      <w:r w:rsidRPr="00F9498B">
        <w:rPr>
          <w:rFonts w:asciiTheme="minorHAnsi" w:hAnsiTheme="minorHAnsi" w:cstheme="minorHAnsi"/>
          <w:i/>
          <w:iCs/>
          <w:color w:val="000000" w:themeColor="text1"/>
          <w:sz w:val="20"/>
          <w:szCs w:val="20"/>
          <w:shd w:val="clear" w:color="auto" w:fill="FBF9E1"/>
        </w:rPr>
        <w:t xml:space="preserve">che le cellule immunitarie </w:t>
      </w:r>
      <w:r w:rsidR="007C5449" w:rsidRPr="00F9498B">
        <w:rPr>
          <w:rFonts w:asciiTheme="minorHAnsi" w:hAnsiTheme="minorHAnsi" w:cstheme="minorHAnsi"/>
          <w:i/>
          <w:iCs/>
          <w:color w:val="000000" w:themeColor="text1"/>
          <w:sz w:val="20"/>
          <w:szCs w:val="20"/>
          <w:shd w:val="clear" w:color="auto" w:fill="FBF9E1"/>
        </w:rPr>
        <w:t>delle persone</w:t>
      </w:r>
      <w:r w:rsidRPr="00F9498B">
        <w:rPr>
          <w:rFonts w:asciiTheme="minorHAnsi" w:hAnsiTheme="minorHAnsi" w:cstheme="minorHAnsi"/>
          <w:i/>
          <w:iCs/>
          <w:color w:val="000000" w:themeColor="text1"/>
          <w:sz w:val="20"/>
          <w:szCs w:val="20"/>
          <w:shd w:val="clear" w:color="auto" w:fill="FBF9E1"/>
        </w:rPr>
        <w:t xml:space="preserve"> anzian</w:t>
      </w:r>
      <w:r w:rsidR="007C5449" w:rsidRPr="00F9498B">
        <w:rPr>
          <w:rFonts w:asciiTheme="minorHAnsi" w:hAnsiTheme="minorHAnsi" w:cstheme="minorHAnsi"/>
          <w:i/>
          <w:iCs/>
          <w:color w:val="000000" w:themeColor="text1"/>
          <w:sz w:val="20"/>
          <w:szCs w:val="20"/>
          <w:shd w:val="clear" w:color="auto" w:fill="FBF9E1"/>
        </w:rPr>
        <w:t>e</w:t>
      </w:r>
      <w:r w:rsidRPr="00F9498B">
        <w:rPr>
          <w:rFonts w:asciiTheme="minorHAnsi" w:hAnsiTheme="minorHAnsi" w:cstheme="minorHAnsi"/>
          <w:i/>
          <w:iCs/>
          <w:color w:val="000000" w:themeColor="text1"/>
          <w:sz w:val="20"/>
          <w:szCs w:val="20"/>
          <w:shd w:val="clear" w:color="auto" w:fill="FBF9E1"/>
        </w:rPr>
        <w:t xml:space="preserve"> perd</w:t>
      </w:r>
      <w:r w:rsidR="007C5449" w:rsidRPr="00F9498B">
        <w:rPr>
          <w:rFonts w:asciiTheme="minorHAnsi" w:hAnsiTheme="minorHAnsi" w:cstheme="minorHAnsi"/>
          <w:i/>
          <w:iCs/>
          <w:color w:val="000000" w:themeColor="text1"/>
          <w:sz w:val="20"/>
          <w:szCs w:val="20"/>
          <w:shd w:val="clear" w:color="auto" w:fill="FBF9E1"/>
        </w:rPr>
        <w:t>a</w:t>
      </w:r>
      <w:r w:rsidRPr="00F9498B">
        <w:rPr>
          <w:rFonts w:asciiTheme="minorHAnsi" w:hAnsiTheme="minorHAnsi" w:cstheme="minorHAnsi"/>
          <w:i/>
          <w:iCs/>
          <w:color w:val="000000" w:themeColor="text1"/>
          <w:sz w:val="20"/>
          <w:szCs w:val="20"/>
          <w:shd w:val="clear" w:color="auto" w:fill="FBF9E1"/>
        </w:rPr>
        <w:t xml:space="preserve">no il loro potere protettivo </w:t>
      </w:r>
      <w:r w:rsidR="00F9498B">
        <w:rPr>
          <w:rFonts w:asciiTheme="minorHAnsi" w:hAnsiTheme="minorHAnsi" w:cstheme="minorHAnsi"/>
          <w:i/>
          <w:iCs/>
          <w:color w:val="000000" w:themeColor="text1"/>
          <w:sz w:val="20"/>
          <w:szCs w:val="20"/>
          <w:shd w:val="clear" w:color="auto" w:fill="FBF9E1"/>
        </w:rPr>
        <w:t>non sono corrette</w:t>
      </w:r>
      <w:r w:rsidRPr="00F9498B">
        <w:rPr>
          <w:rFonts w:asciiTheme="minorHAnsi" w:hAnsiTheme="minorHAnsi" w:cstheme="minorHAnsi"/>
          <w:i/>
          <w:iCs/>
          <w:color w:val="000000" w:themeColor="text1"/>
          <w:sz w:val="20"/>
          <w:szCs w:val="20"/>
          <w:shd w:val="clear" w:color="auto" w:fill="FFFFFF"/>
        </w:rPr>
        <w:t xml:space="preserve">. </w:t>
      </w:r>
    </w:p>
    <w:p w:rsidR="00F9498B" w:rsidRPr="00F9498B" w:rsidRDefault="00F9498B" w:rsidP="00F9498B">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1268"/>
        <w:jc w:val="both"/>
        <w:rPr>
          <w:rFonts w:asciiTheme="minorHAnsi" w:hAnsiTheme="minorHAnsi" w:cstheme="minorHAnsi"/>
          <w:i/>
          <w:iCs/>
          <w:color w:val="000000" w:themeColor="text1"/>
          <w:sz w:val="20"/>
          <w:szCs w:val="20"/>
          <w:shd w:val="clear" w:color="auto" w:fill="FFFFFF"/>
        </w:rPr>
      </w:pPr>
    </w:p>
    <w:p w:rsidR="00D1613B" w:rsidRDefault="00D1613B" w:rsidP="00F9498B">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1268"/>
        <w:jc w:val="both"/>
        <w:rPr>
          <w:rFonts w:asciiTheme="minorHAnsi" w:hAnsiTheme="minorHAnsi" w:cstheme="minorHAnsi"/>
          <w:i/>
          <w:iCs/>
          <w:color w:val="000000" w:themeColor="text1"/>
          <w:sz w:val="20"/>
          <w:szCs w:val="20"/>
          <w:shd w:val="clear" w:color="auto" w:fill="FFFFFF"/>
        </w:rPr>
      </w:pPr>
      <w:r w:rsidRPr="00F9498B">
        <w:rPr>
          <w:rFonts w:asciiTheme="minorHAnsi" w:hAnsiTheme="minorHAnsi" w:cstheme="minorHAnsi"/>
          <w:i/>
          <w:iCs/>
          <w:color w:val="000000" w:themeColor="text1"/>
          <w:sz w:val="20"/>
          <w:szCs w:val="20"/>
          <w:shd w:val="clear" w:color="auto" w:fill="FBF9E1"/>
        </w:rPr>
        <w:t xml:space="preserve">Ad esempio, </w:t>
      </w:r>
      <w:r w:rsidRPr="00F9498B">
        <w:rPr>
          <w:rFonts w:asciiTheme="minorHAnsi" w:hAnsiTheme="minorHAnsi" w:cstheme="minorHAnsi"/>
          <w:b/>
          <w:bCs/>
          <w:i/>
          <w:iCs/>
          <w:color w:val="000000" w:themeColor="text1"/>
          <w:sz w:val="20"/>
          <w:szCs w:val="20"/>
          <w:shd w:val="clear" w:color="auto" w:fill="FBF9E1"/>
        </w:rPr>
        <w:t>la maggior parte degli anziani sono in grado di difendersi da molti tipi di infezione anche se la risposta immunitaria adattativa è chiaramente meno funzionale</w:t>
      </w:r>
      <w:r w:rsidR="007C5449" w:rsidRPr="00F9498B">
        <w:rPr>
          <w:rFonts w:asciiTheme="minorHAnsi" w:hAnsiTheme="minorHAnsi" w:cstheme="minorHAnsi"/>
          <w:i/>
          <w:iCs/>
          <w:color w:val="000000" w:themeColor="text1"/>
          <w:sz w:val="20"/>
          <w:szCs w:val="20"/>
          <w:shd w:val="clear" w:color="auto" w:fill="FFFFFF"/>
        </w:rPr>
        <w:t xml:space="preserve">. </w:t>
      </w:r>
    </w:p>
    <w:p w:rsidR="00F9498B" w:rsidRPr="00F9498B" w:rsidRDefault="00F9498B" w:rsidP="00F9498B">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1268"/>
        <w:jc w:val="both"/>
        <w:rPr>
          <w:rFonts w:asciiTheme="minorHAnsi" w:hAnsiTheme="minorHAnsi" w:cstheme="minorHAnsi"/>
          <w:i/>
          <w:iCs/>
          <w:color w:val="000000" w:themeColor="text1"/>
          <w:sz w:val="20"/>
          <w:szCs w:val="20"/>
          <w:shd w:val="clear" w:color="auto" w:fill="FFFFFF"/>
        </w:rPr>
      </w:pPr>
    </w:p>
    <w:p w:rsidR="00D840C5" w:rsidRPr="00E565AE" w:rsidRDefault="00D840C5" w:rsidP="00D840C5">
      <w:pPr>
        <w:jc w:val="both"/>
        <w:rPr>
          <w:rFonts w:asciiTheme="minorHAnsi" w:hAnsiTheme="minorHAnsi" w:cstheme="minorHAnsi"/>
          <w:color w:val="000000" w:themeColor="text1"/>
          <w:sz w:val="20"/>
          <w:szCs w:val="20"/>
          <w:shd w:val="clear" w:color="auto" w:fill="FFFFFF"/>
        </w:rPr>
      </w:pPr>
    </w:p>
    <w:p w:rsidR="00A93341" w:rsidRPr="00E565AE" w:rsidRDefault="00A93341" w:rsidP="00D840C5">
      <w:pPr>
        <w:jc w:val="both"/>
        <w:rPr>
          <w:rFonts w:asciiTheme="minorHAnsi" w:hAnsiTheme="minorHAnsi" w:cstheme="minorHAnsi"/>
          <w:color w:val="000000" w:themeColor="text1"/>
          <w:sz w:val="20"/>
          <w:szCs w:val="20"/>
          <w:shd w:val="clear" w:color="auto" w:fill="FFFFFF"/>
        </w:rPr>
      </w:pPr>
    </w:p>
    <w:p w:rsidR="00D840C5" w:rsidRDefault="00F976A5" w:rsidP="00D840C5">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Il declino del sistema immunitario nell'invecchiamento è caratterizzato da </w:t>
      </w:r>
    </w:p>
    <w:p w:rsidR="00F9498B" w:rsidRPr="00E565AE" w:rsidRDefault="00F9498B" w:rsidP="00D840C5">
      <w:pPr>
        <w:jc w:val="both"/>
        <w:rPr>
          <w:rFonts w:asciiTheme="minorHAnsi" w:hAnsiTheme="minorHAnsi" w:cstheme="minorHAnsi"/>
          <w:color w:val="000000" w:themeColor="text1"/>
          <w:sz w:val="20"/>
          <w:szCs w:val="20"/>
          <w:shd w:val="clear" w:color="auto" w:fill="FFFFFF"/>
        </w:rPr>
      </w:pPr>
    </w:p>
    <w:p w:rsidR="00D840C5" w:rsidRPr="00E565AE" w:rsidRDefault="00F976A5" w:rsidP="00D840C5">
      <w:pPr>
        <w:pStyle w:val="ListParagraph"/>
        <w:numPr>
          <w:ilvl w:val="0"/>
          <w:numId w:val="26"/>
        </w:num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uno </w:t>
      </w:r>
      <w:r w:rsidRPr="00E565AE">
        <w:rPr>
          <w:rFonts w:asciiTheme="minorHAnsi" w:hAnsiTheme="minorHAnsi" w:cstheme="minorHAnsi"/>
          <w:b/>
          <w:bCs/>
          <w:color w:val="000000" w:themeColor="text1"/>
          <w:sz w:val="20"/>
          <w:szCs w:val="20"/>
          <w:shd w:val="clear" w:color="auto" w:fill="FFFFFF"/>
        </w:rPr>
        <w:t>spostamento da un fenotipo di cellula T naïve a quella della memoria</w:t>
      </w:r>
      <w:r w:rsidRPr="00E565AE">
        <w:rPr>
          <w:rFonts w:asciiTheme="minorHAnsi" w:hAnsiTheme="minorHAnsi" w:cstheme="minorHAnsi"/>
          <w:color w:val="000000" w:themeColor="text1"/>
          <w:sz w:val="20"/>
          <w:szCs w:val="20"/>
          <w:shd w:val="clear" w:color="auto" w:fill="FFFFFF"/>
        </w:rPr>
        <w:t xml:space="preserve">, </w:t>
      </w:r>
    </w:p>
    <w:p w:rsidR="00D840C5" w:rsidRPr="00E565AE" w:rsidRDefault="00F976A5" w:rsidP="00D840C5">
      <w:pPr>
        <w:pStyle w:val="ListParagraph"/>
        <w:numPr>
          <w:ilvl w:val="0"/>
          <w:numId w:val="26"/>
        </w:num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un </w:t>
      </w:r>
      <w:r w:rsidRPr="00E565AE">
        <w:rPr>
          <w:rFonts w:asciiTheme="minorHAnsi" w:hAnsiTheme="minorHAnsi" w:cstheme="minorHAnsi"/>
          <w:b/>
          <w:bCs/>
          <w:color w:val="000000" w:themeColor="text1"/>
          <w:sz w:val="20"/>
          <w:szCs w:val="20"/>
          <w:shd w:val="clear" w:color="auto" w:fill="FFFFFF"/>
        </w:rPr>
        <w:t>profilo di citochine di tipo 1 a tipo 2</w:t>
      </w:r>
      <w:r w:rsidR="00D96A72" w:rsidRPr="00E565AE">
        <w:rPr>
          <w:rFonts w:asciiTheme="minorHAnsi" w:hAnsiTheme="minorHAnsi" w:cstheme="minorHAnsi"/>
          <w:b/>
          <w:bCs/>
          <w:color w:val="000000" w:themeColor="text1"/>
          <w:sz w:val="20"/>
          <w:szCs w:val="20"/>
          <w:shd w:val="clear" w:color="auto" w:fill="FFFFFF"/>
        </w:rPr>
        <w:t xml:space="preserve"> </w:t>
      </w:r>
      <w:r w:rsidR="00D96A72" w:rsidRPr="00E565AE">
        <w:rPr>
          <w:rStyle w:val="FootnoteReference"/>
          <w:rFonts w:asciiTheme="minorHAnsi" w:hAnsiTheme="minorHAnsi" w:cstheme="minorHAnsi"/>
          <w:color w:val="000000" w:themeColor="text1"/>
          <w:sz w:val="20"/>
          <w:szCs w:val="20"/>
          <w:shd w:val="clear" w:color="auto" w:fill="FFFFFF"/>
        </w:rPr>
        <w:footnoteReference w:id="202"/>
      </w:r>
      <w:r w:rsidRPr="00E565AE">
        <w:rPr>
          <w:rFonts w:asciiTheme="minorHAnsi" w:hAnsiTheme="minorHAnsi" w:cstheme="minorHAnsi"/>
          <w:color w:val="000000" w:themeColor="text1"/>
          <w:sz w:val="20"/>
          <w:szCs w:val="20"/>
          <w:shd w:val="clear" w:color="auto" w:fill="FFFFFF"/>
        </w:rPr>
        <w:t xml:space="preserve">, </w:t>
      </w:r>
    </w:p>
    <w:p w:rsidR="00D840C5" w:rsidRPr="00E565AE" w:rsidRDefault="00F976A5" w:rsidP="00D840C5">
      <w:pPr>
        <w:pStyle w:val="ListParagraph"/>
        <w:numPr>
          <w:ilvl w:val="0"/>
          <w:numId w:val="26"/>
        </w:num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un’</w:t>
      </w:r>
      <w:r w:rsidRPr="00E565AE">
        <w:rPr>
          <w:rFonts w:asciiTheme="minorHAnsi" w:hAnsiTheme="minorHAnsi" w:cstheme="minorHAnsi"/>
          <w:b/>
          <w:bCs/>
          <w:color w:val="000000" w:themeColor="text1"/>
          <w:sz w:val="20"/>
          <w:szCs w:val="20"/>
          <w:shd w:val="clear" w:color="auto" w:fill="FFFFFF"/>
        </w:rPr>
        <w:t>immunità umorale poco efficiente</w:t>
      </w:r>
      <w:r w:rsidRPr="00E565AE">
        <w:rPr>
          <w:rFonts w:asciiTheme="minorHAnsi" w:hAnsiTheme="minorHAnsi" w:cstheme="minorHAnsi"/>
          <w:color w:val="000000" w:themeColor="text1"/>
          <w:sz w:val="20"/>
          <w:szCs w:val="20"/>
          <w:shd w:val="clear" w:color="auto" w:fill="FFFFFF"/>
        </w:rPr>
        <w:t xml:space="preserve"> </w:t>
      </w:r>
    </w:p>
    <w:p w:rsidR="00FD321C" w:rsidRPr="00E565AE" w:rsidRDefault="00F976A5" w:rsidP="00D840C5">
      <w:pPr>
        <w:pStyle w:val="ListParagraph"/>
        <w:numPr>
          <w:ilvl w:val="0"/>
          <w:numId w:val="26"/>
        </w:num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un </w:t>
      </w:r>
      <w:r w:rsidRPr="00E565AE">
        <w:rPr>
          <w:rFonts w:asciiTheme="minorHAnsi" w:hAnsiTheme="minorHAnsi" w:cstheme="minorHAnsi"/>
          <w:b/>
          <w:bCs/>
          <w:color w:val="000000" w:themeColor="text1"/>
          <w:sz w:val="20"/>
          <w:szCs w:val="20"/>
          <w:shd w:val="clear" w:color="auto" w:fill="FFFFFF"/>
        </w:rPr>
        <w:t>aumento del grado di maturazione delle cellule T</w:t>
      </w:r>
      <w:r w:rsidRPr="00E565AE">
        <w:rPr>
          <w:rFonts w:asciiTheme="minorHAnsi" w:hAnsiTheme="minorHAnsi" w:cstheme="minorHAnsi"/>
          <w:color w:val="000000" w:themeColor="text1"/>
          <w:sz w:val="20"/>
          <w:szCs w:val="20"/>
          <w:shd w:val="clear" w:color="auto" w:fill="FFFFFF"/>
        </w:rPr>
        <w:t>.</w:t>
      </w:r>
    </w:p>
    <w:p w:rsidR="00FD321C" w:rsidRPr="00E565AE" w:rsidRDefault="00FD321C" w:rsidP="00D727E0">
      <w:pPr>
        <w:jc w:val="both"/>
        <w:rPr>
          <w:rFonts w:asciiTheme="minorHAnsi" w:hAnsiTheme="minorHAnsi" w:cstheme="minorHAnsi"/>
          <w:color w:val="000000" w:themeColor="text1"/>
          <w:sz w:val="20"/>
          <w:szCs w:val="20"/>
          <w:shd w:val="clear" w:color="auto" w:fill="FFFFFF"/>
        </w:rPr>
      </w:pPr>
    </w:p>
    <w:p w:rsidR="00D840C5" w:rsidRDefault="00F976A5" w:rsidP="00D727E0">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Altre importanti caratteristiche delle cellule senescenti sono: </w:t>
      </w:r>
    </w:p>
    <w:p w:rsidR="00F9498B" w:rsidRPr="00E565AE" w:rsidRDefault="00F9498B" w:rsidP="00D727E0">
      <w:pPr>
        <w:jc w:val="both"/>
        <w:rPr>
          <w:rFonts w:asciiTheme="minorHAnsi" w:hAnsiTheme="minorHAnsi" w:cstheme="minorHAnsi"/>
          <w:color w:val="000000" w:themeColor="text1"/>
          <w:sz w:val="20"/>
          <w:szCs w:val="20"/>
          <w:shd w:val="clear" w:color="auto" w:fill="FFFFFF"/>
        </w:rPr>
      </w:pPr>
    </w:p>
    <w:p w:rsidR="00D840C5" w:rsidRPr="00E565AE" w:rsidRDefault="00F976A5" w:rsidP="00D840C5">
      <w:pPr>
        <w:pStyle w:val="ListParagraph"/>
        <w:numPr>
          <w:ilvl w:val="0"/>
          <w:numId w:val="27"/>
        </w:num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l'</w:t>
      </w:r>
      <w:r w:rsidRPr="00E565AE">
        <w:rPr>
          <w:rFonts w:asciiTheme="minorHAnsi" w:hAnsiTheme="minorHAnsi" w:cstheme="minorHAnsi"/>
          <w:b/>
          <w:bCs/>
          <w:color w:val="000000" w:themeColor="text1"/>
          <w:sz w:val="20"/>
          <w:szCs w:val="20"/>
          <w:shd w:val="clear" w:color="auto" w:fill="FFFFFF"/>
        </w:rPr>
        <w:t xml:space="preserve">accorciamento dei telomeri </w:t>
      </w:r>
      <w:r w:rsidRPr="00E565AE">
        <w:rPr>
          <w:rFonts w:asciiTheme="minorHAnsi" w:hAnsiTheme="minorHAnsi" w:cstheme="minorHAnsi"/>
          <w:color w:val="000000" w:themeColor="text1"/>
          <w:sz w:val="20"/>
          <w:szCs w:val="20"/>
          <w:shd w:val="clear" w:color="auto" w:fill="FFFFFF"/>
        </w:rPr>
        <w:t xml:space="preserve">che accompagna ogni ciclo di proliferazione, portando all’arresto della divisione cellulare o alla "senescenza replicativa"; </w:t>
      </w:r>
    </w:p>
    <w:p w:rsidR="00D840C5" w:rsidRPr="00E565AE" w:rsidRDefault="00F976A5" w:rsidP="00D840C5">
      <w:pPr>
        <w:pStyle w:val="ListParagraph"/>
        <w:numPr>
          <w:ilvl w:val="0"/>
          <w:numId w:val="27"/>
        </w:num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un </w:t>
      </w:r>
      <w:r w:rsidRPr="00E565AE">
        <w:rPr>
          <w:rFonts w:asciiTheme="minorHAnsi" w:hAnsiTheme="minorHAnsi" w:cstheme="minorHAnsi"/>
          <w:b/>
          <w:bCs/>
          <w:color w:val="000000" w:themeColor="text1"/>
          <w:sz w:val="20"/>
          <w:szCs w:val="20"/>
          <w:shd w:val="clear" w:color="auto" w:fill="FFFFFF"/>
        </w:rPr>
        <w:t xml:space="preserve">aumento della disfunzione mitocondriale </w:t>
      </w:r>
      <w:r w:rsidRPr="00E565AE">
        <w:rPr>
          <w:rFonts w:asciiTheme="minorHAnsi" w:hAnsiTheme="minorHAnsi" w:cstheme="minorHAnsi"/>
          <w:color w:val="000000" w:themeColor="text1"/>
          <w:sz w:val="20"/>
          <w:szCs w:val="20"/>
          <w:shd w:val="clear" w:color="auto" w:fill="FFFFFF"/>
        </w:rPr>
        <w:t xml:space="preserve">e delle specie reattive dell'ossigeno; </w:t>
      </w:r>
    </w:p>
    <w:p w:rsidR="00D840C5" w:rsidRPr="00E565AE" w:rsidRDefault="00F976A5" w:rsidP="00D840C5">
      <w:pPr>
        <w:pStyle w:val="ListParagraph"/>
        <w:numPr>
          <w:ilvl w:val="0"/>
          <w:numId w:val="27"/>
        </w:num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t xml:space="preserve">un </w:t>
      </w:r>
      <w:r w:rsidRPr="00E565AE">
        <w:rPr>
          <w:rFonts w:asciiTheme="minorHAnsi" w:hAnsiTheme="minorHAnsi" w:cstheme="minorHAnsi"/>
          <w:b/>
          <w:bCs/>
          <w:color w:val="000000" w:themeColor="text1"/>
          <w:sz w:val="20"/>
          <w:szCs w:val="20"/>
          <w:shd w:val="clear" w:color="auto" w:fill="FFFFFF"/>
        </w:rPr>
        <w:t>fenotipo secretorio associato alla senescenza (SASP)</w:t>
      </w:r>
      <w:r w:rsidRPr="00E565AE">
        <w:rPr>
          <w:rFonts w:asciiTheme="minorHAnsi" w:hAnsiTheme="minorHAnsi" w:cstheme="minorHAnsi"/>
          <w:color w:val="000000" w:themeColor="text1"/>
          <w:sz w:val="20"/>
          <w:szCs w:val="20"/>
          <w:shd w:val="clear" w:color="auto" w:fill="FFFFFF"/>
        </w:rPr>
        <w:t>, definito come la secrezione di citochine pro-infiammatorie, chemochine e proteasi da parte delle cellule senescenti.</w:t>
      </w:r>
      <w:r w:rsidR="00D96A72" w:rsidRPr="00E565AE">
        <w:rPr>
          <w:rStyle w:val="FootnoteReference"/>
          <w:rFonts w:asciiTheme="minorHAnsi" w:hAnsiTheme="minorHAnsi" w:cstheme="minorHAnsi"/>
          <w:color w:val="000000" w:themeColor="text1"/>
          <w:sz w:val="20"/>
          <w:szCs w:val="20"/>
          <w:shd w:val="clear" w:color="auto" w:fill="FFFFFF"/>
        </w:rPr>
        <w:footnoteReference w:id="203"/>
      </w:r>
      <w:r w:rsidRPr="00E565AE">
        <w:rPr>
          <w:rFonts w:asciiTheme="minorHAnsi" w:hAnsiTheme="minorHAnsi" w:cstheme="minorHAnsi"/>
          <w:color w:val="000000" w:themeColor="text1"/>
          <w:sz w:val="20"/>
          <w:szCs w:val="20"/>
          <w:shd w:val="clear" w:color="auto" w:fill="FFFFFF"/>
        </w:rPr>
        <w:t xml:space="preserve"> </w:t>
      </w:r>
    </w:p>
    <w:p w:rsidR="00FD321C" w:rsidRDefault="00F976A5" w:rsidP="00D840C5">
      <w:pPr>
        <w:jc w:val="both"/>
        <w:rPr>
          <w:rFonts w:asciiTheme="minorHAnsi" w:hAnsiTheme="minorHAnsi" w:cstheme="minorHAnsi"/>
          <w:color w:val="000000" w:themeColor="text1"/>
          <w:sz w:val="20"/>
          <w:szCs w:val="20"/>
          <w:shd w:val="clear" w:color="auto" w:fill="FFFFFF"/>
        </w:rPr>
      </w:pPr>
      <w:r w:rsidRPr="00E565AE">
        <w:rPr>
          <w:rFonts w:asciiTheme="minorHAnsi" w:hAnsiTheme="minorHAnsi" w:cstheme="minorHAnsi"/>
          <w:color w:val="000000" w:themeColor="text1"/>
          <w:sz w:val="20"/>
          <w:szCs w:val="20"/>
          <w:shd w:val="clear" w:color="auto" w:fill="FFFFFF"/>
        </w:rPr>
        <w:lastRenderedPageBreak/>
        <w:t xml:space="preserve">Queste caratteristiche hanno un impatto sulle cellule attive durante la fase di mitosi portando alla </w:t>
      </w:r>
      <w:r w:rsidRPr="00F9498B">
        <w:rPr>
          <w:rFonts w:asciiTheme="minorHAnsi" w:hAnsiTheme="minorHAnsi" w:cstheme="minorHAnsi"/>
          <w:b/>
          <w:bCs/>
          <w:color w:val="000000" w:themeColor="text1"/>
          <w:sz w:val="20"/>
          <w:szCs w:val="20"/>
          <w:shd w:val="clear" w:color="auto" w:fill="FFFFFF"/>
        </w:rPr>
        <w:t>deplezione o all</w:t>
      </w:r>
      <w:r w:rsidR="00D727E0" w:rsidRPr="00F9498B">
        <w:rPr>
          <w:rFonts w:asciiTheme="minorHAnsi" w:hAnsiTheme="minorHAnsi" w:cstheme="minorHAnsi"/>
          <w:b/>
          <w:bCs/>
          <w:color w:val="000000" w:themeColor="text1"/>
          <w:sz w:val="20"/>
          <w:szCs w:val="20"/>
          <w:shd w:val="clear" w:color="auto" w:fill="FFFFFF"/>
        </w:rPr>
        <w:t xml:space="preserve">’arresto della </w:t>
      </w:r>
      <w:r w:rsidRPr="00F9498B">
        <w:rPr>
          <w:rFonts w:asciiTheme="minorHAnsi" w:hAnsiTheme="minorHAnsi" w:cstheme="minorHAnsi"/>
          <w:b/>
          <w:bCs/>
          <w:color w:val="000000" w:themeColor="text1"/>
          <w:sz w:val="20"/>
          <w:szCs w:val="20"/>
          <w:shd w:val="clear" w:color="auto" w:fill="FFFFFF"/>
        </w:rPr>
        <w:t>divisione</w:t>
      </w:r>
      <w:r w:rsidRPr="00E565AE">
        <w:rPr>
          <w:rFonts w:asciiTheme="minorHAnsi" w:hAnsiTheme="minorHAnsi" w:cstheme="minorHAnsi"/>
          <w:color w:val="000000" w:themeColor="text1"/>
          <w:sz w:val="20"/>
          <w:szCs w:val="20"/>
          <w:shd w:val="clear" w:color="auto" w:fill="FFFFFF"/>
        </w:rPr>
        <w:t xml:space="preserve"> (ad es. cellule staminali ematopoietiche - HSC o cellule T) e sulle cellule immunitarie post-mitotiche causandone la </w:t>
      </w:r>
      <w:r w:rsidRPr="00F9498B">
        <w:rPr>
          <w:rFonts w:asciiTheme="minorHAnsi" w:hAnsiTheme="minorHAnsi" w:cstheme="minorHAnsi"/>
          <w:b/>
          <w:bCs/>
          <w:color w:val="000000" w:themeColor="text1"/>
          <w:sz w:val="20"/>
          <w:szCs w:val="20"/>
          <w:shd w:val="clear" w:color="auto" w:fill="FFFFFF"/>
        </w:rPr>
        <w:t>disfunzione cellulare</w:t>
      </w:r>
      <w:r w:rsidRPr="00E565AE">
        <w:rPr>
          <w:rFonts w:asciiTheme="minorHAnsi" w:hAnsiTheme="minorHAnsi" w:cstheme="minorHAnsi"/>
          <w:color w:val="000000" w:themeColor="text1"/>
          <w:sz w:val="20"/>
          <w:szCs w:val="20"/>
          <w:shd w:val="clear" w:color="auto" w:fill="FFFFFF"/>
        </w:rPr>
        <w:t xml:space="preserve"> (ad es. neutrofili).</w:t>
      </w:r>
    </w:p>
    <w:p w:rsidR="00F9498B" w:rsidRPr="00E565AE" w:rsidRDefault="00F9498B" w:rsidP="00D840C5">
      <w:pPr>
        <w:jc w:val="both"/>
        <w:rPr>
          <w:rFonts w:asciiTheme="minorHAnsi" w:hAnsiTheme="minorHAnsi" w:cstheme="minorHAnsi"/>
          <w:color w:val="000000" w:themeColor="text1"/>
          <w:sz w:val="20"/>
          <w:szCs w:val="20"/>
          <w:shd w:val="clear" w:color="auto" w:fill="FFFFFF"/>
        </w:rPr>
      </w:pPr>
    </w:p>
    <w:p w:rsidR="00C567FA" w:rsidRPr="00E565AE" w:rsidRDefault="00C567FA" w:rsidP="00D727E0">
      <w:pPr>
        <w:jc w:val="center"/>
        <w:rPr>
          <w:rFonts w:asciiTheme="minorHAnsi" w:hAnsiTheme="minorHAnsi" w:cstheme="minorHAnsi"/>
          <w:color w:val="000000" w:themeColor="text1"/>
          <w:sz w:val="22"/>
          <w:szCs w:val="22"/>
        </w:rPr>
      </w:pPr>
      <w:r w:rsidRPr="00E565AE">
        <w:rPr>
          <w:rFonts w:asciiTheme="minorHAnsi" w:hAnsiTheme="minorHAnsi" w:cstheme="minorHAnsi"/>
          <w:noProof/>
          <w:color w:val="000000" w:themeColor="text1"/>
          <w:sz w:val="22"/>
          <w:szCs w:val="22"/>
        </w:rPr>
        <w:drawing>
          <wp:inline distT="0" distB="0" distL="0" distR="0">
            <wp:extent cx="5659707" cy="7209782"/>
            <wp:effectExtent l="0" t="0" r="5080" b="444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rmata 2020-05-31 alle 13.27.37.png"/>
                    <pic:cNvPicPr/>
                  </pic:nvPicPr>
                  <pic:blipFill>
                    <a:blip r:embed="rId162">
                      <a:extLst>
                        <a:ext uri="{28A0092B-C50C-407E-A947-70E740481C1C}">
                          <a14:useLocalDpi xmlns:a14="http://schemas.microsoft.com/office/drawing/2010/main" val="0"/>
                        </a:ext>
                      </a:extLst>
                    </a:blip>
                    <a:stretch>
                      <a:fillRect/>
                    </a:stretch>
                  </pic:blipFill>
                  <pic:spPr>
                    <a:xfrm>
                      <a:off x="0" y="0"/>
                      <a:ext cx="5718684" cy="7284912"/>
                    </a:xfrm>
                    <a:prstGeom prst="rect">
                      <a:avLst/>
                    </a:prstGeom>
                  </pic:spPr>
                </pic:pic>
              </a:graphicData>
            </a:graphic>
          </wp:inline>
        </w:drawing>
      </w:r>
    </w:p>
    <w:p w:rsidR="00C567FA" w:rsidRPr="00F9498B" w:rsidRDefault="00966CD2" w:rsidP="00F9498B">
      <w:pPr>
        <w:shd w:val="clear" w:color="auto" w:fill="F2F2F2" w:themeFill="background1" w:themeFillShade="F2"/>
        <w:jc w:val="both"/>
        <w:rPr>
          <w:rStyle w:val="Hyperlink"/>
          <w:rFonts w:asciiTheme="minorHAnsi" w:eastAsiaTheme="majorEastAsia" w:hAnsiTheme="minorHAnsi" w:cstheme="minorHAnsi"/>
          <w:color w:val="000000" w:themeColor="text1"/>
          <w:sz w:val="18"/>
          <w:szCs w:val="18"/>
          <w:u w:val="none"/>
        </w:rPr>
      </w:pPr>
      <w:r w:rsidRPr="00F9498B">
        <w:rPr>
          <w:rFonts w:asciiTheme="minorHAnsi" w:hAnsiTheme="minorHAnsi" w:cstheme="minorHAnsi"/>
          <w:color w:val="000000" w:themeColor="text1"/>
          <w:sz w:val="18"/>
          <w:szCs w:val="18"/>
        </w:rPr>
        <w:t xml:space="preserve">Tratta da </w:t>
      </w:r>
      <w:hyperlink r:id="rId163" w:history="1">
        <w:r w:rsidRPr="00F9498B">
          <w:rPr>
            <w:rStyle w:val="Hyperlink"/>
            <w:rFonts w:asciiTheme="minorHAnsi" w:eastAsiaTheme="majorEastAsia" w:hAnsiTheme="minorHAnsi" w:cstheme="minorHAnsi"/>
            <w:color w:val="000000" w:themeColor="text1"/>
            <w:sz w:val="18"/>
            <w:szCs w:val="18"/>
            <w:u w:val="none"/>
          </w:rPr>
          <w:t>https://www.ncbi.nlm.nih.gov/pmc/articles/PMC6943173/</w:t>
        </w:r>
      </w:hyperlink>
    </w:p>
    <w:p w:rsidR="00A93341" w:rsidRDefault="00A93341" w:rsidP="00D727E0">
      <w:pPr>
        <w:jc w:val="both"/>
        <w:rPr>
          <w:rStyle w:val="Hyperlink"/>
          <w:rFonts w:asciiTheme="minorHAnsi" w:eastAsiaTheme="majorEastAsia" w:hAnsiTheme="minorHAnsi" w:cstheme="minorHAnsi"/>
          <w:color w:val="000000" w:themeColor="text1"/>
          <w:sz w:val="16"/>
          <w:szCs w:val="16"/>
          <w:u w:val="none"/>
        </w:rPr>
      </w:pPr>
    </w:p>
    <w:p w:rsidR="00F9498B" w:rsidRDefault="00F9498B" w:rsidP="00D727E0">
      <w:pPr>
        <w:jc w:val="both"/>
        <w:rPr>
          <w:rStyle w:val="Hyperlink"/>
          <w:rFonts w:asciiTheme="minorHAnsi" w:eastAsiaTheme="majorEastAsia" w:hAnsiTheme="minorHAnsi" w:cstheme="minorHAnsi"/>
          <w:color w:val="000000" w:themeColor="text1"/>
          <w:sz w:val="16"/>
          <w:szCs w:val="16"/>
          <w:u w:val="none"/>
        </w:rPr>
      </w:pPr>
    </w:p>
    <w:p w:rsidR="00F9498B" w:rsidRDefault="00F9498B" w:rsidP="00D727E0">
      <w:pPr>
        <w:jc w:val="both"/>
        <w:rPr>
          <w:rStyle w:val="Hyperlink"/>
          <w:rFonts w:asciiTheme="minorHAnsi" w:eastAsiaTheme="majorEastAsia" w:hAnsiTheme="minorHAnsi" w:cstheme="minorHAnsi"/>
          <w:color w:val="000000" w:themeColor="text1"/>
          <w:sz w:val="16"/>
          <w:szCs w:val="16"/>
          <w:u w:val="none"/>
        </w:rPr>
      </w:pPr>
    </w:p>
    <w:p w:rsidR="00F9498B" w:rsidRDefault="00F9498B" w:rsidP="00D727E0">
      <w:pPr>
        <w:jc w:val="both"/>
        <w:rPr>
          <w:rStyle w:val="Hyperlink"/>
          <w:rFonts w:asciiTheme="minorHAnsi" w:eastAsiaTheme="majorEastAsia" w:hAnsiTheme="minorHAnsi" w:cstheme="minorHAnsi"/>
          <w:color w:val="000000" w:themeColor="text1"/>
          <w:sz w:val="16"/>
          <w:szCs w:val="16"/>
          <w:u w:val="none"/>
        </w:rPr>
      </w:pPr>
    </w:p>
    <w:p w:rsidR="00F9498B" w:rsidRDefault="00F9498B" w:rsidP="00D727E0">
      <w:pPr>
        <w:jc w:val="both"/>
        <w:rPr>
          <w:rStyle w:val="Hyperlink"/>
          <w:rFonts w:asciiTheme="minorHAnsi" w:eastAsiaTheme="majorEastAsia" w:hAnsiTheme="minorHAnsi" w:cstheme="minorHAnsi"/>
          <w:color w:val="000000" w:themeColor="text1"/>
          <w:sz w:val="16"/>
          <w:szCs w:val="16"/>
          <w:u w:val="none"/>
        </w:rPr>
      </w:pPr>
    </w:p>
    <w:p w:rsidR="00F9498B" w:rsidRDefault="00F9498B" w:rsidP="00D727E0">
      <w:pPr>
        <w:jc w:val="both"/>
        <w:rPr>
          <w:rStyle w:val="Hyperlink"/>
          <w:rFonts w:asciiTheme="minorHAnsi" w:eastAsiaTheme="majorEastAsia" w:hAnsiTheme="minorHAnsi" w:cstheme="minorHAnsi"/>
          <w:color w:val="000000" w:themeColor="text1"/>
          <w:sz w:val="16"/>
          <w:szCs w:val="16"/>
          <w:u w:val="none"/>
        </w:rPr>
      </w:pPr>
    </w:p>
    <w:p w:rsidR="00F9498B" w:rsidRDefault="00F9498B" w:rsidP="00D727E0">
      <w:pPr>
        <w:jc w:val="both"/>
        <w:rPr>
          <w:rStyle w:val="Hyperlink"/>
          <w:rFonts w:asciiTheme="minorHAnsi" w:eastAsiaTheme="majorEastAsia" w:hAnsiTheme="minorHAnsi" w:cstheme="minorHAnsi"/>
          <w:color w:val="000000" w:themeColor="text1"/>
          <w:sz w:val="16"/>
          <w:szCs w:val="16"/>
          <w:u w:val="none"/>
        </w:rPr>
      </w:pPr>
    </w:p>
    <w:p w:rsidR="00E5713A" w:rsidRDefault="00FD321C" w:rsidP="00D727E0">
      <w:pPr>
        <w:jc w:val="both"/>
        <w:rPr>
          <w:rFonts w:asciiTheme="minorHAnsi" w:hAnsiTheme="minorHAnsi" w:cstheme="minorHAnsi"/>
          <w:color w:val="C00000"/>
        </w:rPr>
      </w:pPr>
      <w:r w:rsidRPr="00F9498B">
        <w:rPr>
          <w:rFonts w:asciiTheme="minorHAnsi" w:hAnsiTheme="minorHAnsi" w:cstheme="minorHAnsi"/>
          <w:b/>
          <w:bCs/>
          <w:color w:val="C00000"/>
        </w:rPr>
        <w:lastRenderedPageBreak/>
        <w:t>Risposta alle infezioni e alle vaccinazioni</w:t>
      </w:r>
      <w:r w:rsidRPr="00F9498B">
        <w:rPr>
          <w:rFonts w:asciiTheme="minorHAnsi" w:hAnsiTheme="minorHAnsi" w:cstheme="minorHAnsi"/>
          <w:color w:val="C00000"/>
        </w:rPr>
        <w:t xml:space="preserve"> </w:t>
      </w:r>
      <w:r w:rsidRPr="00F9498B">
        <w:rPr>
          <w:rStyle w:val="FootnoteReference"/>
          <w:rFonts w:asciiTheme="minorHAnsi" w:hAnsiTheme="minorHAnsi" w:cstheme="minorHAnsi"/>
          <w:color w:val="C00000"/>
        </w:rPr>
        <w:footnoteReference w:id="204"/>
      </w:r>
      <w:r w:rsidR="00F9574E" w:rsidRPr="00F9498B">
        <w:rPr>
          <w:rFonts w:asciiTheme="minorHAnsi" w:hAnsiTheme="minorHAnsi" w:cstheme="minorHAnsi"/>
          <w:color w:val="C00000"/>
        </w:rPr>
        <w:t xml:space="preserve"> </w:t>
      </w:r>
    </w:p>
    <w:p w:rsidR="00F9498B" w:rsidRPr="00F9498B" w:rsidRDefault="00F9498B" w:rsidP="00D727E0">
      <w:pPr>
        <w:jc w:val="both"/>
        <w:rPr>
          <w:rFonts w:asciiTheme="minorHAnsi" w:hAnsiTheme="minorHAnsi" w:cstheme="minorHAnsi"/>
          <w:color w:val="C00000"/>
        </w:rPr>
      </w:pPr>
    </w:p>
    <w:p w:rsidR="00A93341" w:rsidRPr="00E565AE" w:rsidRDefault="002F0DE8"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Come già discusso</w:t>
      </w:r>
      <w:r w:rsidR="00DA16D4" w:rsidRPr="00E565AE">
        <w:rPr>
          <w:rFonts w:asciiTheme="minorHAnsi" w:hAnsiTheme="minorHAnsi" w:cstheme="minorHAnsi"/>
          <w:color w:val="000000" w:themeColor="text1"/>
          <w:sz w:val="20"/>
          <w:szCs w:val="20"/>
        </w:rPr>
        <w:t>, l</w:t>
      </w:r>
      <w:r w:rsidRPr="00E565AE">
        <w:rPr>
          <w:rFonts w:asciiTheme="minorHAnsi" w:hAnsiTheme="minorHAnsi" w:cstheme="minorHAnsi"/>
          <w:color w:val="000000" w:themeColor="text1"/>
          <w:sz w:val="20"/>
          <w:szCs w:val="20"/>
        </w:rPr>
        <w:t xml:space="preserve">'immunosenescenza è caratterizzata da un progressivo deterioramento del sistema immunitario associato all'invecchiamento. </w:t>
      </w:r>
    </w:p>
    <w:p w:rsidR="00A93341" w:rsidRPr="00E565AE" w:rsidRDefault="00A93341" w:rsidP="00D727E0">
      <w:pPr>
        <w:jc w:val="both"/>
        <w:rPr>
          <w:rFonts w:asciiTheme="minorHAnsi" w:hAnsiTheme="minorHAnsi" w:cstheme="minorHAnsi"/>
          <w:color w:val="000000" w:themeColor="text1"/>
          <w:sz w:val="20"/>
          <w:szCs w:val="20"/>
        </w:rPr>
      </w:pPr>
    </w:p>
    <w:p w:rsidR="00A93341" w:rsidRPr="00E565AE" w:rsidRDefault="002F0DE8"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Molteplici componenti del sistema immunitario innato e adattivo sperimentano cambiamenti legati all'invecchiamento, come l’alterazione del numero di cellule monocitiche e dendritiche circolanti, riduzione delle attività fagocitiche dei neutrofili, limitata diversità nel repertorio delle cellule B / T, esaurimento o deplezione delle cellule T, e produzione cronica di citochine infiammatorie (infiammaging). </w:t>
      </w:r>
    </w:p>
    <w:p w:rsidR="00A93341" w:rsidRPr="00E565AE" w:rsidRDefault="00A93341" w:rsidP="00D727E0">
      <w:pPr>
        <w:jc w:val="both"/>
        <w:rPr>
          <w:rFonts w:asciiTheme="minorHAnsi" w:hAnsiTheme="minorHAnsi" w:cstheme="minorHAnsi"/>
          <w:color w:val="000000" w:themeColor="text1"/>
          <w:sz w:val="20"/>
          <w:szCs w:val="20"/>
        </w:rPr>
      </w:pPr>
    </w:p>
    <w:p w:rsidR="00A93341" w:rsidRPr="00F9498B" w:rsidRDefault="00A93341" w:rsidP="00F9498B">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000000" w:themeColor="text1"/>
          <w:sz w:val="20"/>
          <w:szCs w:val="20"/>
        </w:rPr>
      </w:pPr>
    </w:p>
    <w:p w:rsidR="00A93341" w:rsidRPr="00F9498B" w:rsidRDefault="002F0DE8" w:rsidP="00F9498B">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000000" w:themeColor="text1"/>
          <w:sz w:val="20"/>
          <w:szCs w:val="20"/>
        </w:rPr>
      </w:pPr>
      <w:r w:rsidRPr="00F9498B">
        <w:rPr>
          <w:rFonts w:asciiTheme="minorHAnsi" w:hAnsiTheme="minorHAnsi" w:cstheme="minorHAnsi"/>
          <w:i/>
          <w:iCs/>
          <w:color w:val="000000" w:themeColor="text1"/>
          <w:sz w:val="20"/>
          <w:szCs w:val="20"/>
        </w:rPr>
        <w:t>Gli anziani hanno meno probabilità di beneficiare delle vaccinazioni come misure preventive contro le malattie infettive a causa dell'</w:t>
      </w:r>
      <w:r w:rsidRPr="00F9498B">
        <w:rPr>
          <w:rFonts w:asciiTheme="minorHAnsi" w:hAnsiTheme="minorHAnsi" w:cstheme="minorHAnsi"/>
          <w:b/>
          <w:bCs/>
          <w:i/>
          <w:iCs/>
          <w:color w:val="000000" w:themeColor="text1"/>
          <w:sz w:val="20"/>
          <w:szCs w:val="20"/>
        </w:rPr>
        <w:t>incapacità del sistema immunitario di attivare una difesa efficace</w:t>
      </w:r>
      <w:r w:rsidRPr="00F9498B">
        <w:rPr>
          <w:rFonts w:asciiTheme="minorHAnsi" w:hAnsiTheme="minorHAnsi" w:cstheme="minorHAnsi"/>
          <w:i/>
          <w:iCs/>
          <w:color w:val="000000" w:themeColor="text1"/>
          <w:sz w:val="20"/>
          <w:szCs w:val="20"/>
        </w:rPr>
        <w:t xml:space="preserve">. </w:t>
      </w:r>
    </w:p>
    <w:p w:rsidR="00A93341" w:rsidRPr="00F9498B" w:rsidRDefault="00A93341" w:rsidP="00F9498B">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000000" w:themeColor="text1"/>
          <w:sz w:val="20"/>
          <w:szCs w:val="20"/>
        </w:rPr>
      </w:pPr>
    </w:p>
    <w:p w:rsidR="002F0DE8" w:rsidRPr="00F9498B" w:rsidRDefault="002F0DE8" w:rsidP="00F9498B">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000000" w:themeColor="text1"/>
          <w:sz w:val="20"/>
          <w:szCs w:val="20"/>
        </w:rPr>
      </w:pPr>
      <w:r w:rsidRPr="00F9498B">
        <w:rPr>
          <w:rFonts w:asciiTheme="minorHAnsi" w:hAnsiTheme="minorHAnsi" w:cstheme="minorHAnsi"/>
          <w:i/>
          <w:iCs/>
          <w:color w:val="000000" w:themeColor="text1"/>
          <w:sz w:val="20"/>
          <w:szCs w:val="20"/>
        </w:rPr>
        <w:t xml:space="preserve">Pertanto, si </w:t>
      </w:r>
      <w:r w:rsidR="009040A4">
        <w:rPr>
          <w:rFonts w:asciiTheme="minorHAnsi" w:hAnsiTheme="minorHAnsi" w:cstheme="minorHAnsi"/>
          <w:i/>
          <w:iCs/>
          <w:color w:val="000000" w:themeColor="text1"/>
          <w:sz w:val="20"/>
          <w:szCs w:val="20"/>
        </w:rPr>
        <w:t>ritiene</w:t>
      </w:r>
      <w:r w:rsidRPr="00F9498B">
        <w:rPr>
          <w:rFonts w:asciiTheme="minorHAnsi" w:hAnsiTheme="minorHAnsi" w:cstheme="minorHAnsi"/>
          <w:i/>
          <w:iCs/>
          <w:color w:val="000000" w:themeColor="text1"/>
          <w:sz w:val="20"/>
          <w:szCs w:val="20"/>
        </w:rPr>
        <w:t xml:space="preserve"> che l'invecchiamento riduca l'efficacia dei vaccini</w:t>
      </w:r>
      <w:r w:rsidR="009040A4">
        <w:rPr>
          <w:rFonts w:asciiTheme="minorHAnsi" w:hAnsiTheme="minorHAnsi" w:cstheme="minorHAnsi"/>
          <w:i/>
          <w:iCs/>
          <w:color w:val="000000" w:themeColor="text1"/>
          <w:sz w:val="20"/>
          <w:szCs w:val="20"/>
        </w:rPr>
        <w:t xml:space="preserve"> in conseguenza di </w:t>
      </w:r>
      <w:r w:rsidRPr="00F9498B">
        <w:rPr>
          <w:rFonts w:asciiTheme="minorHAnsi" w:hAnsiTheme="minorHAnsi" w:cstheme="minorHAnsi"/>
          <w:i/>
          <w:iCs/>
          <w:color w:val="000000" w:themeColor="text1"/>
          <w:sz w:val="20"/>
          <w:szCs w:val="20"/>
        </w:rPr>
        <w:t>un declino associato all'età nell'immunogenicità indotta dalla vaccinazione.</w:t>
      </w:r>
    </w:p>
    <w:p w:rsidR="00A93341" w:rsidRPr="00F9498B" w:rsidRDefault="00A93341" w:rsidP="00F9498B">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000000" w:themeColor="text1"/>
          <w:sz w:val="20"/>
          <w:szCs w:val="20"/>
        </w:rPr>
      </w:pPr>
    </w:p>
    <w:p w:rsidR="00C844BC" w:rsidRPr="00E565AE" w:rsidRDefault="00C844BC" w:rsidP="001F5DBD">
      <w:pPr>
        <w:rPr>
          <w:rFonts w:asciiTheme="minorHAnsi" w:hAnsiTheme="minorHAnsi" w:cstheme="minorHAnsi"/>
          <w:color w:val="000000" w:themeColor="text1"/>
          <w:sz w:val="22"/>
          <w:szCs w:val="22"/>
        </w:rPr>
      </w:pPr>
    </w:p>
    <w:p w:rsidR="00A93341" w:rsidRPr="00E565AE" w:rsidRDefault="00A93341"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Come già visto, l</w:t>
      </w:r>
      <w:r w:rsidR="00C844BC" w:rsidRPr="00E565AE">
        <w:rPr>
          <w:rFonts w:asciiTheme="minorHAnsi" w:hAnsiTheme="minorHAnsi" w:cstheme="minorHAnsi"/>
          <w:color w:val="000000" w:themeColor="text1"/>
          <w:sz w:val="20"/>
          <w:szCs w:val="20"/>
        </w:rPr>
        <w:t xml:space="preserve">'influenza contribuisce in modo significativo alla morbilità e alla mortalità in tutto il mondo tra gli anziani. Si osservano maggiori complicanze e un numero più alto di ricoveri ospedalieri dovuti all'influenza stagionale tra le persone di età ≥65 anni rispetto ai soggetti più giovani e fino al 90% dei decessi correlati all'influenza si verificano nei gruppi di anziani. Pertanto, l'Organizzazione </w:t>
      </w:r>
      <w:r w:rsidRPr="00E565AE">
        <w:rPr>
          <w:rFonts w:asciiTheme="minorHAnsi" w:hAnsiTheme="minorHAnsi" w:cstheme="minorHAnsi"/>
          <w:color w:val="000000" w:themeColor="text1"/>
          <w:sz w:val="20"/>
          <w:szCs w:val="20"/>
        </w:rPr>
        <w:t>M</w:t>
      </w:r>
      <w:r w:rsidR="00C844BC" w:rsidRPr="00E565AE">
        <w:rPr>
          <w:rFonts w:asciiTheme="minorHAnsi" w:hAnsiTheme="minorHAnsi" w:cstheme="minorHAnsi"/>
          <w:color w:val="000000" w:themeColor="text1"/>
          <w:sz w:val="20"/>
          <w:szCs w:val="20"/>
        </w:rPr>
        <w:t xml:space="preserve">ondiale della </w:t>
      </w:r>
      <w:r w:rsidRPr="00E565AE">
        <w:rPr>
          <w:rFonts w:asciiTheme="minorHAnsi" w:hAnsiTheme="minorHAnsi" w:cstheme="minorHAnsi"/>
          <w:color w:val="000000" w:themeColor="text1"/>
          <w:sz w:val="20"/>
          <w:szCs w:val="20"/>
        </w:rPr>
        <w:t>S</w:t>
      </w:r>
      <w:r w:rsidR="00C844BC" w:rsidRPr="00E565AE">
        <w:rPr>
          <w:rFonts w:asciiTheme="minorHAnsi" w:hAnsiTheme="minorHAnsi" w:cstheme="minorHAnsi"/>
          <w:color w:val="000000" w:themeColor="text1"/>
          <w:sz w:val="20"/>
          <w:szCs w:val="20"/>
        </w:rPr>
        <w:t>anità raccomanda l'immunizzazione annuale contro l'influenza stagionale per le persone di età ≥65 anni</w:t>
      </w:r>
      <w:r w:rsidR="00F9498B">
        <w:rPr>
          <w:rFonts w:asciiTheme="minorHAnsi" w:hAnsiTheme="minorHAnsi" w:cstheme="minorHAnsi"/>
          <w:color w:val="000000" w:themeColor="text1"/>
          <w:sz w:val="20"/>
          <w:szCs w:val="20"/>
        </w:rPr>
        <w:t xml:space="preserve"> </w:t>
      </w:r>
      <w:r w:rsidR="00F9498B">
        <w:rPr>
          <w:rStyle w:val="FootnoteReference"/>
          <w:rFonts w:asciiTheme="minorHAnsi" w:hAnsiTheme="minorHAnsi" w:cstheme="minorHAnsi"/>
          <w:color w:val="000000" w:themeColor="text1"/>
          <w:sz w:val="20"/>
          <w:szCs w:val="20"/>
        </w:rPr>
        <w:footnoteReference w:id="205"/>
      </w:r>
      <w:r w:rsidR="00C844BC" w:rsidRPr="00E565AE">
        <w:rPr>
          <w:rFonts w:asciiTheme="minorHAnsi" w:hAnsiTheme="minorHAnsi" w:cstheme="minorHAnsi"/>
          <w:color w:val="000000" w:themeColor="text1"/>
          <w:sz w:val="20"/>
          <w:szCs w:val="20"/>
        </w:rPr>
        <w:t xml:space="preserve">. </w:t>
      </w:r>
    </w:p>
    <w:p w:rsidR="00A93341" w:rsidRPr="00E565AE" w:rsidRDefault="00A93341" w:rsidP="00D727E0">
      <w:pPr>
        <w:jc w:val="both"/>
        <w:rPr>
          <w:rFonts w:asciiTheme="minorHAnsi" w:hAnsiTheme="minorHAnsi" w:cstheme="minorHAnsi"/>
          <w:color w:val="000000" w:themeColor="text1"/>
          <w:sz w:val="20"/>
          <w:szCs w:val="20"/>
        </w:rPr>
      </w:pPr>
    </w:p>
    <w:p w:rsidR="00F9498B" w:rsidRDefault="00C844BC"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Tuttavia, l’inefficacia dei vaccini rimane un punto cruciale ad oggi non risolto, proprio a causa dell’immunosenescenza.</w:t>
      </w:r>
      <w:r w:rsidR="00047411" w:rsidRPr="00E565AE">
        <w:rPr>
          <w:rFonts w:asciiTheme="minorHAnsi" w:hAnsiTheme="minorHAnsi" w:cstheme="minorHAnsi"/>
          <w:color w:val="000000" w:themeColor="text1"/>
          <w:sz w:val="20"/>
          <w:szCs w:val="20"/>
        </w:rPr>
        <w:t xml:space="preserve"> </w:t>
      </w:r>
    </w:p>
    <w:p w:rsidR="00F9498B" w:rsidRDefault="00047411" w:rsidP="00D727E0">
      <w:pPr>
        <w:jc w:val="both"/>
        <w:rPr>
          <w:rFonts w:asciiTheme="minorHAnsi" w:hAnsiTheme="minorHAnsi" w:cstheme="minorHAnsi"/>
          <w:color w:val="000000" w:themeColor="text1"/>
          <w:sz w:val="20"/>
          <w:szCs w:val="20"/>
        </w:rPr>
      </w:pPr>
      <w:r w:rsidRPr="00E565AE">
        <w:rPr>
          <w:rStyle w:val="FootnoteReference"/>
          <w:rFonts w:asciiTheme="minorHAnsi" w:hAnsiTheme="minorHAnsi" w:cstheme="minorHAnsi"/>
          <w:color w:val="000000" w:themeColor="text1"/>
          <w:sz w:val="20"/>
          <w:szCs w:val="20"/>
        </w:rPr>
        <w:footnoteReference w:id="206"/>
      </w:r>
      <w:r w:rsidR="00A93341" w:rsidRPr="00E565AE">
        <w:rPr>
          <w:rFonts w:asciiTheme="minorHAnsi" w:hAnsiTheme="minorHAnsi" w:cstheme="minorHAnsi"/>
          <w:color w:val="000000" w:themeColor="text1"/>
          <w:sz w:val="20"/>
          <w:szCs w:val="20"/>
        </w:rPr>
        <w:t xml:space="preserve"> </w:t>
      </w:r>
    </w:p>
    <w:p w:rsidR="00C844BC" w:rsidRPr="00E565AE" w:rsidRDefault="00C844BC" w:rsidP="00D727E0">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Per quanto riguarda il rischio di danno da vaccino, in particolare del potenziamento della malattia in seguito alla reinfezione si rimanda al paragrafo: L’ADE DA VACCINO ANTINFLUENZALE.</w:t>
      </w:r>
    </w:p>
    <w:p w:rsidR="00A93341" w:rsidRPr="00E565AE" w:rsidRDefault="00A93341" w:rsidP="00D727E0">
      <w:pPr>
        <w:jc w:val="both"/>
        <w:rPr>
          <w:rFonts w:asciiTheme="minorHAnsi" w:hAnsiTheme="minorHAnsi" w:cstheme="minorHAnsi"/>
          <w:color w:val="000000" w:themeColor="text1"/>
          <w:sz w:val="20"/>
          <w:szCs w:val="20"/>
        </w:rPr>
      </w:pPr>
    </w:p>
    <w:p w:rsidR="005C2A43" w:rsidRPr="00E565AE" w:rsidRDefault="005C2A43" w:rsidP="00047411">
      <w:pPr>
        <w:jc w:val="center"/>
        <w:rPr>
          <w:rFonts w:asciiTheme="minorHAnsi" w:hAnsiTheme="minorHAnsi" w:cstheme="minorHAnsi"/>
          <w:color w:val="000000" w:themeColor="text1"/>
          <w:sz w:val="22"/>
          <w:szCs w:val="22"/>
        </w:rPr>
      </w:pPr>
      <w:r w:rsidRPr="00E565AE">
        <w:rPr>
          <w:rFonts w:asciiTheme="minorHAnsi" w:hAnsiTheme="minorHAnsi" w:cstheme="minorHAnsi"/>
          <w:noProof/>
          <w:color w:val="000000" w:themeColor="text1"/>
          <w:sz w:val="22"/>
          <w:szCs w:val="22"/>
        </w:rPr>
        <w:lastRenderedPageBreak/>
        <w:drawing>
          <wp:inline distT="0" distB="0" distL="0" distR="0" wp14:anchorId="0AB0D9EB" wp14:editId="3DA4C58B">
            <wp:extent cx="5975917" cy="4870938"/>
            <wp:effectExtent l="0" t="0" r="0" b="6350"/>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ta 2020-04-20 alle 17.39.09.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190829" cy="5046112"/>
                    </a:xfrm>
                    <a:prstGeom prst="rect">
                      <a:avLst/>
                    </a:prstGeom>
                  </pic:spPr>
                </pic:pic>
              </a:graphicData>
            </a:graphic>
          </wp:inline>
        </w:drawing>
      </w:r>
    </w:p>
    <w:p w:rsidR="00047411" w:rsidRPr="000C52AF" w:rsidRDefault="00047411" w:rsidP="000C52AF">
      <w:pPr>
        <w:shd w:val="clear" w:color="auto" w:fill="F2F2F2" w:themeFill="background1" w:themeFillShade="F2"/>
        <w:rPr>
          <w:rFonts w:asciiTheme="minorHAnsi" w:hAnsiTheme="minorHAnsi" w:cstheme="minorHAnsi"/>
          <w:color w:val="000000" w:themeColor="text1"/>
          <w:sz w:val="18"/>
          <w:szCs w:val="18"/>
        </w:rPr>
      </w:pPr>
      <w:r w:rsidRPr="000C52AF">
        <w:rPr>
          <w:rFonts w:asciiTheme="minorHAnsi" w:hAnsiTheme="minorHAnsi" w:cstheme="minorHAnsi"/>
          <w:color w:val="000000" w:themeColor="text1"/>
          <w:sz w:val="18"/>
          <w:szCs w:val="18"/>
        </w:rPr>
        <w:t xml:space="preserve">Tratta da </w:t>
      </w:r>
      <w:hyperlink r:id="rId165" w:history="1">
        <w:r w:rsidRPr="000C52AF">
          <w:rPr>
            <w:rStyle w:val="Hyperlink"/>
            <w:rFonts w:asciiTheme="minorHAnsi" w:hAnsiTheme="minorHAnsi" w:cstheme="minorHAnsi"/>
            <w:color w:val="000000" w:themeColor="text1"/>
            <w:sz w:val="18"/>
            <w:szCs w:val="18"/>
            <w:u w:val="none"/>
          </w:rPr>
          <w:t>https://www.ncbi.nlm.nih.gov/pmc/articles/PMC4707740/</w:t>
        </w:r>
      </w:hyperlink>
    </w:p>
    <w:p w:rsidR="005C2A43" w:rsidRPr="000C52AF" w:rsidRDefault="005C2A43" w:rsidP="000C52AF">
      <w:pPr>
        <w:shd w:val="clear" w:color="auto" w:fill="F2F2F2" w:themeFill="background1" w:themeFillShade="F2"/>
        <w:rPr>
          <w:rFonts w:asciiTheme="minorHAnsi" w:hAnsiTheme="minorHAnsi" w:cstheme="minorHAnsi"/>
          <w:color w:val="000000" w:themeColor="text1"/>
          <w:sz w:val="18"/>
          <w:szCs w:val="18"/>
        </w:rPr>
      </w:pPr>
      <w:r w:rsidRPr="000C52AF">
        <w:rPr>
          <w:rFonts w:asciiTheme="minorHAnsi" w:hAnsiTheme="minorHAnsi" w:cstheme="minorHAnsi"/>
          <w:b/>
          <w:bCs/>
          <w:color w:val="000000" w:themeColor="text1"/>
          <w:sz w:val="18"/>
          <w:szCs w:val="18"/>
        </w:rPr>
        <w:t>Risposta immunitaria all’influenza</w:t>
      </w:r>
      <w:r w:rsidR="00047411" w:rsidRPr="000C52AF">
        <w:rPr>
          <w:rFonts w:asciiTheme="minorHAnsi" w:hAnsiTheme="minorHAnsi" w:cstheme="minorHAnsi"/>
          <w:color w:val="000000" w:themeColor="text1"/>
          <w:sz w:val="18"/>
          <w:szCs w:val="18"/>
        </w:rPr>
        <w:t xml:space="preserve"> </w:t>
      </w:r>
      <w:r w:rsidRPr="000C52AF">
        <w:rPr>
          <w:rFonts w:asciiTheme="minorHAnsi" w:hAnsiTheme="minorHAnsi" w:cstheme="minorHAnsi"/>
          <w:b/>
          <w:bCs/>
          <w:color w:val="000000" w:themeColor="text1"/>
          <w:sz w:val="18"/>
          <w:szCs w:val="18"/>
        </w:rPr>
        <w:t>(a)</w:t>
      </w:r>
      <w:r w:rsidRPr="000C52AF">
        <w:rPr>
          <w:rFonts w:asciiTheme="minorHAnsi" w:hAnsiTheme="minorHAnsi" w:cstheme="minorHAnsi"/>
          <w:color w:val="000000" w:themeColor="text1"/>
          <w:sz w:val="18"/>
          <w:szCs w:val="18"/>
        </w:rPr>
        <w:t xml:space="preserve"> Le sette età della donna. </w:t>
      </w:r>
      <w:r w:rsidRPr="000C52AF">
        <w:rPr>
          <w:rFonts w:asciiTheme="minorHAnsi" w:hAnsiTheme="minorHAnsi" w:cstheme="minorHAnsi"/>
          <w:b/>
          <w:bCs/>
          <w:color w:val="000000" w:themeColor="text1"/>
          <w:sz w:val="18"/>
          <w:szCs w:val="18"/>
        </w:rPr>
        <w:t>(b)</w:t>
      </w:r>
      <w:r w:rsidRPr="000C52AF">
        <w:rPr>
          <w:rFonts w:asciiTheme="minorHAnsi" w:hAnsiTheme="minorHAnsi" w:cstheme="minorHAnsi"/>
          <w:color w:val="000000" w:themeColor="text1"/>
          <w:sz w:val="18"/>
          <w:szCs w:val="18"/>
        </w:rPr>
        <w:t xml:space="preserve"> Grafico schematico dei decessi in eccesso per influenza stagionale o pandemica nel corso della vita di un individuo rappresentato come numero di decessi per 1000 persone. Si noti che mentre la gravidanza aumenta il rischio di influenza grave, nelle pandemie gravi come il 1918/1919 ci furono anche morti in eccesso in giovani adulti precedentemente sani che non erano in gravidanza. </w:t>
      </w:r>
      <w:r w:rsidRPr="000C52AF">
        <w:rPr>
          <w:rFonts w:asciiTheme="minorHAnsi" w:hAnsiTheme="minorHAnsi" w:cstheme="minorHAnsi"/>
          <w:b/>
          <w:bCs/>
          <w:color w:val="000000" w:themeColor="text1"/>
          <w:sz w:val="18"/>
          <w:szCs w:val="18"/>
        </w:rPr>
        <w:t>(c)</w:t>
      </w:r>
      <w:r w:rsidRPr="000C52AF">
        <w:rPr>
          <w:rFonts w:asciiTheme="minorHAnsi" w:hAnsiTheme="minorHAnsi" w:cstheme="minorHAnsi"/>
          <w:color w:val="000000" w:themeColor="text1"/>
          <w:sz w:val="18"/>
          <w:szCs w:val="18"/>
        </w:rPr>
        <w:t xml:space="preserve"> Grafico schematico dei diversi bracci della risposta immunitaria all'influenza nel corso della vita di un individuo.</w:t>
      </w:r>
    </w:p>
    <w:p w:rsidR="005C2A43" w:rsidRPr="00E565AE" w:rsidRDefault="005C2A43" w:rsidP="001F5DBD">
      <w:pPr>
        <w:rPr>
          <w:rFonts w:asciiTheme="minorHAnsi" w:hAnsiTheme="minorHAnsi" w:cstheme="minorHAnsi"/>
          <w:color w:val="000000" w:themeColor="text1"/>
          <w:sz w:val="22"/>
          <w:szCs w:val="22"/>
        </w:rPr>
      </w:pPr>
    </w:p>
    <w:p w:rsidR="009D664F" w:rsidRPr="00E565AE" w:rsidRDefault="002F0DE8" w:rsidP="00047411">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Si riassumono in maniera schematica le </w:t>
      </w:r>
      <w:r w:rsidRPr="00E565AE">
        <w:rPr>
          <w:rFonts w:asciiTheme="minorHAnsi" w:hAnsiTheme="minorHAnsi" w:cstheme="minorHAnsi"/>
          <w:b/>
          <w:bCs/>
          <w:color w:val="000000" w:themeColor="text1"/>
          <w:sz w:val="20"/>
          <w:szCs w:val="20"/>
        </w:rPr>
        <w:t>alterazioni associate all’età</w:t>
      </w:r>
      <w:r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b/>
          <w:bCs/>
          <w:color w:val="000000" w:themeColor="text1"/>
          <w:sz w:val="20"/>
          <w:szCs w:val="20"/>
        </w:rPr>
        <w:t>delle cellule immunitarie</w:t>
      </w:r>
      <w:r w:rsidRPr="00E565AE">
        <w:rPr>
          <w:rFonts w:asciiTheme="minorHAnsi" w:hAnsiTheme="minorHAnsi" w:cstheme="minorHAnsi"/>
          <w:color w:val="000000" w:themeColor="text1"/>
          <w:sz w:val="20"/>
          <w:szCs w:val="20"/>
        </w:rPr>
        <w:t xml:space="preserve"> </w:t>
      </w:r>
      <w:r w:rsidR="002F30AD" w:rsidRPr="00E565AE">
        <w:rPr>
          <w:rFonts w:asciiTheme="minorHAnsi" w:hAnsiTheme="minorHAnsi" w:cstheme="minorHAnsi"/>
          <w:color w:val="000000" w:themeColor="text1"/>
          <w:sz w:val="20"/>
          <w:szCs w:val="20"/>
        </w:rPr>
        <w:t>e come tali alterazioni influiscono sulla risposta alle infezioni e alle vaccinazioni:</w:t>
      </w:r>
      <w:r w:rsidR="00047411" w:rsidRPr="00E565AE">
        <w:rPr>
          <w:rFonts w:asciiTheme="minorHAnsi" w:hAnsiTheme="minorHAnsi" w:cstheme="minorHAnsi"/>
          <w:color w:val="000000" w:themeColor="text1"/>
          <w:sz w:val="20"/>
          <w:szCs w:val="20"/>
        </w:rPr>
        <w:t xml:space="preserve"> </w:t>
      </w:r>
      <w:r w:rsidR="00047411" w:rsidRPr="00E565AE">
        <w:rPr>
          <w:rStyle w:val="FootnoteReference"/>
          <w:rFonts w:asciiTheme="minorHAnsi" w:hAnsiTheme="minorHAnsi" w:cstheme="minorHAnsi"/>
          <w:color w:val="000000" w:themeColor="text1"/>
          <w:sz w:val="20"/>
          <w:szCs w:val="20"/>
        </w:rPr>
        <w:footnoteReference w:id="207"/>
      </w:r>
    </w:p>
    <w:p w:rsidR="00047411" w:rsidRPr="00E565AE" w:rsidRDefault="00047411" w:rsidP="00047411">
      <w:pPr>
        <w:jc w:val="both"/>
        <w:rPr>
          <w:rFonts w:asciiTheme="minorHAnsi" w:hAnsiTheme="minorHAnsi" w:cstheme="minorHAnsi"/>
          <w:color w:val="000000" w:themeColor="text1"/>
          <w:sz w:val="20"/>
          <w:szCs w:val="20"/>
        </w:rPr>
      </w:pPr>
    </w:p>
    <w:p w:rsidR="002F0DE8" w:rsidRPr="000C52AF" w:rsidRDefault="009D664F" w:rsidP="00047411">
      <w:pPr>
        <w:jc w:val="both"/>
        <w:rPr>
          <w:rFonts w:asciiTheme="minorHAnsi" w:hAnsiTheme="minorHAnsi" w:cstheme="minorHAnsi"/>
          <w:b/>
          <w:bCs/>
          <w:i/>
          <w:iCs/>
          <w:color w:val="C00000"/>
          <w:sz w:val="20"/>
          <w:szCs w:val="20"/>
        </w:rPr>
      </w:pPr>
      <w:r w:rsidRPr="000C52AF">
        <w:rPr>
          <w:rFonts w:asciiTheme="minorHAnsi" w:hAnsiTheme="minorHAnsi" w:cstheme="minorHAnsi"/>
          <w:b/>
          <w:bCs/>
          <w:i/>
          <w:iCs/>
          <w:color w:val="C00000"/>
          <w:sz w:val="20"/>
          <w:szCs w:val="20"/>
        </w:rPr>
        <w:t xml:space="preserve">Immunità </w:t>
      </w:r>
      <w:r w:rsidR="002F0DE8" w:rsidRPr="000C52AF">
        <w:rPr>
          <w:rFonts w:asciiTheme="minorHAnsi" w:hAnsiTheme="minorHAnsi" w:cstheme="minorHAnsi"/>
          <w:b/>
          <w:bCs/>
          <w:i/>
          <w:iCs/>
          <w:color w:val="C00000"/>
          <w:sz w:val="20"/>
          <w:szCs w:val="20"/>
        </w:rPr>
        <w:t>innat</w:t>
      </w:r>
      <w:r w:rsidRPr="000C52AF">
        <w:rPr>
          <w:rFonts w:asciiTheme="minorHAnsi" w:hAnsiTheme="minorHAnsi" w:cstheme="minorHAnsi"/>
          <w:b/>
          <w:bCs/>
          <w:i/>
          <w:iCs/>
          <w:color w:val="C00000"/>
          <w:sz w:val="20"/>
          <w:szCs w:val="20"/>
        </w:rPr>
        <w:t>a</w:t>
      </w:r>
      <w:r w:rsidR="002F0DE8" w:rsidRPr="000C52AF">
        <w:rPr>
          <w:rFonts w:asciiTheme="minorHAnsi" w:hAnsiTheme="minorHAnsi" w:cstheme="minorHAnsi"/>
          <w:b/>
          <w:bCs/>
          <w:i/>
          <w:iCs/>
          <w:color w:val="C00000"/>
          <w:sz w:val="20"/>
          <w:szCs w:val="20"/>
        </w:rPr>
        <w:t>:</w:t>
      </w:r>
    </w:p>
    <w:p w:rsidR="002F0DE8" w:rsidRPr="00E565AE" w:rsidRDefault="002F0DE8" w:rsidP="00DA16D4">
      <w:pPr>
        <w:ind w:left="851" w:hanging="851"/>
        <w:jc w:val="both"/>
        <w:rPr>
          <w:rFonts w:asciiTheme="minorHAnsi" w:hAnsiTheme="minorHAnsi" w:cstheme="minorHAnsi"/>
          <w:color w:val="000000" w:themeColor="text1"/>
          <w:sz w:val="20"/>
          <w:szCs w:val="20"/>
        </w:rPr>
      </w:pPr>
      <w:r w:rsidRPr="000C52AF">
        <w:rPr>
          <w:rFonts w:asciiTheme="minorHAnsi" w:hAnsiTheme="minorHAnsi" w:cstheme="minorHAnsi"/>
          <w:b/>
          <w:bCs/>
          <w:color w:val="000000" w:themeColor="text1"/>
          <w:sz w:val="20"/>
          <w:szCs w:val="20"/>
          <w:u w:val="single"/>
          <w:shd w:val="clear" w:color="auto" w:fill="FBF9E1"/>
        </w:rPr>
        <w:t>Recettori</w:t>
      </w:r>
      <w:r w:rsidRPr="000C52AF">
        <w:rPr>
          <w:rFonts w:asciiTheme="minorHAnsi" w:hAnsiTheme="minorHAnsi" w:cstheme="minorHAnsi"/>
          <w:color w:val="000000" w:themeColor="text1"/>
          <w:sz w:val="20"/>
          <w:szCs w:val="20"/>
          <w:shd w:val="clear" w:color="auto" w:fill="FBF9E1"/>
        </w:rPr>
        <w:t>:</w:t>
      </w:r>
      <w:r w:rsidRPr="00E565AE">
        <w:rPr>
          <w:rFonts w:asciiTheme="minorHAnsi" w:hAnsiTheme="minorHAnsi" w:cstheme="minorHAnsi"/>
          <w:color w:val="000000" w:themeColor="text1"/>
          <w:sz w:val="20"/>
          <w:szCs w:val="20"/>
        </w:rPr>
        <w:t xml:space="preserve"> </w:t>
      </w:r>
      <w:r w:rsidR="00381355" w:rsidRPr="00E565AE">
        <w:rPr>
          <w:rFonts w:asciiTheme="minorHAnsi" w:hAnsiTheme="minorHAnsi" w:cstheme="minorHAnsi"/>
          <w:color w:val="000000" w:themeColor="text1"/>
          <w:sz w:val="20"/>
          <w:szCs w:val="20"/>
        </w:rPr>
        <w:t xml:space="preserve">I TLR svolgono un ruolo chiave nel sistema immunitario innato come regolatori contro le infezioni microbiche. La loro espressione e funzione nei monociti </w:t>
      </w:r>
      <w:r w:rsidR="00381355" w:rsidRPr="000C52AF">
        <w:rPr>
          <w:rFonts w:asciiTheme="minorHAnsi" w:hAnsiTheme="minorHAnsi" w:cstheme="minorHAnsi"/>
          <w:color w:val="C00000"/>
          <w:sz w:val="20"/>
          <w:szCs w:val="20"/>
          <w:vertAlign w:val="superscript"/>
        </w:rPr>
        <w:t>(9)</w:t>
      </w:r>
      <w:r w:rsidR="00381355" w:rsidRPr="00E565AE">
        <w:rPr>
          <w:rFonts w:asciiTheme="minorHAnsi" w:hAnsiTheme="minorHAnsi" w:cstheme="minorHAnsi"/>
          <w:color w:val="000000" w:themeColor="text1"/>
          <w:sz w:val="20"/>
          <w:szCs w:val="20"/>
        </w:rPr>
        <w:t xml:space="preserve">, DC </w:t>
      </w:r>
      <w:r w:rsidR="00381355" w:rsidRPr="000C52AF">
        <w:rPr>
          <w:rFonts w:asciiTheme="minorHAnsi" w:hAnsiTheme="minorHAnsi" w:cstheme="minorHAnsi"/>
          <w:color w:val="C00000"/>
          <w:sz w:val="20"/>
          <w:szCs w:val="20"/>
          <w:vertAlign w:val="superscript"/>
        </w:rPr>
        <w:t>(10)</w:t>
      </w:r>
      <w:r w:rsidR="00381355" w:rsidRPr="000C52AF">
        <w:rPr>
          <w:rFonts w:asciiTheme="minorHAnsi" w:hAnsiTheme="minorHAnsi" w:cstheme="minorHAnsi"/>
          <w:color w:val="C00000"/>
          <w:sz w:val="20"/>
          <w:szCs w:val="20"/>
        </w:rPr>
        <w:t xml:space="preserve"> </w:t>
      </w:r>
      <w:r w:rsidR="00381355" w:rsidRPr="00E565AE">
        <w:rPr>
          <w:rFonts w:asciiTheme="minorHAnsi" w:hAnsiTheme="minorHAnsi" w:cstheme="minorHAnsi"/>
          <w:color w:val="000000" w:themeColor="text1"/>
          <w:sz w:val="20"/>
          <w:szCs w:val="20"/>
        </w:rPr>
        <w:t xml:space="preserve">e neutrofili </w:t>
      </w:r>
      <w:r w:rsidR="00381355" w:rsidRPr="000C52AF">
        <w:rPr>
          <w:rFonts w:asciiTheme="minorHAnsi" w:hAnsiTheme="minorHAnsi" w:cstheme="minorHAnsi"/>
          <w:color w:val="C00000"/>
          <w:sz w:val="20"/>
          <w:szCs w:val="20"/>
          <w:vertAlign w:val="superscript"/>
        </w:rPr>
        <w:t>(11)</w:t>
      </w:r>
      <w:r w:rsidR="00381355" w:rsidRPr="000C52AF">
        <w:rPr>
          <w:rFonts w:asciiTheme="minorHAnsi" w:hAnsiTheme="minorHAnsi" w:cstheme="minorHAnsi"/>
          <w:color w:val="C00000"/>
          <w:sz w:val="20"/>
          <w:szCs w:val="20"/>
        </w:rPr>
        <w:t xml:space="preserve"> </w:t>
      </w:r>
      <w:r w:rsidR="00381355" w:rsidRPr="00E565AE">
        <w:rPr>
          <w:rFonts w:asciiTheme="minorHAnsi" w:hAnsiTheme="minorHAnsi" w:cstheme="minorHAnsi"/>
          <w:color w:val="000000" w:themeColor="text1"/>
          <w:sz w:val="20"/>
          <w:szCs w:val="20"/>
        </w:rPr>
        <w:t xml:space="preserve">diminuiscono con l'avanzare dell'età. </w:t>
      </w:r>
    </w:p>
    <w:p w:rsidR="00DA16D4" w:rsidRPr="00E565AE" w:rsidRDefault="00DA16D4" w:rsidP="00047411">
      <w:pPr>
        <w:jc w:val="both"/>
        <w:rPr>
          <w:rFonts w:asciiTheme="minorHAnsi" w:hAnsiTheme="minorHAnsi" w:cstheme="minorHAnsi"/>
          <w:color w:val="000000" w:themeColor="text1"/>
          <w:sz w:val="20"/>
          <w:szCs w:val="20"/>
        </w:rPr>
      </w:pPr>
    </w:p>
    <w:p w:rsidR="00F809CD" w:rsidRPr="00E565AE" w:rsidRDefault="00F809CD" w:rsidP="00047411">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L’invecchiamento causa anche l’</w:t>
      </w:r>
      <w:r w:rsidRPr="00E565AE">
        <w:rPr>
          <w:rFonts w:asciiTheme="minorHAnsi" w:hAnsiTheme="minorHAnsi" w:cstheme="minorHAnsi"/>
          <w:b/>
          <w:bCs/>
          <w:color w:val="000000" w:themeColor="text1"/>
          <w:sz w:val="20"/>
          <w:szCs w:val="20"/>
        </w:rPr>
        <w:t>aumento dell’espressione genica dell</w:t>
      </w:r>
      <w:r w:rsidR="00381355" w:rsidRPr="00E565AE">
        <w:rPr>
          <w:rFonts w:asciiTheme="minorHAnsi" w:hAnsiTheme="minorHAnsi" w:cstheme="minorHAnsi"/>
          <w:b/>
          <w:bCs/>
          <w:color w:val="000000" w:themeColor="text1"/>
          <w:sz w:val="20"/>
          <w:szCs w:val="20"/>
        </w:rPr>
        <w:t>’inflammasoma</w:t>
      </w:r>
      <w:r w:rsidR="00381355" w:rsidRPr="00E565AE">
        <w:rPr>
          <w:rFonts w:asciiTheme="minorHAnsi" w:hAnsiTheme="minorHAnsi" w:cstheme="minorHAnsi"/>
          <w:color w:val="000000" w:themeColor="text1"/>
          <w:sz w:val="20"/>
          <w:szCs w:val="20"/>
        </w:rPr>
        <w:t xml:space="preserve"> </w:t>
      </w:r>
      <w:r w:rsidR="00381355" w:rsidRPr="00E565AE">
        <w:rPr>
          <w:rFonts w:asciiTheme="minorHAnsi" w:hAnsiTheme="minorHAnsi" w:cstheme="minorHAnsi"/>
          <w:b/>
          <w:bCs/>
          <w:color w:val="000000" w:themeColor="text1"/>
          <w:sz w:val="20"/>
          <w:szCs w:val="20"/>
        </w:rPr>
        <w:t>NLRP3</w:t>
      </w:r>
      <w:r w:rsidR="00381355" w:rsidRPr="00E565AE">
        <w:rPr>
          <w:rFonts w:asciiTheme="minorHAnsi" w:hAnsiTheme="minorHAnsi" w:cstheme="minorHAnsi"/>
          <w:color w:val="000000" w:themeColor="text1"/>
          <w:sz w:val="20"/>
          <w:szCs w:val="20"/>
        </w:rPr>
        <w:t>, un complesso multiproteico attivato dai DAMPs, (genomi microbici, endotossine, ATP extracellulare, β-amiloide e acido urico intracellulare)</w:t>
      </w:r>
      <w:r w:rsidR="00047411" w:rsidRPr="00E565AE">
        <w:rPr>
          <w:rFonts w:asciiTheme="minorHAnsi" w:hAnsiTheme="minorHAnsi" w:cstheme="minorHAnsi"/>
          <w:color w:val="000000" w:themeColor="text1"/>
          <w:sz w:val="20"/>
          <w:szCs w:val="20"/>
        </w:rPr>
        <w:t>.</w:t>
      </w:r>
      <w:r w:rsidRPr="00E565AE">
        <w:rPr>
          <w:rStyle w:val="FootnoteReference"/>
          <w:rFonts w:asciiTheme="minorHAnsi" w:hAnsiTheme="minorHAnsi" w:cstheme="minorHAnsi"/>
          <w:color w:val="000000" w:themeColor="text1"/>
          <w:sz w:val="20"/>
          <w:szCs w:val="20"/>
        </w:rPr>
        <w:footnoteReference w:id="208"/>
      </w:r>
      <w:r w:rsidRPr="00E565AE">
        <w:rPr>
          <w:rFonts w:asciiTheme="minorHAnsi" w:hAnsiTheme="minorHAnsi" w:cstheme="minorHAnsi"/>
          <w:color w:val="000000" w:themeColor="text1"/>
          <w:sz w:val="20"/>
          <w:szCs w:val="20"/>
        </w:rPr>
        <w:t xml:space="preserve"> </w:t>
      </w:r>
    </w:p>
    <w:p w:rsidR="00381355" w:rsidRPr="00E565AE" w:rsidRDefault="00F809CD" w:rsidP="00047411">
      <w:pPr>
        <w:jc w:val="both"/>
        <w:rPr>
          <w:rFonts w:asciiTheme="minorHAnsi" w:hAnsiTheme="minorHAnsi" w:cstheme="minorHAnsi"/>
          <w:color w:val="000000" w:themeColor="text1"/>
          <w:sz w:val="20"/>
          <w:szCs w:val="20"/>
        </w:rPr>
      </w:pPr>
      <w:r w:rsidRPr="000C52AF">
        <w:rPr>
          <w:rFonts w:asciiTheme="minorHAnsi" w:hAnsiTheme="minorHAnsi" w:cstheme="minorHAnsi"/>
          <w:b/>
          <w:bCs/>
          <w:color w:val="000000" w:themeColor="text1"/>
          <w:sz w:val="20"/>
          <w:szCs w:val="20"/>
          <w:u w:val="single"/>
          <w:shd w:val="clear" w:color="auto" w:fill="FBF9E1"/>
        </w:rPr>
        <w:lastRenderedPageBreak/>
        <w:t>Monociti</w:t>
      </w:r>
      <w:r w:rsidRPr="000C52AF">
        <w:rPr>
          <w:rFonts w:asciiTheme="minorHAnsi" w:hAnsiTheme="minorHAnsi" w:cstheme="minorHAnsi"/>
          <w:color w:val="000000" w:themeColor="text1"/>
          <w:sz w:val="20"/>
          <w:szCs w:val="20"/>
          <w:shd w:val="clear" w:color="auto" w:fill="FBF9E1"/>
        </w:rPr>
        <w:t>:</w:t>
      </w:r>
      <w:r w:rsidRPr="00E565AE">
        <w:rPr>
          <w:rFonts w:asciiTheme="minorHAnsi" w:hAnsiTheme="minorHAnsi" w:cstheme="minorHAnsi"/>
          <w:color w:val="000000" w:themeColor="text1"/>
          <w:sz w:val="20"/>
          <w:szCs w:val="20"/>
        </w:rPr>
        <w:t xml:space="preserve"> presentano una ridotta produzione di interferoni e una fagocitosi danneggiata</w:t>
      </w:r>
      <w:r w:rsidR="00047411" w:rsidRPr="00E565AE">
        <w:rPr>
          <w:rFonts w:asciiTheme="minorHAnsi" w:hAnsiTheme="minorHAnsi" w:cstheme="minorHAnsi"/>
          <w:color w:val="000000" w:themeColor="text1"/>
          <w:sz w:val="20"/>
          <w:szCs w:val="20"/>
        </w:rPr>
        <w:t>.</w:t>
      </w:r>
    </w:p>
    <w:p w:rsidR="00DA16D4" w:rsidRPr="00E565AE" w:rsidRDefault="00DA16D4" w:rsidP="00047411">
      <w:pPr>
        <w:jc w:val="both"/>
        <w:rPr>
          <w:rFonts w:asciiTheme="minorHAnsi" w:hAnsiTheme="minorHAnsi" w:cstheme="minorHAnsi"/>
          <w:color w:val="000000" w:themeColor="text1"/>
          <w:sz w:val="20"/>
          <w:szCs w:val="20"/>
        </w:rPr>
      </w:pPr>
    </w:p>
    <w:p w:rsidR="00DA16D4" w:rsidRPr="00E565AE" w:rsidRDefault="00F809CD" w:rsidP="00DA16D4">
      <w:pPr>
        <w:ind w:left="993" w:hanging="993"/>
        <w:jc w:val="both"/>
        <w:rPr>
          <w:rFonts w:asciiTheme="minorHAnsi" w:hAnsiTheme="minorHAnsi" w:cstheme="minorHAnsi"/>
          <w:color w:val="000000" w:themeColor="text1"/>
          <w:sz w:val="20"/>
          <w:szCs w:val="20"/>
        </w:rPr>
      </w:pPr>
      <w:r w:rsidRPr="000C52AF">
        <w:rPr>
          <w:rFonts w:asciiTheme="minorHAnsi" w:hAnsiTheme="minorHAnsi" w:cstheme="minorHAnsi"/>
          <w:b/>
          <w:bCs/>
          <w:color w:val="000000" w:themeColor="text1"/>
          <w:sz w:val="20"/>
          <w:szCs w:val="20"/>
          <w:u w:val="single"/>
          <w:shd w:val="clear" w:color="auto" w:fill="FBF9E1"/>
        </w:rPr>
        <w:t>Macrofagi</w:t>
      </w:r>
      <w:r w:rsidRPr="00E565AE">
        <w:rPr>
          <w:rFonts w:asciiTheme="minorHAnsi" w:hAnsiTheme="minorHAnsi" w:cstheme="minorHAnsi"/>
          <w:color w:val="000000" w:themeColor="text1"/>
          <w:sz w:val="20"/>
          <w:szCs w:val="20"/>
        </w:rPr>
        <w:t xml:space="preserve">: molto recentemente, Van Beek et al. </w:t>
      </w:r>
      <w:r w:rsidRPr="000C52AF">
        <w:rPr>
          <w:rFonts w:asciiTheme="minorHAnsi" w:hAnsiTheme="minorHAnsi" w:cstheme="minorHAnsi"/>
          <w:color w:val="C00000"/>
          <w:sz w:val="20"/>
          <w:szCs w:val="20"/>
          <w:vertAlign w:val="superscript"/>
        </w:rPr>
        <w:t>(29)</w:t>
      </w:r>
      <w:r w:rsidRPr="000C52AF">
        <w:rPr>
          <w:rFonts w:asciiTheme="minorHAnsi" w:hAnsiTheme="minorHAnsi" w:cstheme="minorHAnsi"/>
          <w:color w:val="C00000"/>
          <w:sz w:val="20"/>
          <w:szCs w:val="20"/>
        </w:rPr>
        <w:t xml:space="preserve"> </w:t>
      </w:r>
      <w:r w:rsidRPr="00E565AE">
        <w:rPr>
          <w:rFonts w:asciiTheme="minorHAnsi" w:hAnsiTheme="minorHAnsi" w:cstheme="minorHAnsi"/>
          <w:color w:val="000000" w:themeColor="text1"/>
          <w:sz w:val="20"/>
          <w:szCs w:val="20"/>
        </w:rPr>
        <w:t>hanno proposto che l'infiammaging possa portare all'accumulo di</w:t>
      </w:r>
    </w:p>
    <w:p w:rsidR="00F809CD" w:rsidRPr="00E565AE" w:rsidRDefault="00F809CD" w:rsidP="00DA16D4">
      <w:pPr>
        <w:ind w:left="993" w:hanging="993"/>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macrofagi attivati in maniera alternativa (</w:t>
      </w:r>
      <w:r w:rsidRPr="00E565AE">
        <w:rPr>
          <w:rFonts w:asciiTheme="minorHAnsi" w:hAnsiTheme="minorHAnsi" w:cstheme="minorHAnsi"/>
          <w:b/>
          <w:bCs/>
          <w:color w:val="000000" w:themeColor="text1"/>
          <w:sz w:val="20"/>
          <w:szCs w:val="20"/>
        </w:rPr>
        <w:t>simil-M2</w:t>
      </w:r>
      <w:r w:rsidRPr="00E565AE">
        <w:rPr>
          <w:rFonts w:asciiTheme="minorHAnsi" w:hAnsiTheme="minorHAnsi" w:cstheme="minorHAnsi"/>
          <w:color w:val="000000" w:themeColor="text1"/>
          <w:sz w:val="20"/>
          <w:szCs w:val="20"/>
        </w:rPr>
        <w:t xml:space="preserve">), che rimangono pro-infiammatori nei tessuti. </w:t>
      </w:r>
    </w:p>
    <w:p w:rsidR="00DA16D4" w:rsidRPr="00E565AE" w:rsidRDefault="00DA16D4" w:rsidP="00DA16D4">
      <w:pPr>
        <w:ind w:left="993" w:hanging="993"/>
        <w:jc w:val="both"/>
        <w:rPr>
          <w:rFonts w:asciiTheme="minorHAnsi" w:hAnsiTheme="minorHAnsi" w:cstheme="minorHAnsi"/>
          <w:color w:val="000000" w:themeColor="text1"/>
          <w:sz w:val="20"/>
          <w:szCs w:val="20"/>
        </w:rPr>
      </w:pPr>
    </w:p>
    <w:p w:rsidR="00DA16D4" w:rsidRPr="00E565AE" w:rsidRDefault="009D664F" w:rsidP="002162CD">
      <w:pPr>
        <w:ind w:left="284" w:hanging="284"/>
        <w:jc w:val="both"/>
        <w:rPr>
          <w:rFonts w:asciiTheme="minorHAnsi" w:hAnsiTheme="minorHAnsi" w:cstheme="minorHAnsi"/>
          <w:color w:val="000000" w:themeColor="text1"/>
          <w:sz w:val="20"/>
          <w:szCs w:val="20"/>
        </w:rPr>
      </w:pPr>
      <w:r w:rsidRPr="000C52AF">
        <w:rPr>
          <w:rFonts w:asciiTheme="minorHAnsi" w:hAnsiTheme="minorHAnsi" w:cstheme="minorHAnsi"/>
          <w:b/>
          <w:bCs/>
          <w:color w:val="000000" w:themeColor="text1"/>
          <w:sz w:val="20"/>
          <w:szCs w:val="20"/>
          <w:u w:val="single"/>
          <w:shd w:val="clear" w:color="auto" w:fill="FBF9E1"/>
        </w:rPr>
        <w:t>DC</w:t>
      </w:r>
      <w:r w:rsidRPr="00E565AE">
        <w:rPr>
          <w:rFonts w:asciiTheme="minorHAnsi" w:hAnsiTheme="minorHAnsi" w:cstheme="minorHAnsi"/>
          <w:color w:val="000000" w:themeColor="text1"/>
          <w:sz w:val="20"/>
          <w:szCs w:val="20"/>
        </w:rPr>
        <w:t>: cambiamenti associati all'età nelle vie di segnalazione delle DC possono influire sulla loro funzione e determinare la</w:t>
      </w:r>
    </w:p>
    <w:p w:rsidR="009D664F" w:rsidRPr="00E565AE" w:rsidRDefault="009D664F" w:rsidP="002162CD">
      <w:pPr>
        <w:ind w:left="284"/>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secrezione </w:t>
      </w:r>
      <w:r w:rsidR="00DA16D4" w:rsidRPr="00E565AE">
        <w:rPr>
          <w:rFonts w:asciiTheme="minorHAnsi" w:hAnsiTheme="minorHAnsi" w:cstheme="minorHAnsi"/>
          <w:color w:val="000000" w:themeColor="text1"/>
          <w:sz w:val="20"/>
          <w:szCs w:val="20"/>
        </w:rPr>
        <w:t xml:space="preserve">disfunzionale </w:t>
      </w:r>
      <w:r w:rsidRPr="00E565AE">
        <w:rPr>
          <w:rFonts w:asciiTheme="minorHAnsi" w:hAnsiTheme="minorHAnsi" w:cstheme="minorHAnsi"/>
          <w:color w:val="000000" w:themeColor="text1"/>
          <w:sz w:val="20"/>
          <w:szCs w:val="20"/>
        </w:rPr>
        <w:t>di citochine in risposta ad agenti patogeni o self-DNA e riduzione della fagocitosi e delle</w:t>
      </w:r>
      <w:r w:rsidR="002162CD">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capacità di migrazione.</w:t>
      </w:r>
    </w:p>
    <w:p w:rsidR="00DA16D4" w:rsidRPr="00E565AE" w:rsidRDefault="00DA16D4" w:rsidP="00DA16D4">
      <w:pPr>
        <w:ind w:left="284" w:hanging="284"/>
        <w:jc w:val="both"/>
        <w:rPr>
          <w:rFonts w:asciiTheme="minorHAnsi" w:hAnsiTheme="minorHAnsi" w:cstheme="minorHAnsi"/>
          <w:color w:val="000000" w:themeColor="text1"/>
          <w:sz w:val="20"/>
          <w:szCs w:val="20"/>
        </w:rPr>
      </w:pPr>
    </w:p>
    <w:p w:rsidR="00DA16D4" w:rsidRPr="00E565AE" w:rsidRDefault="009D664F" w:rsidP="00047411">
      <w:pPr>
        <w:jc w:val="both"/>
        <w:rPr>
          <w:rFonts w:asciiTheme="minorHAnsi" w:hAnsiTheme="minorHAnsi" w:cstheme="minorHAnsi"/>
          <w:color w:val="000000" w:themeColor="text1"/>
          <w:sz w:val="20"/>
          <w:szCs w:val="20"/>
        </w:rPr>
      </w:pPr>
      <w:r w:rsidRPr="000C52AF">
        <w:rPr>
          <w:rFonts w:asciiTheme="minorHAnsi" w:hAnsiTheme="minorHAnsi" w:cstheme="minorHAnsi"/>
          <w:b/>
          <w:bCs/>
          <w:color w:val="000000" w:themeColor="text1"/>
          <w:sz w:val="20"/>
          <w:szCs w:val="20"/>
          <w:u w:val="single"/>
          <w:shd w:val="clear" w:color="auto" w:fill="FBF9E1"/>
        </w:rPr>
        <w:t>Neutrofili</w:t>
      </w:r>
      <w:r w:rsidRPr="00E565AE">
        <w:rPr>
          <w:rFonts w:asciiTheme="minorHAnsi" w:hAnsiTheme="minorHAnsi" w:cstheme="minorHAnsi"/>
          <w:color w:val="000000" w:themeColor="text1"/>
          <w:sz w:val="20"/>
          <w:szCs w:val="20"/>
        </w:rPr>
        <w:t xml:space="preserve">: sono importanti cellule fagocitiche specializzate nella difesa precoce contro gli agenti patogeni. </w:t>
      </w:r>
    </w:p>
    <w:p w:rsidR="00DA16D4" w:rsidRPr="00E565AE" w:rsidRDefault="009D664F" w:rsidP="002162CD">
      <w:pPr>
        <w:ind w:left="85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Mentre il numero di neutrofili rimane invariato con l'aumentare dell'età, i neutrofili negli anziani tendono a mostrare capacità fagocitiche e chemiotattiche disfunzionali. </w:t>
      </w:r>
    </w:p>
    <w:p w:rsidR="009D664F" w:rsidRPr="00E565AE" w:rsidRDefault="009D664F" w:rsidP="002162CD">
      <w:pPr>
        <w:ind w:left="85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L'invecchiamento influisce anche sul reclutamento dei neutrofili, che sono le prime cellule a migrare verso il sito di infezione</w:t>
      </w:r>
      <w:r w:rsidR="009C1B3C" w:rsidRPr="00E565AE">
        <w:rPr>
          <w:rFonts w:asciiTheme="minorHAnsi" w:hAnsiTheme="minorHAnsi" w:cstheme="minorHAnsi"/>
          <w:color w:val="000000" w:themeColor="text1"/>
          <w:sz w:val="20"/>
          <w:szCs w:val="20"/>
        </w:rPr>
        <w:t xml:space="preserve"> </w:t>
      </w:r>
      <w:r w:rsidRPr="002162CD">
        <w:rPr>
          <w:rFonts w:asciiTheme="minorHAnsi" w:hAnsiTheme="minorHAnsi" w:cstheme="minorHAnsi"/>
          <w:color w:val="C00000"/>
          <w:sz w:val="20"/>
          <w:szCs w:val="20"/>
          <w:vertAlign w:val="superscript"/>
        </w:rPr>
        <w:t>(40,44)</w:t>
      </w:r>
      <w:r w:rsidRPr="00E565AE">
        <w:rPr>
          <w:rFonts w:asciiTheme="minorHAnsi" w:hAnsiTheme="minorHAnsi" w:cstheme="minorHAnsi"/>
          <w:color w:val="000000" w:themeColor="text1"/>
          <w:sz w:val="20"/>
          <w:szCs w:val="20"/>
        </w:rPr>
        <w:t xml:space="preserve">. Inoltre, i neutrofili degli anziani producono meno trappole extracellulari di neutrofili (NET) </w:t>
      </w:r>
      <w:r w:rsidR="009C1B3C"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con un ritardo nel riparo dei tessuti e una maggiore suscettibilità alle infezioni antibiotico resistenti</w:t>
      </w:r>
    </w:p>
    <w:p w:rsidR="009D664F" w:rsidRPr="00E565AE" w:rsidRDefault="009D664F" w:rsidP="00047411">
      <w:pPr>
        <w:jc w:val="both"/>
        <w:rPr>
          <w:rFonts w:asciiTheme="minorHAnsi" w:hAnsiTheme="minorHAnsi" w:cstheme="minorHAnsi"/>
          <w:color w:val="000000" w:themeColor="text1"/>
          <w:sz w:val="20"/>
          <w:szCs w:val="20"/>
        </w:rPr>
      </w:pPr>
    </w:p>
    <w:p w:rsidR="00DA16D4" w:rsidRPr="00E565AE" w:rsidRDefault="00DA16D4" w:rsidP="000C52AF">
      <w:pPr>
        <w:pBdr>
          <w:top w:val="dashSmallGap" w:sz="4" w:space="1" w:color="auto"/>
          <w:left w:val="dashSmallGap" w:sz="4" w:space="4" w:color="auto"/>
          <w:bottom w:val="dashSmallGap" w:sz="4" w:space="1" w:color="auto"/>
          <w:right w:val="dashSmallGap" w:sz="4" w:space="4" w:color="auto"/>
        </w:pBdr>
        <w:ind w:left="709" w:right="985"/>
        <w:jc w:val="both"/>
        <w:rPr>
          <w:rFonts w:asciiTheme="minorHAnsi" w:hAnsiTheme="minorHAnsi" w:cstheme="minorHAnsi"/>
          <w:color w:val="000000" w:themeColor="text1"/>
          <w:sz w:val="18"/>
          <w:szCs w:val="18"/>
        </w:rPr>
      </w:pPr>
    </w:p>
    <w:p w:rsidR="009C1B3C" w:rsidRPr="00E565AE" w:rsidRDefault="009C1B3C" w:rsidP="000C52AF">
      <w:pPr>
        <w:pBdr>
          <w:top w:val="dashSmallGap" w:sz="4" w:space="1" w:color="auto"/>
          <w:left w:val="dashSmallGap" w:sz="4" w:space="4" w:color="auto"/>
          <w:bottom w:val="dashSmallGap" w:sz="4" w:space="1" w:color="auto"/>
          <w:right w:val="dashSmallGap" w:sz="4" w:space="4" w:color="auto"/>
        </w:pBdr>
        <w:ind w:left="709" w:right="985"/>
        <w:jc w:val="both"/>
        <w:rPr>
          <w:rFonts w:asciiTheme="minorHAnsi" w:hAnsiTheme="minorHAnsi"/>
          <w:i/>
          <w:iCs/>
          <w:color w:val="000000" w:themeColor="text1"/>
          <w:sz w:val="18"/>
          <w:szCs w:val="18"/>
        </w:rPr>
      </w:pPr>
      <w:r w:rsidRPr="00E565AE">
        <w:rPr>
          <w:rFonts w:asciiTheme="minorHAnsi" w:hAnsiTheme="minorHAnsi" w:cstheme="minorHAnsi"/>
          <w:color w:val="000000" w:themeColor="text1"/>
          <w:sz w:val="18"/>
          <w:szCs w:val="18"/>
        </w:rPr>
        <w:t>*</w:t>
      </w:r>
      <w:r w:rsidRPr="00E565AE">
        <w:rPr>
          <w:rFonts w:asciiTheme="minorHAnsi" w:hAnsiTheme="minorHAnsi"/>
          <w:color w:val="000000" w:themeColor="text1"/>
          <w:sz w:val="18"/>
          <w:szCs w:val="18"/>
        </w:rPr>
        <w:t> </w:t>
      </w:r>
      <w:r w:rsidRPr="00E565AE">
        <w:rPr>
          <w:rFonts w:asciiTheme="minorHAnsi" w:hAnsiTheme="minorHAnsi"/>
          <w:i/>
          <w:iCs/>
          <w:color w:val="000000" w:themeColor="text1"/>
          <w:sz w:val="18"/>
          <w:szCs w:val="18"/>
        </w:rPr>
        <w:t xml:space="preserve">La presenza di </w:t>
      </w:r>
      <w:r w:rsidR="00593C39" w:rsidRPr="00E565AE">
        <w:rPr>
          <w:rFonts w:asciiTheme="minorHAnsi" w:hAnsiTheme="minorHAnsi"/>
          <w:i/>
          <w:iCs/>
          <w:color w:val="000000" w:themeColor="text1"/>
          <w:sz w:val="18"/>
          <w:szCs w:val="18"/>
        </w:rPr>
        <w:t>germi</w:t>
      </w:r>
      <w:r w:rsidRPr="00E565AE">
        <w:rPr>
          <w:rFonts w:asciiTheme="minorHAnsi" w:hAnsiTheme="minorHAnsi"/>
          <w:i/>
          <w:iCs/>
          <w:color w:val="000000" w:themeColor="text1"/>
          <w:sz w:val="18"/>
          <w:szCs w:val="18"/>
        </w:rPr>
        <w:t xml:space="preserve"> in una ferita innesca l'attivazione dei neutrofili ed il rilascio di </w:t>
      </w:r>
      <w:r w:rsidRPr="00E565AE">
        <w:rPr>
          <w:rFonts w:asciiTheme="minorHAnsi" w:hAnsiTheme="minorHAnsi"/>
          <w:b/>
          <w:bCs/>
          <w:i/>
          <w:iCs/>
          <w:color w:val="000000" w:themeColor="text1"/>
          <w:sz w:val="18"/>
          <w:szCs w:val="18"/>
        </w:rPr>
        <w:t>trappole extracellulari (NET)</w:t>
      </w:r>
      <w:r w:rsidRPr="00E565AE">
        <w:rPr>
          <w:rFonts w:asciiTheme="minorHAnsi" w:hAnsiTheme="minorHAnsi"/>
          <w:i/>
          <w:iCs/>
          <w:color w:val="000000" w:themeColor="text1"/>
          <w:sz w:val="18"/>
          <w:szCs w:val="18"/>
        </w:rPr>
        <w:t xml:space="preserve"> composti da proteine granulari, da enzimi e da materiale nucleare che catturano e uccidono </w:t>
      </w:r>
      <w:r w:rsidR="00593C39" w:rsidRPr="00E565AE">
        <w:rPr>
          <w:rFonts w:asciiTheme="minorHAnsi" w:hAnsiTheme="minorHAnsi"/>
          <w:i/>
          <w:iCs/>
          <w:color w:val="000000" w:themeColor="text1"/>
          <w:sz w:val="18"/>
          <w:szCs w:val="18"/>
        </w:rPr>
        <w:t>i patogeni</w:t>
      </w:r>
      <w:r w:rsidRPr="00E565AE">
        <w:rPr>
          <w:rFonts w:asciiTheme="minorHAnsi" w:hAnsiTheme="minorHAnsi"/>
          <w:i/>
          <w:iCs/>
          <w:color w:val="000000" w:themeColor="text1"/>
          <w:sz w:val="18"/>
          <w:szCs w:val="18"/>
        </w:rPr>
        <w:t xml:space="preserve">. Dopo </w:t>
      </w:r>
      <w:r w:rsidR="00593C39" w:rsidRPr="00E565AE">
        <w:rPr>
          <w:rFonts w:asciiTheme="minorHAnsi" w:hAnsiTheme="minorHAnsi"/>
          <w:i/>
          <w:iCs/>
          <w:color w:val="000000" w:themeColor="text1"/>
          <w:sz w:val="18"/>
          <w:szCs w:val="18"/>
        </w:rPr>
        <w:t>l’</w:t>
      </w:r>
      <w:r w:rsidRPr="00E565AE">
        <w:rPr>
          <w:rFonts w:asciiTheme="minorHAnsi" w:hAnsiTheme="minorHAnsi"/>
          <w:i/>
          <w:iCs/>
          <w:color w:val="000000" w:themeColor="text1"/>
          <w:sz w:val="18"/>
          <w:szCs w:val="18"/>
        </w:rPr>
        <w:t>estrusione del materiale nucleare i neutrofili muoiono (</w:t>
      </w:r>
      <w:r w:rsidRPr="00E565AE">
        <w:rPr>
          <w:rFonts w:asciiTheme="minorHAnsi" w:hAnsiTheme="minorHAnsi"/>
          <w:b/>
          <w:bCs/>
          <w:i/>
          <w:iCs/>
          <w:color w:val="000000" w:themeColor="text1"/>
          <w:sz w:val="18"/>
          <w:szCs w:val="18"/>
        </w:rPr>
        <w:t>NETosi</w:t>
      </w:r>
      <w:r w:rsidRPr="00E565AE">
        <w:rPr>
          <w:rFonts w:asciiTheme="minorHAnsi" w:hAnsiTheme="minorHAnsi"/>
          <w:i/>
          <w:iCs/>
          <w:color w:val="000000" w:themeColor="text1"/>
          <w:sz w:val="18"/>
          <w:szCs w:val="18"/>
        </w:rPr>
        <w:t>)</w:t>
      </w:r>
    </w:p>
    <w:p w:rsidR="00DA16D4" w:rsidRPr="00E565AE" w:rsidRDefault="00DA16D4" w:rsidP="000C52AF">
      <w:pPr>
        <w:pBdr>
          <w:top w:val="dashSmallGap" w:sz="4" w:space="1" w:color="auto"/>
          <w:left w:val="dashSmallGap" w:sz="4" w:space="4" w:color="auto"/>
          <w:bottom w:val="dashSmallGap" w:sz="4" w:space="1" w:color="auto"/>
          <w:right w:val="dashSmallGap" w:sz="4" w:space="4" w:color="auto"/>
        </w:pBdr>
        <w:ind w:left="709" w:right="985"/>
        <w:jc w:val="both"/>
        <w:rPr>
          <w:rFonts w:asciiTheme="minorHAnsi" w:hAnsiTheme="minorHAnsi"/>
          <w:i/>
          <w:iCs/>
          <w:color w:val="000000" w:themeColor="text1"/>
          <w:sz w:val="18"/>
          <w:szCs w:val="18"/>
        </w:rPr>
      </w:pPr>
    </w:p>
    <w:p w:rsidR="009C1B3C" w:rsidRPr="00E565AE" w:rsidRDefault="009C1B3C" w:rsidP="00047411">
      <w:pPr>
        <w:jc w:val="both"/>
        <w:rPr>
          <w:rFonts w:asciiTheme="minorHAnsi" w:hAnsiTheme="minorHAnsi" w:cstheme="minorHAnsi"/>
          <w:color w:val="000000" w:themeColor="text1"/>
          <w:sz w:val="20"/>
          <w:szCs w:val="20"/>
        </w:rPr>
      </w:pPr>
    </w:p>
    <w:p w:rsidR="009D664F" w:rsidRPr="002162CD" w:rsidRDefault="009D664F" w:rsidP="00047411">
      <w:pPr>
        <w:jc w:val="both"/>
        <w:rPr>
          <w:rFonts w:asciiTheme="minorHAnsi" w:hAnsiTheme="minorHAnsi" w:cstheme="minorHAnsi"/>
          <w:b/>
          <w:bCs/>
          <w:i/>
          <w:iCs/>
          <w:color w:val="C00000"/>
          <w:sz w:val="20"/>
          <w:szCs w:val="20"/>
        </w:rPr>
      </w:pPr>
      <w:r w:rsidRPr="002162CD">
        <w:rPr>
          <w:rFonts w:asciiTheme="minorHAnsi" w:hAnsiTheme="minorHAnsi" w:cstheme="minorHAnsi"/>
          <w:b/>
          <w:bCs/>
          <w:i/>
          <w:iCs/>
          <w:color w:val="C00000"/>
          <w:sz w:val="20"/>
          <w:szCs w:val="20"/>
        </w:rPr>
        <w:t xml:space="preserve">Immunità adattativa: </w:t>
      </w:r>
    </w:p>
    <w:p w:rsidR="00DA16D4" w:rsidRPr="00E565AE" w:rsidRDefault="009D664F" w:rsidP="00047411">
      <w:pPr>
        <w:jc w:val="both"/>
        <w:rPr>
          <w:rFonts w:asciiTheme="minorHAnsi" w:hAnsiTheme="minorHAnsi" w:cstheme="minorHAnsi"/>
          <w:color w:val="000000" w:themeColor="text1"/>
          <w:sz w:val="20"/>
          <w:szCs w:val="20"/>
        </w:rPr>
      </w:pPr>
      <w:r w:rsidRPr="002162CD">
        <w:rPr>
          <w:rFonts w:asciiTheme="minorHAnsi" w:hAnsiTheme="minorHAnsi" w:cstheme="minorHAnsi"/>
          <w:b/>
          <w:bCs/>
          <w:color w:val="000000" w:themeColor="text1"/>
          <w:sz w:val="20"/>
          <w:szCs w:val="20"/>
          <w:u w:val="single"/>
          <w:shd w:val="clear" w:color="auto" w:fill="FBF9E1"/>
        </w:rPr>
        <w:t>Cellule B</w:t>
      </w:r>
      <w:r w:rsidRPr="00E565AE">
        <w:rPr>
          <w:rFonts w:asciiTheme="minorHAnsi" w:hAnsiTheme="minorHAnsi" w:cstheme="minorHAnsi"/>
          <w:color w:val="000000" w:themeColor="text1"/>
          <w:sz w:val="20"/>
          <w:szCs w:val="20"/>
        </w:rPr>
        <w:t xml:space="preserve">: è noto che molte persone anziane hanno una limitata diversità nel repertorio delle cellule B, </w:t>
      </w:r>
      <w:r w:rsidR="005C2A43" w:rsidRPr="00E565AE">
        <w:rPr>
          <w:rFonts w:asciiTheme="minorHAnsi" w:hAnsiTheme="minorHAnsi" w:cstheme="minorHAnsi"/>
          <w:color w:val="000000" w:themeColor="text1"/>
          <w:sz w:val="20"/>
          <w:szCs w:val="20"/>
        </w:rPr>
        <w:t xml:space="preserve">e ciò </w:t>
      </w:r>
      <w:r w:rsidRPr="00E565AE">
        <w:rPr>
          <w:rFonts w:asciiTheme="minorHAnsi" w:hAnsiTheme="minorHAnsi" w:cstheme="minorHAnsi"/>
          <w:color w:val="000000" w:themeColor="text1"/>
          <w:sz w:val="20"/>
          <w:szCs w:val="20"/>
        </w:rPr>
        <w:t>contribu</w:t>
      </w:r>
      <w:r w:rsidR="005C2A43" w:rsidRPr="00E565AE">
        <w:rPr>
          <w:rFonts w:asciiTheme="minorHAnsi" w:hAnsiTheme="minorHAnsi" w:cstheme="minorHAnsi"/>
          <w:color w:val="000000" w:themeColor="text1"/>
          <w:sz w:val="20"/>
          <w:szCs w:val="20"/>
        </w:rPr>
        <w:t>isce alla maggiore suscettibilità</w:t>
      </w:r>
      <w:r w:rsidRPr="00E565AE">
        <w:rPr>
          <w:rFonts w:asciiTheme="minorHAnsi" w:hAnsiTheme="minorHAnsi" w:cstheme="minorHAnsi"/>
          <w:color w:val="000000" w:themeColor="text1"/>
          <w:sz w:val="20"/>
          <w:szCs w:val="20"/>
        </w:rPr>
        <w:t xml:space="preserve"> alle malattie infettive, </w:t>
      </w:r>
      <w:r w:rsidR="005C2A43" w:rsidRPr="00E565AE">
        <w:rPr>
          <w:rFonts w:asciiTheme="minorHAnsi" w:hAnsiTheme="minorHAnsi" w:cstheme="minorHAnsi"/>
          <w:color w:val="000000" w:themeColor="text1"/>
          <w:sz w:val="20"/>
          <w:szCs w:val="20"/>
        </w:rPr>
        <w:t xml:space="preserve">alla scarsa risposta ai vaccini </w:t>
      </w:r>
      <w:r w:rsidRPr="00E565AE">
        <w:rPr>
          <w:rFonts w:asciiTheme="minorHAnsi" w:hAnsiTheme="minorHAnsi" w:cstheme="minorHAnsi"/>
          <w:color w:val="000000" w:themeColor="text1"/>
          <w:sz w:val="20"/>
          <w:szCs w:val="20"/>
        </w:rPr>
        <w:t xml:space="preserve">e </w:t>
      </w:r>
      <w:r w:rsidR="005C2A43" w:rsidRPr="00E565AE">
        <w:rPr>
          <w:rFonts w:asciiTheme="minorHAnsi" w:hAnsiTheme="minorHAnsi" w:cstheme="minorHAnsi"/>
          <w:color w:val="000000" w:themeColor="text1"/>
          <w:sz w:val="20"/>
          <w:szCs w:val="20"/>
        </w:rPr>
        <w:t>alla maggiore</w:t>
      </w:r>
      <w:r w:rsidRPr="00E565AE">
        <w:rPr>
          <w:rFonts w:asciiTheme="minorHAnsi" w:hAnsiTheme="minorHAnsi" w:cstheme="minorHAnsi"/>
          <w:color w:val="000000" w:themeColor="text1"/>
          <w:sz w:val="20"/>
          <w:szCs w:val="20"/>
        </w:rPr>
        <w:t xml:space="preserve"> probabilità di avere </w:t>
      </w:r>
      <w:r w:rsidR="005C2A43" w:rsidRPr="00E565AE">
        <w:rPr>
          <w:rFonts w:asciiTheme="minorHAnsi" w:hAnsiTheme="minorHAnsi" w:cstheme="minorHAnsi"/>
          <w:color w:val="000000" w:themeColor="text1"/>
          <w:sz w:val="20"/>
          <w:szCs w:val="20"/>
        </w:rPr>
        <w:t xml:space="preserve">anticorpi </w:t>
      </w:r>
      <w:r w:rsidRPr="00E565AE">
        <w:rPr>
          <w:rFonts w:asciiTheme="minorHAnsi" w:hAnsiTheme="minorHAnsi" w:cstheme="minorHAnsi"/>
          <w:color w:val="000000" w:themeColor="text1"/>
          <w:sz w:val="20"/>
          <w:szCs w:val="20"/>
        </w:rPr>
        <w:t xml:space="preserve">autoreattivi. </w:t>
      </w:r>
    </w:p>
    <w:p w:rsidR="009D664F" w:rsidRPr="00E565AE" w:rsidRDefault="005C2A43" w:rsidP="00047411">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L’</w:t>
      </w:r>
      <w:r w:rsidR="009D664F" w:rsidRPr="00E565AE">
        <w:rPr>
          <w:rFonts w:asciiTheme="minorHAnsi" w:hAnsiTheme="minorHAnsi" w:cstheme="minorHAnsi"/>
          <w:color w:val="000000" w:themeColor="text1"/>
          <w:sz w:val="20"/>
          <w:szCs w:val="20"/>
        </w:rPr>
        <w:t xml:space="preserve">invecchiamento può causare cambiamenti significativi nel processo di selezione </w:t>
      </w:r>
      <w:r w:rsidRPr="00E565AE">
        <w:rPr>
          <w:rFonts w:asciiTheme="minorHAnsi" w:hAnsiTheme="minorHAnsi" w:cstheme="minorHAnsi"/>
          <w:color w:val="000000" w:themeColor="text1"/>
          <w:sz w:val="20"/>
          <w:szCs w:val="20"/>
        </w:rPr>
        <w:t xml:space="preserve">che porta alla maturazione </w:t>
      </w:r>
      <w:r w:rsidR="009D664F" w:rsidRPr="00E565AE">
        <w:rPr>
          <w:rFonts w:asciiTheme="minorHAnsi" w:hAnsiTheme="minorHAnsi" w:cstheme="minorHAnsi"/>
          <w:color w:val="000000" w:themeColor="text1"/>
          <w:sz w:val="20"/>
          <w:szCs w:val="20"/>
        </w:rPr>
        <w:t xml:space="preserve">delle cellule B </w:t>
      </w:r>
      <w:r w:rsidRPr="00E565AE">
        <w:rPr>
          <w:rFonts w:asciiTheme="minorHAnsi" w:hAnsiTheme="minorHAnsi" w:cstheme="minorHAnsi"/>
          <w:color w:val="000000" w:themeColor="text1"/>
          <w:sz w:val="20"/>
          <w:szCs w:val="20"/>
        </w:rPr>
        <w:t xml:space="preserve">ad alta affinità </w:t>
      </w:r>
      <w:r w:rsidR="009D664F" w:rsidRPr="002162CD">
        <w:rPr>
          <w:rFonts w:asciiTheme="minorHAnsi" w:hAnsiTheme="minorHAnsi" w:cstheme="minorHAnsi"/>
          <w:color w:val="C00000"/>
          <w:sz w:val="20"/>
          <w:szCs w:val="20"/>
          <w:vertAlign w:val="superscript"/>
        </w:rPr>
        <w:t>(47)</w:t>
      </w:r>
      <w:r w:rsidRPr="00E565AE">
        <w:rPr>
          <w:rFonts w:asciiTheme="minorHAnsi" w:hAnsiTheme="minorHAnsi" w:cstheme="minorHAnsi"/>
          <w:color w:val="000000" w:themeColor="text1"/>
          <w:sz w:val="20"/>
          <w:szCs w:val="20"/>
        </w:rPr>
        <w:t xml:space="preserve">, con la formazione di un </w:t>
      </w:r>
      <w:r w:rsidR="009D664F" w:rsidRPr="00E565AE">
        <w:rPr>
          <w:rFonts w:asciiTheme="minorHAnsi" w:hAnsiTheme="minorHAnsi" w:cstheme="minorHAnsi"/>
          <w:color w:val="000000" w:themeColor="text1"/>
          <w:sz w:val="20"/>
          <w:szCs w:val="20"/>
        </w:rPr>
        <w:t xml:space="preserve">repertorio di cellule B spesso meno diversificato in età avanzata </w:t>
      </w:r>
      <w:r w:rsidR="009D664F" w:rsidRPr="002162CD">
        <w:rPr>
          <w:rFonts w:asciiTheme="minorHAnsi" w:hAnsiTheme="minorHAnsi" w:cstheme="minorHAnsi"/>
          <w:color w:val="C00000"/>
          <w:sz w:val="20"/>
          <w:szCs w:val="20"/>
          <w:vertAlign w:val="superscript"/>
        </w:rPr>
        <w:t>(8)</w:t>
      </w:r>
      <w:r w:rsidR="009D664F" w:rsidRPr="00E565AE">
        <w:rPr>
          <w:rFonts w:asciiTheme="minorHAnsi" w:hAnsiTheme="minorHAnsi" w:cstheme="minorHAnsi"/>
          <w:color w:val="000000" w:themeColor="text1"/>
          <w:sz w:val="20"/>
          <w:szCs w:val="20"/>
        </w:rPr>
        <w:t xml:space="preserve">. È probabile che questa perdita di diversità sia correlata con </w:t>
      </w:r>
      <w:r w:rsidRPr="00E565AE">
        <w:rPr>
          <w:rFonts w:asciiTheme="minorHAnsi" w:hAnsiTheme="minorHAnsi" w:cstheme="minorHAnsi"/>
          <w:color w:val="000000" w:themeColor="text1"/>
          <w:sz w:val="20"/>
          <w:szCs w:val="20"/>
        </w:rPr>
        <w:t xml:space="preserve">le </w:t>
      </w:r>
      <w:r w:rsidR="009D664F" w:rsidRPr="00E565AE">
        <w:rPr>
          <w:rFonts w:asciiTheme="minorHAnsi" w:hAnsiTheme="minorHAnsi" w:cstheme="minorHAnsi"/>
          <w:color w:val="000000" w:themeColor="text1"/>
          <w:sz w:val="20"/>
          <w:szCs w:val="20"/>
        </w:rPr>
        <w:t xml:space="preserve">scarse risposte </w:t>
      </w:r>
      <w:r w:rsidRPr="00E565AE">
        <w:rPr>
          <w:rFonts w:asciiTheme="minorHAnsi" w:hAnsiTheme="minorHAnsi" w:cstheme="minorHAnsi"/>
          <w:color w:val="000000" w:themeColor="text1"/>
          <w:sz w:val="20"/>
          <w:szCs w:val="20"/>
        </w:rPr>
        <w:t>ai</w:t>
      </w:r>
      <w:r w:rsidR="009D664F" w:rsidRPr="00E565AE">
        <w:rPr>
          <w:rFonts w:asciiTheme="minorHAnsi" w:hAnsiTheme="minorHAnsi" w:cstheme="minorHAnsi"/>
          <w:color w:val="000000" w:themeColor="text1"/>
          <w:sz w:val="20"/>
          <w:szCs w:val="20"/>
        </w:rPr>
        <w:t xml:space="preserve"> vaccin</w:t>
      </w:r>
      <w:r w:rsidRPr="00E565AE">
        <w:rPr>
          <w:rFonts w:asciiTheme="minorHAnsi" w:hAnsiTheme="minorHAnsi" w:cstheme="minorHAnsi"/>
          <w:color w:val="000000" w:themeColor="text1"/>
          <w:sz w:val="20"/>
          <w:szCs w:val="20"/>
        </w:rPr>
        <w:t xml:space="preserve">i </w:t>
      </w:r>
      <w:r w:rsidR="009D664F" w:rsidRPr="00E565AE">
        <w:rPr>
          <w:rFonts w:asciiTheme="minorHAnsi" w:hAnsiTheme="minorHAnsi" w:cstheme="minorHAnsi"/>
          <w:color w:val="000000" w:themeColor="text1"/>
          <w:sz w:val="20"/>
          <w:szCs w:val="20"/>
        </w:rPr>
        <w:t xml:space="preserve">contro molti agenti patogeni </w:t>
      </w:r>
      <w:r w:rsidR="009D664F" w:rsidRPr="002162CD">
        <w:rPr>
          <w:rFonts w:asciiTheme="minorHAnsi" w:hAnsiTheme="minorHAnsi" w:cstheme="minorHAnsi"/>
          <w:color w:val="C00000"/>
          <w:sz w:val="20"/>
          <w:szCs w:val="20"/>
          <w:vertAlign w:val="superscript"/>
        </w:rPr>
        <w:t>(6)</w:t>
      </w:r>
      <w:r w:rsidR="00593C39" w:rsidRPr="00E565AE">
        <w:rPr>
          <w:rFonts w:asciiTheme="minorHAnsi" w:hAnsiTheme="minorHAnsi" w:cstheme="minorHAnsi"/>
          <w:color w:val="000000" w:themeColor="text1"/>
          <w:sz w:val="20"/>
          <w:szCs w:val="20"/>
        </w:rPr>
        <w:t>.</w:t>
      </w:r>
    </w:p>
    <w:p w:rsidR="00DA16D4" w:rsidRPr="00E565AE" w:rsidRDefault="00DA16D4" w:rsidP="00047411">
      <w:pPr>
        <w:jc w:val="both"/>
        <w:rPr>
          <w:rFonts w:asciiTheme="minorHAnsi" w:hAnsiTheme="minorHAnsi" w:cstheme="minorHAnsi"/>
          <w:color w:val="000000" w:themeColor="text1"/>
          <w:sz w:val="20"/>
          <w:szCs w:val="20"/>
        </w:rPr>
      </w:pPr>
    </w:p>
    <w:p w:rsidR="00DA16D4" w:rsidRDefault="005C2A43" w:rsidP="00047411">
      <w:pPr>
        <w:jc w:val="both"/>
        <w:rPr>
          <w:rFonts w:asciiTheme="minorHAnsi" w:hAnsiTheme="minorHAnsi" w:cstheme="minorHAnsi"/>
          <w:color w:val="000000" w:themeColor="text1"/>
          <w:sz w:val="20"/>
          <w:szCs w:val="20"/>
        </w:rPr>
      </w:pPr>
      <w:r w:rsidRPr="00746334">
        <w:rPr>
          <w:rFonts w:asciiTheme="minorHAnsi" w:hAnsiTheme="minorHAnsi" w:cstheme="minorHAnsi"/>
          <w:b/>
          <w:bCs/>
          <w:color w:val="000000" w:themeColor="text1"/>
          <w:sz w:val="20"/>
          <w:szCs w:val="20"/>
          <w:u w:val="single"/>
          <w:shd w:val="clear" w:color="auto" w:fill="FBF9E1"/>
        </w:rPr>
        <w:t>Cellule T</w:t>
      </w:r>
      <w:r w:rsidRPr="00E565AE">
        <w:rPr>
          <w:rFonts w:asciiTheme="minorHAnsi" w:hAnsiTheme="minorHAnsi" w:cstheme="minorHAnsi"/>
          <w:b/>
          <w:bCs/>
          <w:color w:val="000000" w:themeColor="text1"/>
          <w:sz w:val="20"/>
          <w:szCs w:val="20"/>
        </w:rPr>
        <w:t>:</w:t>
      </w:r>
      <w:r w:rsidRPr="00E565AE">
        <w:rPr>
          <w:rFonts w:asciiTheme="minorHAnsi" w:hAnsiTheme="minorHAnsi" w:cstheme="minorHAnsi"/>
          <w:color w:val="000000" w:themeColor="text1"/>
          <w:sz w:val="20"/>
          <w:szCs w:val="20"/>
        </w:rPr>
        <w:t xml:space="preserve"> sebbene l'invecchiamento non cambi il livello di IL-7, un fattore chiave </w:t>
      </w:r>
      <w:r w:rsidR="00800F31" w:rsidRPr="00E565AE">
        <w:rPr>
          <w:rFonts w:asciiTheme="minorHAnsi" w:hAnsiTheme="minorHAnsi" w:cstheme="minorHAnsi"/>
          <w:color w:val="000000" w:themeColor="text1"/>
          <w:sz w:val="20"/>
          <w:szCs w:val="20"/>
        </w:rPr>
        <w:t>nel</w:t>
      </w:r>
      <w:r w:rsidRPr="00E565AE">
        <w:rPr>
          <w:rFonts w:asciiTheme="minorHAnsi" w:hAnsiTheme="minorHAnsi" w:cstheme="minorHAnsi"/>
          <w:color w:val="000000" w:themeColor="text1"/>
          <w:sz w:val="20"/>
          <w:szCs w:val="20"/>
        </w:rPr>
        <w:t xml:space="preserve"> mantenimento dell'omeostasi delle cellule T, generalmente diminuisce il numero di cellule T naïve e aumenta il numero di cellule T senescenti </w:t>
      </w:r>
      <w:r w:rsidRPr="002162CD">
        <w:rPr>
          <w:rFonts w:asciiTheme="minorHAnsi" w:hAnsiTheme="minorHAnsi" w:cstheme="minorHAnsi"/>
          <w:color w:val="C00000"/>
          <w:sz w:val="20"/>
          <w:szCs w:val="20"/>
          <w:vertAlign w:val="superscript"/>
        </w:rPr>
        <w:t>(52)</w:t>
      </w:r>
      <w:r w:rsidRPr="00E565AE">
        <w:rPr>
          <w:rFonts w:asciiTheme="minorHAnsi" w:hAnsiTheme="minorHAnsi" w:cstheme="minorHAnsi"/>
          <w:color w:val="000000" w:themeColor="text1"/>
          <w:sz w:val="20"/>
          <w:szCs w:val="20"/>
        </w:rPr>
        <w:t xml:space="preserve">. </w:t>
      </w:r>
    </w:p>
    <w:p w:rsidR="002162CD" w:rsidRPr="00E565AE" w:rsidRDefault="002162CD" w:rsidP="00047411">
      <w:pPr>
        <w:jc w:val="both"/>
        <w:rPr>
          <w:rFonts w:asciiTheme="minorHAnsi" w:hAnsiTheme="minorHAnsi" w:cstheme="minorHAnsi"/>
          <w:color w:val="000000" w:themeColor="text1"/>
          <w:sz w:val="20"/>
          <w:szCs w:val="20"/>
        </w:rPr>
      </w:pPr>
    </w:p>
    <w:p w:rsidR="00DA16D4" w:rsidRDefault="005C2A43" w:rsidP="00047411">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Analisi </w:t>
      </w:r>
      <w:r w:rsidR="00800F31" w:rsidRPr="00E565AE">
        <w:rPr>
          <w:rFonts w:asciiTheme="minorHAnsi" w:hAnsiTheme="minorHAnsi" w:cstheme="minorHAnsi"/>
          <w:color w:val="000000" w:themeColor="text1"/>
          <w:sz w:val="20"/>
          <w:szCs w:val="20"/>
        </w:rPr>
        <w:t xml:space="preserve">effettuate </w:t>
      </w:r>
      <w:r w:rsidRPr="00E565AE">
        <w:rPr>
          <w:rFonts w:asciiTheme="minorHAnsi" w:hAnsiTheme="minorHAnsi" w:cstheme="minorHAnsi"/>
          <w:color w:val="000000" w:themeColor="text1"/>
          <w:sz w:val="20"/>
          <w:szCs w:val="20"/>
        </w:rPr>
        <w:t xml:space="preserve">utilizzando la piattaforma di sequenziamento Illumina ad alto rendimento ha rivelato una </w:t>
      </w:r>
      <w:r w:rsidRPr="002162CD">
        <w:rPr>
          <w:rFonts w:asciiTheme="minorHAnsi" w:hAnsiTheme="minorHAnsi" w:cstheme="minorHAnsi"/>
          <w:b/>
          <w:bCs/>
          <w:color w:val="000000" w:themeColor="text1"/>
          <w:sz w:val="20"/>
          <w:szCs w:val="20"/>
        </w:rPr>
        <w:t>riduzione associata all'età della diversità di TCR</w:t>
      </w:r>
      <w:r w:rsidRPr="00E565AE">
        <w:rPr>
          <w:rFonts w:asciiTheme="minorHAnsi" w:hAnsiTheme="minorHAnsi" w:cstheme="minorHAnsi"/>
          <w:color w:val="000000" w:themeColor="text1"/>
          <w:sz w:val="20"/>
          <w:szCs w:val="20"/>
        </w:rPr>
        <w:t>, indicando una significativa riduzione del numero di cellule T naïve e della diversità di TCR-</w:t>
      </w:r>
      <w:r w:rsidR="00DA16D4" w:rsidRPr="00E565AE">
        <w:rPr>
          <w:rFonts w:ascii="Calibri" w:hAnsi="Calibri" w:cs="Calibri"/>
          <w:color w:val="000000" w:themeColor="text1"/>
          <w:sz w:val="20"/>
          <w:szCs w:val="20"/>
        </w:rPr>
        <w:t>ß</w:t>
      </w:r>
      <w:r w:rsidRPr="00E565AE">
        <w:rPr>
          <w:rFonts w:asciiTheme="minorHAnsi" w:hAnsiTheme="minorHAnsi" w:cstheme="minorHAnsi"/>
          <w:color w:val="000000" w:themeColor="text1"/>
          <w:sz w:val="20"/>
          <w:szCs w:val="20"/>
        </w:rPr>
        <w:t xml:space="preserve"> entro i 40 anni </w:t>
      </w:r>
      <w:r w:rsidRPr="002162CD">
        <w:rPr>
          <w:rFonts w:asciiTheme="minorHAnsi" w:hAnsiTheme="minorHAnsi" w:cstheme="minorHAnsi"/>
          <w:color w:val="C00000"/>
          <w:sz w:val="20"/>
          <w:szCs w:val="20"/>
          <w:vertAlign w:val="superscript"/>
        </w:rPr>
        <w:t>(65)</w:t>
      </w:r>
      <w:r w:rsidRPr="00E565AE">
        <w:rPr>
          <w:rFonts w:asciiTheme="minorHAnsi" w:hAnsiTheme="minorHAnsi" w:cstheme="minorHAnsi"/>
          <w:color w:val="000000" w:themeColor="text1"/>
          <w:sz w:val="20"/>
          <w:szCs w:val="20"/>
        </w:rPr>
        <w:t xml:space="preserve">. </w:t>
      </w:r>
    </w:p>
    <w:p w:rsidR="002162CD" w:rsidRPr="00E565AE" w:rsidRDefault="002162CD" w:rsidP="00047411">
      <w:pPr>
        <w:jc w:val="both"/>
        <w:rPr>
          <w:rFonts w:asciiTheme="minorHAnsi" w:hAnsiTheme="minorHAnsi" w:cstheme="minorHAnsi"/>
          <w:color w:val="000000" w:themeColor="text1"/>
          <w:sz w:val="20"/>
          <w:szCs w:val="20"/>
        </w:rPr>
      </w:pPr>
    </w:p>
    <w:p w:rsidR="00643CE4" w:rsidRDefault="005C2A43" w:rsidP="00047411">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Inoltre, l'</w:t>
      </w:r>
      <w:r w:rsidRPr="002162CD">
        <w:rPr>
          <w:rFonts w:asciiTheme="minorHAnsi" w:hAnsiTheme="minorHAnsi" w:cstheme="minorHAnsi"/>
          <w:b/>
          <w:bCs/>
          <w:color w:val="000000" w:themeColor="text1"/>
          <w:sz w:val="20"/>
          <w:szCs w:val="20"/>
        </w:rPr>
        <w:t xml:space="preserve">involuzione del timo </w:t>
      </w:r>
      <w:r w:rsidRPr="00E565AE">
        <w:rPr>
          <w:rFonts w:asciiTheme="minorHAnsi" w:hAnsiTheme="minorHAnsi" w:cstheme="minorHAnsi"/>
          <w:color w:val="000000" w:themeColor="text1"/>
          <w:sz w:val="20"/>
          <w:szCs w:val="20"/>
        </w:rPr>
        <w:t>provoca</w:t>
      </w:r>
      <w:r w:rsidR="00800F31" w:rsidRPr="00E565AE">
        <w:rPr>
          <w:rFonts w:asciiTheme="minorHAnsi" w:hAnsiTheme="minorHAnsi" w:cstheme="minorHAnsi"/>
          <w:color w:val="000000" w:themeColor="text1"/>
          <w:sz w:val="20"/>
          <w:szCs w:val="20"/>
        </w:rPr>
        <w:t xml:space="preserve"> la formazione di</w:t>
      </w:r>
      <w:r w:rsidRPr="00E565AE">
        <w:rPr>
          <w:rFonts w:asciiTheme="minorHAnsi" w:hAnsiTheme="minorHAnsi" w:cstheme="minorHAnsi"/>
          <w:color w:val="000000" w:themeColor="text1"/>
          <w:sz w:val="20"/>
          <w:szCs w:val="20"/>
        </w:rPr>
        <w:t xml:space="preserve"> cellule T difettose che inducono infiammazione</w:t>
      </w:r>
      <w:r w:rsidR="00800F31"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 xml:space="preserve">aumento della suscettibilità alle infezioni </w:t>
      </w:r>
      <w:r w:rsidR="00800F31" w:rsidRPr="00E565AE">
        <w:rPr>
          <w:rFonts w:asciiTheme="minorHAnsi" w:hAnsiTheme="minorHAnsi" w:cstheme="minorHAnsi"/>
          <w:color w:val="000000" w:themeColor="text1"/>
          <w:sz w:val="20"/>
          <w:szCs w:val="20"/>
        </w:rPr>
        <w:t>e diminuzione del</w:t>
      </w:r>
      <w:r w:rsidRPr="00E565AE">
        <w:rPr>
          <w:rFonts w:asciiTheme="minorHAnsi" w:hAnsiTheme="minorHAnsi" w:cstheme="minorHAnsi"/>
          <w:color w:val="000000" w:themeColor="text1"/>
          <w:sz w:val="20"/>
          <w:szCs w:val="20"/>
        </w:rPr>
        <w:t xml:space="preserve">l'efficacia del vaccino. </w:t>
      </w:r>
    </w:p>
    <w:p w:rsidR="002162CD" w:rsidRPr="00E565AE" w:rsidRDefault="002162CD" w:rsidP="00047411">
      <w:pPr>
        <w:jc w:val="both"/>
        <w:rPr>
          <w:rFonts w:asciiTheme="minorHAnsi" w:hAnsiTheme="minorHAnsi" w:cstheme="minorHAnsi"/>
          <w:color w:val="000000" w:themeColor="text1"/>
          <w:sz w:val="20"/>
          <w:szCs w:val="20"/>
        </w:rPr>
      </w:pPr>
    </w:p>
    <w:p w:rsidR="00643CE4" w:rsidRDefault="005C2A43" w:rsidP="00047411">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Dato che le citochine sono molecole regolatorie chiave della risposta immunitaria mediata dalle cellule T, è stato notato che i difetti delle cellule T correlati all'invecchiamento possono provenire da </w:t>
      </w:r>
      <w:r w:rsidRPr="002162CD">
        <w:rPr>
          <w:rFonts w:asciiTheme="minorHAnsi" w:hAnsiTheme="minorHAnsi" w:cstheme="minorHAnsi"/>
          <w:b/>
          <w:bCs/>
          <w:color w:val="000000" w:themeColor="text1"/>
          <w:sz w:val="20"/>
          <w:szCs w:val="20"/>
        </w:rPr>
        <w:t>alterazioni della produzione di citochine</w:t>
      </w:r>
      <w:r w:rsidRPr="00E565AE">
        <w:rPr>
          <w:rFonts w:asciiTheme="minorHAnsi" w:hAnsiTheme="minorHAnsi" w:cstheme="minorHAnsi"/>
          <w:color w:val="000000" w:themeColor="text1"/>
          <w:sz w:val="20"/>
          <w:szCs w:val="20"/>
        </w:rPr>
        <w:t>.</w:t>
      </w:r>
    </w:p>
    <w:p w:rsidR="002162CD" w:rsidRPr="00E565AE" w:rsidRDefault="002162CD" w:rsidP="00047411">
      <w:pPr>
        <w:jc w:val="both"/>
        <w:rPr>
          <w:rFonts w:asciiTheme="minorHAnsi" w:hAnsiTheme="minorHAnsi" w:cstheme="minorHAnsi"/>
          <w:color w:val="000000" w:themeColor="text1"/>
          <w:sz w:val="20"/>
          <w:szCs w:val="20"/>
        </w:rPr>
      </w:pPr>
    </w:p>
    <w:p w:rsidR="00643CE4" w:rsidRDefault="005C2A43" w:rsidP="00047411">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In particolare, uno spostamento </w:t>
      </w:r>
      <w:r w:rsidR="00800F31" w:rsidRPr="00E565AE">
        <w:rPr>
          <w:rFonts w:asciiTheme="minorHAnsi" w:hAnsiTheme="minorHAnsi" w:cstheme="minorHAnsi"/>
          <w:color w:val="000000" w:themeColor="text1"/>
          <w:sz w:val="20"/>
          <w:szCs w:val="20"/>
        </w:rPr>
        <w:t>nel profilo</w:t>
      </w:r>
      <w:r w:rsidRPr="00E565AE">
        <w:rPr>
          <w:rFonts w:asciiTheme="minorHAnsi" w:hAnsiTheme="minorHAnsi" w:cstheme="minorHAnsi"/>
          <w:color w:val="000000" w:themeColor="text1"/>
          <w:sz w:val="20"/>
          <w:szCs w:val="20"/>
        </w:rPr>
        <w:t xml:space="preserve"> delle citochine indica che le cellule T invecchiate mostrano prevalentemente </w:t>
      </w:r>
      <w:r w:rsidR="00800F31" w:rsidRPr="00E565AE">
        <w:rPr>
          <w:rFonts w:asciiTheme="minorHAnsi" w:hAnsiTheme="minorHAnsi" w:cstheme="minorHAnsi"/>
          <w:color w:val="000000" w:themeColor="text1"/>
          <w:sz w:val="20"/>
          <w:szCs w:val="20"/>
        </w:rPr>
        <w:t xml:space="preserve">un </w:t>
      </w:r>
      <w:r w:rsidRPr="002162CD">
        <w:rPr>
          <w:rFonts w:asciiTheme="minorHAnsi" w:hAnsiTheme="minorHAnsi" w:cstheme="minorHAnsi"/>
          <w:b/>
          <w:bCs/>
          <w:color w:val="000000" w:themeColor="text1"/>
          <w:sz w:val="20"/>
          <w:szCs w:val="20"/>
        </w:rPr>
        <w:t xml:space="preserve">fenotipo </w:t>
      </w:r>
      <w:r w:rsidR="00800F31" w:rsidRPr="002162CD">
        <w:rPr>
          <w:rFonts w:asciiTheme="minorHAnsi" w:hAnsiTheme="minorHAnsi" w:cstheme="minorHAnsi"/>
          <w:b/>
          <w:bCs/>
          <w:color w:val="000000" w:themeColor="text1"/>
          <w:sz w:val="20"/>
          <w:szCs w:val="20"/>
        </w:rPr>
        <w:t>del tipo</w:t>
      </w:r>
      <w:r w:rsidRPr="002162CD">
        <w:rPr>
          <w:rFonts w:asciiTheme="minorHAnsi" w:hAnsiTheme="minorHAnsi" w:cstheme="minorHAnsi"/>
          <w:b/>
          <w:bCs/>
          <w:color w:val="000000" w:themeColor="text1"/>
          <w:sz w:val="20"/>
          <w:szCs w:val="20"/>
        </w:rPr>
        <w:t xml:space="preserve"> Th2</w:t>
      </w:r>
      <w:r w:rsidRPr="00E565AE">
        <w:rPr>
          <w:rFonts w:asciiTheme="minorHAnsi" w:hAnsiTheme="minorHAnsi" w:cstheme="minorHAnsi"/>
          <w:color w:val="000000" w:themeColor="text1"/>
          <w:sz w:val="20"/>
          <w:szCs w:val="20"/>
        </w:rPr>
        <w:t xml:space="preserve"> </w:t>
      </w:r>
      <w:r w:rsidRPr="002162CD">
        <w:rPr>
          <w:rFonts w:asciiTheme="minorHAnsi" w:hAnsiTheme="minorHAnsi" w:cstheme="minorHAnsi"/>
          <w:color w:val="C00000"/>
          <w:sz w:val="20"/>
          <w:szCs w:val="20"/>
          <w:vertAlign w:val="superscript"/>
        </w:rPr>
        <w:t>(66)</w:t>
      </w:r>
      <w:r w:rsidRPr="00E565AE">
        <w:rPr>
          <w:rFonts w:asciiTheme="minorHAnsi" w:hAnsiTheme="minorHAnsi" w:cstheme="minorHAnsi"/>
          <w:color w:val="000000" w:themeColor="text1"/>
          <w:sz w:val="20"/>
          <w:szCs w:val="20"/>
        </w:rPr>
        <w:t xml:space="preserve">. </w:t>
      </w:r>
    </w:p>
    <w:p w:rsidR="002162CD" w:rsidRPr="00E565AE" w:rsidRDefault="002162CD" w:rsidP="00047411">
      <w:pPr>
        <w:jc w:val="both"/>
        <w:rPr>
          <w:rFonts w:asciiTheme="minorHAnsi" w:hAnsiTheme="minorHAnsi" w:cstheme="minorHAnsi"/>
          <w:color w:val="000000" w:themeColor="text1"/>
          <w:sz w:val="20"/>
          <w:szCs w:val="20"/>
        </w:rPr>
      </w:pPr>
    </w:p>
    <w:p w:rsidR="00643CE4" w:rsidRPr="00E565AE" w:rsidRDefault="005C2A43" w:rsidP="00047411">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Le cellule Th17 difendono l'ospite dai patogeni extracellulari e sono associate allo sviluppo di malattie autoimmuni e </w:t>
      </w:r>
      <w:r w:rsidR="00800F31" w:rsidRPr="00E565AE">
        <w:rPr>
          <w:rFonts w:asciiTheme="minorHAnsi" w:hAnsiTheme="minorHAnsi" w:cstheme="minorHAnsi"/>
          <w:color w:val="000000" w:themeColor="text1"/>
          <w:sz w:val="20"/>
          <w:szCs w:val="20"/>
        </w:rPr>
        <w:t xml:space="preserve">a </w:t>
      </w:r>
      <w:r w:rsidRPr="00E565AE">
        <w:rPr>
          <w:rFonts w:asciiTheme="minorHAnsi" w:hAnsiTheme="minorHAnsi" w:cstheme="minorHAnsi"/>
          <w:color w:val="000000" w:themeColor="text1"/>
          <w:sz w:val="20"/>
          <w:szCs w:val="20"/>
        </w:rPr>
        <w:t xml:space="preserve">malattie infiammatorie croniche nell'uomo </w:t>
      </w:r>
      <w:r w:rsidRPr="002162CD">
        <w:rPr>
          <w:rFonts w:asciiTheme="minorHAnsi" w:hAnsiTheme="minorHAnsi" w:cstheme="minorHAnsi"/>
          <w:color w:val="C00000"/>
          <w:sz w:val="20"/>
          <w:szCs w:val="20"/>
          <w:vertAlign w:val="superscript"/>
        </w:rPr>
        <w:t>(67)</w:t>
      </w:r>
      <w:r w:rsidRPr="00E565AE">
        <w:rPr>
          <w:rFonts w:asciiTheme="minorHAnsi" w:hAnsiTheme="minorHAnsi" w:cstheme="minorHAnsi"/>
          <w:color w:val="000000" w:themeColor="text1"/>
          <w:sz w:val="20"/>
          <w:szCs w:val="20"/>
        </w:rPr>
        <w:t>.</w:t>
      </w:r>
    </w:p>
    <w:p w:rsidR="002F0DE8" w:rsidRPr="00E565AE" w:rsidRDefault="005C2A43" w:rsidP="00047411">
      <w:pPr>
        <w:jc w:val="both"/>
        <w:rPr>
          <w:rFonts w:asciiTheme="minorHAnsi" w:hAnsiTheme="minorHAnsi" w:cstheme="minorHAnsi"/>
          <w:color w:val="000000" w:themeColor="text1"/>
          <w:sz w:val="20"/>
          <w:szCs w:val="20"/>
        </w:rPr>
      </w:pPr>
      <w:r w:rsidRPr="002162CD">
        <w:rPr>
          <w:rFonts w:asciiTheme="minorHAnsi" w:hAnsiTheme="minorHAnsi" w:cstheme="minorHAnsi"/>
          <w:b/>
          <w:bCs/>
          <w:color w:val="000000" w:themeColor="text1"/>
          <w:sz w:val="20"/>
          <w:szCs w:val="20"/>
        </w:rPr>
        <w:t>Il rapporto tra Th17 e Treg sembra aumentare con l'e</w:t>
      </w:r>
      <w:r w:rsidRPr="00E565AE">
        <w:rPr>
          <w:rFonts w:asciiTheme="minorHAnsi" w:hAnsiTheme="minorHAnsi" w:cstheme="minorHAnsi"/>
          <w:color w:val="000000" w:themeColor="text1"/>
          <w:sz w:val="20"/>
          <w:szCs w:val="20"/>
        </w:rPr>
        <w:t xml:space="preserve">tà e Schmitt et al. </w:t>
      </w:r>
      <w:r w:rsidRPr="002162CD">
        <w:rPr>
          <w:rFonts w:asciiTheme="minorHAnsi" w:hAnsiTheme="minorHAnsi" w:cstheme="minorHAnsi"/>
          <w:color w:val="C00000"/>
          <w:sz w:val="20"/>
          <w:szCs w:val="20"/>
          <w:vertAlign w:val="superscript"/>
        </w:rPr>
        <w:t>(68)</w:t>
      </w:r>
      <w:r w:rsidRPr="002162CD">
        <w:rPr>
          <w:rFonts w:asciiTheme="minorHAnsi" w:hAnsiTheme="minorHAnsi" w:cstheme="minorHAnsi"/>
          <w:color w:val="C00000"/>
          <w:sz w:val="20"/>
          <w:szCs w:val="20"/>
        </w:rPr>
        <w:t xml:space="preserve"> </w:t>
      </w:r>
      <w:r w:rsidRPr="00E565AE">
        <w:rPr>
          <w:rFonts w:asciiTheme="minorHAnsi" w:hAnsiTheme="minorHAnsi" w:cstheme="minorHAnsi"/>
          <w:color w:val="000000" w:themeColor="text1"/>
          <w:sz w:val="20"/>
          <w:szCs w:val="20"/>
        </w:rPr>
        <w:t xml:space="preserve">suggeriscono che questa variazione nel rapporto può spiegare l'aumento della frequenza delle malattie autoimmuni e la riduzione della risposta alle infezioni negli anziani. </w:t>
      </w:r>
    </w:p>
    <w:p w:rsidR="00800F31" w:rsidRPr="00E565AE" w:rsidRDefault="00800F31" w:rsidP="001F5DBD">
      <w:pPr>
        <w:rPr>
          <w:rFonts w:asciiTheme="minorHAnsi" w:hAnsiTheme="minorHAnsi" w:cstheme="minorHAnsi"/>
          <w:color w:val="000000" w:themeColor="text1"/>
          <w:sz w:val="20"/>
          <w:szCs w:val="20"/>
        </w:rPr>
      </w:pPr>
    </w:p>
    <w:p w:rsidR="00643CE4" w:rsidRDefault="00800F31" w:rsidP="00593C39">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La seguente figura mostra l'</w:t>
      </w:r>
      <w:r w:rsidRPr="002162CD">
        <w:rPr>
          <w:rFonts w:asciiTheme="minorHAnsi" w:hAnsiTheme="minorHAnsi" w:cstheme="minorHAnsi"/>
          <w:b/>
          <w:bCs/>
          <w:color w:val="000000" w:themeColor="text1"/>
          <w:sz w:val="20"/>
          <w:szCs w:val="20"/>
        </w:rPr>
        <w:t>impatto dell'immunosenescenza sulle cellule T coinvolte nelle infezioni virali croniche</w:t>
      </w:r>
      <w:r w:rsidRPr="00E565AE">
        <w:rPr>
          <w:rFonts w:asciiTheme="minorHAnsi" w:hAnsiTheme="minorHAnsi" w:cstheme="minorHAnsi"/>
          <w:color w:val="000000" w:themeColor="text1"/>
          <w:sz w:val="20"/>
          <w:szCs w:val="20"/>
        </w:rPr>
        <w:t xml:space="preserve">. </w:t>
      </w:r>
    </w:p>
    <w:p w:rsidR="002162CD" w:rsidRPr="00E565AE" w:rsidRDefault="002162CD" w:rsidP="00593C39">
      <w:pPr>
        <w:jc w:val="both"/>
        <w:rPr>
          <w:rFonts w:asciiTheme="minorHAnsi" w:hAnsiTheme="minorHAnsi" w:cstheme="minorHAnsi"/>
          <w:color w:val="000000" w:themeColor="text1"/>
          <w:sz w:val="20"/>
          <w:szCs w:val="20"/>
        </w:rPr>
      </w:pPr>
    </w:p>
    <w:p w:rsidR="002162CD" w:rsidRDefault="00800F31" w:rsidP="00593C39">
      <w:pPr>
        <w:jc w:val="both"/>
        <w:rPr>
          <w:rFonts w:asciiTheme="minorHAnsi" w:hAnsiTheme="minorHAnsi" w:cstheme="minorHAnsi"/>
          <w:b/>
          <w:bCs/>
          <w:color w:val="000000" w:themeColor="text1"/>
          <w:sz w:val="20"/>
          <w:szCs w:val="20"/>
        </w:rPr>
      </w:pPr>
      <w:r w:rsidRPr="00E565AE">
        <w:rPr>
          <w:rFonts w:asciiTheme="minorHAnsi" w:hAnsiTheme="minorHAnsi" w:cstheme="minorHAnsi"/>
          <w:color w:val="000000" w:themeColor="text1"/>
          <w:sz w:val="20"/>
          <w:szCs w:val="20"/>
        </w:rPr>
        <w:t xml:space="preserve">Ad esempio, l'invecchiamento provoca un </w:t>
      </w:r>
      <w:r w:rsidRPr="002162CD">
        <w:rPr>
          <w:rFonts w:asciiTheme="minorHAnsi" w:hAnsiTheme="minorHAnsi" w:cstheme="minorHAnsi"/>
          <w:b/>
          <w:bCs/>
          <w:color w:val="000000" w:themeColor="text1"/>
          <w:sz w:val="20"/>
          <w:szCs w:val="20"/>
        </w:rPr>
        <w:t>numero ridotto di cellule T CD8</w:t>
      </w:r>
      <w:r w:rsidRPr="002162CD">
        <w:rPr>
          <w:rFonts w:asciiTheme="minorHAnsi" w:hAnsiTheme="minorHAnsi" w:cstheme="minorHAnsi"/>
          <w:b/>
          <w:bCs/>
          <w:color w:val="000000" w:themeColor="text1"/>
          <w:sz w:val="20"/>
          <w:szCs w:val="20"/>
          <w:vertAlign w:val="superscript"/>
        </w:rPr>
        <w:t>+</w:t>
      </w:r>
      <w:r w:rsidRPr="002162CD">
        <w:rPr>
          <w:rFonts w:asciiTheme="minorHAnsi" w:hAnsiTheme="minorHAnsi" w:cstheme="minorHAnsi"/>
          <w:b/>
          <w:bCs/>
          <w:color w:val="000000" w:themeColor="text1"/>
          <w:sz w:val="20"/>
          <w:szCs w:val="20"/>
        </w:rPr>
        <w:t xml:space="preserve"> naïve</w:t>
      </w:r>
      <w:r w:rsidRPr="00E565AE">
        <w:rPr>
          <w:rFonts w:asciiTheme="minorHAnsi" w:hAnsiTheme="minorHAnsi" w:cstheme="minorHAnsi"/>
          <w:color w:val="000000" w:themeColor="text1"/>
          <w:sz w:val="20"/>
          <w:szCs w:val="20"/>
        </w:rPr>
        <w:t>, r</w:t>
      </w:r>
      <w:r w:rsidRPr="002162CD">
        <w:rPr>
          <w:rFonts w:asciiTheme="minorHAnsi" w:hAnsiTheme="minorHAnsi" w:cstheme="minorHAnsi"/>
          <w:b/>
          <w:bCs/>
          <w:color w:val="000000" w:themeColor="text1"/>
          <w:sz w:val="20"/>
          <w:szCs w:val="20"/>
        </w:rPr>
        <w:t>iduzione della diversità del repertorio TCR</w:t>
      </w:r>
      <w:r w:rsidRPr="00E565AE">
        <w:rPr>
          <w:rFonts w:asciiTheme="minorHAnsi" w:hAnsiTheme="minorHAnsi" w:cstheme="minorHAnsi"/>
          <w:color w:val="000000" w:themeColor="text1"/>
          <w:sz w:val="20"/>
          <w:szCs w:val="20"/>
        </w:rPr>
        <w:t xml:space="preserve"> e un </w:t>
      </w:r>
      <w:r w:rsidRPr="002162CD">
        <w:rPr>
          <w:rFonts w:asciiTheme="minorHAnsi" w:hAnsiTheme="minorHAnsi" w:cstheme="minorHAnsi"/>
          <w:b/>
          <w:bCs/>
          <w:color w:val="000000" w:themeColor="text1"/>
          <w:sz w:val="20"/>
          <w:szCs w:val="20"/>
        </w:rPr>
        <w:t xml:space="preserve">numero elevato di </w:t>
      </w:r>
      <w:r w:rsidRPr="002162CD">
        <w:rPr>
          <w:rFonts w:asciiTheme="minorHAnsi" w:hAnsiTheme="minorHAnsi" w:cstheme="minorHAnsi"/>
          <w:b/>
          <w:bCs/>
          <w:color w:val="000000" w:themeColor="text1"/>
          <w:sz w:val="20"/>
          <w:szCs w:val="20"/>
          <w:shd w:val="clear" w:color="auto" w:fill="FBF9E1"/>
        </w:rPr>
        <w:t>cellule T senescenti, esauste e inflazionarie</w:t>
      </w:r>
      <w:r w:rsidRPr="002162CD">
        <w:rPr>
          <w:rFonts w:asciiTheme="minorHAnsi" w:hAnsiTheme="minorHAnsi" w:cstheme="minorHAnsi"/>
          <w:b/>
          <w:bCs/>
          <w:color w:val="000000" w:themeColor="text1"/>
          <w:sz w:val="20"/>
          <w:szCs w:val="20"/>
        </w:rPr>
        <w:t xml:space="preserve"> </w:t>
      </w:r>
    </w:p>
    <w:p w:rsidR="002162CD" w:rsidRDefault="002162CD" w:rsidP="00593C39">
      <w:pPr>
        <w:jc w:val="both"/>
        <w:rPr>
          <w:rFonts w:asciiTheme="minorHAnsi" w:hAnsiTheme="minorHAnsi" w:cstheme="minorHAnsi"/>
          <w:b/>
          <w:bCs/>
          <w:color w:val="000000" w:themeColor="text1"/>
          <w:sz w:val="20"/>
          <w:szCs w:val="20"/>
        </w:rPr>
      </w:pPr>
    </w:p>
    <w:p w:rsidR="002162CD" w:rsidRDefault="002162CD" w:rsidP="002162CD">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851" w:right="843"/>
        <w:jc w:val="both"/>
        <w:rPr>
          <w:rFonts w:asciiTheme="minorHAnsi" w:hAnsiTheme="minorHAnsi" w:cstheme="minorHAnsi"/>
          <w:i/>
          <w:iCs/>
          <w:color w:val="000000" w:themeColor="text1"/>
          <w:sz w:val="18"/>
          <w:szCs w:val="18"/>
        </w:rPr>
      </w:pPr>
    </w:p>
    <w:p w:rsidR="002162CD" w:rsidRDefault="002162CD" w:rsidP="002162CD">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851" w:right="843"/>
        <w:jc w:val="both"/>
        <w:rPr>
          <w:rFonts w:asciiTheme="minorHAnsi" w:hAnsiTheme="minorHAnsi" w:cstheme="minorHAnsi"/>
          <w:i/>
          <w:iCs/>
          <w:color w:val="000000" w:themeColor="text1"/>
          <w:sz w:val="18"/>
          <w:szCs w:val="18"/>
        </w:rPr>
      </w:pPr>
      <w:r>
        <w:rPr>
          <w:rFonts w:asciiTheme="minorHAnsi" w:hAnsiTheme="minorHAnsi" w:cstheme="minorHAnsi"/>
          <w:i/>
          <w:iCs/>
          <w:color w:val="000000" w:themeColor="text1"/>
          <w:sz w:val="18"/>
          <w:szCs w:val="18"/>
        </w:rPr>
        <w:t>I</w:t>
      </w:r>
      <w:r w:rsidR="00800F31" w:rsidRPr="002162CD">
        <w:rPr>
          <w:rFonts w:asciiTheme="minorHAnsi" w:hAnsiTheme="minorHAnsi" w:cstheme="minorHAnsi"/>
          <w:i/>
          <w:iCs/>
          <w:color w:val="000000" w:themeColor="text1"/>
          <w:sz w:val="18"/>
          <w:szCs w:val="18"/>
        </w:rPr>
        <w:t xml:space="preserve">n caso di infezione da citomegalovirus (CMV) vengono indotte </w:t>
      </w:r>
      <w:r w:rsidR="00C844BC" w:rsidRPr="002162CD">
        <w:rPr>
          <w:rFonts w:asciiTheme="minorHAnsi" w:hAnsiTheme="minorHAnsi" w:cstheme="minorHAnsi"/>
          <w:i/>
          <w:iCs/>
          <w:color w:val="000000" w:themeColor="text1"/>
          <w:sz w:val="18"/>
          <w:szCs w:val="18"/>
        </w:rPr>
        <w:t xml:space="preserve">ampie </w:t>
      </w:r>
      <w:r w:rsidR="00800F31" w:rsidRPr="002162CD">
        <w:rPr>
          <w:rFonts w:asciiTheme="minorHAnsi" w:hAnsiTheme="minorHAnsi" w:cstheme="minorHAnsi"/>
          <w:i/>
          <w:iCs/>
          <w:color w:val="000000" w:themeColor="text1"/>
          <w:sz w:val="18"/>
          <w:szCs w:val="18"/>
        </w:rPr>
        <w:t xml:space="preserve">risposte </w:t>
      </w:r>
      <w:r w:rsidR="00643CE4" w:rsidRPr="002162CD">
        <w:rPr>
          <w:rFonts w:asciiTheme="minorHAnsi" w:hAnsiTheme="minorHAnsi" w:cstheme="minorHAnsi"/>
          <w:i/>
          <w:iCs/>
          <w:color w:val="000000" w:themeColor="text1"/>
          <w:sz w:val="18"/>
          <w:szCs w:val="18"/>
        </w:rPr>
        <w:t xml:space="preserve">da parte </w:t>
      </w:r>
      <w:r w:rsidR="00C844BC" w:rsidRPr="002162CD">
        <w:rPr>
          <w:rFonts w:asciiTheme="minorHAnsi" w:hAnsiTheme="minorHAnsi" w:cstheme="minorHAnsi"/>
          <w:i/>
          <w:iCs/>
          <w:color w:val="000000" w:themeColor="text1"/>
          <w:sz w:val="18"/>
          <w:szCs w:val="18"/>
        </w:rPr>
        <w:t xml:space="preserve">di </w:t>
      </w:r>
      <w:r w:rsidR="00800F31" w:rsidRPr="002162CD">
        <w:rPr>
          <w:rFonts w:asciiTheme="minorHAnsi" w:hAnsiTheme="minorHAnsi" w:cstheme="minorHAnsi"/>
          <w:i/>
          <w:iCs/>
          <w:color w:val="000000" w:themeColor="text1"/>
          <w:sz w:val="18"/>
          <w:szCs w:val="18"/>
        </w:rPr>
        <w:t xml:space="preserve">cellule T </w:t>
      </w:r>
      <w:r w:rsidR="00C844BC" w:rsidRPr="002162CD">
        <w:rPr>
          <w:rFonts w:asciiTheme="minorHAnsi" w:hAnsiTheme="minorHAnsi" w:cstheme="minorHAnsi"/>
          <w:i/>
          <w:iCs/>
          <w:color w:val="000000" w:themeColor="text1"/>
          <w:sz w:val="18"/>
          <w:szCs w:val="18"/>
        </w:rPr>
        <w:t>CD8</w:t>
      </w:r>
      <w:r w:rsidR="00C844BC" w:rsidRPr="002162CD">
        <w:rPr>
          <w:rFonts w:asciiTheme="minorHAnsi" w:hAnsiTheme="minorHAnsi" w:cstheme="minorHAnsi"/>
          <w:i/>
          <w:iCs/>
          <w:color w:val="000000" w:themeColor="text1"/>
          <w:sz w:val="18"/>
          <w:szCs w:val="18"/>
          <w:vertAlign w:val="superscript"/>
        </w:rPr>
        <w:t>+</w:t>
      </w:r>
      <w:r w:rsidR="00C844BC" w:rsidRPr="002162CD">
        <w:rPr>
          <w:rFonts w:asciiTheme="minorHAnsi" w:hAnsiTheme="minorHAnsi" w:cstheme="minorHAnsi"/>
          <w:i/>
          <w:iCs/>
          <w:color w:val="000000" w:themeColor="text1"/>
          <w:sz w:val="18"/>
          <w:szCs w:val="18"/>
        </w:rPr>
        <w:t xml:space="preserve"> </w:t>
      </w:r>
      <w:r w:rsidR="00643CE4" w:rsidRPr="002162CD">
        <w:rPr>
          <w:rFonts w:asciiTheme="minorHAnsi" w:hAnsiTheme="minorHAnsi" w:cstheme="minorHAnsi"/>
          <w:i/>
          <w:iCs/>
          <w:color w:val="000000" w:themeColor="text1"/>
          <w:sz w:val="18"/>
          <w:szCs w:val="18"/>
        </w:rPr>
        <w:t xml:space="preserve">specifiche </w:t>
      </w:r>
      <w:r w:rsidR="00800F31" w:rsidRPr="002162CD">
        <w:rPr>
          <w:rFonts w:asciiTheme="minorHAnsi" w:hAnsiTheme="minorHAnsi" w:cstheme="minorHAnsi"/>
          <w:i/>
          <w:iCs/>
          <w:color w:val="000000" w:themeColor="text1"/>
          <w:sz w:val="18"/>
          <w:szCs w:val="18"/>
        </w:rPr>
        <w:t xml:space="preserve">che rimangono elevate o addirittura aumentano nel tempo, </w:t>
      </w:r>
      <w:r w:rsidR="00C844BC" w:rsidRPr="002162CD">
        <w:rPr>
          <w:rFonts w:asciiTheme="minorHAnsi" w:hAnsiTheme="minorHAnsi" w:cstheme="minorHAnsi"/>
          <w:i/>
          <w:iCs/>
          <w:color w:val="000000" w:themeColor="text1"/>
          <w:sz w:val="18"/>
          <w:szCs w:val="18"/>
        </w:rPr>
        <w:t xml:space="preserve">questo </w:t>
      </w:r>
      <w:r w:rsidR="00800F31" w:rsidRPr="002162CD">
        <w:rPr>
          <w:rFonts w:asciiTheme="minorHAnsi" w:hAnsiTheme="minorHAnsi" w:cstheme="minorHAnsi"/>
          <w:i/>
          <w:iCs/>
          <w:color w:val="000000" w:themeColor="text1"/>
          <w:sz w:val="18"/>
          <w:szCs w:val="18"/>
        </w:rPr>
        <w:t xml:space="preserve">fenomeno </w:t>
      </w:r>
      <w:r w:rsidR="00C844BC" w:rsidRPr="002162CD">
        <w:rPr>
          <w:rFonts w:asciiTheme="minorHAnsi" w:hAnsiTheme="minorHAnsi" w:cstheme="minorHAnsi"/>
          <w:i/>
          <w:iCs/>
          <w:color w:val="000000" w:themeColor="text1"/>
          <w:sz w:val="18"/>
          <w:szCs w:val="18"/>
        </w:rPr>
        <w:t xml:space="preserve">è stato </w:t>
      </w:r>
      <w:r w:rsidR="00800F31" w:rsidRPr="002162CD">
        <w:rPr>
          <w:rFonts w:asciiTheme="minorHAnsi" w:hAnsiTheme="minorHAnsi" w:cstheme="minorHAnsi"/>
          <w:i/>
          <w:iCs/>
          <w:color w:val="000000" w:themeColor="text1"/>
          <w:sz w:val="18"/>
          <w:szCs w:val="18"/>
        </w:rPr>
        <w:t xml:space="preserve">chiamato </w:t>
      </w:r>
      <w:r w:rsidR="00800F31" w:rsidRPr="002162CD">
        <w:rPr>
          <w:rFonts w:asciiTheme="minorHAnsi" w:hAnsiTheme="minorHAnsi" w:cstheme="minorHAnsi"/>
          <w:b/>
          <w:bCs/>
          <w:i/>
          <w:iCs/>
          <w:color w:val="000000" w:themeColor="text1"/>
          <w:sz w:val="18"/>
          <w:szCs w:val="18"/>
        </w:rPr>
        <w:t xml:space="preserve">inflazione delle cellule T </w:t>
      </w:r>
      <w:r w:rsidR="00C844BC" w:rsidRPr="002162CD">
        <w:rPr>
          <w:rFonts w:asciiTheme="minorHAnsi" w:hAnsiTheme="minorHAnsi" w:cstheme="minorHAnsi"/>
          <w:b/>
          <w:bCs/>
          <w:i/>
          <w:iCs/>
          <w:color w:val="000000" w:themeColor="text1"/>
          <w:sz w:val="18"/>
          <w:szCs w:val="18"/>
        </w:rPr>
        <w:t>della</w:t>
      </w:r>
      <w:r w:rsidR="00800F31" w:rsidRPr="002162CD">
        <w:rPr>
          <w:rFonts w:asciiTheme="minorHAnsi" w:hAnsiTheme="minorHAnsi" w:cstheme="minorHAnsi"/>
          <w:b/>
          <w:bCs/>
          <w:i/>
          <w:iCs/>
          <w:color w:val="000000" w:themeColor="text1"/>
          <w:sz w:val="18"/>
          <w:szCs w:val="18"/>
        </w:rPr>
        <w:t xml:space="preserve"> memoria</w:t>
      </w:r>
      <w:r w:rsidR="00C844BC" w:rsidRPr="002162CD">
        <w:rPr>
          <w:rFonts w:asciiTheme="minorHAnsi" w:hAnsiTheme="minorHAnsi" w:cstheme="minorHAnsi"/>
          <w:b/>
          <w:bCs/>
          <w:i/>
          <w:iCs/>
          <w:color w:val="000000" w:themeColor="text1"/>
          <w:sz w:val="18"/>
          <w:szCs w:val="18"/>
        </w:rPr>
        <w:t xml:space="preserve"> </w:t>
      </w:r>
      <w:r w:rsidR="00C844BC" w:rsidRPr="002162CD">
        <w:rPr>
          <w:rStyle w:val="FootnoteReference"/>
          <w:rFonts w:asciiTheme="minorHAnsi" w:hAnsiTheme="minorHAnsi" w:cstheme="minorHAnsi"/>
          <w:i/>
          <w:iCs/>
          <w:color w:val="000000" w:themeColor="text1"/>
          <w:sz w:val="18"/>
          <w:szCs w:val="18"/>
        </w:rPr>
        <w:footnoteReference w:id="209"/>
      </w:r>
    </w:p>
    <w:p w:rsidR="00643CE4" w:rsidRPr="002162CD" w:rsidRDefault="00C844BC" w:rsidP="002162CD">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851" w:right="843"/>
        <w:jc w:val="both"/>
        <w:rPr>
          <w:rFonts w:asciiTheme="minorHAnsi" w:hAnsiTheme="minorHAnsi" w:cstheme="minorHAnsi"/>
          <w:i/>
          <w:iCs/>
          <w:color w:val="000000" w:themeColor="text1"/>
          <w:sz w:val="18"/>
          <w:szCs w:val="18"/>
        </w:rPr>
      </w:pPr>
      <w:r w:rsidRPr="002162CD">
        <w:rPr>
          <w:rFonts w:asciiTheme="minorHAnsi" w:hAnsiTheme="minorHAnsi" w:cstheme="minorHAnsi"/>
          <w:i/>
          <w:iCs/>
          <w:color w:val="000000" w:themeColor="text1"/>
          <w:sz w:val="18"/>
          <w:szCs w:val="18"/>
        </w:rPr>
        <w:t xml:space="preserve"> </w:t>
      </w:r>
      <w:r w:rsidR="00800F31" w:rsidRPr="002162CD">
        <w:rPr>
          <w:rFonts w:asciiTheme="minorHAnsi" w:hAnsiTheme="minorHAnsi" w:cstheme="minorHAnsi"/>
          <w:i/>
          <w:iCs/>
          <w:color w:val="000000" w:themeColor="text1"/>
          <w:sz w:val="18"/>
          <w:szCs w:val="18"/>
        </w:rPr>
        <w:t xml:space="preserve"> </w:t>
      </w:r>
    </w:p>
    <w:p w:rsidR="002162CD" w:rsidRPr="00E565AE" w:rsidRDefault="002162CD" w:rsidP="00593C39">
      <w:pPr>
        <w:jc w:val="both"/>
        <w:rPr>
          <w:rFonts w:asciiTheme="minorHAnsi" w:hAnsiTheme="minorHAnsi" w:cstheme="minorHAnsi"/>
          <w:color w:val="000000" w:themeColor="text1"/>
          <w:sz w:val="20"/>
          <w:szCs w:val="20"/>
        </w:rPr>
      </w:pPr>
    </w:p>
    <w:p w:rsidR="00643CE4" w:rsidRDefault="00800F31" w:rsidP="00593C39">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Di recente, Tahir et al. </w:t>
      </w:r>
      <w:r w:rsidRPr="00E565AE">
        <w:rPr>
          <w:rFonts w:asciiTheme="minorHAnsi" w:hAnsiTheme="minorHAnsi" w:cstheme="minorHAnsi"/>
          <w:color w:val="000000" w:themeColor="text1"/>
          <w:sz w:val="20"/>
          <w:szCs w:val="20"/>
          <w:vertAlign w:val="superscript"/>
        </w:rPr>
        <w:t>(69)</w:t>
      </w:r>
      <w:r w:rsidRPr="00E565AE">
        <w:rPr>
          <w:rFonts w:asciiTheme="minorHAnsi" w:hAnsiTheme="minorHAnsi" w:cstheme="minorHAnsi"/>
          <w:color w:val="000000" w:themeColor="text1"/>
          <w:sz w:val="20"/>
          <w:szCs w:val="20"/>
        </w:rPr>
        <w:t xml:space="preserve"> hanno definito il </w:t>
      </w:r>
      <w:r w:rsidRPr="002162CD">
        <w:rPr>
          <w:rFonts w:asciiTheme="minorHAnsi" w:hAnsiTheme="minorHAnsi" w:cstheme="minorHAnsi"/>
          <w:b/>
          <w:bCs/>
          <w:color w:val="000000" w:themeColor="text1"/>
          <w:sz w:val="20"/>
          <w:szCs w:val="20"/>
          <w:shd w:val="clear" w:color="auto" w:fill="FBF9E1"/>
        </w:rPr>
        <w:t>fenotipo delle cellule T associate alla senescenza (SA-T)</w:t>
      </w:r>
      <w:r w:rsidRPr="00E565AE">
        <w:rPr>
          <w:rFonts w:asciiTheme="minorHAnsi" w:hAnsiTheme="minorHAnsi" w:cstheme="minorHAnsi"/>
          <w:color w:val="000000" w:themeColor="text1"/>
          <w:sz w:val="20"/>
          <w:szCs w:val="20"/>
        </w:rPr>
        <w:t xml:space="preserve"> e hanno rilevato che </w:t>
      </w:r>
      <w:r w:rsidRPr="00E565AE">
        <w:rPr>
          <w:rFonts w:asciiTheme="minorHAnsi" w:hAnsiTheme="minorHAnsi" w:cstheme="minorHAnsi"/>
          <w:b/>
          <w:bCs/>
          <w:color w:val="000000" w:themeColor="text1"/>
          <w:sz w:val="20"/>
          <w:szCs w:val="20"/>
        </w:rPr>
        <w:t xml:space="preserve">queste cellule secernono abbondanti </w:t>
      </w:r>
      <w:r w:rsidRPr="002162CD">
        <w:rPr>
          <w:rFonts w:asciiTheme="minorHAnsi" w:hAnsiTheme="minorHAnsi" w:cstheme="minorHAnsi"/>
          <w:b/>
          <w:bCs/>
          <w:color w:val="000000" w:themeColor="text1"/>
          <w:sz w:val="20"/>
          <w:szCs w:val="20"/>
          <w:shd w:val="clear" w:color="auto" w:fill="FBF9E1"/>
        </w:rPr>
        <w:t>citochine proinfiammatorie atipiche</w:t>
      </w:r>
      <w:r w:rsidRPr="00E565AE">
        <w:rPr>
          <w:rFonts w:asciiTheme="minorHAnsi" w:hAnsiTheme="minorHAnsi" w:cstheme="minorHAnsi"/>
          <w:color w:val="000000" w:themeColor="text1"/>
          <w:sz w:val="20"/>
          <w:szCs w:val="20"/>
        </w:rPr>
        <w:t xml:space="preserve">, che si accumulano nei tessuti sottoposti a stress metabolico e causano un'infiammazione persistente o tumori </w:t>
      </w:r>
      <w:r w:rsidRPr="00E565AE">
        <w:rPr>
          <w:rFonts w:asciiTheme="minorHAnsi" w:hAnsiTheme="minorHAnsi" w:cstheme="minorHAnsi"/>
          <w:color w:val="000000" w:themeColor="text1"/>
          <w:sz w:val="20"/>
          <w:szCs w:val="20"/>
          <w:vertAlign w:val="superscript"/>
        </w:rPr>
        <w:t>(70)</w:t>
      </w:r>
      <w:r w:rsidRPr="00E565AE">
        <w:rPr>
          <w:rFonts w:asciiTheme="minorHAnsi" w:hAnsiTheme="minorHAnsi" w:cstheme="minorHAnsi"/>
          <w:color w:val="000000" w:themeColor="text1"/>
          <w:sz w:val="20"/>
          <w:szCs w:val="20"/>
        </w:rPr>
        <w:t>.</w:t>
      </w:r>
    </w:p>
    <w:p w:rsidR="002162CD" w:rsidRPr="00E565AE" w:rsidRDefault="002162CD" w:rsidP="00593C39">
      <w:pPr>
        <w:jc w:val="both"/>
        <w:rPr>
          <w:rFonts w:asciiTheme="minorHAnsi" w:hAnsiTheme="minorHAnsi" w:cstheme="minorHAnsi"/>
          <w:color w:val="000000" w:themeColor="text1"/>
          <w:sz w:val="20"/>
          <w:szCs w:val="20"/>
        </w:rPr>
      </w:pPr>
    </w:p>
    <w:p w:rsidR="00800F31" w:rsidRPr="00E565AE" w:rsidRDefault="00800F31" w:rsidP="001F5DBD">
      <w:pPr>
        <w:rPr>
          <w:rFonts w:asciiTheme="minorHAnsi" w:hAnsiTheme="minorHAnsi" w:cstheme="minorHAnsi"/>
          <w:color w:val="000000" w:themeColor="text1"/>
          <w:sz w:val="20"/>
          <w:szCs w:val="20"/>
        </w:rPr>
      </w:pPr>
    </w:p>
    <w:p w:rsidR="005C01E5" w:rsidRPr="00E565AE" w:rsidRDefault="005C01E5" w:rsidP="00593C39">
      <w:pPr>
        <w:jc w:val="center"/>
        <w:rPr>
          <w:rFonts w:asciiTheme="minorHAnsi" w:hAnsiTheme="minorHAnsi" w:cstheme="minorHAnsi"/>
          <w:color w:val="000000" w:themeColor="text1"/>
          <w:sz w:val="22"/>
          <w:szCs w:val="22"/>
        </w:rPr>
      </w:pPr>
      <w:r w:rsidRPr="00E565AE">
        <w:rPr>
          <w:rFonts w:asciiTheme="minorHAnsi" w:hAnsiTheme="minorHAnsi" w:cstheme="minorHAnsi"/>
          <w:color w:val="000000" w:themeColor="text1"/>
          <w:sz w:val="22"/>
          <w:szCs w:val="22"/>
        </w:rPr>
        <w:fldChar w:fldCharType="begin"/>
      </w:r>
      <w:r w:rsidRPr="00E565AE">
        <w:rPr>
          <w:rFonts w:asciiTheme="minorHAnsi" w:hAnsiTheme="minorHAnsi" w:cstheme="minorHAnsi"/>
          <w:color w:val="000000" w:themeColor="text1"/>
          <w:sz w:val="22"/>
          <w:szCs w:val="22"/>
        </w:rPr>
        <w:instrText xml:space="preserve"> INCLUDEPICTURE "https://www.ncbi.nlm.nih.gov/pmc/articles/PMC6943173/bin/in-19-e37-g002.jpg" \* MERGEFORMATINET </w:instrText>
      </w:r>
      <w:r w:rsidRPr="00E565AE">
        <w:rPr>
          <w:rFonts w:asciiTheme="minorHAnsi" w:hAnsiTheme="minorHAnsi" w:cstheme="minorHAnsi"/>
          <w:color w:val="000000" w:themeColor="text1"/>
          <w:sz w:val="22"/>
          <w:szCs w:val="22"/>
        </w:rPr>
        <w:fldChar w:fldCharType="separate"/>
      </w:r>
      <w:r w:rsidRPr="00E565AE">
        <w:rPr>
          <w:rFonts w:asciiTheme="minorHAnsi" w:hAnsiTheme="minorHAnsi" w:cstheme="minorHAnsi"/>
          <w:noProof/>
          <w:color w:val="000000" w:themeColor="text1"/>
          <w:sz w:val="22"/>
          <w:szCs w:val="22"/>
        </w:rPr>
        <w:drawing>
          <wp:inline distT="0" distB="0" distL="0" distR="0" wp14:anchorId="26F41415" wp14:editId="7CB31E4D">
            <wp:extent cx="5978275" cy="3274646"/>
            <wp:effectExtent l="0" t="0" r="3810" b="2540"/>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60037" cy="3319432"/>
                    </a:xfrm>
                    <a:prstGeom prst="rect">
                      <a:avLst/>
                    </a:prstGeom>
                    <a:noFill/>
                    <a:ln>
                      <a:noFill/>
                    </a:ln>
                  </pic:spPr>
                </pic:pic>
              </a:graphicData>
            </a:graphic>
          </wp:inline>
        </w:drawing>
      </w:r>
      <w:r w:rsidRPr="00E565AE">
        <w:rPr>
          <w:rFonts w:asciiTheme="minorHAnsi" w:hAnsiTheme="minorHAnsi" w:cstheme="minorHAnsi"/>
          <w:color w:val="000000" w:themeColor="text1"/>
          <w:sz w:val="22"/>
          <w:szCs w:val="22"/>
        </w:rPr>
        <w:fldChar w:fldCharType="end"/>
      </w:r>
    </w:p>
    <w:p w:rsidR="00643CE4" w:rsidRPr="002162CD" w:rsidRDefault="00643CE4" w:rsidP="002162CD">
      <w:pPr>
        <w:jc w:val="center"/>
        <w:rPr>
          <w:rFonts w:asciiTheme="minorHAnsi" w:hAnsiTheme="minorHAnsi" w:cstheme="minorHAnsi"/>
          <w:color w:val="000000" w:themeColor="text1"/>
          <w:sz w:val="18"/>
          <w:szCs w:val="18"/>
        </w:rPr>
      </w:pPr>
    </w:p>
    <w:p w:rsidR="006442E5" w:rsidRPr="002162CD" w:rsidRDefault="006442E5" w:rsidP="002162CD">
      <w:pPr>
        <w:shd w:val="clear" w:color="auto" w:fill="F2F2F2" w:themeFill="background1" w:themeFillShade="F2"/>
        <w:jc w:val="both"/>
        <w:rPr>
          <w:rFonts w:asciiTheme="minorHAnsi" w:hAnsiTheme="minorHAnsi" w:cstheme="minorHAnsi"/>
          <w:color w:val="000000" w:themeColor="text1"/>
          <w:sz w:val="18"/>
          <w:szCs w:val="18"/>
        </w:rPr>
      </w:pPr>
      <w:r w:rsidRPr="002162CD">
        <w:rPr>
          <w:rFonts w:asciiTheme="minorHAnsi" w:eastAsiaTheme="majorEastAsia" w:hAnsiTheme="minorHAnsi" w:cstheme="minorHAnsi"/>
          <w:color w:val="000000" w:themeColor="text1"/>
          <w:sz w:val="18"/>
          <w:szCs w:val="18"/>
        </w:rPr>
        <w:t>Tratta da</w:t>
      </w:r>
      <w:r w:rsidRPr="002162CD">
        <w:rPr>
          <w:rFonts w:asciiTheme="minorHAnsi" w:eastAsiaTheme="majorEastAsia" w:hAnsiTheme="minorHAnsi" w:cstheme="minorHAnsi"/>
          <w:b/>
          <w:bCs/>
          <w:color w:val="000000" w:themeColor="text1"/>
          <w:sz w:val="18"/>
          <w:szCs w:val="18"/>
        </w:rPr>
        <w:t xml:space="preserve"> </w:t>
      </w:r>
      <w:hyperlink r:id="rId167" w:history="1">
        <w:r w:rsidRPr="002162CD">
          <w:rPr>
            <w:rStyle w:val="Hyperlink"/>
            <w:rFonts w:asciiTheme="minorHAnsi" w:eastAsiaTheme="majorEastAsia" w:hAnsiTheme="minorHAnsi" w:cstheme="minorHAnsi"/>
            <w:color w:val="000000" w:themeColor="text1"/>
            <w:sz w:val="18"/>
            <w:szCs w:val="18"/>
            <w:u w:val="none"/>
          </w:rPr>
          <w:t>https://www.ncbi.nlm.nih.gov/pmc/articles/PMC6943173/</w:t>
        </w:r>
      </w:hyperlink>
    </w:p>
    <w:p w:rsidR="006442E5" w:rsidRPr="002162CD" w:rsidRDefault="006442E5" w:rsidP="002162CD">
      <w:pPr>
        <w:shd w:val="clear" w:color="auto" w:fill="F2F2F2" w:themeFill="background1" w:themeFillShade="F2"/>
        <w:jc w:val="both"/>
        <w:rPr>
          <w:rFonts w:asciiTheme="minorHAnsi" w:eastAsiaTheme="majorEastAsia" w:hAnsiTheme="minorHAnsi" w:cstheme="minorHAnsi"/>
          <w:color w:val="000000" w:themeColor="text1"/>
          <w:sz w:val="18"/>
          <w:szCs w:val="18"/>
        </w:rPr>
      </w:pPr>
      <w:r w:rsidRPr="002162CD">
        <w:rPr>
          <w:rFonts w:asciiTheme="minorHAnsi" w:eastAsiaTheme="majorEastAsia" w:hAnsiTheme="minorHAnsi" w:cstheme="minorHAnsi"/>
          <w:b/>
          <w:bCs/>
          <w:color w:val="000000" w:themeColor="text1"/>
          <w:sz w:val="18"/>
          <w:szCs w:val="18"/>
        </w:rPr>
        <w:t>L'impatto dell'immunosenescenza sull'infezione virale persistente e sull'immunità</w:t>
      </w:r>
      <w:r w:rsidRPr="002162CD">
        <w:rPr>
          <w:rFonts w:asciiTheme="minorHAnsi" w:eastAsiaTheme="majorEastAsia" w:hAnsiTheme="minorHAnsi" w:cstheme="minorHAnsi"/>
          <w:color w:val="000000" w:themeColor="text1"/>
          <w:sz w:val="18"/>
          <w:szCs w:val="18"/>
        </w:rPr>
        <w:t>. L'invecchiamento porta a numerosi cambiamenti nei principali componenti del sistema immunitario innato e adattivo. In risposta a un'infezione virale, le cellule immunitarie innate possono innescare l'attivazione di percorsi IFN per eliminare le cellule infette da virus. Difetti associati all'età nelle cellule immunitarie innate possono portare alla riduzione della produzione di IFN. L'infezione virale persistente, come la persistenza del CMV, può avere un profondo effetto sulle alterazioni dell'immunità adattativa, in particolare sulla composizione e funzione delle cellule T. Negli anziani, vi è un numero ridotto di linfociti T naïve, ma un aumento del numero di linfociti T senescenti, inflazionistici o esauriti che sono funzionalmente inerti o dormienti.</w:t>
      </w:r>
    </w:p>
    <w:p w:rsidR="00C844BC" w:rsidRDefault="00C844BC" w:rsidP="001F5DBD">
      <w:pPr>
        <w:rPr>
          <w:rFonts w:asciiTheme="minorHAnsi" w:hAnsiTheme="minorHAnsi" w:cstheme="minorHAnsi"/>
          <w:color w:val="000000" w:themeColor="text1"/>
          <w:sz w:val="22"/>
          <w:szCs w:val="22"/>
        </w:rPr>
      </w:pPr>
    </w:p>
    <w:p w:rsidR="002162CD" w:rsidRDefault="002162CD" w:rsidP="001F5DBD">
      <w:pPr>
        <w:rPr>
          <w:rFonts w:asciiTheme="minorHAnsi" w:hAnsiTheme="minorHAnsi" w:cstheme="minorHAnsi"/>
          <w:color w:val="000000" w:themeColor="text1"/>
          <w:sz w:val="22"/>
          <w:szCs w:val="22"/>
        </w:rPr>
      </w:pPr>
    </w:p>
    <w:p w:rsidR="002162CD" w:rsidRDefault="002162CD" w:rsidP="001F5DBD">
      <w:pPr>
        <w:rPr>
          <w:rFonts w:asciiTheme="minorHAnsi" w:hAnsiTheme="minorHAnsi" w:cstheme="minorHAnsi"/>
          <w:color w:val="000000" w:themeColor="text1"/>
          <w:sz w:val="22"/>
          <w:szCs w:val="22"/>
        </w:rPr>
      </w:pPr>
    </w:p>
    <w:p w:rsidR="002162CD" w:rsidRDefault="002162CD" w:rsidP="001F5DBD">
      <w:pPr>
        <w:rPr>
          <w:rFonts w:asciiTheme="minorHAnsi" w:hAnsiTheme="minorHAnsi" w:cstheme="minorHAnsi"/>
          <w:color w:val="000000" w:themeColor="text1"/>
          <w:sz w:val="22"/>
          <w:szCs w:val="22"/>
        </w:rPr>
      </w:pPr>
    </w:p>
    <w:p w:rsidR="002162CD" w:rsidRDefault="002162CD" w:rsidP="001F5DBD">
      <w:pPr>
        <w:rPr>
          <w:rFonts w:asciiTheme="minorHAnsi" w:hAnsiTheme="minorHAnsi" w:cstheme="minorHAnsi"/>
          <w:color w:val="000000" w:themeColor="text1"/>
          <w:sz w:val="22"/>
          <w:szCs w:val="22"/>
        </w:rPr>
      </w:pPr>
    </w:p>
    <w:p w:rsidR="002162CD" w:rsidRDefault="002162CD" w:rsidP="001F5DBD">
      <w:pPr>
        <w:rPr>
          <w:rFonts w:asciiTheme="minorHAnsi" w:hAnsiTheme="minorHAnsi" w:cstheme="minorHAnsi"/>
          <w:color w:val="000000" w:themeColor="text1"/>
          <w:sz w:val="22"/>
          <w:szCs w:val="22"/>
        </w:rPr>
      </w:pPr>
    </w:p>
    <w:p w:rsidR="00F9574E" w:rsidRDefault="00F9574E" w:rsidP="001F5DBD">
      <w:pPr>
        <w:rPr>
          <w:rFonts w:asciiTheme="minorHAnsi" w:hAnsiTheme="minorHAnsi" w:cstheme="minorHAnsi"/>
          <w:i/>
          <w:iCs/>
          <w:color w:val="C00000"/>
        </w:rPr>
      </w:pPr>
      <w:bookmarkStart w:id="75" w:name="_Toc43342406"/>
      <w:r w:rsidRPr="00E11E4C">
        <w:rPr>
          <w:rStyle w:val="Heading3Char"/>
          <w:rFonts w:asciiTheme="minorHAnsi" w:hAnsiTheme="minorHAnsi" w:cstheme="minorHAnsi"/>
          <w:color w:val="C00000"/>
          <w:sz w:val="24"/>
          <w:szCs w:val="24"/>
        </w:rPr>
        <w:lastRenderedPageBreak/>
        <w:t>Microbiota e senescenza</w:t>
      </w:r>
      <w:bookmarkEnd w:id="75"/>
      <w:r w:rsidRPr="00E11E4C">
        <w:rPr>
          <w:rFonts w:asciiTheme="minorHAnsi" w:hAnsiTheme="minorHAnsi" w:cstheme="minorHAnsi"/>
          <w:i/>
          <w:iCs/>
          <w:color w:val="C00000"/>
        </w:rPr>
        <w:t xml:space="preserve"> </w:t>
      </w:r>
      <w:r w:rsidRPr="00E11E4C">
        <w:rPr>
          <w:rStyle w:val="FootnoteReference"/>
          <w:rFonts w:asciiTheme="minorHAnsi" w:hAnsiTheme="minorHAnsi" w:cstheme="minorHAnsi"/>
          <w:i/>
          <w:iCs/>
          <w:color w:val="C00000"/>
          <w:lang w:val="en-US"/>
        </w:rPr>
        <w:footnoteReference w:id="210"/>
      </w:r>
    </w:p>
    <w:p w:rsidR="00E11E4C" w:rsidRPr="00E11E4C" w:rsidRDefault="00E11E4C" w:rsidP="001F5DBD">
      <w:pPr>
        <w:rPr>
          <w:rFonts w:asciiTheme="minorHAnsi" w:hAnsiTheme="minorHAnsi" w:cstheme="minorHAnsi"/>
          <w:i/>
          <w:iCs/>
          <w:color w:val="C00000"/>
        </w:rPr>
      </w:pPr>
    </w:p>
    <w:p w:rsidR="00643CE4" w:rsidRPr="00E565AE" w:rsidRDefault="006442E5"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L'aspettativa di vita media per tutti gli italiani alla nascita è stimata in </w:t>
      </w:r>
      <w:r w:rsidRPr="00E11E4C">
        <w:rPr>
          <w:rFonts w:asciiTheme="minorHAnsi" w:hAnsiTheme="minorHAnsi" w:cstheme="minorHAnsi"/>
          <w:b/>
          <w:bCs/>
          <w:color w:val="000000" w:themeColor="text1"/>
          <w:sz w:val="20"/>
          <w:szCs w:val="20"/>
        </w:rPr>
        <w:t>82,7 anni</w:t>
      </w:r>
      <w:r w:rsidRPr="00E565AE">
        <w:rPr>
          <w:rFonts w:asciiTheme="minorHAnsi" w:hAnsiTheme="minorHAnsi" w:cstheme="minorHAnsi"/>
          <w:color w:val="000000" w:themeColor="text1"/>
          <w:sz w:val="20"/>
          <w:szCs w:val="20"/>
        </w:rPr>
        <w:t xml:space="preserve">, la quarta più alta al mondo e la seconda più alta in Europa </w:t>
      </w:r>
      <w:r w:rsidR="00B648DA" w:rsidRPr="00E565AE">
        <w:rPr>
          <w:rStyle w:val="FootnoteReference"/>
          <w:rFonts w:asciiTheme="minorHAnsi" w:hAnsiTheme="minorHAnsi" w:cstheme="minorHAnsi"/>
          <w:color w:val="000000" w:themeColor="text1"/>
          <w:sz w:val="20"/>
          <w:szCs w:val="20"/>
        </w:rPr>
        <w:footnoteReference w:id="211"/>
      </w:r>
      <w:r w:rsidRPr="00E565AE">
        <w:rPr>
          <w:rFonts w:asciiTheme="minorHAnsi" w:hAnsiTheme="minorHAnsi" w:cstheme="minorHAnsi"/>
          <w:color w:val="000000" w:themeColor="text1"/>
          <w:sz w:val="20"/>
          <w:szCs w:val="20"/>
        </w:rPr>
        <w:t xml:space="preserve">. </w:t>
      </w:r>
    </w:p>
    <w:p w:rsidR="00643CE4" w:rsidRPr="00E565AE" w:rsidRDefault="00643CE4" w:rsidP="00B648DA">
      <w:pPr>
        <w:jc w:val="both"/>
        <w:rPr>
          <w:rFonts w:asciiTheme="minorHAnsi" w:hAnsiTheme="minorHAnsi" w:cstheme="minorHAnsi"/>
          <w:color w:val="000000" w:themeColor="text1"/>
          <w:sz w:val="20"/>
          <w:szCs w:val="20"/>
        </w:rPr>
      </w:pPr>
    </w:p>
    <w:p w:rsidR="00643CE4" w:rsidRPr="00E565AE" w:rsidRDefault="006442E5"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Gli ultimi dati diffusi dall'Istituto Nazionale della Sanità (ISS) </w:t>
      </w:r>
      <w:r w:rsidR="00660C86" w:rsidRPr="00E565AE">
        <w:rPr>
          <w:rFonts w:asciiTheme="minorHAnsi" w:hAnsiTheme="minorHAnsi" w:cstheme="minorHAnsi"/>
          <w:color w:val="000000" w:themeColor="text1"/>
          <w:sz w:val="20"/>
          <w:szCs w:val="20"/>
        </w:rPr>
        <w:t>l’11 giugno 2020</w:t>
      </w:r>
      <w:r w:rsidRPr="00E565AE">
        <w:rPr>
          <w:rFonts w:asciiTheme="minorHAnsi" w:hAnsiTheme="minorHAnsi" w:cstheme="minorHAnsi"/>
          <w:color w:val="000000" w:themeColor="text1"/>
          <w:sz w:val="20"/>
          <w:szCs w:val="20"/>
        </w:rPr>
        <w:t xml:space="preserve">, hanno riportato </w:t>
      </w:r>
      <w:r w:rsidR="00660C86" w:rsidRPr="00E565AE">
        <w:rPr>
          <w:rFonts w:asciiTheme="minorHAnsi" w:hAnsiTheme="minorHAnsi" w:cstheme="minorHAnsi"/>
          <w:color w:val="000000" w:themeColor="text1"/>
          <w:sz w:val="20"/>
          <w:szCs w:val="20"/>
        </w:rPr>
        <w:t>32.938</w:t>
      </w:r>
      <w:r w:rsidRPr="00E565AE">
        <w:rPr>
          <w:rFonts w:asciiTheme="minorHAnsi" w:hAnsiTheme="minorHAnsi" w:cstheme="minorHAnsi"/>
          <w:color w:val="000000" w:themeColor="text1"/>
          <w:sz w:val="20"/>
          <w:szCs w:val="20"/>
        </w:rPr>
        <w:t xml:space="preserve"> </w:t>
      </w:r>
      <w:r w:rsidR="00660C86" w:rsidRPr="00E565AE">
        <w:rPr>
          <w:rFonts w:asciiTheme="minorHAnsi" w:hAnsiTheme="minorHAnsi" w:cstheme="minorHAnsi"/>
          <w:color w:val="000000" w:themeColor="text1"/>
          <w:sz w:val="20"/>
          <w:szCs w:val="20"/>
        </w:rPr>
        <w:t>pazienti deceduti</w:t>
      </w:r>
      <w:r w:rsidRPr="00E565AE">
        <w:rPr>
          <w:rFonts w:asciiTheme="minorHAnsi" w:hAnsiTheme="minorHAnsi" w:cstheme="minorHAnsi"/>
          <w:color w:val="000000" w:themeColor="text1"/>
          <w:sz w:val="20"/>
          <w:szCs w:val="20"/>
        </w:rPr>
        <w:t xml:space="preserve"> positivi per il COVID-19, con il tasso più alto (</w:t>
      </w:r>
      <w:r w:rsidRPr="00E11E4C">
        <w:rPr>
          <w:rFonts w:asciiTheme="minorHAnsi" w:hAnsiTheme="minorHAnsi" w:cstheme="minorHAnsi"/>
          <w:b/>
          <w:bCs/>
          <w:color w:val="000000" w:themeColor="text1"/>
          <w:sz w:val="20"/>
          <w:szCs w:val="20"/>
        </w:rPr>
        <w:t>8</w:t>
      </w:r>
      <w:r w:rsidR="0094354A" w:rsidRPr="00E11E4C">
        <w:rPr>
          <w:rFonts w:asciiTheme="minorHAnsi" w:hAnsiTheme="minorHAnsi" w:cstheme="minorHAnsi"/>
          <w:b/>
          <w:bCs/>
          <w:color w:val="000000" w:themeColor="text1"/>
          <w:sz w:val="20"/>
          <w:szCs w:val="20"/>
        </w:rPr>
        <w:t>5,3</w:t>
      </w:r>
      <w:r w:rsidRPr="00E11E4C">
        <w:rPr>
          <w:rFonts w:asciiTheme="minorHAnsi" w:hAnsiTheme="minorHAnsi" w:cstheme="minorHAnsi"/>
          <w:b/>
          <w:bCs/>
          <w:color w:val="000000" w:themeColor="text1"/>
          <w:sz w:val="20"/>
          <w:szCs w:val="20"/>
        </w:rPr>
        <w:t>%)</w:t>
      </w:r>
      <w:r w:rsidRPr="00E565AE">
        <w:rPr>
          <w:rFonts w:asciiTheme="minorHAnsi" w:hAnsiTheme="minorHAnsi" w:cstheme="minorHAnsi"/>
          <w:color w:val="000000" w:themeColor="text1"/>
          <w:sz w:val="20"/>
          <w:szCs w:val="20"/>
        </w:rPr>
        <w:t xml:space="preserve"> per l’età superiore ai 70 anni e il </w:t>
      </w:r>
      <w:r w:rsidR="0094354A" w:rsidRPr="00E565AE">
        <w:rPr>
          <w:rFonts w:asciiTheme="minorHAnsi" w:hAnsiTheme="minorHAnsi" w:cstheme="minorHAnsi"/>
          <w:color w:val="000000" w:themeColor="text1"/>
          <w:sz w:val="20"/>
          <w:szCs w:val="20"/>
        </w:rPr>
        <w:t>58,6</w:t>
      </w:r>
      <w:r w:rsidRPr="00E565AE">
        <w:rPr>
          <w:rFonts w:asciiTheme="minorHAnsi" w:hAnsiTheme="minorHAnsi" w:cstheme="minorHAnsi"/>
          <w:color w:val="000000" w:themeColor="text1"/>
          <w:sz w:val="20"/>
          <w:szCs w:val="20"/>
        </w:rPr>
        <w:t xml:space="preserve">% nella terza età (oltre 80 anni). </w:t>
      </w:r>
      <w:r w:rsidR="0094354A" w:rsidRPr="00E565AE">
        <w:rPr>
          <w:rStyle w:val="FootnoteReference"/>
          <w:rFonts w:asciiTheme="minorHAnsi" w:hAnsiTheme="minorHAnsi" w:cstheme="minorHAnsi"/>
          <w:color w:val="000000" w:themeColor="text1"/>
          <w:sz w:val="20"/>
          <w:szCs w:val="20"/>
        </w:rPr>
        <w:footnoteReference w:id="212"/>
      </w:r>
    </w:p>
    <w:p w:rsidR="00643CE4" w:rsidRPr="00E565AE" w:rsidRDefault="00643CE4" w:rsidP="00B648DA">
      <w:pPr>
        <w:jc w:val="both"/>
        <w:rPr>
          <w:rFonts w:asciiTheme="minorHAnsi" w:hAnsiTheme="minorHAnsi" w:cstheme="minorHAnsi"/>
          <w:color w:val="000000" w:themeColor="text1"/>
          <w:sz w:val="20"/>
          <w:szCs w:val="20"/>
        </w:rPr>
      </w:pPr>
    </w:p>
    <w:p w:rsidR="0094354A" w:rsidRPr="00E565AE" w:rsidRDefault="006442E5" w:rsidP="00E11E4C">
      <w:pPr>
        <w:shd w:val="clear" w:color="auto" w:fill="FBF9E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Il tasso di mortalità è significativamente più alto tra gli anziani con condizioni di malattia preesistenti, come ipertensione, malattie cardiovascolari e diabete tra i più comuni.</w:t>
      </w:r>
      <w:r w:rsidR="00643CE4" w:rsidRPr="00E565AE">
        <w:rPr>
          <w:rStyle w:val="FootnoteReference"/>
          <w:rFonts w:asciiTheme="minorHAnsi" w:hAnsiTheme="minorHAnsi" w:cstheme="minorHAnsi"/>
          <w:color w:val="000000" w:themeColor="text1"/>
          <w:sz w:val="20"/>
          <w:szCs w:val="20"/>
        </w:rPr>
        <w:t xml:space="preserve"> </w:t>
      </w:r>
      <w:r w:rsidR="00643CE4" w:rsidRPr="00E565AE">
        <w:rPr>
          <w:rStyle w:val="FootnoteReference"/>
          <w:rFonts w:asciiTheme="minorHAnsi" w:hAnsiTheme="minorHAnsi" w:cstheme="minorHAnsi"/>
          <w:color w:val="000000" w:themeColor="text1"/>
          <w:sz w:val="20"/>
          <w:szCs w:val="20"/>
        </w:rPr>
        <w:footnoteReference w:id="213"/>
      </w:r>
      <w:r w:rsidRPr="00E565AE">
        <w:rPr>
          <w:rFonts w:asciiTheme="minorHAnsi" w:hAnsiTheme="minorHAnsi" w:cstheme="minorHAnsi"/>
          <w:color w:val="000000" w:themeColor="text1"/>
          <w:sz w:val="20"/>
          <w:szCs w:val="20"/>
        </w:rPr>
        <w:t xml:space="preserve"> </w:t>
      </w:r>
    </w:p>
    <w:p w:rsidR="00643CE4" w:rsidRPr="00E565AE" w:rsidRDefault="006442E5"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Questo aspetto può spiegare l'elevato tasso di mortalità in Italia, un paese costretto ad affrontare le malattie croniche dell’età avanzata. </w:t>
      </w:r>
    </w:p>
    <w:p w:rsidR="00643CE4" w:rsidRPr="00E565AE" w:rsidRDefault="00643CE4" w:rsidP="00B648DA">
      <w:pPr>
        <w:jc w:val="both"/>
        <w:rPr>
          <w:rFonts w:asciiTheme="minorHAnsi" w:hAnsiTheme="minorHAnsi" w:cstheme="minorHAnsi"/>
          <w:color w:val="000000" w:themeColor="text1"/>
          <w:sz w:val="20"/>
          <w:szCs w:val="20"/>
        </w:rPr>
      </w:pPr>
    </w:p>
    <w:p w:rsidR="006D76C6" w:rsidRPr="00E565AE" w:rsidRDefault="006442E5"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Rispetto ad altri paesi europei, la popolazione italiana è diventata più longeva ma presenta malattie croniche</w:t>
      </w:r>
      <w:r w:rsidR="00B648DA"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che aumenta</w:t>
      </w:r>
      <w:r w:rsidR="00B648DA" w:rsidRPr="00E565AE">
        <w:rPr>
          <w:rFonts w:asciiTheme="minorHAnsi" w:hAnsiTheme="minorHAnsi" w:cstheme="minorHAnsi"/>
          <w:color w:val="000000" w:themeColor="text1"/>
          <w:sz w:val="20"/>
          <w:szCs w:val="20"/>
        </w:rPr>
        <w:t>no</w:t>
      </w:r>
      <w:r w:rsidRPr="00E565AE">
        <w:rPr>
          <w:rFonts w:asciiTheme="minorHAnsi" w:hAnsiTheme="minorHAnsi" w:cstheme="minorHAnsi"/>
          <w:color w:val="000000" w:themeColor="text1"/>
          <w:sz w:val="20"/>
          <w:szCs w:val="20"/>
        </w:rPr>
        <w:t xml:space="preserve"> la vulnerabilità dell'individuo allo stress e compromett</w:t>
      </w:r>
      <w:r w:rsidR="00B648DA" w:rsidRPr="00E565AE">
        <w:rPr>
          <w:rFonts w:asciiTheme="minorHAnsi" w:hAnsiTheme="minorHAnsi" w:cstheme="minorHAnsi"/>
          <w:color w:val="000000" w:themeColor="text1"/>
          <w:sz w:val="20"/>
          <w:szCs w:val="20"/>
        </w:rPr>
        <w:t>ono</w:t>
      </w:r>
      <w:r w:rsidRPr="00E565AE">
        <w:rPr>
          <w:rFonts w:asciiTheme="minorHAnsi" w:hAnsiTheme="minorHAnsi" w:cstheme="minorHAnsi"/>
          <w:color w:val="000000" w:themeColor="text1"/>
          <w:sz w:val="20"/>
          <w:szCs w:val="20"/>
        </w:rPr>
        <w:t xml:space="preserve"> lo sforzo compensativo multisistemico per ripristinare l'omeostasi</w:t>
      </w:r>
      <w:r w:rsidR="00B648DA" w:rsidRPr="00E565AE">
        <w:rPr>
          <w:rFonts w:asciiTheme="minorHAnsi" w:hAnsiTheme="minorHAnsi" w:cstheme="minorHAnsi"/>
          <w:color w:val="000000" w:themeColor="text1"/>
          <w:sz w:val="20"/>
          <w:szCs w:val="20"/>
          <w:vertAlign w:val="superscript"/>
        </w:rPr>
        <w:t xml:space="preserve"> </w:t>
      </w:r>
      <w:r w:rsidR="005C01E5" w:rsidRPr="00E565AE">
        <w:rPr>
          <w:rStyle w:val="FootnoteReference"/>
          <w:rFonts w:asciiTheme="minorHAnsi" w:hAnsiTheme="minorHAnsi" w:cstheme="minorHAnsi"/>
          <w:color w:val="000000" w:themeColor="text1"/>
          <w:sz w:val="20"/>
          <w:szCs w:val="20"/>
          <w:lang w:val="en-US"/>
        </w:rPr>
        <w:footnoteReference w:id="214"/>
      </w:r>
    </w:p>
    <w:p w:rsidR="005C01E5" w:rsidRPr="00E565AE" w:rsidRDefault="005C01E5" w:rsidP="001F5DBD">
      <w:pPr>
        <w:rPr>
          <w:rFonts w:asciiTheme="minorHAnsi" w:hAnsiTheme="minorHAnsi" w:cstheme="minorHAnsi"/>
          <w:color w:val="000000" w:themeColor="text1"/>
          <w:sz w:val="20"/>
          <w:szCs w:val="20"/>
        </w:rPr>
      </w:pPr>
    </w:p>
    <w:p w:rsidR="0094354A" w:rsidRDefault="00286405"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Come già visto, alla base delle malattie croniche dell’età senile, c’è</w:t>
      </w:r>
      <w:r w:rsidR="003C5C0C" w:rsidRPr="00E565AE">
        <w:rPr>
          <w:rFonts w:asciiTheme="minorHAnsi" w:hAnsiTheme="minorHAnsi" w:cstheme="minorHAnsi"/>
          <w:color w:val="000000" w:themeColor="text1"/>
          <w:sz w:val="20"/>
          <w:szCs w:val="20"/>
        </w:rPr>
        <w:t xml:space="preserve"> la manifestazione dell’inflammaging cioè uno stato infiammatorio di basso grado che si presenta in assenza di infezione e principalmente dovuto a segnali endogeni. </w:t>
      </w:r>
    </w:p>
    <w:p w:rsidR="00E11E4C" w:rsidRPr="00E565AE" w:rsidRDefault="00E11E4C" w:rsidP="00B648DA">
      <w:pPr>
        <w:jc w:val="both"/>
        <w:rPr>
          <w:rFonts w:asciiTheme="minorHAnsi" w:hAnsiTheme="minorHAnsi" w:cstheme="minorHAnsi"/>
          <w:color w:val="000000" w:themeColor="text1"/>
          <w:sz w:val="20"/>
          <w:szCs w:val="20"/>
        </w:rPr>
      </w:pPr>
    </w:p>
    <w:p w:rsidR="0094354A" w:rsidRPr="00E565AE" w:rsidRDefault="003C5C0C" w:rsidP="00E11E4C">
      <w:pPr>
        <w:shd w:val="clear" w:color="auto" w:fill="FBF9E1"/>
        <w:jc w:val="both"/>
        <w:rPr>
          <w:rFonts w:asciiTheme="minorHAnsi" w:hAnsiTheme="minorHAnsi" w:cstheme="minorHAnsi"/>
          <w:color w:val="000000" w:themeColor="text1"/>
          <w:sz w:val="20"/>
          <w:szCs w:val="20"/>
        </w:rPr>
      </w:pPr>
      <w:r w:rsidRPr="00E565AE">
        <w:rPr>
          <w:rFonts w:asciiTheme="minorHAnsi" w:hAnsiTheme="minorHAnsi" w:cstheme="minorHAnsi"/>
          <w:b/>
          <w:bCs/>
          <w:color w:val="000000" w:themeColor="text1"/>
          <w:sz w:val="20"/>
          <w:szCs w:val="20"/>
        </w:rPr>
        <w:t>La caratteristica maggiore dell’inflammaging è l’attivazione del sistema immunitario innato, in cui i macrofagi hanno il ruolo maggiore</w:t>
      </w:r>
      <w:r w:rsidRPr="00E565AE">
        <w:rPr>
          <w:rFonts w:asciiTheme="minorHAnsi" w:hAnsiTheme="minorHAnsi" w:cstheme="minorHAnsi"/>
          <w:color w:val="000000" w:themeColor="text1"/>
          <w:sz w:val="20"/>
          <w:szCs w:val="20"/>
        </w:rPr>
        <w:t xml:space="preserve">. </w:t>
      </w:r>
      <w:r w:rsidR="00CC4795" w:rsidRPr="00E565AE">
        <w:rPr>
          <w:rStyle w:val="FootnoteReference"/>
          <w:rFonts w:asciiTheme="minorHAnsi" w:hAnsiTheme="minorHAnsi" w:cstheme="minorHAnsi"/>
          <w:color w:val="000000" w:themeColor="text1"/>
          <w:sz w:val="20"/>
          <w:szCs w:val="20"/>
        </w:rPr>
        <w:footnoteReference w:id="215"/>
      </w:r>
      <w:r w:rsidR="00F9574E" w:rsidRPr="00E565AE">
        <w:rPr>
          <w:rFonts w:asciiTheme="minorHAnsi" w:hAnsiTheme="minorHAnsi" w:cstheme="minorHAnsi"/>
          <w:color w:val="000000" w:themeColor="text1"/>
          <w:sz w:val="20"/>
          <w:szCs w:val="20"/>
        </w:rPr>
        <w:t xml:space="preserve"> </w:t>
      </w:r>
    </w:p>
    <w:p w:rsidR="00406A00" w:rsidRDefault="00406A00" w:rsidP="00406A00">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709" w:right="418"/>
        <w:jc w:val="both"/>
        <w:rPr>
          <w:rFonts w:asciiTheme="minorHAnsi" w:hAnsiTheme="minorHAnsi" w:cstheme="minorHAnsi"/>
          <w:i/>
          <w:iCs/>
          <w:color w:val="000000" w:themeColor="text1"/>
          <w:sz w:val="18"/>
          <w:szCs w:val="18"/>
        </w:rPr>
      </w:pPr>
    </w:p>
    <w:p w:rsidR="009B36BF" w:rsidRPr="00406A00" w:rsidRDefault="003C5C0C" w:rsidP="00406A00">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709" w:right="418"/>
        <w:jc w:val="both"/>
        <w:rPr>
          <w:rFonts w:asciiTheme="minorHAnsi" w:hAnsiTheme="minorHAnsi" w:cstheme="minorHAnsi"/>
          <w:i/>
          <w:iCs/>
          <w:color w:val="000000" w:themeColor="text1"/>
          <w:sz w:val="18"/>
          <w:szCs w:val="18"/>
        </w:rPr>
      </w:pPr>
      <w:r w:rsidRPr="00406A00">
        <w:rPr>
          <w:rFonts w:asciiTheme="minorHAnsi" w:hAnsiTheme="minorHAnsi" w:cstheme="minorHAnsi"/>
          <w:i/>
          <w:iCs/>
          <w:color w:val="000000" w:themeColor="text1"/>
          <w:sz w:val="18"/>
          <w:szCs w:val="18"/>
        </w:rPr>
        <w:t xml:space="preserve">Dal punto di vista evolutivo, gli eventi più difficili per la sopravvivenza di un organismo sono la </w:t>
      </w:r>
      <w:r w:rsidRPr="00406A00">
        <w:rPr>
          <w:rFonts w:asciiTheme="minorHAnsi" w:hAnsiTheme="minorHAnsi" w:cstheme="minorHAnsi"/>
          <w:b/>
          <w:bCs/>
          <w:i/>
          <w:iCs/>
          <w:color w:val="000000" w:themeColor="text1"/>
          <w:sz w:val="18"/>
          <w:szCs w:val="18"/>
        </w:rPr>
        <w:t>privazione di nutrienti</w:t>
      </w:r>
      <w:r w:rsidRPr="00406A00">
        <w:rPr>
          <w:rFonts w:asciiTheme="minorHAnsi" w:hAnsiTheme="minorHAnsi" w:cstheme="minorHAnsi"/>
          <w:i/>
          <w:iCs/>
          <w:color w:val="000000" w:themeColor="text1"/>
          <w:sz w:val="18"/>
          <w:szCs w:val="18"/>
        </w:rPr>
        <w:t xml:space="preserve"> e l’</w:t>
      </w:r>
      <w:r w:rsidRPr="00406A00">
        <w:rPr>
          <w:rFonts w:asciiTheme="minorHAnsi" w:hAnsiTheme="minorHAnsi" w:cstheme="minorHAnsi"/>
          <w:b/>
          <w:bCs/>
          <w:i/>
          <w:iCs/>
          <w:color w:val="000000" w:themeColor="text1"/>
          <w:sz w:val="18"/>
          <w:szCs w:val="18"/>
        </w:rPr>
        <w:t>infezione da agenti patogeni</w:t>
      </w:r>
      <w:r w:rsidRPr="00406A00">
        <w:rPr>
          <w:rFonts w:asciiTheme="minorHAnsi" w:hAnsiTheme="minorHAnsi" w:cstheme="minorHAnsi"/>
          <w:i/>
          <w:iCs/>
          <w:color w:val="000000" w:themeColor="text1"/>
          <w:sz w:val="18"/>
          <w:szCs w:val="18"/>
        </w:rPr>
        <w:t>; quindi, la competizione per il cibo e la risposta alle malattie infettive sono i principali fattori che determinano la dinamica ecologica d</w:t>
      </w:r>
      <w:r w:rsidR="00D86623" w:rsidRPr="00406A00">
        <w:rPr>
          <w:rFonts w:asciiTheme="minorHAnsi" w:hAnsiTheme="minorHAnsi" w:cstheme="minorHAnsi"/>
          <w:i/>
          <w:iCs/>
          <w:color w:val="000000" w:themeColor="text1"/>
          <w:sz w:val="18"/>
          <w:szCs w:val="18"/>
        </w:rPr>
        <w:t>elle</w:t>
      </w:r>
      <w:r w:rsidRPr="00406A00">
        <w:rPr>
          <w:rFonts w:asciiTheme="minorHAnsi" w:hAnsiTheme="minorHAnsi" w:cstheme="minorHAnsi"/>
          <w:i/>
          <w:iCs/>
          <w:color w:val="000000" w:themeColor="text1"/>
          <w:sz w:val="18"/>
          <w:szCs w:val="18"/>
        </w:rPr>
        <w:t xml:space="preserve"> popolazioni e </w:t>
      </w:r>
      <w:r w:rsidR="00D86623" w:rsidRPr="00406A00">
        <w:rPr>
          <w:rFonts w:asciiTheme="minorHAnsi" w:hAnsiTheme="minorHAnsi" w:cstheme="minorHAnsi"/>
          <w:i/>
          <w:iCs/>
          <w:color w:val="000000" w:themeColor="text1"/>
          <w:sz w:val="18"/>
          <w:szCs w:val="18"/>
        </w:rPr>
        <w:t xml:space="preserve">delle </w:t>
      </w:r>
      <w:r w:rsidRPr="00406A00">
        <w:rPr>
          <w:rFonts w:asciiTheme="minorHAnsi" w:hAnsiTheme="minorHAnsi" w:cstheme="minorHAnsi"/>
          <w:i/>
          <w:iCs/>
          <w:color w:val="000000" w:themeColor="text1"/>
          <w:sz w:val="18"/>
          <w:szCs w:val="18"/>
        </w:rPr>
        <w:t xml:space="preserve">specie </w:t>
      </w:r>
      <w:r w:rsidR="009B36BF" w:rsidRPr="00406A00">
        <w:rPr>
          <w:rFonts w:asciiTheme="minorHAnsi" w:hAnsiTheme="minorHAnsi" w:cstheme="minorHAnsi"/>
          <w:i/>
          <w:iCs/>
          <w:color w:val="C00000"/>
          <w:sz w:val="18"/>
          <w:szCs w:val="18"/>
          <w:vertAlign w:val="superscript"/>
        </w:rPr>
        <w:t>[</w:t>
      </w:r>
      <w:r w:rsidRPr="00406A00">
        <w:rPr>
          <w:rFonts w:asciiTheme="minorHAnsi" w:hAnsiTheme="minorHAnsi" w:cstheme="minorHAnsi"/>
          <w:i/>
          <w:iCs/>
          <w:color w:val="C00000"/>
          <w:sz w:val="18"/>
          <w:szCs w:val="18"/>
          <w:vertAlign w:val="superscript"/>
        </w:rPr>
        <w:t>7–9</w:t>
      </w:r>
      <w:r w:rsidR="009B36BF" w:rsidRPr="00406A00">
        <w:rPr>
          <w:rFonts w:asciiTheme="minorHAnsi" w:hAnsiTheme="minorHAnsi" w:cstheme="minorHAnsi"/>
          <w:i/>
          <w:iCs/>
          <w:color w:val="C00000"/>
          <w:sz w:val="18"/>
          <w:szCs w:val="18"/>
          <w:vertAlign w:val="superscript"/>
        </w:rPr>
        <w:t>]</w:t>
      </w:r>
      <w:r w:rsidRPr="00406A00">
        <w:rPr>
          <w:rFonts w:asciiTheme="minorHAnsi" w:hAnsiTheme="minorHAnsi" w:cstheme="minorHAnsi"/>
          <w:i/>
          <w:iCs/>
          <w:color w:val="000000" w:themeColor="text1"/>
          <w:sz w:val="18"/>
          <w:szCs w:val="18"/>
        </w:rPr>
        <w:t xml:space="preserve">. </w:t>
      </w:r>
    </w:p>
    <w:p w:rsidR="0094354A" w:rsidRPr="00406A00" w:rsidRDefault="0094354A" w:rsidP="00406A00">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709" w:right="418"/>
        <w:jc w:val="both"/>
        <w:rPr>
          <w:rFonts w:asciiTheme="minorHAnsi" w:hAnsiTheme="minorHAnsi" w:cstheme="minorHAnsi"/>
          <w:i/>
          <w:iCs/>
          <w:color w:val="000000" w:themeColor="text1"/>
          <w:sz w:val="18"/>
          <w:szCs w:val="18"/>
        </w:rPr>
      </w:pPr>
    </w:p>
    <w:p w:rsidR="0094354A" w:rsidRDefault="003C5C0C" w:rsidP="00406A00">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709" w:right="418"/>
        <w:jc w:val="both"/>
        <w:rPr>
          <w:rFonts w:asciiTheme="minorHAnsi" w:hAnsiTheme="minorHAnsi" w:cstheme="minorHAnsi"/>
          <w:i/>
          <w:iCs/>
          <w:color w:val="000000" w:themeColor="text1"/>
          <w:sz w:val="18"/>
          <w:szCs w:val="18"/>
        </w:rPr>
      </w:pPr>
      <w:r w:rsidRPr="00406A00">
        <w:rPr>
          <w:rFonts w:asciiTheme="minorHAnsi" w:hAnsiTheme="minorHAnsi" w:cstheme="minorHAnsi"/>
          <w:i/>
          <w:iCs/>
          <w:color w:val="000000" w:themeColor="text1"/>
          <w:sz w:val="18"/>
          <w:szCs w:val="18"/>
        </w:rPr>
        <w:t xml:space="preserve">Di conseguenza, fonti alimentari, metabolismo, risposte endocrine, </w:t>
      </w:r>
      <w:r w:rsidR="00D86623" w:rsidRPr="00406A00">
        <w:rPr>
          <w:rFonts w:asciiTheme="minorHAnsi" w:hAnsiTheme="minorHAnsi" w:cstheme="minorHAnsi"/>
          <w:i/>
          <w:iCs/>
          <w:color w:val="000000" w:themeColor="text1"/>
          <w:sz w:val="18"/>
          <w:szCs w:val="18"/>
        </w:rPr>
        <w:t>risposta dell’</w:t>
      </w:r>
      <w:r w:rsidRPr="00406A00">
        <w:rPr>
          <w:rFonts w:asciiTheme="minorHAnsi" w:hAnsiTheme="minorHAnsi" w:cstheme="minorHAnsi"/>
          <w:i/>
          <w:iCs/>
          <w:color w:val="000000" w:themeColor="text1"/>
          <w:sz w:val="18"/>
          <w:szCs w:val="18"/>
        </w:rPr>
        <w:t>immunità innata e infiammazion</w:t>
      </w:r>
      <w:r w:rsidR="00D86623" w:rsidRPr="00406A00">
        <w:rPr>
          <w:rFonts w:asciiTheme="minorHAnsi" w:hAnsiTheme="minorHAnsi" w:cstheme="minorHAnsi"/>
          <w:i/>
          <w:iCs/>
          <w:color w:val="000000" w:themeColor="text1"/>
          <w:sz w:val="18"/>
          <w:szCs w:val="18"/>
        </w:rPr>
        <w:t>e</w:t>
      </w:r>
      <w:r w:rsidRPr="00406A00">
        <w:rPr>
          <w:rFonts w:asciiTheme="minorHAnsi" w:hAnsiTheme="minorHAnsi" w:cstheme="minorHAnsi"/>
          <w:i/>
          <w:iCs/>
          <w:color w:val="000000" w:themeColor="text1"/>
          <w:sz w:val="18"/>
          <w:szCs w:val="18"/>
        </w:rPr>
        <w:t xml:space="preserve"> si sono evolute </w:t>
      </w:r>
      <w:r w:rsidR="00D86623" w:rsidRPr="00406A00">
        <w:rPr>
          <w:rFonts w:asciiTheme="minorHAnsi" w:hAnsiTheme="minorHAnsi" w:cstheme="minorHAnsi"/>
          <w:i/>
          <w:iCs/>
          <w:color w:val="000000" w:themeColor="text1"/>
          <w:sz w:val="18"/>
          <w:szCs w:val="18"/>
        </w:rPr>
        <w:t xml:space="preserve">insieme </w:t>
      </w:r>
      <w:r w:rsidRPr="00406A00">
        <w:rPr>
          <w:rFonts w:asciiTheme="minorHAnsi" w:hAnsiTheme="minorHAnsi" w:cstheme="minorHAnsi"/>
          <w:i/>
          <w:iCs/>
          <w:color w:val="000000" w:themeColor="text1"/>
          <w:sz w:val="18"/>
          <w:szCs w:val="18"/>
        </w:rPr>
        <w:t>e il macrofago è una cellula principale all'interfaccia tra il metabolismo e</w:t>
      </w:r>
      <w:r w:rsidR="00D86623" w:rsidRPr="00406A00">
        <w:rPr>
          <w:rFonts w:asciiTheme="minorHAnsi" w:hAnsiTheme="minorHAnsi" w:cstheme="minorHAnsi"/>
          <w:i/>
          <w:iCs/>
          <w:color w:val="000000" w:themeColor="text1"/>
          <w:sz w:val="18"/>
          <w:szCs w:val="18"/>
        </w:rPr>
        <w:t xml:space="preserve"> l’</w:t>
      </w:r>
      <w:r w:rsidRPr="00406A00">
        <w:rPr>
          <w:rFonts w:asciiTheme="minorHAnsi" w:hAnsiTheme="minorHAnsi" w:cstheme="minorHAnsi"/>
          <w:i/>
          <w:iCs/>
          <w:color w:val="000000" w:themeColor="text1"/>
          <w:sz w:val="18"/>
          <w:szCs w:val="18"/>
        </w:rPr>
        <w:t>immunità</w:t>
      </w:r>
      <w:r w:rsidR="009B36BF" w:rsidRPr="00406A00">
        <w:rPr>
          <w:rFonts w:asciiTheme="minorHAnsi" w:hAnsiTheme="minorHAnsi" w:cstheme="minorHAnsi"/>
          <w:i/>
          <w:iCs/>
          <w:color w:val="000000" w:themeColor="text1"/>
          <w:sz w:val="18"/>
          <w:szCs w:val="18"/>
        </w:rPr>
        <w:t xml:space="preserve"> </w:t>
      </w:r>
      <w:r w:rsidR="009B36BF" w:rsidRPr="00406A00">
        <w:rPr>
          <w:rFonts w:asciiTheme="minorHAnsi" w:hAnsiTheme="minorHAnsi" w:cstheme="minorHAnsi"/>
          <w:i/>
          <w:iCs/>
          <w:color w:val="C00000"/>
          <w:sz w:val="18"/>
          <w:szCs w:val="18"/>
          <w:vertAlign w:val="superscript"/>
        </w:rPr>
        <w:t>[</w:t>
      </w:r>
      <w:r w:rsidRPr="00406A00">
        <w:rPr>
          <w:rFonts w:asciiTheme="minorHAnsi" w:hAnsiTheme="minorHAnsi" w:cstheme="minorHAnsi"/>
          <w:i/>
          <w:iCs/>
          <w:color w:val="C00000"/>
          <w:sz w:val="18"/>
          <w:szCs w:val="18"/>
          <w:vertAlign w:val="superscript"/>
        </w:rPr>
        <w:t>10</w:t>
      </w:r>
      <w:r w:rsidR="009B36BF" w:rsidRPr="00406A00">
        <w:rPr>
          <w:rFonts w:asciiTheme="minorHAnsi" w:hAnsiTheme="minorHAnsi" w:cstheme="minorHAnsi"/>
          <w:i/>
          <w:iCs/>
          <w:color w:val="C00000"/>
          <w:sz w:val="18"/>
          <w:szCs w:val="18"/>
          <w:vertAlign w:val="superscript"/>
        </w:rPr>
        <w:t>]</w:t>
      </w:r>
      <w:r w:rsidRPr="00406A00">
        <w:rPr>
          <w:rFonts w:asciiTheme="minorHAnsi" w:hAnsiTheme="minorHAnsi" w:cstheme="minorHAnsi"/>
          <w:i/>
          <w:iCs/>
          <w:color w:val="000000" w:themeColor="text1"/>
          <w:sz w:val="18"/>
          <w:szCs w:val="18"/>
        </w:rPr>
        <w:t xml:space="preserve">. </w:t>
      </w:r>
    </w:p>
    <w:p w:rsidR="00406A00" w:rsidRPr="00406A00" w:rsidRDefault="00406A00" w:rsidP="00406A00">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709" w:right="418"/>
        <w:jc w:val="both"/>
        <w:rPr>
          <w:rFonts w:asciiTheme="minorHAnsi" w:hAnsiTheme="minorHAnsi" w:cstheme="minorHAnsi"/>
          <w:i/>
          <w:iCs/>
          <w:color w:val="000000" w:themeColor="text1"/>
          <w:sz w:val="18"/>
          <w:szCs w:val="18"/>
        </w:rPr>
      </w:pPr>
    </w:p>
    <w:p w:rsidR="0094354A" w:rsidRPr="00E565AE" w:rsidRDefault="0094354A" w:rsidP="00B648DA">
      <w:pPr>
        <w:jc w:val="both"/>
        <w:rPr>
          <w:rFonts w:asciiTheme="minorHAnsi" w:hAnsiTheme="minorHAnsi" w:cstheme="minorHAnsi"/>
          <w:color w:val="000000" w:themeColor="text1"/>
          <w:sz w:val="20"/>
          <w:szCs w:val="20"/>
        </w:rPr>
      </w:pPr>
    </w:p>
    <w:p w:rsidR="0094354A" w:rsidRPr="00E565AE" w:rsidRDefault="00D86623"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Diverse evidenze</w:t>
      </w:r>
      <w:r w:rsidR="003C5C0C" w:rsidRPr="00E565AE">
        <w:rPr>
          <w:rFonts w:asciiTheme="minorHAnsi" w:hAnsiTheme="minorHAnsi" w:cstheme="minorHAnsi"/>
          <w:color w:val="000000" w:themeColor="text1"/>
          <w:sz w:val="20"/>
          <w:szCs w:val="20"/>
        </w:rPr>
        <w:t xml:space="preserve"> dimostrano </w:t>
      </w:r>
      <w:r w:rsidRPr="00E565AE">
        <w:rPr>
          <w:rFonts w:asciiTheme="minorHAnsi" w:hAnsiTheme="minorHAnsi" w:cstheme="minorHAnsi"/>
          <w:color w:val="000000" w:themeColor="text1"/>
          <w:sz w:val="20"/>
          <w:szCs w:val="20"/>
        </w:rPr>
        <w:t xml:space="preserve">che </w:t>
      </w:r>
      <w:r w:rsidR="003C5C0C" w:rsidRPr="00E565AE">
        <w:rPr>
          <w:rFonts w:asciiTheme="minorHAnsi" w:hAnsiTheme="minorHAnsi" w:cstheme="minorHAnsi"/>
          <w:b/>
          <w:bCs/>
          <w:color w:val="000000" w:themeColor="text1"/>
          <w:sz w:val="20"/>
          <w:szCs w:val="20"/>
        </w:rPr>
        <w:t xml:space="preserve">i macrofagi e gli adipociti </w:t>
      </w:r>
      <w:r w:rsidRPr="00E565AE">
        <w:rPr>
          <w:rFonts w:asciiTheme="minorHAnsi" w:hAnsiTheme="minorHAnsi" w:cstheme="minorHAnsi"/>
          <w:b/>
          <w:bCs/>
          <w:color w:val="000000" w:themeColor="text1"/>
          <w:sz w:val="20"/>
          <w:szCs w:val="20"/>
        </w:rPr>
        <w:t xml:space="preserve">presentano una </w:t>
      </w:r>
      <w:r w:rsidR="003C5C0C" w:rsidRPr="00E565AE">
        <w:rPr>
          <w:rFonts w:asciiTheme="minorHAnsi" w:hAnsiTheme="minorHAnsi" w:cstheme="minorHAnsi"/>
          <w:b/>
          <w:bCs/>
          <w:color w:val="000000" w:themeColor="text1"/>
          <w:sz w:val="20"/>
          <w:szCs w:val="20"/>
        </w:rPr>
        <w:t>notevole sovrapposizione funzionale</w:t>
      </w:r>
      <w:r w:rsidR="003C5C0C" w:rsidRPr="00E565AE">
        <w:rPr>
          <w:rFonts w:asciiTheme="minorHAnsi" w:hAnsiTheme="minorHAnsi" w:cstheme="minorHAnsi"/>
          <w:color w:val="000000" w:themeColor="text1"/>
          <w:sz w:val="20"/>
          <w:szCs w:val="20"/>
        </w:rPr>
        <w:t>, in quanto entrambi i tipi di cellule secernono citochine e possono essere attivate da prodotti batterici, come</w:t>
      </w:r>
      <w:r w:rsidRPr="00E565AE">
        <w:rPr>
          <w:rFonts w:asciiTheme="minorHAnsi" w:hAnsiTheme="minorHAnsi" w:cstheme="minorHAnsi"/>
          <w:color w:val="000000" w:themeColor="text1"/>
          <w:sz w:val="20"/>
          <w:szCs w:val="20"/>
        </w:rPr>
        <w:t xml:space="preserve"> i </w:t>
      </w:r>
      <w:r w:rsidR="003C5C0C" w:rsidRPr="00E565AE">
        <w:rPr>
          <w:rFonts w:asciiTheme="minorHAnsi" w:hAnsiTheme="minorHAnsi" w:cstheme="minorHAnsi"/>
          <w:color w:val="000000" w:themeColor="text1"/>
          <w:sz w:val="20"/>
          <w:szCs w:val="20"/>
        </w:rPr>
        <w:t>lipopolisaccarid</w:t>
      </w:r>
      <w:r w:rsidR="009B36BF" w:rsidRPr="00E565AE">
        <w:rPr>
          <w:rFonts w:asciiTheme="minorHAnsi" w:hAnsiTheme="minorHAnsi" w:cstheme="minorHAnsi"/>
          <w:color w:val="000000" w:themeColor="text1"/>
          <w:sz w:val="20"/>
          <w:szCs w:val="20"/>
        </w:rPr>
        <w:t xml:space="preserve">i </w:t>
      </w:r>
      <w:r w:rsidR="009B36BF" w:rsidRPr="00E565AE">
        <w:rPr>
          <w:rFonts w:asciiTheme="minorHAnsi" w:hAnsiTheme="minorHAnsi" w:cstheme="minorHAnsi"/>
          <w:color w:val="000000" w:themeColor="text1"/>
          <w:sz w:val="20"/>
          <w:szCs w:val="20"/>
          <w:vertAlign w:val="superscript"/>
        </w:rPr>
        <w:t>[</w:t>
      </w:r>
      <w:r w:rsidR="003C5C0C" w:rsidRPr="00E565AE">
        <w:rPr>
          <w:rFonts w:asciiTheme="minorHAnsi" w:hAnsiTheme="minorHAnsi" w:cstheme="minorHAnsi"/>
          <w:color w:val="000000" w:themeColor="text1"/>
          <w:sz w:val="20"/>
          <w:szCs w:val="20"/>
          <w:vertAlign w:val="superscript"/>
        </w:rPr>
        <w:t>11</w:t>
      </w:r>
      <w:r w:rsidR="009B36BF" w:rsidRPr="00E565AE">
        <w:rPr>
          <w:rFonts w:asciiTheme="minorHAnsi" w:hAnsiTheme="minorHAnsi" w:cstheme="minorHAnsi"/>
          <w:color w:val="000000" w:themeColor="text1"/>
          <w:sz w:val="20"/>
          <w:szCs w:val="20"/>
          <w:vertAlign w:val="superscript"/>
        </w:rPr>
        <w:t>]</w:t>
      </w:r>
      <w:r w:rsidR="009B36BF" w:rsidRPr="00E565AE">
        <w:rPr>
          <w:rFonts w:asciiTheme="minorHAnsi" w:hAnsiTheme="minorHAnsi" w:cstheme="minorHAnsi"/>
          <w:color w:val="000000" w:themeColor="text1"/>
          <w:sz w:val="20"/>
          <w:szCs w:val="20"/>
        </w:rPr>
        <w:t>,</w:t>
      </w:r>
      <w:r w:rsidRPr="00E565AE">
        <w:rPr>
          <w:rFonts w:asciiTheme="minorHAnsi" w:hAnsiTheme="minorHAnsi" w:cstheme="minorHAnsi"/>
          <w:color w:val="000000" w:themeColor="text1"/>
          <w:sz w:val="20"/>
          <w:szCs w:val="20"/>
        </w:rPr>
        <w:t xml:space="preserve"> e i</w:t>
      </w:r>
      <w:r w:rsidR="003C5C0C" w:rsidRPr="00E565AE">
        <w:rPr>
          <w:rFonts w:asciiTheme="minorHAnsi" w:hAnsiTheme="minorHAnsi" w:cstheme="minorHAnsi"/>
          <w:color w:val="000000" w:themeColor="text1"/>
          <w:sz w:val="20"/>
          <w:szCs w:val="20"/>
        </w:rPr>
        <w:t xml:space="preserve"> pre</w:t>
      </w:r>
      <w:r w:rsidRPr="00E565AE">
        <w:rPr>
          <w:rFonts w:asciiTheme="minorHAnsi" w:hAnsiTheme="minorHAnsi" w:cstheme="minorHAnsi"/>
          <w:color w:val="000000" w:themeColor="text1"/>
          <w:sz w:val="20"/>
          <w:szCs w:val="20"/>
        </w:rPr>
        <w:t>-</w:t>
      </w:r>
      <w:r w:rsidR="003C5C0C" w:rsidRPr="00E565AE">
        <w:rPr>
          <w:rFonts w:asciiTheme="minorHAnsi" w:hAnsiTheme="minorHAnsi" w:cstheme="minorHAnsi"/>
          <w:color w:val="000000" w:themeColor="text1"/>
          <w:sz w:val="20"/>
          <w:szCs w:val="20"/>
        </w:rPr>
        <w:t>adipoc</w:t>
      </w:r>
      <w:r w:rsidRPr="00E565AE">
        <w:rPr>
          <w:rFonts w:asciiTheme="minorHAnsi" w:hAnsiTheme="minorHAnsi" w:cstheme="minorHAnsi"/>
          <w:color w:val="000000" w:themeColor="text1"/>
          <w:sz w:val="20"/>
          <w:szCs w:val="20"/>
        </w:rPr>
        <w:t>iti</w:t>
      </w:r>
      <w:r w:rsidR="003C5C0C" w:rsidRPr="00E565AE">
        <w:rPr>
          <w:rFonts w:asciiTheme="minorHAnsi" w:hAnsiTheme="minorHAnsi" w:cstheme="minorHAnsi"/>
          <w:color w:val="000000" w:themeColor="text1"/>
          <w:sz w:val="20"/>
          <w:szCs w:val="20"/>
        </w:rPr>
        <w:t xml:space="preserve"> p</w:t>
      </w:r>
      <w:r w:rsidR="009B36BF" w:rsidRPr="00E565AE">
        <w:rPr>
          <w:rFonts w:asciiTheme="minorHAnsi" w:hAnsiTheme="minorHAnsi" w:cstheme="minorHAnsi"/>
          <w:color w:val="000000" w:themeColor="text1"/>
          <w:sz w:val="20"/>
          <w:szCs w:val="20"/>
        </w:rPr>
        <w:t>ossono</w:t>
      </w:r>
      <w:r w:rsidR="003C5C0C" w:rsidRPr="00E565AE">
        <w:rPr>
          <w:rFonts w:asciiTheme="minorHAnsi" w:hAnsiTheme="minorHAnsi" w:cstheme="minorHAnsi"/>
          <w:color w:val="000000" w:themeColor="text1"/>
          <w:sz w:val="20"/>
          <w:szCs w:val="20"/>
        </w:rPr>
        <w:t xml:space="preserve"> differenziarsi in macrofagi</w:t>
      </w:r>
      <w:r w:rsidR="009B36BF" w:rsidRPr="00E565AE">
        <w:rPr>
          <w:rFonts w:asciiTheme="minorHAnsi" w:hAnsiTheme="minorHAnsi" w:cstheme="minorHAnsi"/>
          <w:color w:val="000000" w:themeColor="text1"/>
          <w:sz w:val="20"/>
          <w:szCs w:val="20"/>
        </w:rPr>
        <w:t xml:space="preserve"> </w:t>
      </w:r>
      <w:r w:rsidR="009B36BF" w:rsidRPr="00E565AE">
        <w:rPr>
          <w:rFonts w:asciiTheme="minorHAnsi" w:hAnsiTheme="minorHAnsi" w:cstheme="minorHAnsi"/>
          <w:color w:val="000000" w:themeColor="text1"/>
          <w:sz w:val="20"/>
          <w:szCs w:val="20"/>
          <w:vertAlign w:val="superscript"/>
        </w:rPr>
        <w:t>[</w:t>
      </w:r>
      <w:r w:rsidR="003C5C0C" w:rsidRPr="00E565AE">
        <w:rPr>
          <w:rFonts w:asciiTheme="minorHAnsi" w:hAnsiTheme="minorHAnsi" w:cstheme="minorHAnsi"/>
          <w:color w:val="000000" w:themeColor="text1"/>
          <w:sz w:val="20"/>
          <w:szCs w:val="20"/>
          <w:vertAlign w:val="superscript"/>
        </w:rPr>
        <w:t>12,13</w:t>
      </w:r>
      <w:r w:rsidR="009B36BF" w:rsidRPr="00E565AE">
        <w:rPr>
          <w:rFonts w:asciiTheme="minorHAnsi" w:hAnsiTheme="minorHAnsi" w:cstheme="minorHAnsi"/>
          <w:color w:val="000000" w:themeColor="text1"/>
          <w:sz w:val="20"/>
          <w:szCs w:val="20"/>
          <w:vertAlign w:val="superscript"/>
        </w:rPr>
        <w:t>]</w:t>
      </w:r>
      <w:r w:rsidRPr="00E565AE">
        <w:rPr>
          <w:rFonts w:asciiTheme="minorHAnsi" w:hAnsiTheme="minorHAnsi" w:cstheme="minorHAnsi"/>
          <w:color w:val="000000" w:themeColor="text1"/>
          <w:sz w:val="20"/>
          <w:szCs w:val="20"/>
        </w:rPr>
        <w:t xml:space="preserve">. </w:t>
      </w:r>
    </w:p>
    <w:p w:rsidR="0094354A" w:rsidRPr="00E565AE" w:rsidRDefault="0094354A" w:rsidP="00B648DA">
      <w:pPr>
        <w:jc w:val="both"/>
        <w:rPr>
          <w:rFonts w:asciiTheme="minorHAnsi" w:hAnsiTheme="minorHAnsi" w:cstheme="minorHAnsi"/>
          <w:color w:val="000000" w:themeColor="text1"/>
          <w:sz w:val="20"/>
          <w:szCs w:val="20"/>
        </w:rPr>
      </w:pPr>
    </w:p>
    <w:p w:rsidR="0094354A" w:rsidRPr="00E565AE" w:rsidRDefault="00D86623"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Un’altra considerazione molto importante riguarda il fatto </w:t>
      </w:r>
      <w:r w:rsidRPr="00E565AE">
        <w:rPr>
          <w:rFonts w:asciiTheme="minorHAnsi" w:hAnsiTheme="minorHAnsi" w:cstheme="minorHAnsi"/>
          <w:b/>
          <w:bCs/>
          <w:color w:val="000000" w:themeColor="text1"/>
          <w:sz w:val="20"/>
          <w:szCs w:val="20"/>
        </w:rPr>
        <w:t xml:space="preserve">che </w:t>
      </w:r>
      <w:r w:rsidRPr="00406A00">
        <w:rPr>
          <w:rFonts w:asciiTheme="minorHAnsi" w:hAnsiTheme="minorHAnsi" w:cstheme="minorHAnsi"/>
          <w:b/>
          <w:bCs/>
          <w:color w:val="000000" w:themeColor="text1"/>
          <w:sz w:val="20"/>
          <w:szCs w:val="20"/>
          <w:shd w:val="clear" w:color="auto" w:fill="FBF9E1"/>
        </w:rPr>
        <w:t>la nutrizione è inevitabilmente legata all’attivazione del sistema immunitario</w:t>
      </w:r>
      <w:r w:rsidRPr="00E565AE">
        <w:rPr>
          <w:rFonts w:asciiTheme="minorHAnsi" w:hAnsiTheme="minorHAnsi" w:cstheme="minorHAnsi"/>
          <w:b/>
          <w:bCs/>
          <w:color w:val="000000" w:themeColor="text1"/>
          <w:sz w:val="20"/>
          <w:szCs w:val="20"/>
        </w:rPr>
        <w:t>, in quanto acqua e cibo sono stati pesantemente contaminati dai microbi per gran parte dell’evoluzione umana</w:t>
      </w:r>
      <w:r w:rsidRPr="00E565AE">
        <w:rPr>
          <w:rFonts w:asciiTheme="minorHAnsi" w:hAnsiTheme="minorHAnsi" w:cstheme="minorHAnsi"/>
          <w:color w:val="000000" w:themeColor="text1"/>
          <w:sz w:val="20"/>
          <w:szCs w:val="20"/>
        </w:rPr>
        <w:t xml:space="preserve">. </w:t>
      </w:r>
    </w:p>
    <w:p w:rsidR="0094354A" w:rsidRPr="00E565AE" w:rsidRDefault="0094354A" w:rsidP="00B648DA">
      <w:pPr>
        <w:jc w:val="both"/>
        <w:rPr>
          <w:rFonts w:asciiTheme="minorHAnsi" w:hAnsiTheme="minorHAnsi" w:cstheme="minorHAnsi"/>
          <w:color w:val="000000" w:themeColor="text1"/>
          <w:sz w:val="20"/>
          <w:szCs w:val="20"/>
        </w:rPr>
      </w:pPr>
    </w:p>
    <w:p w:rsidR="0094354A" w:rsidRPr="00E565AE" w:rsidRDefault="00D86623"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A ciò si aggiunge che la risposta immunitaria innata si attiva quando si ingerisce il cibo: questa attivazione è nota come </w:t>
      </w:r>
      <w:r w:rsidRPr="00406A00">
        <w:rPr>
          <w:rFonts w:asciiTheme="minorHAnsi" w:hAnsiTheme="minorHAnsi" w:cstheme="minorHAnsi"/>
          <w:b/>
          <w:bCs/>
          <w:color w:val="000000" w:themeColor="text1"/>
          <w:sz w:val="20"/>
          <w:szCs w:val="20"/>
          <w:shd w:val="clear" w:color="auto" w:fill="FBF9E1"/>
        </w:rPr>
        <w:t>infiammazione post-prandiale</w:t>
      </w:r>
      <w:r w:rsidRPr="00E565AE">
        <w:rPr>
          <w:rFonts w:asciiTheme="minorHAnsi" w:hAnsiTheme="minorHAnsi" w:cstheme="minorHAnsi"/>
          <w:color w:val="000000" w:themeColor="text1"/>
          <w:sz w:val="20"/>
          <w:szCs w:val="20"/>
        </w:rPr>
        <w:t xml:space="preserve"> e fa parte della risposta adattativa al pasto. </w:t>
      </w:r>
    </w:p>
    <w:p w:rsidR="0094354A" w:rsidRPr="00E565AE" w:rsidRDefault="0094354A" w:rsidP="00B648DA">
      <w:pPr>
        <w:jc w:val="both"/>
        <w:rPr>
          <w:rFonts w:asciiTheme="minorHAnsi" w:hAnsiTheme="minorHAnsi" w:cstheme="minorHAnsi"/>
          <w:color w:val="000000" w:themeColor="text1"/>
          <w:sz w:val="20"/>
          <w:szCs w:val="20"/>
        </w:rPr>
      </w:pPr>
    </w:p>
    <w:p w:rsidR="0094354A" w:rsidRPr="00E565AE" w:rsidRDefault="00D86623"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Infine, durante un’infezione si attiva un </w:t>
      </w:r>
      <w:r w:rsidR="006E7F47" w:rsidRPr="00E565AE">
        <w:rPr>
          <w:rFonts w:asciiTheme="minorHAnsi" w:hAnsiTheme="minorHAnsi" w:cstheme="minorHAnsi"/>
          <w:color w:val="000000" w:themeColor="text1"/>
          <w:sz w:val="20"/>
          <w:szCs w:val="20"/>
        </w:rPr>
        <w:t>meccanismo</w:t>
      </w:r>
      <w:r w:rsidRPr="00E565AE">
        <w:rPr>
          <w:rFonts w:asciiTheme="minorHAnsi" w:hAnsiTheme="minorHAnsi" w:cstheme="minorHAnsi"/>
          <w:color w:val="000000" w:themeColor="text1"/>
          <w:sz w:val="20"/>
          <w:szCs w:val="20"/>
        </w:rPr>
        <w:t xml:space="preserve"> che porta ad una </w:t>
      </w:r>
      <w:r w:rsidRPr="00406A00">
        <w:rPr>
          <w:rFonts w:asciiTheme="minorHAnsi" w:hAnsiTheme="minorHAnsi" w:cstheme="minorHAnsi"/>
          <w:b/>
          <w:bCs/>
          <w:color w:val="000000" w:themeColor="text1"/>
          <w:sz w:val="20"/>
          <w:szCs w:val="20"/>
          <w:shd w:val="clear" w:color="auto" w:fill="FBF9E1"/>
        </w:rPr>
        <w:t>riduzione dell’assunzione di cibo</w:t>
      </w:r>
      <w:r w:rsidRPr="00E565AE">
        <w:rPr>
          <w:rFonts w:asciiTheme="minorHAnsi" w:hAnsiTheme="minorHAnsi" w:cstheme="minorHAnsi"/>
          <w:color w:val="000000" w:themeColor="text1"/>
          <w:sz w:val="20"/>
          <w:szCs w:val="20"/>
        </w:rPr>
        <w:t xml:space="preserve"> in modo da limitare la probabilità di ingerire altri patogeni </w:t>
      </w:r>
      <w:r w:rsidR="006E7F47" w:rsidRPr="00E565AE">
        <w:rPr>
          <w:rFonts w:asciiTheme="minorHAnsi" w:hAnsiTheme="minorHAnsi" w:cstheme="minorHAnsi"/>
          <w:color w:val="000000" w:themeColor="text1"/>
          <w:sz w:val="20"/>
          <w:szCs w:val="20"/>
        </w:rPr>
        <w:t xml:space="preserve">e </w:t>
      </w:r>
      <w:r w:rsidR="009B36BF" w:rsidRPr="00E565AE">
        <w:rPr>
          <w:rFonts w:asciiTheme="minorHAnsi" w:hAnsiTheme="minorHAnsi" w:cstheme="minorHAnsi"/>
          <w:color w:val="000000" w:themeColor="text1"/>
          <w:sz w:val="20"/>
          <w:szCs w:val="20"/>
        </w:rPr>
        <w:t>da ridurre</w:t>
      </w:r>
      <w:r w:rsidR="006E7F47" w:rsidRPr="00E565AE">
        <w:rPr>
          <w:rFonts w:asciiTheme="minorHAnsi" w:hAnsiTheme="minorHAnsi" w:cstheme="minorHAnsi"/>
          <w:color w:val="000000" w:themeColor="text1"/>
          <w:sz w:val="20"/>
          <w:szCs w:val="20"/>
        </w:rPr>
        <w:t xml:space="preserve"> la probabilità che gli epitopi dei nutrienti competano con recettori cruciali per la rilevazione dei patogeni. </w:t>
      </w:r>
      <w:r w:rsidR="009B36BF" w:rsidRPr="00406A00">
        <w:rPr>
          <w:rFonts w:asciiTheme="minorHAnsi" w:hAnsiTheme="minorHAnsi" w:cstheme="minorHAnsi"/>
          <w:color w:val="C00000"/>
          <w:sz w:val="20"/>
          <w:szCs w:val="20"/>
          <w:vertAlign w:val="superscript"/>
        </w:rPr>
        <w:t>[</w:t>
      </w:r>
      <w:r w:rsidR="006E7F47" w:rsidRPr="00406A00">
        <w:rPr>
          <w:rFonts w:asciiTheme="minorHAnsi" w:hAnsiTheme="minorHAnsi" w:cstheme="minorHAnsi"/>
          <w:color w:val="C00000"/>
          <w:sz w:val="20"/>
          <w:szCs w:val="20"/>
          <w:vertAlign w:val="superscript"/>
        </w:rPr>
        <w:t>14,16,17</w:t>
      </w:r>
      <w:r w:rsidR="009B36BF" w:rsidRPr="00406A00">
        <w:rPr>
          <w:rFonts w:asciiTheme="minorHAnsi" w:hAnsiTheme="minorHAnsi" w:cstheme="minorHAnsi"/>
          <w:color w:val="C00000"/>
          <w:sz w:val="20"/>
          <w:szCs w:val="20"/>
          <w:vertAlign w:val="superscript"/>
        </w:rPr>
        <w:t>]</w:t>
      </w:r>
      <w:r w:rsidR="006E7F47" w:rsidRPr="00E565AE">
        <w:rPr>
          <w:rFonts w:asciiTheme="minorHAnsi" w:hAnsiTheme="minorHAnsi" w:cstheme="minorHAnsi"/>
          <w:color w:val="000000" w:themeColor="text1"/>
          <w:sz w:val="20"/>
          <w:szCs w:val="20"/>
        </w:rPr>
        <w:t xml:space="preserve">. </w:t>
      </w:r>
    </w:p>
    <w:p w:rsidR="0094354A" w:rsidRPr="00E565AE" w:rsidRDefault="0094354A" w:rsidP="00B648DA">
      <w:pPr>
        <w:jc w:val="both"/>
        <w:rPr>
          <w:rFonts w:asciiTheme="minorHAnsi" w:hAnsiTheme="minorHAnsi" w:cstheme="minorHAnsi"/>
          <w:color w:val="000000" w:themeColor="text1"/>
          <w:sz w:val="20"/>
          <w:szCs w:val="20"/>
        </w:rPr>
      </w:pPr>
    </w:p>
    <w:p w:rsidR="0094354A" w:rsidRPr="00E565AE" w:rsidRDefault="006E7F47"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L’infezione cronica e l'infiammazione sono </w:t>
      </w:r>
      <w:r w:rsidR="009B36BF" w:rsidRPr="00E565AE">
        <w:rPr>
          <w:rFonts w:asciiTheme="minorHAnsi" w:hAnsiTheme="minorHAnsi" w:cstheme="minorHAnsi"/>
          <w:color w:val="000000" w:themeColor="text1"/>
          <w:sz w:val="20"/>
          <w:szCs w:val="20"/>
        </w:rPr>
        <w:t xml:space="preserve">inoltre </w:t>
      </w:r>
      <w:r w:rsidRPr="00E565AE">
        <w:rPr>
          <w:rFonts w:asciiTheme="minorHAnsi" w:hAnsiTheme="minorHAnsi" w:cstheme="minorHAnsi"/>
          <w:color w:val="000000" w:themeColor="text1"/>
          <w:sz w:val="20"/>
          <w:szCs w:val="20"/>
        </w:rPr>
        <w:t>legate all'</w:t>
      </w:r>
      <w:r w:rsidRPr="00406A00">
        <w:rPr>
          <w:rFonts w:asciiTheme="minorHAnsi" w:hAnsiTheme="minorHAnsi" w:cstheme="minorHAnsi"/>
          <w:b/>
          <w:bCs/>
          <w:color w:val="000000" w:themeColor="text1"/>
          <w:sz w:val="20"/>
          <w:szCs w:val="20"/>
          <w:shd w:val="clear" w:color="auto" w:fill="FBF9E1"/>
        </w:rPr>
        <w:t>insulino-resistenza</w:t>
      </w:r>
      <w:r w:rsidRPr="00E565AE">
        <w:rPr>
          <w:rFonts w:asciiTheme="minorHAnsi" w:hAnsiTheme="minorHAnsi" w:cstheme="minorHAnsi"/>
          <w:color w:val="000000" w:themeColor="text1"/>
          <w:sz w:val="20"/>
          <w:szCs w:val="20"/>
        </w:rPr>
        <w:t>, che riduce i livelli intracellulari di glucosio</w:t>
      </w:r>
      <w:r w:rsidR="003C2C76"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richiesto dalla maggior parte dei patogeni per la replicazione</w:t>
      </w:r>
      <w:r w:rsidR="009B36BF" w:rsidRPr="00E565AE">
        <w:rPr>
          <w:rFonts w:asciiTheme="minorHAnsi" w:hAnsiTheme="minorHAnsi" w:cstheme="minorHAnsi"/>
          <w:color w:val="000000" w:themeColor="text1"/>
          <w:sz w:val="20"/>
          <w:szCs w:val="20"/>
        </w:rPr>
        <w:t>,</w:t>
      </w:r>
      <w:r w:rsidRPr="00E565AE">
        <w:rPr>
          <w:rFonts w:asciiTheme="minorHAnsi" w:hAnsiTheme="minorHAnsi" w:cstheme="minorHAnsi"/>
          <w:color w:val="000000" w:themeColor="text1"/>
          <w:sz w:val="20"/>
          <w:szCs w:val="20"/>
        </w:rPr>
        <w:t xml:space="preserve"> e ottimizza la fornitura di energia al cervello</w:t>
      </w:r>
      <w:r w:rsidR="003C2C76" w:rsidRPr="00E565AE">
        <w:rPr>
          <w:rFonts w:asciiTheme="minorHAnsi" w:hAnsiTheme="minorHAnsi" w:cstheme="minorHAnsi"/>
          <w:color w:val="000000" w:themeColor="text1"/>
          <w:sz w:val="20"/>
          <w:szCs w:val="20"/>
        </w:rPr>
        <w:t xml:space="preserve">, un </w:t>
      </w:r>
      <w:r w:rsidRPr="00E565AE">
        <w:rPr>
          <w:rFonts w:asciiTheme="minorHAnsi" w:hAnsiTheme="minorHAnsi" w:cstheme="minorHAnsi"/>
          <w:color w:val="000000" w:themeColor="text1"/>
          <w:sz w:val="20"/>
          <w:szCs w:val="20"/>
        </w:rPr>
        <w:t xml:space="preserve">organo </w:t>
      </w:r>
      <w:r w:rsidR="003C2C76" w:rsidRPr="00E565AE">
        <w:rPr>
          <w:rFonts w:asciiTheme="minorHAnsi" w:hAnsiTheme="minorHAnsi" w:cstheme="minorHAnsi"/>
          <w:color w:val="000000" w:themeColor="text1"/>
          <w:sz w:val="20"/>
          <w:szCs w:val="20"/>
        </w:rPr>
        <w:t xml:space="preserve">cruciale </w:t>
      </w:r>
      <w:r w:rsidRPr="00E565AE">
        <w:rPr>
          <w:rFonts w:asciiTheme="minorHAnsi" w:hAnsiTheme="minorHAnsi" w:cstheme="minorHAnsi"/>
          <w:color w:val="000000" w:themeColor="text1"/>
          <w:sz w:val="20"/>
          <w:szCs w:val="20"/>
        </w:rPr>
        <w:t>con un alto costo metabolic</w:t>
      </w:r>
      <w:r w:rsidR="003C2C76" w:rsidRPr="00E565AE">
        <w:rPr>
          <w:rFonts w:asciiTheme="minorHAnsi" w:hAnsiTheme="minorHAnsi" w:cstheme="minorHAnsi"/>
          <w:color w:val="000000" w:themeColor="text1"/>
          <w:sz w:val="20"/>
          <w:szCs w:val="20"/>
        </w:rPr>
        <w:t>o,</w:t>
      </w:r>
      <w:r w:rsidRPr="00E565AE">
        <w:rPr>
          <w:rFonts w:asciiTheme="minorHAnsi" w:hAnsiTheme="minorHAnsi" w:cstheme="minorHAnsi"/>
          <w:color w:val="000000" w:themeColor="text1"/>
          <w:sz w:val="20"/>
          <w:szCs w:val="20"/>
        </w:rPr>
        <w:t xml:space="preserve"> in modo da proteggerlo dallo stress dovuto a stimoli come la fame e le infezioni. </w:t>
      </w:r>
      <w:r w:rsidR="009B36BF" w:rsidRPr="00406A00">
        <w:rPr>
          <w:rFonts w:asciiTheme="minorHAnsi" w:hAnsiTheme="minorHAnsi" w:cstheme="minorHAnsi"/>
          <w:color w:val="C00000"/>
          <w:sz w:val="20"/>
          <w:szCs w:val="20"/>
          <w:vertAlign w:val="superscript"/>
        </w:rPr>
        <w:t>[</w:t>
      </w:r>
      <w:r w:rsidRPr="00406A00">
        <w:rPr>
          <w:rFonts w:asciiTheme="minorHAnsi" w:hAnsiTheme="minorHAnsi" w:cstheme="minorHAnsi"/>
          <w:color w:val="C00000"/>
          <w:sz w:val="20"/>
          <w:szCs w:val="20"/>
          <w:vertAlign w:val="superscript"/>
        </w:rPr>
        <w:t>18-20</w:t>
      </w:r>
      <w:r w:rsidR="009B36BF" w:rsidRPr="00406A00">
        <w:rPr>
          <w:rFonts w:asciiTheme="minorHAnsi" w:hAnsiTheme="minorHAnsi" w:cstheme="minorHAnsi"/>
          <w:color w:val="C00000"/>
          <w:sz w:val="20"/>
          <w:szCs w:val="20"/>
          <w:vertAlign w:val="superscript"/>
        </w:rPr>
        <w:t>]</w:t>
      </w:r>
      <w:r w:rsidR="009B36BF" w:rsidRPr="00E565AE">
        <w:rPr>
          <w:rFonts w:asciiTheme="minorHAnsi" w:hAnsiTheme="minorHAnsi" w:cstheme="minorHAnsi"/>
          <w:color w:val="000000" w:themeColor="text1"/>
          <w:sz w:val="20"/>
          <w:szCs w:val="20"/>
        </w:rPr>
        <w:t xml:space="preserve"> </w:t>
      </w:r>
    </w:p>
    <w:p w:rsidR="0094354A" w:rsidRPr="00E565AE" w:rsidRDefault="0094354A" w:rsidP="00B648DA">
      <w:pPr>
        <w:jc w:val="both"/>
        <w:rPr>
          <w:rFonts w:asciiTheme="minorHAnsi" w:hAnsiTheme="minorHAnsi" w:cstheme="minorHAnsi"/>
          <w:color w:val="000000" w:themeColor="text1"/>
          <w:sz w:val="20"/>
          <w:szCs w:val="20"/>
        </w:rPr>
      </w:pPr>
    </w:p>
    <w:p w:rsidR="008323F2" w:rsidRPr="00E565AE" w:rsidRDefault="003C2C76"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Durante il digiuno e un’infezione </w:t>
      </w:r>
      <w:r w:rsidR="006E7F47" w:rsidRPr="00E565AE">
        <w:rPr>
          <w:rFonts w:asciiTheme="minorHAnsi" w:hAnsiTheme="minorHAnsi" w:cstheme="minorHAnsi"/>
          <w:color w:val="000000" w:themeColor="text1"/>
          <w:sz w:val="20"/>
          <w:szCs w:val="20"/>
        </w:rPr>
        <w:t xml:space="preserve"> il grasso accumulato nel tessuto adiposo viene metabolizzato per produrre energia, mentre il </w:t>
      </w:r>
      <w:r w:rsidRPr="00E565AE">
        <w:rPr>
          <w:rFonts w:asciiTheme="minorHAnsi" w:hAnsiTheme="minorHAnsi" w:cstheme="minorHAnsi"/>
          <w:color w:val="000000" w:themeColor="text1"/>
          <w:sz w:val="20"/>
          <w:szCs w:val="20"/>
        </w:rPr>
        <w:t>glucosio</w:t>
      </w:r>
      <w:r w:rsidR="006E7F47" w:rsidRPr="00E565AE">
        <w:rPr>
          <w:rFonts w:asciiTheme="minorHAnsi" w:hAnsiTheme="minorHAnsi" w:cstheme="minorHAnsi"/>
          <w:color w:val="000000" w:themeColor="text1"/>
          <w:sz w:val="20"/>
          <w:szCs w:val="20"/>
        </w:rPr>
        <w:t xml:space="preserve"> viene utilizzato come substrato solo per il cervello.</w:t>
      </w:r>
      <w:r w:rsidRPr="00E565AE">
        <w:rPr>
          <w:rFonts w:asciiTheme="minorHAnsi" w:hAnsiTheme="minorHAnsi" w:cstheme="minorHAnsi"/>
          <w:color w:val="000000" w:themeColor="text1"/>
          <w:sz w:val="20"/>
          <w:szCs w:val="20"/>
        </w:rPr>
        <w:t xml:space="preserve"> </w:t>
      </w:r>
      <w:r w:rsidR="009B36BF" w:rsidRPr="00406A00">
        <w:rPr>
          <w:rFonts w:asciiTheme="minorHAnsi" w:hAnsiTheme="minorHAnsi" w:cstheme="minorHAnsi"/>
          <w:color w:val="C00000"/>
          <w:sz w:val="20"/>
          <w:szCs w:val="20"/>
          <w:vertAlign w:val="superscript"/>
        </w:rPr>
        <w:t>[</w:t>
      </w:r>
      <w:r w:rsidRPr="00406A00">
        <w:rPr>
          <w:rFonts w:asciiTheme="minorHAnsi" w:hAnsiTheme="minorHAnsi" w:cstheme="minorHAnsi"/>
          <w:color w:val="C00000"/>
          <w:sz w:val="20"/>
          <w:szCs w:val="20"/>
          <w:vertAlign w:val="superscript"/>
        </w:rPr>
        <w:t>21</w:t>
      </w:r>
      <w:r w:rsidR="009B36BF" w:rsidRPr="00406A00">
        <w:rPr>
          <w:rFonts w:asciiTheme="minorHAnsi" w:hAnsiTheme="minorHAnsi" w:cstheme="minorHAnsi"/>
          <w:color w:val="C00000"/>
          <w:sz w:val="20"/>
          <w:szCs w:val="20"/>
          <w:vertAlign w:val="superscript"/>
        </w:rPr>
        <w:t>]</w:t>
      </w:r>
      <w:r w:rsidR="006E7F47" w:rsidRPr="00406A00">
        <w:rPr>
          <w:rFonts w:asciiTheme="minorHAnsi" w:hAnsiTheme="minorHAnsi" w:cstheme="minorHAnsi"/>
          <w:color w:val="C00000"/>
          <w:sz w:val="20"/>
          <w:szCs w:val="20"/>
        </w:rPr>
        <w:t xml:space="preserve"> </w:t>
      </w:r>
    </w:p>
    <w:p w:rsidR="008323F2" w:rsidRPr="00E565AE" w:rsidRDefault="008323F2" w:rsidP="00B648DA">
      <w:pPr>
        <w:jc w:val="both"/>
        <w:rPr>
          <w:rFonts w:asciiTheme="minorHAnsi" w:hAnsiTheme="minorHAnsi" w:cstheme="minorHAnsi"/>
          <w:color w:val="000000" w:themeColor="text1"/>
          <w:sz w:val="20"/>
          <w:szCs w:val="20"/>
        </w:rPr>
      </w:pPr>
    </w:p>
    <w:p w:rsidR="006E7F47" w:rsidRPr="00E565AE" w:rsidRDefault="003C2C76"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L’</w:t>
      </w:r>
      <w:r w:rsidRPr="00E565AE">
        <w:rPr>
          <w:rFonts w:asciiTheme="minorHAnsi" w:hAnsiTheme="minorHAnsi" w:cstheme="minorHAnsi"/>
          <w:b/>
          <w:bCs/>
          <w:color w:val="000000" w:themeColor="text1"/>
          <w:sz w:val="20"/>
          <w:szCs w:val="20"/>
        </w:rPr>
        <w:t xml:space="preserve">infezione da citomegalovirus (CMV)  </w:t>
      </w:r>
      <w:r w:rsidRPr="00E565AE">
        <w:rPr>
          <w:rFonts w:asciiTheme="minorHAnsi" w:hAnsiTheme="minorHAnsi" w:cstheme="minorHAnsi"/>
          <w:color w:val="000000" w:themeColor="text1"/>
          <w:sz w:val="20"/>
          <w:szCs w:val="20"/>
        </w:rPr>
        <w:t xml:space="preserve">è un esempio di infezione cronica comune associata </w:t>
      </w:r>
      <w:r w:rsidR="009B36BF" w:rsidRPr="00E565AE">
        <w:rPr>
          <w:rFonts w:asciiTheme="minorHAnsi" w:hAnsiTheme="minorHAnsi" w:cstheme="minorHAnsi"/>
          <w:color w:val="000000" w:themeColor="text1"/>
          <w:sz w:val="20"/>
          <w:szCs w:val="20"/>
        </w:rPr>
        <w:t>al</w:t>
      </w:r>
      <w:r w:rsidRPr="00E565AE">
        <w:rPr>
          <w:rFonts w:asciiTheme="minorHAnsi" w:hAnsiTheme="minorHAnsi" w:cstheme="minorHAnsi"/>
          <w:color w:val="000000" w:themeColor="text1"/>
          <w:sz w:val="20"/>
          <w:szCs w:val="20"/>
        </w:rPr>
        <w:t>l’immunosenescenza e le malattie legate all’età</w:t>
      </w:r>
      <w:r w:rsidR="009B36BF" w:rsidRPr="00E565AE">
        <w:rPr>
          <w:rFonts w:asciiTheme="minorHAnsi" w:hAnsiTheme="minorHAnsi" w:cstheme="minorHAnsi"/>
          <w:color w:val="000000" w:themeColor="text1"/>
          <w:sz w:val="20"/>
          <w:szCs w:val="20"/>
        </w:rPr>
        <w:t>,</w:t>
      </w:r>
      <w:r w:rsidRPr="00E565AE">
        <w:rPr>
          <w:rFonts w:asciiTheme="minorHAnsi" w:hAnsiTheme="minorHAnsi" w:cstheme="minorHAnsi"/>
          <w:color w:val="000000" w:themeColor="text1"/>
          <w:sz w:val="20"/>
          <w:szCs w:val="20"/>
        </w:rPr>
        <w:t xml:space="preserve"> in particolare con il diabete di tipo 2 </w:t>
      </w:r>
      <w:r w:rsidR="009B36BF" w:rsidRPr="00406A00">
        <w:rPr>
          <w:rFonts w:asciiTheme="minorHAnsi" w:hAnsiTheme="minorHAnsi" w:cstheme="minorHAnsi"/>
          <w:color w:val="C00000"/>
          <w:sz w:val="20"/>
          <w:szCs w:val="20"/>
          <w:vertAlign w:val="superscript"/>
        </w:rPr>
        <w:t>[</w:t>
      </w:r>
      <w:r w:rsidRPr="00406A00">
        <w:rPr>
          <w:rFonts w:asciiTheme="minorHAnsi" w:hAnsiTheme="minorHAnsi" w:cstheme="minorHAnsi"/>
          <w:color w:val="C00000"/>
          <w:sz w:val="20"/>
          <w:szCs w:val="20"/>
          <w:vertAlign w:val="superscript"/>
        </w:rPr>
        <w:t>27</w:t>
      </w:r>
      <w:r w:rsidR="009B36BF" w:rsidRPr="00406A00">
        <w:rPr>
          <w:rFonts w:asciiTheme="minorHAnsi" w:hAnsiTheme="minorHAnsi" w:cstheme="minorHAnsi"/>
          <w:color w:val="C00000"/>
          <w:sz w:val="20"/>
          <w:szCs w:val="20"/>
          <w:vertAlign w:val="superscript"/>
        </w:rPr>
        <w:t>]</w:t>
      </w:r>
      <w:r w:rsidR="009B36BF"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 xml:space="preserve">in quanto promuove un ambiente proinfiammatorio a livello delle cellule beta del pancreas. </w:t>
      </w:r>
    </w:p>
    <w:p w:rsidR="00CC4795" w:rsidRPr="00E565AE" w:rsidRDefault="00CC4795" w:rsidP="00B648DA">
      <w:pPr>
        <w:jc w:val="both"/>
        <w:rPr>
          <w:rFonts w:asciiTheme="minorHAnsi" w:hAnsiTheme="minorHAnsi" w:cstheme="minorHAnsi"/>
          <w:color w:val="000000" w:themeColor="text1"/>
          <w:sz w:val="20"/>
          <w:szCs w:val="20"/>
        </w:rPr>
      </w:pPr>
    </w:p>
    <w:p w:rsidR="00CC4795" w:rsidRPr="00E565AE" w:rsidRDefault="00CC4795" w:rsidP="00B648DA">
      <w:pPr>
        <w:jc w:val="both"/>
        <w:rPr>
          <w:color w:val="000000" w:themeColor="text1"/>
        </w:rPr>
      </w:pPr>
      <w:r w:rsidRPr="00E565AE">
        <w:rPr>
          <w:noProof/>
          <w:color w:val="000000" w:themeColor="text1"/>
        </w:rPr>
        <w:drawing>
          <wp:inline distT="0" distB="0" distL="0" distR="0">
            <wp:extent cx="6116320" cy="2379980"/>
            <wp:effectExtent l="0" t="0" r="508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ta 2020-06-01 alle 11.05.01.png"/>
                    <pic:cNvPicPr/>
                  </pic:nvPicPr>
                  <pic:blipFill>
                    <a:blip r:embed="rId168">
                      <a:extLst>
                        <a:ext uri="{28A0092B-C50C-407E-A947-70E740481C1C}">
                          <a14:useLocalDpi xmlns:a14="http://schemas.microsoft.com/office/drawing/2010/main" val="0"/>
                        </a:ext>
                      </a:extLst>
                    </a:blip>
                    <a:stretch>
                      <a:fillRect/>
                    </a:stretch>
                  </pic:blipFill>
                  <pic:spPr>
                    <a:xfrm>
                      <a:off x="0" y="0"/>
                      <a:ext cx="6116320" cy="2379980"/>
                    </a:xfrm>
                    <a:prstGeom prst="rect">
                      <a:avLst/>
                    </a:prstGeom>
                  </pic:spPr>
                </pic:pic>
              </a:graphicData>
            </a:graphic>
          </wp:inline>
        </w:drawing>
      </w:r>
    </w:p>
    <w:p w:rsidR="00CC4795" w:rsidRPr="00406A00" w:rsidRDefault="00CC4795" w:rsidP="00406A00">
      <w:pPr>
        <w:shd w:val="clear" w:color="auto" w:fill="F2F2F2" w:themeFill="background1" w:themeFillShade="F2"/>
        <w:jc w:val="both"/>
        <w:rPr>
          <w:rFonts w:asciiTheme="minorHAnsi" w:hAnsiTheme="minorHAnsi" w:cstheme="minorHAnsi"/>
          <w:color w:val="000000" w:themeColor="text1"/>
          <w:sz w:val="18"/>
          <w:szCs w:val="18"/>
        </w:rPr>
      </w:pPr>
      <w:r w:rsidRPr="00406A00">
        <w:rPr>
          <w:rFonts w:asciiTheme="minorHAnsi" w:hAnsiTheme="minorHAnsi" w:cstheme="minorHAnsi"/>
          <w:color w:val="000000" w:themeColor="text1"/>
          <w:sz w:val="18"/>
          <w:szCs w:val="18"/>
        </w:rPr>
        <w:t xml:space="preserve">Tratta da </w:t>
      </w:r>
      <w:hyperlink r:id="rId169" w:history="1">
        <w:r w:rsidRPr="00406A00">
          <w:rPr>
            <w:rStyle w:val="Hyperlink"/>
            <w:rFonts w:asciiTheme="minorHAnsi" w:eastAsiaTheme="majorEastAsia" w:hAnsiTheme="minorHAnsi" w:cstheme="minorHAnsi"/>
            <w:color w:val="000000" w:themeColor="text1"/>
            <w:sz w:val="18"/>
            <w:szCs w:val="18"/>
            <w:u w:val="none"/>
          </w:rPr>
          <w:t>https://www.ncbi.nlm.nih.gov/pmc/articles/PMC5515003/pdf/npjamd201618.pdf</w:t>
        </w:r>
      </w:hyperlink>
      <w:r w:rsidRPr="00406A00">
        <w:rPr>
          <w:rFonts w:asciiTheme="minorHAnsi" w:hAnsiTheme="minorHAnsi" w:cstheme="minorHAnsi"/>
          <w:color w:val="000000" w:themeColor="text1"/>
          <w:sz w:val="18"/>
          <w:szCs w:val="18"/>
        </w:rPr>
        <w:t xml:space="preserve"> </w:t>
      </w:r>
    </w:p>
    <w:p w:rsidR="00CC4795" w:rsidRPr="00E565AE" w:rsidRDefault="00CC4795" w:rsidP="00B648DA">
      <w:pPr>
        <w:pStyle w:val="Heading3"/>
        <w:spacing w:before="0" w:beforeAutospacing="0" w:after="0" w:afterAutospacing="0"/>
        <w:jc w:val="both"/>
        <w:rPr>
          <w:rFonts w:asciiTheme="minorHAnsi" w:hAnsiTheme="minorHAnsi" w:cstheme="minorHAnsi"/>
          <w:b w:val="0"/>
          <w:bCs w:val="0"/>
          <w:color w:val="000000" w:themeColor="text1"/>
          <w:sz w:val="22"/>
          <w:szCs w:val="22"/>
        </w:rPr>
      </w:pPr>
    </w:p>
    <w:p w:rsidR="008323F2" w:rsidRPr="00E565AE" w:rsidRDefault="002634BF"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Una caratteristica</w:t>
      </w:r>
      <w:r w:rsidR="001070E9" w:rsidRPr="00E565AE">
        <w:rPr>
          <w:rFonts w:asciiTheme="minorHAnsi" w:hAnsiTheme="minorHAnsi" w:cstheme="minorHAnsi"/>
          <w:color w:val="000000" w:themeColor="text1"/>
          <w:sz w:val="20"/>
          <w:szCs w:val="20"/>
        </w:rPr>
        <w:t xml:space="preserve"> importante della complessità biologica è la </w:t>
      </w:r>
      <w:r w:rsidR="001070E9" w:rsidRPr="00406A00">
        <w:rPr>
          <w:rFonts w:asciiTheme="minorHAnsi" w:hAnsiTheme="minorHAnsi" w:cstheme="minorHAnsi"/>
          <w:b/>
          <w:bCs/>
          <w:color w:val="000000" w:themeColor="text1"/>
          <w:sz w:val="20"/>
          <w:szCs w:val="20"/>
          <w:shd w:val="clear" w:color="auto" w:fill="FBF9E1"/>
        </w:rPr>
        <w:t>promiscuità o degenerazione biologica</w:t>
      </w:r>
      <w:r w:rsidR="001070E9" w:rsidRPr="00E565AE">
        <w:rPr>
          <w:rFonts w:asciiTheme="minorHAnsi" w:hAnsiTheme="minorHAnsi" w:cstheme="minorHAnsi"/>
          <w:color w:val="000000" w:themeColor="text1"/>
          <w:sz w:val="20"/>
          <w:szCs w:val="20"/>
        </w:rPr>
        <w:t xml:space="preserve">, cioè la capacità di elementi strutturalmente diversi di eseguire la stessa funzione, in modo che se uno fallisce nella sua funzione gli altri elementi intervengono per supplire alla mancanza. </w:t>
      </w:r>
    </w:p>
    <w:p w:rsidR="008323F2" w:rsidRDefault="001070E9"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 xml:space="preserve">Ci sono evidenze sperimentali che gli stessi sensori, come i PRR, compresi i TLR, i recettori NOD-like,  i cGAS (GMP-AMPc sintasi), i recettori degli idrocarburi arilici (AHR) e i recettori del gusto </w:t>
      </w:r>
      <w:r w:rsidR="00637578" w:rsidRPr="00E565AE">
        <w:rPr>
          <w:rFonts w:asciiTheme="minorHAnsi" w:hAnsiTheme="minorHAnsi" w:cstheme="minorHAnsi"/>
          <w:color w:val="000000" w:themeColor="text1"/>
          <w:sz w:val="20"/>
          <w:szCs w:val="20"/>
        </w:rPr>
        <w:t xml:space="preserve">hanno caratteristiche sovrapposte. </w:t>
      </w:r>
    </w:p>
    <w:p w:rsidR="00406A00" w:rsidRPr="00E565AE" w:rsidRDefault="00406A00" w:rsidP="00B648DA">
      <w:pPr>
        <w:jc w:val="both"/>
        <w:rPr>
          <w:rFonts w:asciiTheme="minorHAnsi" w:hAnsiTheme="minorHAnsi" w:cstheme="minorHAnsi"/>
          <w:color w:val="000000" w:themeColor="text1"/>
          <w:sz w:val="20"/>
          <w:szCs w:val="20"/>
        </w:rPr>
      </w:pPr>
    </w:p>
    <w:p w:rsidR="008323F2" w:rsidRPr="00E565AE" w:rsidRDefault="00637578"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Questi recettori sono in grado di riconoscere le proteine del self alterate o degradate (DAMPs), prodotti del non-self d</w:t>
      </w:r>
      <w:r w:rsidR="009B36BF" w:rsidRPr="00E565AE">
        <w:rPr>
          <w:rFonts w:asciiTheme="minorHAnsi" w:hAnsiTheme="minorHAnsi" w:cstheme="minorHAnsi"/>
          <w:color w:val="000000" w:themeColor="text1"/>
          <w:sz w:val="20"/>
          <w:szCs w:val="20"/>
        </w:rPr>
        <w:t>i</w:t>
      </w:r>
      <w:r w:rsidRPr="00E565AE">
        <w:rPr>
          <w:rFonts w:asciiTheme="minorHAnsi" w:hAnsiTheme="minorHAnsi" w:cstheme="minorHAnsi"/>
          <w:color w:val="000000" w:themeColor="text1"/>
          <w:sz w:val="20"/>
          <w:szCs w:val="20"/>
        </w:rPr>
        <w:t xml:space="preserve"> virus e batteri (PAMPs) e prodotti metabolici e nutrizionali provenienti dal microbiota che può essere considerato un quasi-self. </w:t>
      </w:r>
      <w:r w:rsidR="009B36BF" w:rsidRPr="00406A00">
        <w:rPr>
          <w:rFonts w:asciiTheme="minorHAnsi" w:hAnsiTheme="minorHAnsi" w:cstheme="minorHAnsi"/>
          <w:color w:val="C00000"/>
          <w:sz w:val="20"/>
          <w:szCs w:val="20"/>
          <w:vertAlign w:val="superscript"/>
        </w:rPr>
        <w:t>[</w:t>
      </w:r>
      <w:r w:rsidRPr="00406A00">
        <w:rPr>
          <w:rFonts w:asciiTheme="minorHAnsi" w:hAnsiTheme="minorHAnsi" w:cstheme="minorHAnsi"/>
          <w:color w:val="C00000"/>
          <w:sz w:val="20"/>
          <w:szCs w:val="20"/>
          <w:vertAlign w:val="superscript"/>
        </w:rPr>
        <w:t>6</w:t>
      </w:r>
      <w:r w:rsidR="009B36BF" w:rsidRPr="00406A00">
        <w:rPr>
          <w:rFonts w:asciiTheme="minorHAnsi" w:hAnsiTheme="minorHAnsi" w:cstheme="minorHAnsi"/>
          <w:color w:val="C00000"/>
          <w:sz w:val="20"/>
          <w:szCs w:val="20"/>
          <w:vertAlign w:val="superscript"/>
        </w:rPr>
        <w:t>]</w:t>
      </w:r>
      <w:r w:rsidRPr="00406A00">
        <w:rPr>
          <w:rFonts w:asciiTheme="minorHAnsi" w:hAnsiTheme="minorHAnsi" w:cstheme="minorHAnsi"/>
          <w:color w:val="C00000"/>
          <w:sz w:val="20"/>
          <w:szCs w:val="20"/>
        </w:rPr>
        <w:t xml:space="preserve"> </w:t>
      </w:r>
    </w:p>
    <w:p w:rsidR="008323F2" w:rsidRPr="00E565AE" w:rsidRDefault="008323F2" w:rsidP="00B648DA">
      <w:pPr>
        <w:jc w:val="both"/>
        <w:rPr>
          <w:rFonts w:asciiTheme="minorHAnsi" w:hAnsiTheme="minorHAnsi" w:cstheme="minorHAnsi"/>
          <w:color w:val="000000" w:themeColor="text1"/>
          <w:sz w:val="20"/>
          <w:szCs w:val="20"/>
        </w:rPr>
      </w:pPr>
    </w:p>
    <w:p w:rsidR="002634BF" w:rsidRPr="00E565AE" w:rsidRDefault="00637578" w:rsidP="00B648DA">
      <w:pPr>
        <w:jc w:val="both"/>
        <w:rPr>
          <w:rFonts w:asciiTheme="minorHAnsi" w:hAnsiTheme="minorHAnsi" w:cstheme="minorHAnsi"/>
          <w:color w:val="000000" w:themeColor="text1"/>
          <w:sz w:val="20"/>
          <w:szCs w:val="20"/>
        </w:rPr>
      </w:pPr>
      <w:r w:rsidRPr="00406A00">
        <w:rPr>
          <w:rFonts w:asciiTheme="minorHAnsi" w:hAnsiTheme="minorHAnsi" w:cstheme="minorHAnsi"/>
          <w:b/>
          <w:bCs/>
          <w:color w:val="000000" w:themeColor="text1"/>
          <w:sz w:val="20"/>
          <w:szCs w:val="20"/>
          <w:shd w:val="clear" w:color="auto" w:fill="FBF9E1"/>
        </w:rPr>
        <w:t>Durante l’evoluzione questo insieme di recettori è stato ottimizzato per aumentare l’infiammazione e la resistenza all’insulina come prima risposta alla deprivazione di nutrienti e anche come strategia per difendersi dai patogeni.</w:t>
      </w:r>
      <w:r w:rsidRPr="00E565AE">
        <w:rPr>
          <w:rFonts w:asciiTheme="minorHAnsi" w:hAnsiTheme="minorHAnsi" w:cstheme="minorHAnsi"/>
          <w:color w:val="000000" w:themeColor="text1"/>
          <w:sz w:val="20"/>
          <w:szCs w:val="20"/>
        </w:rPr>
        <w:t xml:space="preserve"> </w:t>
      </w:r>
      <w:r w:rsidR="009B36BF" w:rsidRPr="00406A00">
        <w:rPr>
          <w:rFonts w:asciiTheme="minorHAnsi" w:hAnsiTheme="minorHAnsi" w:cstheme="minorHAnsi"/>
          <w:color w:val="C00000"/>
          <w:sz w:val="20"/>
          <w:szCs w:val="20"/>
          <w:vertAlign w:val="superscript"/>
        </w:rPr>
        <w:t>[</w:t>
      </w:r>
      <w:r w:rsidR="002634BF" w:rsidRPr="00406A00">
        <w:rPr>
          <w:rFonts w:asciiTheme="minorHAnsi" w:hAnsiTheme="minorHAnsi" w:cstheme="minorHAnsi"/>
          <w:color w:val="C00000"/>
          <w:sz w:val="20"/>
          <w:szCs w:val="20"/>
          <w:vertAlign w:val="superscript"/>
        </w:rPr>
        <w:t>34,10,35</w:t>
      </w:r>
      <w:r w:rsidR="009B36BF" w:rsidRPr="00406A00">
        <w:rPr>
          <w:rFonts w:asciiTheme="minorHAnsi" w:hAnsiTheme="minorHAnsi" w:cstheme="minorHAnsi"/>
          <w:color w:val="C00000"/>
          <w:sz w:val="20"/>
          <w:szCs w:val="20"/>
          <w:vertAlign w:val="superscript"/>
        </w:rPr>
        <w:t>,</w:t>
      </w:r>
      <w:r w:rsidR="002634BF" w:rsidRPr="00406A00">
        <w:rPr>
          <w:rFonts w:asciiTheme="minorHAnsi" w:hAnsiTheme="minorHAnsi" w:cstheme="minorHAnsi"/>
          <w:color w:val="C00000"/>
          <w:sz w:val="20"/>
          <w:szCs w:val="20"/>
          <w:vertAlign w:val="superscript"/>
        </w:rPr>
        <w:t>36</w:t>
      </w:r>
      <w:r w:rsidR="009B36BF" w:rsidRPr="00406A00">
        <w:rPr>
          <w:rFonts w:asciiTheme="minorHAnsi" w:hAnsiTheme="minorHAnsi" w:cstheme="minorHAnsi"/>
          <w:color w:val="C00000"/>
          <w:sz w:val="20"/>
          <w:szCs w:val="20"/>
          <w:vertAlign w:val="superscript"/>
        </w:rPr>
        <w:t>]</w:t>
      </w:r>
    </w:p>
    <w:p w:rsidR="00F9574E" w:rsidRPr="00E565AE" w:rsidRDefault="00F9574E" w:rsidP="00B648DA">
      <w:pPr>
        <w:jc w:val="both"/>
        <w:rPr>
          <w:rFonts w:asciiTheme="minorHAnsi" w:hAnsiTheme="minorHAnsi" w:cstheme="minorHAnsi"/>
          <w:color w:val="000000" w:themeColor="text1"/>
          <w:sz w:val="20"/>
          <w:szCs w:val="20"/>
        </w:rPr>
      </w:pPr>
    </w:p>
    <w:p w:rsidR="00F9574E" w:rsidRPr="00E565AE" w:rsidRDefault="00F9574E" w:rsidP="00B648DA">
      <w:pPr>
        <w:jc w:val="both"/>
        <w:rPr>
          <w:rFonts w:asciiTheme="minorHAnsi" w:hAnsiTheme="minorHAnsi" w:cstheme="minorHAnsi"/>
          <w:color w:val="000000" w:themeColor="text1"/>
          <w:sz w:val="22"/>
          <w:szCs w:val="22"/>
        </w:rPr>
      </w:pPr>
    </w:p>
    <w:p w:rsidR="00F9574E" w:rsidRPr="00E565AE" w:rsidRDefault="00F9574E" w:rsidP="009B36BF">
      <w:pPr>
        <w:jc w:val="center"/>
        <w:rPr>
          <w:rFonts w:asciiTheme="minorHAnsi" w:hAnsiTheme="minorHAnsi" w:cstheme="minorHAnsi"/>
          <w:color w:val="000000" w:themeColor="text1"/>
          <w:sz w:val="22"/>
          <w:szCs w:val="22"/>
        </w:rPr>
      </w:pPr>
      <w:r w:rsidRPr="00E565AE">
        <w:rPr>
          <w:rFonts w:asciiTheme="minorHAnsi" w:hAnsiTheme="minorHAnsi" w:cstheme="minorHAnsi"/>
          <w:color w:val="000000" w:themeColor="text1"/>
          <w:sz w:val="22"/>
          <w:szCs w:val="22"/>
        </w:rPr>
        <w:fldChar w:fldCharType="begin"/>
      </w:r>
      <w:r w:rsidRPr="00E565AE">
        <w:rPr>
          <w:rFonts w:asciiTheme="minorHAnsi" w:hAnsiTheme="minorHAnsi" w:cstheme="minorHAnsi"/>
          <w:color w:val="000000" w:themeColor="text1"/>
          <w:sz w:val="22"/>
          <w:szCs w:val="22"/>
        </w:rPr>
        <w:instrText xml:space="preserve"> INCLUDEPICTURE "https://media.springernature.com/full/springer-static/image/art%3A10.1038%2Fs41574-018-0059-4/MediaObjects/41574_2018_59_Fig2_HTML.png" \* MERGEFORMATINET </w:instrText>
      </w:r>
      <w:r w:rsidRPr="00E565AE">
        <w:rPr>
          <w:rFonts w:asciiTheme="minorHAnsi" w:hAnsiTheme="minorHAnsi" w:cstheme="minorHAnsi"/>
          <w:color w:val="000000" w:themeColor="text1"/>
          <w:sz w:val="22"/>
          <w:szCs w:val="22"/>
        </w:rPr>
        <w:fldChar w:fldCharType="separate"/>
      </w:r>
      <w:r w:rsidRPr="00E565AE">
        <w:rPr>
          <w:rFonts w:asciiTheme="minorHAnsi" w:hAnsiTheme="minorHAnsi" w:cstheme="minorHAnsi"/>
          <w:noProof/>
          <w:color w:val="000000" w:themeColor="text1"/>
          <w:sz w:val="22"/>
          <w:szCs w:val="22"/>
        </w:rPr>
        <w:drawing>
          <wp:inline distT="0" distB="0" distL="0" distR="0">
            <wp:extent cx="4651910" cy="3793201"/>
            <wp:effectExtent l="0" t="0" r="0" b="4445"/>
            <wp:docPr id="192" name="Immagine 19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708846" cy="3839627"/>
                    </a:xfrm>
                    <a:prstGeom prst="rect">
                      <a:avLst/>
                    </a:prstGeom>
                    <a:noFill/>
                    <a:ln>
                      <a:noFill/>
                    </a:ln>
                  </pic:spPr>
                </pic:pic>
              </a:graphicData>
            </a:graphic>
          </wp:inline>
        </w:drawing>
      </w:r>
      <w:r w:rsidRPr="00E565AE">
        <w:rPr>
          <w:rFonts w:asciiTheme="minorHAnsi" w:hAnsiTheme="minorHAnsi" w:cstheme="minorHAnsi"/>
          <w:color w:val="000000" w:themeColor="text1"/>
          <w:sz w:val="22"/>
          <w:szCs w:val="22"/>
        </w:rPr>
        <w:fldChar w:fldCharType="end"/>
      </w:r>
    </w:p>
    <w:p w:rsidR="00F9574E" w:rsidRPr="00E565AE" w:rsidRDefault="00F9574E" w:rsidP="00B648DA">
      <w:pPr>
        <w:jc w:val="both"/>
        <w:rPr>
          <w:rFonts w:asciiTheme="minorHAnsi" w:hAnsiTheme="minorHAnsi" w:cstheme="minorHAnsi"/>
          <w:color w:val="000000" w:themeColor="text1"/>
          <w:sz w:val="22"/>
          <w:szCs w:val="22"/>
        </w:rPr>
      </w:pPr>
    </w:p>
    <w:p w:rsidR="006F0CC0" w:rsidRPr="00F77F42" w:rsidRDefault="009B36BF" w:rsidP="00B648DA">
      <w:pPr>
        <w:jc w:val="both"/>
        <w:rPr>
          <w:rFonts w:asciiTheme="minorHAnsi" w:hAnsiTheme="minorHAnsi" w:cstheme="minorHAnsi"/>
          <w:color w:val="000000" w:themeColor="text1"/>
          <w:sz w:val="18"/>
          <w:szCs w:val="18"/>
        </w:rPr>
      </w:pPr>
      <w:r w:rsidRPr="00F77F42">
        <w:rPr>
          <w:rFonts w:asciiTheme="minorHAnsi" w:hAnsiTheme="minorHAnsi" w:cstheme="minorHAnsi"/>
          <w:color w:val="000000" w:themeColor="text1"/>
          <w:sz w:val="18"/>
          <w:szCs w:val="18"/>
        </w:rPr>
        <w:t xml:space="preserve">Tratta da </w:t>
      </w:r>
    </w:p>
    <w:p w:rsidR="00F9574E" w:rsidRPr="00F77F42" w:rsidRDefault="0052743C" w:rsidP="00B648DA">
      <w:pPr>
        <w:jc w:val="both"/>
        <w:rPr>
          <w:rFonts w:asciiTheme="minorHAnsi" w:hAnsiTheme="minorHAnsi" w:cstheme="minorHAnsi"/>
          <w:color w:val="000000" w:themeColor="text1"/>
          <w:sz w:val="18"/>
          <w:szCs w:val="18"/>
        </w:rPr>
      </w:pPr>
      <w:hyperlink r:id="rId171" w:history="1">
        <w:r w:rsidR="006F0CC0" w:rsidRPr="00F77F42">
          <w:rPr>
            <w:rStyle w:val="Hyperlink"/>
            <w:rFonts w:asciiTheme="minorHAnsi" w:hAnsiTheme="minorHAnsi" w:cstheme="minorHAnsi"/>
            <w:color w:val="000000" w:themeColor="text1"/>
            <w:sz w:val="18"/>
            <w:szCs w:val="18"/>
            <w:u w:val="none"/>
          </w:rPr>
          <w:t>https://www.semanticscholar.org/paper/Inflammaging%3A-a-new-immune%E2%80%93metabolic-viewpoint-for-Franceschi-Garagnani/6247ca2e33d38d072f1f7196e156b43975d00e71</w:t>
        </w:r>
      </w:hyperlink>
    </w:p>
    <w:p w:rsidR="00F77F42" w:rsidRDefault="009C6989" w:rsidP="009C6989">
      <w:pPr>
        <w:jc w:val="both"/>
        <w:rPr>
          <w:rFonts w:asciiTheme="minorHAnsi" w:hAnsiTheme="minorHAnsi" w:cstheme="minorHAnsi"/>
          <w:b/>
          <w:bCs/>
          <w:color w:val="000000" w:themeColor="text1"/>
          <w:sz w:val="18"/>
          <w:szCs w:val="18"/>
        </w:rPr>
      </w:pPr>
      <w:r w:rsidRPr="00F77F42">
        <w:rPr>
          <w:rFonts w:asciiTheme="minorHAnsi" w:hAnsiTheme="minorHAnsi" w:cstheme="minorHAnsi"/>
          <w:b/>
          <w:bCs/>
          <w:color w:val="000000" w:themeColor="text1"/>
          <w:sz w:val="18"/>
          <w:szCs w:val="18"/>
        </w:rPr>
        <w:t xml:space="preserve">Il papillon del macchinario dell’inflammaging.  </w:t>
      </w:r>
    </w:p>
    <w:p w:rsidR="00F77F42" w:rsidRDefault="009C6989" w:rsidP="009C6989">
      <w:pPr>
        <w:jc w:val="both"/>
        <w:rPr>
          <w:rFonts w:asciiTheme="minorHAnsi" w:hAnsiTheme="minorHAnsi" w:cstheme="minorHAnsi"/>
          <w:color w:val="000000" w:themeColor="text1"/>
          <w:sz w:val="18"/>
          <w:szCs w:val="18"/>
        </w:rPr>
      </w:pPr>
      <w:r w:rsidRPr="00F77F42">
        <w:rPr>
          <w:rFonts w:asciiTheme="minorHAnsi" w:hAnsiTheme="minorHAnsi" w:cstheme="minorHAnsi"/>
          <w:b/>
          <w:bCs/>
          <w:color w:val="000000" w:themeColor="text1"/>
          <w:sz w:val="18"/>
          <w:szCs w:val="18"/>
        </w:rPr>
        <w:t xml:space="preserve">a) </w:t>
      </w:r>
      <w:r w:rsidRPr="00F77F42">
        <w:rPr>
          <w:rFonts w:asciiTheme="minorHAnsi" w:hAnsiTheme="minorHAnsi" w:cstheme="minorHAnsi"/>
          <w:color w:val="000000" w:themeColor="text1"/>
          <w:sz w:val="18"/>
          <w:szCs w:val="18"/>
        </w:rPr>
        <w:t xml:space="preserve">Un eterogeneo e ampio spettro di stimoli di pericolo esogeni ed endogeni (fan in) interagisce con un repertorio limitato di sensori espressi sulla superficie cellulare e nel citoplasma (core) ed evoca un numero limitato di risposte infiammatorie (fan out). Le molecole di pericolo possono essere non-self (profili molecolari associati al patogeno (PAMP)), self (profili molecolari associati al danno  (DAMP)) e quasi-self (prodotti nutrizionali e metabolici del microbiota intestinale) e questa moltitudine di stimoli converge sugli stessi sensori promiscui selezionati dal punto di vista evolutivo, innescando risposte infiammatorie. Questo processo fisiologico infiammatorio è fondamentale per la sopravvivenza fino alla mezza età. </w:t>
      </w:r>
    </w:p>
    <w:p w:rsidR="009C6989" w:rsidRPr="00F77F42" w:rsidRDefault="009C6989" w:rsidP="009C6989">
      <w:pPr>
        <w:jc w:val="both"/>
        <w:rPr>
          <w:rFonts w:asciiTheme="minorHAnsi" w:hAnsiTheme="minorHAnsi" w:cstheme="minorHAnsi"/>
          <w:color w:val="000000" w:themeColor="text1"/>
          <w:sz w:val="18"/>
          <w:szCs w:val="18"/>
        </w:rPr>
      </w:pPr>
      <w:r w:rsidRPr="00F77F42">
        <w:rPr>
          <w:rFonts w:asciiTheme="minorHAnsi" w:hAnsiTheme="minorHAnsi" w:cstheme="minorHAnsi"/>
          <w:b/>
          <w:bCs/>
          <w:color w:val="000000" w:themeColor="text1"/>
          <w:sz w:val="18"/>
          <w:szCs w:val="18"/>
        </w:rPr>
        <w:t>b)</w:t>
      </w:r>
      <w:r w:rsidRPr="00F77F42">
        <w:rPr>
          <w:rFonts w:asciiTheme="minorHAnsi" w:hAnsiTheme="minorHAnsi" w:cstheme="minorHAnsi"/>
          <w:color w:val="000000" w:themeColor="text1"/>
          <w:sz w:val="18"/>
          <w:szCs w:val="18"/>
        </w:rPr>
        <w:t xml:space="preserve"> Con l'età, la </w:t>
      </w:r>
      <w:r w:rsidR="00746334">
        <w:rPr>
          <w:rFonts w:asciiTheme="minorHAnsi" w:hAnsiTheme="minorHAnsi" w:cstheme="minorHAnsi"/>
          <w:color w:val="000000" w:themeColor="text1"/>
          <w:sz w:val="18"/>
          <w:szCs w:val="18"/>
        </w:rPr>
        <w:t>risposta</w:t>
      </w:r>
      <w:r w:rsidRPr="00F77F42">
        <w:rPr>
          <w:rFonts w:asciiTheme="minorHAnsi" w:hAnsiTheme="minorHAnsi" w:cstheme="minorHAnsi"/>
          <w:color w:val="000000" w:themeColor="text1"/>
          <w:sz w:val="18"/>
          <w:szCs w:val="18"/>
        </w:rPr>
        <w:t xml:space="preserve"> proinfiammatoria di solito aumenta e diventa dannosa nell’età post-riproduttiva. La somma di queste risposte produce un progressivo aumento del livello infiammatorio che può durare diversi anni o decenni, portando infine a inflammaging. Questo processo è modulato da una varietà di fattori, tra cui la genetica, abitudini di vita, immunobiografia e variabili anatomiche </w:t>
      </w:r>
      <w:r w:rsidRPr="006831B7">
        <w:rPr>
          <w:rFonts w:asciiTheme="minorHAnsi" w:hAnsiTheme="minorHAnsi" w:cstheme="minorHAnsi"/>
          <w:color w:val="C00000"/>
          <w:sz w:val="18"/>
          <w:szCs w:val="18"/>
          <w:vertAlign w:val="superscript"/>
        </w:rPr>
        <w:t>[61,173]</w:t>
      </w:r>
      <w:r w:rsidRPr="00F77F42">
        <w:rPr>
          <w:rFonts w:asciiTheme="minorHAnsi" w:hAnsiTheme="minorHAnsi" w:cstheme="minorHAnsi"/>
          <w:color w:val="000000" w:themeColor="text1"/>
          <w:sz w:val="18"/>
          <w:szCs w:val="18"/>
        </w:rPr>
        <w:t xml:space="preserve">. </w:t>
      </w:r>
    </w:p>
    <w:p w:rsidR="00F77F42" w:rsidRDefault="009C6989" w:rsidP="009C6989">
      <w:pPr>
        <w:jc w:val="both"/>
        <w:rPr>
          <w:rFonts w:asciiTheme="minorHAnsi" w:hAnsiTheme="minorHAnsi" w:cstheme="minorHAnsi"/>
          <w:color w:val="000000" w:themeColor="text1"/>
          <w:sz w:val="18"/>
          <w:szCs w:val="18"/>
        </w:rPr>
      </w:pPr>
      <w:r w:rsidRPr="00F77F42">
        <w:rPr>
          <w:rFonts w:asciiTheme="minorHAnsi" w:hAnsiTheme="minorHAnsi" w:cstheme="minorHAnsi"/>
          <w:color w:val="000000" w:themeColor="text1"/>
          <w:sz w:val="18"/>
          <w:szCs w:val="18"/>
        </w:rPr>
        <w:t xml:space="preserve">L’eccesso di nutrienti e l'eccessiva nutrizione si adattano a questo scenario generale, rappresentando particolari tipi di stimoli che alimentano l’infiammazione. Per semplicità, sono stati riportati solo alcuni dei sensori e dei composti infiammatori. </w:t>
      </w:r>
    </w:p>
    <w:p w:rsidR="009C6989" w:rsidRPr="00F77F42" w:rsidRDefault="009C6989" w:rsidP="009C6989">
      <w:pPr>
        <w:jc w:val="both"/>
        <w:rPr>
          <w:rFonts w:asciiTheme="minorHAnsi" w:hAnsiTheme="minorHAnsi" w:cstheme="minorHAnsi"/>
          <w:color w:val="000000" w:themeColor="text1"/>
          <w:sz w:val="18"/>
          <w:szCs w:val="18"/>
        </w:rPr>
      </w:pPr>
      <w:r w:rsidRPr="00F77F42">
        <w:rPr>
          <w:rFonts w:asciiTheme="minorHAnsi" w:hAnsiTheme="minorHAnsi" w:cstheme="minorHAnsi"/>
          <w:color w:val="000000" w:themeColor="text1"/>
          <w:sz w:val="18"/>
          <w:szCs w:val="18"/>
        </w:rPr>
        <w:t>AHR, recettore aril-idrocarburo; cGAS, GMP–</w:t>
      </w:r>
      <w:r w:rsidR="00D071AB" w:rsidRPr="00F77F42">
        <w:rPr>
          <w:rFonts w:asciiTheme="minorHAnsi" w:hAnsiTheme="minorHAnsi" w:cstheme="minorHAnsi"/>
          <w:color w:val="000000" w:themeColor="text1"/>
          <w:sz w:val="18"/>
          <w:szCs w:val="18"/>
        </w:rPr>
        <w:t>A</w:t>
      </w:r>
      <w:r w:rsidRPr="00F77F42">
        <w:rPr>
          <w:rFonts w:asciiTheme="minorHAnsi" w:hAnsiTheme="minorHAnsi" w:cstheme="minorHAnsi"/>
          <w:color w:val="000000" w:themeColor="text1"/>
          <w:sz w:val="18"/>
          <w:szCs w:val="18"/>
        </w:rPr>
        <w:t>MP sintasi;</w:t>
      </w:r>
      <w:r w:rsidR="00D071AB" w:rsidRPr="00F77F42">
        <w:rPr>
          <w:rFonts w:asciiTheme="minorHAnsi" w:hAnsiTheme="minorHAnsi" w:cstheme="minorHAnsi"/>
          <w:color w:val="000000" w:themeColor="text1"/>
          <w:sz w:val="18"/>
          <w:szCs w:val="18"/>
        </w:rPr>
        <w:t xml:space="preserve"> </w:t>
      </w:r>
      <w:r w:rsidRPr="00F77F42">
        <w:rPr>
          <w:rFonts w:asciiTheme="minorHAnsi" w:hAnsiTheme="minorHAnsi" w:cstheme="minorHAnsi"/>
          <w:color w:val="000000" w:themeColor="text1"/>
          <w:sz w:val="18"/>
          <w:szCs w:val="18"/>
        </w:rPr>
        <w:t>NF-κB, fattore nucleare-κB; NLR, recettore simile a NOD; TLR, recettore Toll-like</w:t>
      </w:r>
    </w:p>
    <w:p w:rsidR="00F9574E" w:rsidRPr="00E565AE" w:rsidRDefault="00F9574E" w:rsidP="00B648DA">
      <w:pPr>
        <w:jc w:val="both"/>
        <w:rPr>
          <w:rFonts w:asciiTheme="minorHAnsi" w:hAnsiTheme="minorHAnsi" w:cstheme="minorHAnsi"/>
          <w:color w:val="000000" w:themeColor="text1"/>
          <w:sz w:val="22"/>
          <w:szCs w:val="22"/>
        </w:rPr>
      </w:pPr>
    </w:p>
    <w:p w:rsidR="00F77F42" w:rsidRDefault="002634BF"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 xml:space="preserve">I </w:t>
      </w:r>
      <w:r w:rsidRPr="00E565AE">
        <w:rPr>
          <w:rFonts w:asciiTheme="minorHAnsi" w:hAnsiTheme="minorHAnsi" w:cstheme="minorHAnsi"/>
          <w:b/>
          <w:bCs/>
          <w:color w:val="000000" w:themeColor="text1"/>
          <w:sz w:val="20"/>
          <w:szCs w:val="20"/>
        </w:rPr>
        <w:t>recettori del gusto</w:t>
      </w:r>
      <w:r w:rsidRPr="00E565AE">
        <w:rPr>
          <w:rFonts w:asciiTheme="minorHAnsi" w:hAnsiTheme="minorHAnsi" w:cstheme="minorHAnsi"/>
          <w:color w:val="000000" w:themeColor="text1"/>
          <w:sz w:val="20"/>
          <w:szCs w:val="20"/>
        </w:rPr>
        <w:t xml:space="preserve">, in particolare i recettori accoppiati alla proteina G che rilevano i gusti amari, salati e saporiti, segnalano al cervello di organizzare il comportamento alimentare, cioè di cercare il cibo, selezionarlo e consumarlo, in risposta ad una vasta gamma di stimoli nutrizionali. </w:t>
      </w:r>
    </w:p>
    <w:p w:rsidR="002634BF" w:rsidRPr="00E565AE" w:rsidRDefault="002634BF"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Gli stessi recettori vengono sfruttati anche per la risposta immunitaria innata e infiammatoria agli agenti microbici. </w:t>
      </w:r>
      <w:r w:rsidR="00D071AB" w:rsidRPr="00F77F42">
        <w:rPr>
          <w:rFonts w:asciiTheme="minorHAnsi" w:hAnsiTheme="minorHAnsi" w:cstheme="minorHAnsi"/>
          <w:color w:val="C00000"/>
          <w:sz w:val="20"/>
          <w:szCs w:val="20"/>
          <w:vertAlign w:val="superscript"/>
        </w:rPr>
        <w:t>[</w:t>
      </w:r>
      <w:r w:rsidRPr="00F77F42">
        <w:rPr>
          <w:rFonts w:asciiTheme="minorHAnsi" w:hAnsiTheme="minorHAnsi" w:cstheme="minorHAnsi"/>
          <w:color w:val="C00000"/>
          <w:sz w:val="20"/>
          <w:szCs w:val="20"/>
          <w:vertAlign w:val="superscript"/>
        </w:rPr>
        <w:t>142</w:t>
      </w:r>
      <w:r w:rsidR="00D071AB" w:rsidRPr="00F77F42">
        <w:rPr>
          <w:rFonts w:asciiTheme="minorHAnsi" w:hAnsiTheme="minorHAnsi" w:cstheme="minorHAnsi"/>
          <w:color w:val="C00000"/>
          <w:sz w:val="20"/>
          <w:szCs w:val="20"/>
          <w:vertAlign w:val="superscript"/>
        </w:rPr>
        <w:t>]</w:t>
      </w:r>
    </w:p>
    <w:p w:rsidR="00D071AB" w:rsidRPr="00E565AE" w:rsidRDefault="00D071AB" w:rsidP="00B648DA">
      <w:pPr>
        <w:jc w:val="both"/>
        <w:rPr>
          <w:rFonts w:asciiTheme="minorHAnsi" w:hAnsiTheme="minorHAnsi" w:cstheme="minorHAnsi"/>
          <w:color w:val="000000" w:themeColor="text1"/>
          <w:sz w:val="20"/>
          <w:szCs w:val="20"/>
        </w:rPr>
      </w:pPr>
    </w:p>
    <w:p w:rsidR="00F77F42" w:rsidRDefault="00F77F42" w:rsidP="00F77F42">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1268"/>
        <w:jc w:val="both"/>
        <w:rPr>
          <w:rFonts w:asciiTheme="minorHAnsi" w:hAnsiTheme="minorHAnsi" w:cstheme="minorHAnsi"/>
          <w:i/>
          <w:iCs/>
          <w:color w:val="000000" w:themeColor="text1"/>
          <w:sz w:val="20"/>
          <w:szCs w:val="20"/>
        </w:rPr>
      </w:pPr>
    </w:p>
    <w:p w:rsidR="008323F2" w:rsidRDefault="00C86F0D" w:rsidP="00F77F42">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1268"/>
        <w:jc w:val="both"/>
        <w:rPr>
          <w:rFonts w:asciiTheme="minorHAnsi" w:hAnsiTheme="minorHAnsi" w:cstheme="minorHAnsi"/>
          <w:i/>
          <w:iCs/>
          <w:color w:val="C00000"/>
          <w:sz w:val="20"/>
          <w:szCs w:val="20"/>
        </w:rPr>
      </w:pPr>
      <w:r w:rsidRPr="00F77F42">
        <w:rPr>
          <w:rFonts w:asciiTheme="minorHAnsi" w:hAnsiTheme="minorHAnsi" w:cstheme="minorHAnsi"/>
          <w:i/>
          <w:iCs/>
          <w:color w:val="000000" w:themeColor="text1"/>
          <w:sz w:val="20"/>
          <w:szCs w:val="20"/>
        </w:rPr>
        <w:t>È</w:t>
      </w:r>
      <w:r w:rsidR="002634BF" w:rsidRPr="00F77F42">
        <w:rPr>
          <w:rFonts w:asciiTheme="minorHAnsi" w:hAnsiTheme="minorHAnsi" w:cstheme="minorHAnsi"/>
          <w:i/>
          <w:iCs/>
          <w:color w:val="000000" w:themeColor="text1"/>
          <w:sz w:val="20"/>
          <w:szCs w:val="20"/>
        </w:rPr>
        <w:t xml:space="preserve"> interessante notare come nell</w:t>
      </w:r>
      <w:r w:rsidR="002319A9" w:rsidRPr="00F77F42">
        <w:rPr>
          <w:rFonts w:asciiTheme="minorHAnsi" w:hAnsiTheme="minorHAnsi" w:cstheme="minorHAnsi"/>
          <w:i/>
          <w:iCs/>
          <w:color w:val="000000" w:themeColor="text1"/>
          <w:sz w:val="20"/>
          <w:szCs w:val="20"/>
        </w:rPr>
        <w:t>a fase iniziale dell’</w:t>
      </w:r>
      <w:r w:rsidR="002634BF" w:rsidRPr="00F77F42">
        <w:rPr>
          <w:rFonts w:asciiTheme="minorHAnsi" w:hAnsiTheme="minorHAnsi" w:cstheme="minorHAnsi"/>
          <w:i/>
          <w:iCs/>
          <w:color w:val="000000" w:themeColor="text1"/>
          <w:sz w:val="20"/>
          <w:szCs w:val="20"/>
        </w:rPr>
        <w:t>infezione da SARS-Cov-2 si manifest</w:t>
      </w:r>
      <w:r w:rsidR="002319A9" w:rsidRPr="00F77F42">
        <w:rPr>
          <w:rFonts w:asciiTheme="minorHAnsi" w:hAnsiTheme="minorHAnsi" w:cstheme="minorHAnsi"/>
          <w:i/>
          <w:iCs/>
          <w:color w:val="000000" w:themeColor="text1"/>
          <w:sz w:val="20"/>
          <w:szCs w:val="20"/>
        </w:rPr>
        <w:t>i</w:t>
      </w:r>
      <w:r w:rsidR="002634BF" w:rsidRPr="00F77F42">
        <w:rPr>
          <w:rFonts w:asciiTheme="minorHAnsi" w:hAnsiTheme="minorHAnsi" w:cstheme="minorHAnsi"/>
          <w:i/>
          <w:iCs/>
          <w:color w:val="000000" w:themeColor="text1"/>
          <w:sz w:val="20"/>
          <w:szCs w:val="20"/>
        </w:rPr>
        <w:t xml:space="preserve"> la </w:t>
      </w:r>
      <w:r w:rsidR="002634BF" w:rsidRPr="00F77F42">
        <w:rPr>
          <w:rFonts w:asciiTheme="minorHAnsi" w:hAnsiTheme="minorHAnsi" w:cstheme="minorHAnsi"/>
          <w:b/>
          <w:bCs/>
          <w:i/>
          <w:iCs/>
          <w:color w:val="000000" w:themeColor="text1"/>
          <w:sz w:val="20"/>
          <w:szCs w:val="20"/>
        </w:rPr>
        <w:t>perdita del gusto</w:t>
      </w:r>
      <w:r w:rsidR="002319A9" w:rsidRPr="00F77F42">
        <w:rPr>
          <w:rFonts w:asciiTheme="minorHAnsi" w:hAnsiTheme="minorHAnsi" w:cstheme="minorHAnsi"/>
          <w:b/>
          <w:bCs/>
          <w:i/>
          <w:iCs/>
          <w:color w:val="000000" w:themeColor="text1"/>
          <w:sz w:val="20"/>
          <w:szCs w:val="20"/>
        </w:rPr>
        <w:t xml:space="preserve"> (disgeusia)</w:t>
      </w:r>
      <w:r w:rsidR="002634BF" w:rsidRPr="00F77F42">
        <w:rPr>
          <w:rFonts w:asciiTheme="minorHAnsi" w:hAnsiTheme="minorHAnsi" w:cstheme="minorHAnsi"/>
          <w:b/>
          <w:bCs/>
          <w:i/>
          <w:iCs/>
          <w:color w:val="000000" w:themeColor="text1"/>
          <w:sz w:val="20"/>
          <w:szCs w:val="20"/>
        </w:rPr>
        <w:t xml:space="preserve"> e dell’olfatto </w:t>
      </w:r>
      <w:r w:rsidR="002319A9" w:rsidRPr="00F77F42">
        <w:rPr>
          <w:rFonts w:asciiTheme="minorHAnsi" w:hAnsiTheme="minorHAnsi" w:cstheme="minorHAnsi"/>
          <w:b/>
          <w:bCs/>
          <w:i/>
          <w:iCs/>
          <w:color w:val="000000" w:themeColor="text1"/>
          <w:sz w:val="20"/>
          <w:szCs w:val="20"/>
        </w:rPr>
        <w:t>(anosmia)</w:t>
      </w:r>
      <w:r w:rsidR="002319A9" w:rsidRPr="00F77F42">
        <w:rPr>
          <w:rFonts w:asciiTheme="minorHAnsi" w:hAnsiTheme="minorHAnsi" w:cstheme="minorHAnsi"/>
          <w:i/>
          <w:iCs/>
          <w:color w:val="000000" w:themeColor="text1"/>
          <w:sz w:val="20"/>
          <w:szCs w:val="20"/>
        </w:rPr>
        <w:t xml:space="preserve">. </w:t>
      </w:r>
      <w:r w:rsidR="002319A9" w:rsidRPr="00F77F42">
        <w:rPr>
          <w:rStyle w:val="FootnoteReference"/>
          <w:rFonts w:asciiTheme="minorHAnsi" w:hAnsiTheme="minorHAnsi" w:cstheme="minorHAnsi"/>
          <w:i/>
          <w:iCs/>
          <w:color w:val="C00000"/>
          <w:sz w:val="20"/>
          <w:szCs w:val="20"/>
        </w:rPr>
        <w:footnoteReference w:id="216"/>
      </w:r>
      <w:r w:rsidRPr="00F77F42">
        <w:rPr>
          <w:rFonts w:asciiTheme="minorHAnsi" w:hAnsiTheme="minorHAnsi" w:cstheme="minorHAnsi"/>
          <w:i/>
          <w:iCs/>
          <w:color w:val="C00000"/>
          <w:sz w:val="20"/>
          <w:szCs w:val="20"/>
        </w:rPr>
        <w:t xml:space="preserve"> </w:t>
      </w:r>
    </w:p>
    <w:p w:rsidR="00D72776" w:rsidRPr="00F77F42" w:rsidRDefault="00D72776" w:rsidP="00F77F42">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1268"/>
        <w:jc w:val="both"/>
        <w:rPr>
          <w:rFonts w:asciiTheme="minorHAnsi" w:hAnsiTheme="minorHAnsi" w:cstheme="minorHAnsi"/>
          <w:i/>
          <w:iCs/>
          <w:color w:val="000000" w:themeColor="text1"/>
          <w:sz w:val="20"/>
          <w:szCs w:val="20"/>
        </w:rPr>
      </w:pPr>
    </w:p>
    <w:p w:rsidR="008323F2" w:rsidRPr="00F77F42" w:rsidRDefault="00C86F0D" w:rsidP="00F77F42">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1268"/>
        <w:jc w:val="both"/>
        <w:rPr>
          <w:rFonts w:asciiTheme="minorHAnsi" w:hAnsiTheme="minorHAnsi" w:cstheme="minorHAnsi"/>
          <w:i/>
          <w:iCs/>
          <w:color w:val="000000" w:themeColor="text1"/>
          <w:sz w:val="20"/>
          <w:szCs w:val="20"/>
        </w:rPr>
      </w:pPr>
      <w:r w:rsidRPr="00F77F42">
        <w:rPr>
          <w:rFonts w:asciiTheme="minorHAnsi" w:hAnsiTheme="minorHAnsi" w:cstheme="minorHAnsi"/>
          <w:i/>
          <w:iCs/>
          <w:color w:val="000000" w:themeColor="text1"/>
          <w:sz w:val="20"/>
          <w:szCs w:val="20"/>
        </w:rPr>
        <w:t xml:space="preserve">Ciò potrebbe essere il segnale per l’organismo di orientare la </w:t>
      </w:r>
      <w:r w:rsidR="005538D9" w:rsidRPr="00F77F42">
        <w:rPr>
          <w:rFonts w:asciiTheme="minorHAnsi" w:hAnsiTheme="minorHAnsi" w:cstheme="minorHAnsi"/>
          <w:i/>
          <w:iCs/>
          <w:color w:val="000000" w:themeColor="text1"/>
          <w:sz w:val="20"/>
          <w:szCs w:val="20"/>
        </w:rPr>
        <w:t xml:space="preserve">risposta innata verso l’infiammazione e la difesa dall’infezione piuttosto che verso l’assimilazione di nutrienti. </w:t>
      </w:r>
    </w:p>
    <w:p w:rsidR="008323F2" w:rsidRPr="00F77F42" w:rsidRDefault="008323F2" w:rsidP="00F77F42">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1268"/>
        <w:jc w:val="both"/>
        <w:rPr>
          <w:rFonts w:asciiTheme="minorHAnsi" w:hAnsiTheme="minorHAnsi" w:cstheme="minorHAnsi"/>
          <w:i/>
          <w:iCs/>
          <w:color w:val="000000" w:themeColor="text1"/>
          <w:sz w:val="20"/>
          <w:szCs w:val="20"/>
        </w:rPr>
      </w:pPr>
    </w:p>
    <w:p w:rsidR="008323F2" w:rsidRDefault="005538D9" w:rsidP="00F77F42">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1268"/>
        <w:jc w:val="both"/>
        <w:rPr>
          <w:rFonts w:asciiTheme="minorHAnsi" w:hAnsiTheme="minorHAnsi" w:cstheme="minorHAnsi"/>
          <w:i/>
          <w:iCs/>
          <w:color w:val="000000" w:themeColor="text1"/>
          <w:sz w:val="20"/>
          <w:szCs w:val="20"/>
        </w:rPr>
      </w:pPr>
      <w:r w:rsidRPr="00F77F42">
        <w:rPr>
          <w:rFonts w:asciiTheme="minorHAnsi" w:hAnsiTheme="minorHAnsi" w:cstheme="minorHAnsi"/>
          <w:i/>
          <w:iCs/>
          <w:color w:val="000000" w:themeColor="text1"/>
          <w:sz w:val="20"/>
          <w:szCs w:val="20"/>
        </w:rPr>
        <w:t xml:space="preserve">Si tenga conto inoltre che il virus ha una colonizzazione a livello intestinale e quindi i chemosensori del cibo (odore e sapore) che si trovano </w:t>
      </w:r>
      <w:r w:rsidR="003C619F" w:rsidRPr="00F77F42">
        <w:rPr>
          <w:rFonts w:asciiTheme="minorHAnsi" w:hAnsiTheme="minorHAnsi" w:cstheme="minorHAnsi"/>
          <w:i/>
          <w:iCs/>
          <w:color w:val="000000" w:themeColor="text1"/>
          <w:sz w:val="20"/>
          <w:szCs w:val="20"/>
        </w:rPr>
        <w:t>nelle alte</w:t>
      </w:r>
      <w:r w:rsidRPr="00F77F42">
        <w:rPr>
          <w:rFonts w:asciiTheme="minorHAnsi" w:hAnsiTheme="minorHAnsi" w:cstheme="minorHAnsi"/>
          <w:i/>
          <w:iCs/>
          <w:color w:val="000000" w:themeColor="text1"/>
          <w:sz w:val="20"/>
          <w:szCs w:val="20"/>
        </w:rPr>
        <w:t xml:space="preserve"> vie respiratorie potrebbero essere presenti anche nell’intestino e agire come PRR per rilevare e rispondere all’infezione. </w:t>
      </w:r>
    </w:p>
    <w:p w:rsidR="00F77F42" w:rsidRPr="00F77F42" w:rsidRDefault="00F77F42" w:rsidP="00F77F42">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1268"/>
        <w:jc w:val="both"/>
        <w:rPr>
          <w:rFonts w:asciiTheme="minorHAnsi" w:hAnsiTheme="minorHAnsi" w:cstheme="minorHAnsi"/>
          <w:i/>
          <w:iCs/>
          <w:color w:val="000000" w:themeColor="text1"/>
          <w:sz w:val="20"/>
          <w:szCs w:val="20"/>
        </w:rPr>
      </w:pPr>
    </w:p>
    <w:p w:rsidR="008323F2" w:rsidRPr="00E565AE" w:rsidRDefault="008323F2" w:rsidP="00B648DA">
      <w:pPr>
        <w:jc w:val="both"/>
        <w:rPr>
          <w:rFonts w:asciiTheme="minorHAnsi" w:hAnsiTheme="minorHAnsi" w:cstheme="minorHAnsi"/>
          <w:color w:val="000000" w:themeColor="text1"/>
          <w:sz w:val="20"/>
          <w:szCs w:val="20"/>
        </w:rPr>
      </w:pPr>
    </w:p>
    <w:p w:rsidR="008323F2" w:rsidRPr="00E565AE" w:rsidRDefault="005538D9"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Un esempio già studiato è quello del TRPM5, un canale cationico essenziale per la trasduzione dei segnali </w:t>
      </w:r>
      <w:r w:rsidR="003C619F" w:rsidRPr="00E565AE">
        <w:rPr>
          <w:rFonts w:asciiTheme="minorHAnsi" w:hAnsiTheme="minorHAnsi" w:cstheme="minorHAnsi"/>
          <w:color w:val="000000" w:themeColor="text1"/>
          <w:sz w:val="20"/>
          <w:szCs w:val="20"/>
        </w:rPr>
        <w:t xml:space="preserve">al cervello </w:t>
      </w:r>
      <w:r w:rsidRPr="00E565AE">
        <w:rPr>
          <w:rFonts w:asciiTheme="minorHAnsi" w:hAnsiTheme="minorHAnsi" w:cstheme="minorHAnsi"/>
          <w:color w:val="000000" w:themeColor="text1"/>
          <w:sz w:val="20"/>
          <w:szCs w:val="20"/>
        </w:rPr>
        <w:t xml:space="preserve">per i sapori amari, dolci e saporiti (glutammato), che è espresso anche nelle cellule intestinali chiamate cellule del ciuffo. </w:t>
      </w:r>
    </w:p>
    <w:p w:rsidR="008323F2" w:rsidRPr="00E565AE" w:rsidRDefault="005538D9"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 segnali dipendenti dal TRPM5 attivano le cellule del ciuffo coinvolte nell'attivazione delle risposte dell'immunità a seguito di infezioni parassitarie </w:t>
      </w:r>
      <w:r w:rsidR="003C619F" w:rsidRPr="00E565AE">
        <w:rPr>
          <w:rFonts w:asciiTheme="minorHAnsi" w:hAnsiTheme="minorHAnsi" w:cstheme="minorHAnsi"/>
          <w:color w:val="000000" w:themeColor="text1"/>
          <w:sz w:val="20"/>
          <w:szCs w:val="20"/>
        </w:rPr>
        <w:t xml:space="preserve">con la </w:t>
      </w:r>
      <w:r w:rsidRPr="00E565AE">
        <w:rPr>
          <w:rFonts w:asciiTheme="minorHAnsi" w:hAnsiTheme="minorHAnsi" w:cstheme="minorHAnsi"/>
          <w:color w:val="000000" w:themeColor="text1"/>
          <w:sz w:val="20"/>
          <w:szCs w:val="20"/>
        </w:rPr>
        <w:t>produ</w:t>
      </w:r>
      <w:r w:rsidR="003C619F" w:rsidRPr="00E565AE">
        <w:rPr>
          <w:rFonts w:asciiTheme="minorHAnsi" w:hAnsiTheme="minorHAnsi" w:cstheme="minorHAnsi"/>
          <w:color w:val="000000" w:themeColor="text1"/>
          <w:sz w:val="20"/>
          <w:szCs w:val="20"/>
        </w:rPr>
        <w:t>zione di</w:t>
      </w:r>
      <w:r w:rsidRPr="00E565AE">
        <w:rPr>
          <w:rFonts w:asciiTheme="minorHAnsi" w:hAnsiTheme="minorHAnsi" w:cstheme="minorHAnsi"/>
          <w:color w:val="000000" w:themeColor="text1"/>
          <w:sz w:val="20"/>
          <w:szCs w:val="20"/>
        </w:rPr>
        <w:t xml:space="preserve"> IL-25, che promuove la rapida</w:t>
      </w:r>
      <w:r w:rsidR="003C619F"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 xml:space="preserve">espansione delle cellule linfoidi innate di tipo 2 </w:t>
      </w:r>
      <w:r w:rsidR="00D071AB" w:rsidRPr="00D72776">
        <w:rPr>
          <w:rFonts w:asciiTheme="minorHAnsi" w:hAnsiTheme="minorHAnsi" w:cstheme="minorHAnsi"/>
          <w:color w:val="C00000"/>
          <w:sz w:val="20"/>
          <w:szCs w:val="20"/>
          <w:vertAlign w:val="superscript"/>
        </w:rPr>
        <w:t>[</w:t>
      </w:r>
      <w:r w:rsidRPr="00D72776">
        <w:rPr>
          <w:rFonts w:asciiTheme="minorHAnsi" w:hAnsiTheme="minorHAnsi" w:cstheme="minorHAnsi"/>
          <w:color w:val="C00000"/>
          <w:sz w:val="20"/>
          <w:szCs w:val="20"/>
          <w:vertAlign w:val="superscript"/>
        </w:rPr>
        <w:t>145,146</w:t>
      </w:r>
      <w:r w:rsidR="00D071AB" w:rsidRPr="00D72776">
        <w:rPr>
          <w:rFonts w:asciiTheme="minorHAnsi" w:hAnsiTheme="minorHAnsi" w:cstheme="minorHAnsi"/>
          <w:color w:val="C00000"/>
          <w:sz w:val="20"/>
          <w:szCs w:val="20"/>
          <w:vertAlign w:val="superscript"/>
        </w:rPr>
        <w:t>]</w:t>
      </w:r>
      <w:r w:rsidRPr="00E565AE">
        <w:rPr>
          <w:rFonts w:asciiTheme="minorHAnsi" w:hAnsiTheme="minorHAnsi" w:cstheme="minorHAnsi"/>
          <w:color w:val="000000" w:themeColor="text1"/>
          <w:sz w:val="20"/>
          <w:szCs w:val="20"/>
        </w:rPr>
        <w:t xml:space="preserve">. </w:t>
      </w:r>
    </w:p>
    <w:p w:rsidR="008323F2" w:rsidRPr="00E565AE" w:rsidRDefault="008323F2" w:rsidP="00B648DA">
      <w:pPr>
        <w:jc w:val="both"/>
        <w:rPr>
          <w:rFonts w:asciiTheme="minorHAnsi" w:hAnsiTheme="minorHAnsi" w:cstheme="minorHAnsi"/>
          <w:color w:val="000000" w:themeColor="text1"/>
          <w:sz w:val="20"/>
          <w:szCs w:val="20"/>
        </w:rPr>
      </w:pPr>
    </w:p>
    <w:p w:rsidR="002634BF" w:rsidRPr="00E565AE" w:rsidRDefault="003C619F" w:rsidP="00D72776">
      <w:pPr>
        <w:shd w:val="clear" w:color="auto" w:fill="FBF9E1"/>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Ne segue che i recettori del gusto e i recettori chemosensoriali non costituiscono solo una struttura sensoriale per il cibo, ma si può anche ipotizzare che si comportino come PRR.</w:t>
      </w:r>
    </w:p>
    <w:p w:rsidR="008323F2" w:rsidRPr="00E565AE" w:rsidRDefault="008323F2" w:rsidP="00B648DA">
      <w:pPr>
        <w:jc w:val="both"/>
        <w:rPr>
          <w:rFonts w:asciiTheme="minorHAnsi" w:hAnsiTheme="minorHAnsi" w:cstheme="minorHAnsi"/>
          <w:color w:val="000000" w:themeColor="text1"/>
          <w:sz w:val="20"/>
          <w:szCs w:val="20"/>
        </w:rPr>
      </w:pPr>
    </w:p>
    <w:p w:rsidR="008323F2" w:rsidRPr="00E565AE" w:rsidRDefault="003C619F"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Dall’altra parte sono noti diversi esempi in cui la promiscuità o degenerazione della risposta dei recettori immunitari sia attivata da nutrienti. </w:t>
      </w:r>
    </w:p>
    <w:p w:rsidR="008323F2" w:rsidRPr="00E565AE" w:rsidRDefault="008323F2" w:rsidP="00B648DA">
      <w:pPr>
        <w:jc w:val="both"/>
        <w:rPr>
          <w:rFonts w:asciiTheme="minorHAnsi" w:hAnsiTheme="minorHAnsi" w:cstheme="minorHAnsi"/>
          <w:color w:val="000000" w:themeColor="text1"/>
          <w:sz w:val="20"/>
          <w:szCs w:val="20"/>
        </w:rPr>
      </w:pPr>
    </w:p>
    <w:p w:rsidR="008323F2" w:rsidRPr="00E565AE" w:rsidRDefault="008323F2" w:rsidP="00D72776">
      <w:pPr>
        <w:pBdr>
          <w:top w:val="double" w:sz="4" w:space="1" w:color="2F5496" w:themeColor="accent1" w:themeShade="BF"/>
          <w:left w:val="double" w:sz="4" w:space="1" w:color="2F5496" w:themeColor="accent1" w:themeShade="BF"/>
          <w:bottom w:val="double" w:sz="4" w:space="1" w:color="2F5496" w:themeColor="accent1" w:themeShade="BF"/>
          <w:right w:val="double" w:sz="4" w:space="1" w:color="2F5496" w:themeColor="accent1" w:themeShade="BF"/>
        </w:pBdr>
        <w:shd w:val="clear" w:color="auto" w:fill="FBF9E1"/>
        <w:ind w:left="567" w:right="701"/>
        <w:jc w:val="both"/>
        <w:rPr>
          <w:rFonts w:asciiTheme="minorHAnsi" w:hAnsiTheme="minorHAnsi" w:cstheme="minorHAnsi"/>
          <w:i/>
          <w:iCs/>
          <w:color w:val="000000" w:themeColor="text1"/>
          <w:sz w:val="18"/>
          <w:szCs w:val="18"/>
        </w:rPr>
      </w:pPr>
    </w:p>
    <w:p w:rsidR="003C619F" w:rsidRPr="00D72776" w:rsidRDefault="003C619F" w:rsidP="00D72776">
      <w:pPr>
        <w:pBdr>
          <w:top w:val="double" w:sz="4" w:space="1" w:color="2F5496" w:themeColor="accent1" w:themeShade="BF"/>
          <w:left w:val="double" w:sz="4" w:space="1" w:color="2F5496" w:themeColor="accent1" w:themeShade="BF"/>
          <w:bottom w:val="double" w:sz="4" w:space="1" w:color="2F5496" w:themeColor="accent1" w:themeShade="BF"/>
          <w:right w:val="double" w:sz="4" w:space="1" w:color="2F5496" w:themeColor="accent1" w:themeShade="BF"/>
        </w:pBdr>
        <w:shd w:val="clear" w:color="auto" w:fill="FBF9E1"/>
        <w:ind w:left="567" w:right="701"/>
        <w:jc w:val="both"/>
        <w:rPr>
          <w:rFonts w:asciiTheme="minorHAnsi" w:hAnsiTheme="minorHAnsi" w:cstheme="minorHAnsi"/>
          <w:i/>
          <w:iCs/>
          <w:color w:val="000000" w:themeColor="text1"/>
          <w:sz w:val="20"/>
          <w:szCs w:val="20"/>
        </w:rPr>
      </w:pPr>
      <w:r w:rsidRPr="00D72776">
        <w:rPr>
          <w:rFonts w:asciiTheme="minorHAnsi" w:hAnsiTheme="minorHAnsi" w:cstheme="minorHAnsi"/>
          <w:i/>
          <w:iCs/>
          <w:color w:val="000000" w:themeColor="text1"/>
          <w:sz w:val="20"/>
          <w:szCs w:val="20"/>
        </w:rPr>
        <w:t xml:space="preserve">In particolare, </w:t>
      </w:r>
      <w:r w:rsidRPr="00D72776">
        <w:rPr>
          <w:rFonts w:asciiTheme="minorHAnsi" w:hAnsiTheme="minorHAnsi" w:cstheme="minorHAnsi"/>
          <w:b/>
          <w:bCs/>
          <w:i/>
          <w:iCs/>
          <w:color w:val="000000" w:themeColor="text1"/>
          <w:sz w:val="20"/>
          <w:szCs w:val="20"/>
        </w:rPr>
        <w:t>durante la vecchiaia una dieta ricca di acidi grassi saturi attiva i PRR</w:t>
      </w:r>
      <w:r w:rsidR="00C913F9" w:rsidRPr="00D72776">
        <w:rPr>
          <w:rFonts w:asciiTheme="minorHAnsi" w:hAnsiTheme="minorHAnsi" w:cstheme="minorHAnsi"/>
          <w:i/>
          <w:iCs/>
          <w:color w:val="000000" w:themeColor="text1"/>
          <w:sz w:val="20"/>
          <w:szCs w:val="20"/>
        </w:rPr>
        <w:t xml:space="preserve">, </w:t>
      </w:r>
      <w:r w:rsidRPr="00D72776">
        <w:rPr>
          <w:rFonts w:asciiTheme="minorHAnsi" w:hAnsiTheme="minorHAnsi" w:cstheme="minorHAnsi"/>
          <w:i/>
          <w:iCs/>
          <w:color w:val="000000" w:themeColor="text1"/>
          <w:sz w:val="20"/>
          <w:szCs w:val="20"/>
        </w:rPr>
        <w:t xml:space="preserve">insieme al materiale proveniente dalle cellule morte </w:t>
      </w:r>
      <w:r w:rsidR="00C913F9" w:rsidRPr="00D72776">
        <w:rPr>
          <w:rFonts w:asciiTheme="minorHAnsi" w:hAnsiTheme="minorHAnsi" w:cstheme="minorHAnsi"/>
          <w:i/>
          <w:iCs/>
          <w:color w:val="000000" w:themeColor="text1"/>
          <w:sz w:val="20"/>
          <w:szCs w:val="20"/>
        </w:rPr>
        <w:t xml:space="preserve">per </w:t>
      </w:r>
      <w:r w:rsidRPr="00D72776">
        <w:rPr>
          <w:rFonts w:asciiTheme="minorHAnsi" w:hAnsiTheme="minorHAnsi" w:cstheme="minorHAnsi"/>
          <w:i/>
          <w:iCs/>
          <w:color w:val="000000" w:themeColor="text1"/>
          <w:sz w:val="20"/>
          <w:szCs w:val="20"/>
        </w:rPr>
        <w:t xml:space="preserve">necroptosi </w:t>
      </w:r>
      <w:r w:rsidR="00C913F9" w:rsidRPr="00D72776">
        <w:rPr>
          <w:rFonts w:asciiTheme="minorHAnsi" w:hAnsiTheme="minorHAnsi" w:cstheme="minorHAnsi"/>
          <w:i/>
          <w:iCs/>
          <w:color w:val="000000" w:themeColor="text1"/>
          <w:sz w:val="20"/>
          <w:szCs w:val="20"/>
        </w:rPr>
        <w:t>(che agisce c</w:t>
      </w:r>
      <w:r w:rsidR="00D071AB" w:rsidRPr="00D72776">
        <w:rPr>
          <w:rFonts w:asciiTheme="minorHAnsi" w:hAnsiTheme="minorHAnsi" w:cstheme="minorHAnsi"/>
          <w:i/>
          <w:iCs/>
          <w:color w:val="000000" w:themeColor="text1"/>
          <w:sz w:val="20"/>
          <w:szCs w:val="20"/>
        </w:rPr>
        <w:t>ome</w:t>
      </w:r>
      <w:r w:rsidR="00C913F9" w:rsidRPr="00D72776">
        <w:rPr>
          <w:rFonts w:asciiTheme="minorHAnsi" w:hAnsiTheme="minorHAnsi" w:cstheme="minorHAnsi"/>
          <w:i/>
          <w:iCs/>
          <w:color w:val="000000" w:themeColor="text1"/>
          <w:sz w:val="20"/>
          <w:szCs w:val="20"/>
        </w:rPr>
        <w:t xml:space="preserve"> un DAMPs)</w:t>
      </w:r>
      <w:r w:rsidR="00D071AB" w:rsidRPr="00D72776">
        <w:rPr>
          <w:rFonts w:asciiTheme="minorHAnsi" w:hAnsiTheme="minorHAnsi" w:cstheme="minorHAnsi"/>
          <w:i/>
          <w:iCs/>
          <w:color w:val="000000" w:themeColor="text1"/>
          <w:sz w:val="20"/>
          <w:szCs w:val="20"/>
        </w:rPr>
        <w:t>,</w:t>
      </w:r>
      <w:r w:rsidR="00C913F9" w:rsidRPr="00D72776">
        <w:rPr>
          <w:rFonts w:asciiTheme="minorHAnsi" w:hAnsiTheme="minorHAnsi" w:cstheme="minorHAnsi"/>
          <w:i/>
          <w:iCs/>
          <w:color w:val="000000" w:themeColor="text1"/>
          <w:sz w:val="20"/>
          <w:szCs w:val="20"/>
        </w:rPr>
        <w:t xml:space="preserve"> </w:t>
      </w:r>
      <w:r w:rsidR="00C913F9" w:rsidRPr="00D72776">
        <w:rPr>
          <w:rFonts w:asciiTheme="minorHAnsi" w:hAnsiTheme="minorHAnsi" w:cstheme="minorHAnsi"/>
          <w:b/>
          <w:bCs/>
          <w:i/>
          <w:iCs/>
          <w:color w:val="000000" w:themeColor="text1"/>
          <w:sz w:val="20"/>
          <w:szCs w:val="20"/>
        </w:rPr>
        <w:t>attivano la risposta infiammatoria in maniera simile ad un’infezione</w:t>
      </w:r>
      <w:r w:rsidR="00C913F9" w:rsidRPr="00D72776">
        <w:rPr>
          <w:rFonts w:asciiTheme="minorHAnsi" w:hAnsiTheme="minorHAnsi" w:cstheme="minorHAnsi"/>
          <w:i/>
          <w:iCs/>
          <w:color w:val="000000" w:themeColor="text1"/>
          <w:sz w:val="20"/>
          <w:szCs w:val="20"/>
        </w:rPr>
        <w:t xml:space="preserve">.  </w:t>
      </w:r>
    </w:p>
    <w:p w:rsidR="008323F2" w:rsidRPr="00D72776" w:rsidRDefault="008323F2" w:rsidP="00D72776">
      <w:pPr>
        <w:pBdr>
          <w:top w:val="double" w:sz="4" w:space="1" w:color="2F5496" w:themeColor="accent1" w:themeShade="BF"/>
          <w:left w:val="double" w:sz="4" w:space="1" w:color="2F5496" w:themeColor="accent1" w:themeShade="BF"/>
          <w:bottom w:val="double" w:sz="4" w:space="1" w:color="2F5496" w:themeColor="accent1" w:themeShade="BF"/>
          <w:right w:val="double" w:sz="4" w:space="1" w:color="2F5496" w:themeColor="accent1" w:themeShade="BF"/>
        </w:pBdr>
        <w:shd w:val="clear" w:color="auto" w:fill="FBF9E1"/>
        <w:ind w:left="567" w:right="701"/>
        <w:jc w:val="both"/>
        <w:rPr>
          <w:rFonts w:asciiTheme="minorHAnsi" w:hAnsiTheme="minorHAnsi" w:cstheme="minorHAnsi"/>
          <w:i/>
          <w:iCs/>
          <w:color w:val="000000" w:themeColor="text1"/>
          <w:sz w:val="20"/>
          <w:szCs w:val="20"/>
        </w:rPr>
      </w:pPr>
    </w:p>
    <w:p w:rsidR="008323F2" w:rsidRPr="00D72776" w:rsidRDefault="00D41960" w:rsidP="00D72776">
      <w:pPr>
        <w:pBdr>
          <w:top w:val="double" w:sz="4" w:space="1" w:color="2F5496" w:themeColor="accent1" w:themeShade="BF"/>
          <w:left w:val="double" w:sz="4" w:space="1" w:color="2F5496" w:themeColor="accent1" w:themeShade="BF"/>
          <w:bottom w:val="double" w:sz="4" w:space="1" w:color="2F5496" w:themeColor="accent1" w:themeShade="BF"/>
          <w:right w:val="double" w:sz="4" w:space="1" w:color="2F5496" w:themeColor="accent1" w:themeShade="BF"/>
        </w:pBdr>
        <w:shd w:val="clear" w:color="auto" w:fill="FBF9E1"/>
        <w:ind w:left="567" w:right="701"/>
        <w:jc w:val="both"/>
        <w:rPr>
          <w:rFonts w:asciiTheme="minorHAnsi" w:hAnsiTheme="minorHAnsi" w:cstheme="minorHAnsi"/>
          <w:i/>
          <w:iCs/>
          <w:color w:val="000000" w:themeColor="text1"/>
          <w:sz w:val="20"/>
          <w:szCs w:val="20"/>
        </w:rPr>
      </w:pPr>
      <w:r w:rsidRPr="00D72776">
        <w:rPr>
          <w:rFonts w:asciiTheme="minorHAnsi" w:hAnsiTheme="minorHAnsi" w:cstheme="minorHAnsi"/>
          <w:i/>
          <w:iCs/>
          <w:color w:val="000000" w:themeColor="text1"/>
          <w:sz w:val="20"/>
          <w:szCs w:val="20"/>
        </w:rPr>
        <w:t>In soggetti sani, una dieta ad alto contenuto di grassi aumenta anche i livelli sierici di endotossina batterica</w:t>
      </w:r>
      <w:r w:rsidR="00D071AB" w:rsidRPr="00D72776">
        <w:rPr>
          <w:rFonts w:asciiTheme="minorHAnsi" w:hAnsiTheme="minorHAnsi" w:cstheme="minorHAnsi"/>
          <w:i/>
          <w:iCs/>
          <w:color w:val="000000" w:themeColor="text1"/>
          <w:sz w:val="20"/>
          <w:szCs w:val="20"/>
        </w:rPr>
        <w:t xml:space="preserve"> </w:t>
      </w:r>
      <w:r w:rsidRPr="00D72776">
        <w:rPr>
          <w:rFonts w:asciiTheme="minorHAnsi" w:hAnsiTheme="minorHAnsi" w:cstheme="minorHAnsi"/>
          <w:i/>
          <w:iCs/>
          <w:color w:val="000000" w:themeColor="text1"/>
          <w:sz w:val="20"/>
          <w:szCs w:val="20"/>
        </w:rPr>
        <w:t>(lipopolisaccaride), che potrebbe causare l'attivazione dei leucociti e infiammazione</w:t>
      </w:r>
      <w:r w:rsidR="00D071AB" w:rsidRPr="00D72776">
        <w:rPr>
          <w:rFonts w:asciiTheme="minorHAnsi" w:hAnsiTheme="minorHAnsi" w:cstheme="minorHAnsi"/>
          <w:i/>
          <w:iCs/>
          <w:color w:val="000000" w:themeColor="text1"/>
          <w:sz w:val="20"/>
          <w:szCs w:val="20"/>
        </w:rPr>
        <w:t xml:space="preserve"> </w:t>
      </w:r>
      <w:r w:rsidR="00D071AB" w:rsidRPr="00D72776">
        <w:rPr>
          <w:rFonts w:asciiTheme="minorHAnsi" w:hAnsiTheme="minorHAnsi" w:cstheme="minorHAnsi"/>
          <w:i/>
          <w:iCs/>
          <w:color w:val="C00000"/>
          <w:sz w:val="20"/>
          <w:szCs w:val="20"/>
          <w:vertAlign w:val="superscript"/>
        </w:rPr>
        <w:t>[</w:t>
      </w:r>
      <w:r w:rsidRPr="00D72776">
        <w:rPr>
          <w:rFonts w:asciiTheme="minorHAnsi" w:hAnsiTheme="minorHAnsi" w:cstheme="minorHAnsi"/>
          <w:i/>
          <w:iCs/>
          <w:color w:val="C00000"/>
          <w:sz w:val="20"/>
          <w:szCs w:val="20"/>
          <w:vertAlign w:val="superscript"/>
        </w:rPr>
        <w:t>91</w:t>
      </w:r>
      <w:r w:rsidR="00D071AB" w:rsidRPr="00D72776">
        <w:rPr>
          <w:rFonts w:asciiTheme="minorHAnsi" w:hAnsiTheme="minorHAnsi" w:cstheme="minorHAnsi"/>
          <w:i/>
          <w:iCs/>
          <w:color w:val="C00000"/>
          <w:sz w:val="20"/>
          <w:szCs w:val="20"/>
          <w:vertAlign w:val="superscript"/>
        </w:rPr>
        <w:t>]</w:t>
      </w:r>
      <w:r w:rsidRPr="00D72776">
        <w:rPr>
          <w:rFonts w:asciiTheme="minorHAnsi" w:hAnsiTheme="minorHAnsi" w:cstheme="minorHAnsi"/>
          <w:i/>
          <w:iCs/>
          <w:color w:val="000000" w:themeColor="text1"/>
          <w:sz w:val="20"/>
          <w:szCs w:val="20"/>
        </w:rPr>
        <w:t xml:space="preserve">. </w:t>
      </w:r>
    </w:p>
    <w:p w:rsidR="008323F2" w:rsidRPr="00D72776" w:rsidRDefault="008323F2" w:rsidP="00D72776">
      <w:pPr>
        <w:pBdr>
          <w:top w:val="double" w:sz="4" w:space="1" w:color="2F5496" w:themeColor="accent1" w:themeShade="BF"/>
          <w:left w:val="double" w:sz="4" w:space="1" w:color="2F5496" w:themeColor="accent1" w:themeShade="BF"/>
          <w:bottom w:val="double" w:sz="4" w:space="1" w:color="2F5496" w:themeColor="accent1" w:themeShade="BF"/>
          <w:right w:val="double" w:sz="4" w:space="1" w:color="2F5496" w:themeColor="accent1" w:themeShade="BF"/>
        </w:pBdr>
        <w:shd w:val="clear" w:color="auto" w:fill="FBF9E1"/>
        <w:ind w:left="567" w:right="701"/>
        <w:jc w:val="both"/>
        <w:rPr>
          <w:rFonts w:asciiTheme="minorHAnsi" w:hAnsiTheme="minorHAnsi" w:cstheme="minorHAnsi"/>
          <w:i/>
          <w:iCs/>
          <w:color w:val="000000" w:themeColor="text1"/>
          <w:sz w:val="20"/>
          <w:szCs w:val="20"/>
        </w:rPr>
      </w:pPr>
    </w:p>
    <w:p w:rsidR="008323F2" w:rsidRPr="00D72776" w:rsidRDefault="00D41960" w:rsidP="00D72776">
      <w:pPr>
        <w:pBdr>
          <w:top w:val="double" w:sz="4" w:space="1" w:color="2F5496" w:themeColor="accent1" w:themeShade="BF"/>
          <w:left w:val="double" w:sz="4" w:space="1" w:color="2F5496" w:themeColor="accent1" w:themeShade="BF"/>
          <w:bottom w:val="double" w:sz="4" w:space="1" w:color="2F5496" w:themeColor="accent1" w:themeShade="BF"/>
          <w:right w:val="double" w:sz="4" w:space="1" w:color="2F5496" w:themeColor="accent1" w:themeShade="BF"/>
        </w:pBdr>
        <w:shd w:val="clear" w:color="auto" w:fill="FBF9E1"/>
        <w:ind w:left="567" w:right="701"/>
        <w:jc w:val="both"/>
        <w:rPr>
          <w:rFonts w:asciiTheme="minorHAnsi" w:hAnsiTheme="minorHAnsi" w:cstheme="minorHAnsi"/>
          <w:i/>
          <w:iCs/>
          <w:color w:val="000000" w:themeColor="text1"/>
          <w:sz w:val="20"/>
          <w:szCs w:val="20"/>
        </w:rPr>
      </w:pPr>
      <w:r w:rsidRPr="00D72776">
        <w:rPr>
          <w:rFonts w:asciiTheme="minorHAnsi" w:hAnsiTheme="minorHAnsi" w:cstheme="minorHAnsi"/>
          <w:i/>
          <w:iCs/>
          <w:color w:val="000000" w:themeColor="text1"/>
          <w:sz w:val="20"/>
          <w:szCs w:val="20"/>
        </w:rPr>
        <w:t xml:space="preserve">Le </w:t>
      </w:r>
      <w:r w:rsidRPr="006831B7">
        <w:rPr>
          <w:rFonts w:asciiTheme="minorHAnsi" w:hAnsiTheme="minorHAnsi" w:cstheme="minorHAnsi"/>
          <w:b/>
          <w:bCs/>
          <w:i/>
          <w:iCs/>
          <w:color w:val="000000" w:themeColor="text1"/>
          <w:sz w:val="20"/>
          <w:szCs w:val="20"/>
        </w:rPr>
        <w:t>endotossine batteriche</w:t>
      </w:r>
      <w:r w:rsidRPr="00D72776">
        <w:rPr>
          <w:rFonts w:asciiTheme="minorHAnsi" w:hAnsiTheme="minorHAnsi" w:cstheme="minorHAnsi"/>
          <w:i/>
          <w:iCs/>
          <w:color w:val="000000" w:themeColor="text1"/>
          <w:sz w:val="20"/>
          <w:szCs w:val="20"/>
        </w:rPr>
        <w:t xml:space="preserve"> sono potenti composti infiammatori che circolano a basse concentrazioni nel sangue, che </w:t>
      </w:r>
      <w:r w:rsidRPr="006831B7">
        <w:rPr>
          <w:rFonts w:asciiTheme="minorHAnsi" w:hAnsiTheme="minorHAnsi" w:cstheme="minorHAnsi"/>
          <w:b/>
          <w:bCs/>
          <w:i/>
          <w:iCs/>
          <w:color w:val="000000" w:themeColor="text1"/>
          <w:sz w:val="20"/>
          <w:szCs w:val="20"/>
        </w:rPr>
        <w:t>imitano un’infezione batterica di basso grado</w:t>
      </w:r>
      <w:r w:rsidRPr="00D72776">
        <w:rPr>
          <w:rFonts w:asciiTheme="minorHAnsi" w:hAnsiTheme="minorHAnsi" w:cstheme="minorHAnsi"/>
          <w:i/>
          <w:iCs/>
          <w:color w:val="000000" w:themeColor="text1"/>
          <w:sz w:val="20"/>
          <w:szCs w:val="20"/>
        </w:rPr>
        <w:t xml:space="preserve">. </w:t>
      </w:r>
    </w:p>
    <w:p w:rsidR="008323F2" w:rsidRPr="00D72776" w:rsidRDefault="008323F2" w:rsidP="00D72776">
      <w:pPr>
        <w:pBdr>
          <w:top w:val="double" w:sz="4" w:space="1" w:color="2F5496" w:themeColor="accent1" w:themeShade="BF"/>
          <w:left w:val="double" w:sz="4" w:space="1" w:color="2F5496" w:themeColor="accent1" w:themeShade="BF"/>
          <w:bottom w:val="double" w:sz="4" w:space="1" w:color="2F5496" w:themeColor="accent1" w:themeShade="BF"/>
          <w:right w:val="double" w:sz="4" w:space="1" w:color="2F5496" w:themeColor="accent1" w:themeShade="BF"/>
        </w:pBdr>
        <w:shd w:val="clear" w:color="auto" w:fill="FBF9E1"/>
        <w:ind w:left="567" w:right="701"/>
        <w:jc w:val="both"/>
        <w:rPr>
          <w:rFonts w:asciiTheme="minorHAnsi" w:hAnsiTheme="minorHAnsi" w:cstheme="minorHAnsi"/>
          <w:i/>
          <w:iCs/>
          <w:color w:val="000000" w:themeColor="text1"/>
          <w:sz w:val="20"/>
          <w:szCs w:val="20"/>
        </w:rPr>
      </w:pPr>
    </w:p>
    <w:p w:rsidR="00D41960" w:rsidRPr="00D72776" w:rsidRDefault="00D41960" w:rsidP="00D72776">
      <w:pPr>
        <w:pBdr>
          <w:top w:val="double" w:sz="4" w:space="1" w:color="2F5496" w:themeColor="accent1" w:themeShade="BF"/>
          <w:left w:val="double" w:sz="4" w:space="1" w:color="2F5496" w:themeColor="accent1" w:themeShade="BF"/>
          <w:bottom w:val="double" w:sz="4" w:space="1" w:color="2F5496" w:themeColor="accent1" w:themeShade="BF"/>
          <w:right w:val="double" w:sz="4" w:space="1" w:color="2F5496" w:themeColor="accent1" w:themeShade="BF"/>
        </w:pBdr>
        <w:shd w:val="clear" w:color="auto" w:fill="FBF9E1"/>
        <w:ind w:left="567" w:right="701"/>
        <w:jc w:val="both"/>
        <w:rPr>
          <w:rFonts w:asciiTheme="minorHAnsi" w:hAnsiTheme="minorHAnsi" w:cstheme="minorHAnsi"/>
          <w:i/>
          <w:iCs/>
          <w:color w:val="000000" w:themeColor="text1"/>
          <w:sz w:val="20"/>
          <w:szCs w:val="20"/>
        </w:rPr>
      </w:pPr>
      <w:r w:rsidRPr="00D72776">
        <w:rPr>
          <w:rFonts w:asciiTheme="minorHAnsi" w:hAnsiTheme="minorHAnsi" w:cstheme="minorHAnsi"/>
          <w:i/>
          <w:iCs/>
          <w:color w:val="000000" w:themeColor="text1"/>
          <w:sz w:val="20"/>
          <w:szCs w:val="20"/>
        </w:rPr>
        <w:t>L’elevazione postprandiale del lipopolisaccaride nella circolazione contribuisce all'</w:t>
      </w:r>
      <w:r w:rsidRPr="006831B7">
        <w:rPr>
          <w:rFonts w:asciiTheme="minorHAnsi" w:hAnsiTheme="minorHAnsi" w:cstheme="minorHAnsi"/>
          <w:b/>
          <w:bCs/>
          <w:i/>
          <w:iCs/>
          <w:color w:val="000000" w:themeColor="text1"/>
          <w:sz w:val="20"/>
          <w:szCs w:val="20"/>
        </w:rPr>
        <w:t>endotossiemia</w:t>
      </w:r>
      <w:r w:rsidRPr="00D72776">
        <w:rPr>
          <w:rFonts w:asciiTheme="minorHAnsi" w:hAnsiTheme="minorHAnsi" w:cstheme="minorHAnsi"/>
          <w:i/>
          <w:iCs/>
          <w:color w:val="000000" w:themeColor="text1"/>
          <w:sz w:val="20"/>
          <w:szCs w:val="20"/>
        </w:rPr>
        <w:t xml:space="preserve"> </w:t>
      </w:r>
      <w:r w:rsidRPr="006831B7">
        <w:rPr>
          <w:rFonts w:asciiTheme="minorHAnsi" w:hAnsiTheme="minorHAnsi" w:cstheme="minorHAnsi"/>
          <w:b/>
          <w:bCs/>
          <w:i/>
          <w:iCs/>
          <w:color w:val="000000" w:themeColor="text1"/>
          <w:sz w:val="20"/>
          <w:szCs w:val="20"/>
        </w:rPr>
        <w:t>metabolica e all’infiammazione di basso grado</w:t>
      </w:r>
      <w:r w:rsidR="00D071AB" w:rsidRPr="00D72776">
        <w:rPr>
          <w:rFonts w:asciiTheme="minorHAnsi" w:hAnsiTheme="minorHAnsi" w:cstheme="minorHAnsi"/>
          <w:i/>
          <w:iCs/>
          <w:color w:val="000000" w:themeColor="text1"/>
          <w:sz w:val="20"/>
          <w:szCs w:val="20"/>
        </w:rPr>
        <w:t xml:space="preserve"> </w:t>
      </w:r>
      <w:r w:rsidR="00D071AB" w:rsidRPr="00D72776">
        <w:rPr>
          <w:rFonts w:asciiTheme="minorHAnsi" w:hAnsiTheme="minorHAnsi" w:cstheme="minorHAnsi"/>
          <w:i/>
          <w:iCs/>
          <w:color w:val="C00000"/>
          <w:sz w:val="20"/>
          <w:szCs w:val="20"/>
          <w:vertAlign w:val="superscript"/>
        </w:rPr>
        <w:t>[</w:t>
      </w:r>
      <w:r w:rsidRPr="00D72776">
        <w:rPr>
          <w:rFonts w:asciiTheme="minorHAnsi" w:hAnsiTheme="minorHAnsi" w:cstheme="minorHAnsi"/>
          <w:i/>
          <w:iCs/>
          <w:color w:val="C00000"/>
          <w:sz w:val="20"/>
          <w:szCs w:val="20"/>
          <w:vertAlign w:val="superscript"/>
        </w:rPr>
        <w:t>92</w:t>
      </w:r>
      <w:r w:rsidR="00D071AB" w:rsidRPr="00D72776">
        <w:rPr>
          <w:rFonts w:asciiTheme="minorHAnsi" w:hAnsiTheme="minorHAnsi" w:cstheme="minorHAnsi"/>
          <w:i/>
          <w:iCs/>
          <w:color w:val="C00000"/>
          <w:sz w:val="20"/>
          <w:szCs w:val="20"/>
          <w:vertAlign w:val="superscript"/>
        </w:rPr>
        <w:t>]</w:t>
      </w:r>
      <w:r w:rsidRPr="00D72776">
        <w:rPr>
          <w:rFonts w:asciiTheme="minorHAnsi" w:hAnsiTheme="minorHAnsi" w:cstheme="minorHAnsi"/>
          <w:i/>
          <w:iCs/>
          <w:color w:val="000000" w:themeColor="text1"/>
          <w:sz w:val="20"/>
          <w:szCs w:val="20"/>
        </w:rPr>
        <w:t>, che sembra avere un sostanziale ruolo nello sviluppo e nella progressione delle malattie cardiometaboliche</w:t>
      </w:r>
      <w:r w:rsidR="00D071AB" w:rsidRPr="00D72776">
        <w:rPr>
          <w:rFonts w:asciiTheme="minorHAnsi" w:hAnsiTheme="minorHAnsi" w:cstheme="minorHAnsi"/>
          <w:i/>
          <w:iCs/>
          <w:color w:val="000000" w:themeColor="text1"/>
          <w:sz w:val="20"/>
          <w:szCs w:val="20"/>
        </w:rPr>
        <w:t xml:space="preserve"> </w:t>
      </w:r>
      <w:r w:rsidR="00D071AB" w:rsidRPr="00D72776">
        <w:rPr>
          <w:rFonts w:asciiTheme="minorHAnsi" w:hAnsiTheme="minorHAnsi" w:cstheme="minorHAnsi"/>
          <w:i/>
          <w:iCs/>
          <w:color w:val="C00000"/>
          <w:sz w:val="20"/>
          <w:szCs w:val="20"/>
          <w:vertAlign w:val="superscript"/>
        </w:rPr>
        <w:t>[</w:t>
      </w:r>
      <w:r w:rsidRPr="00D72776">
        <w:rPr>
          <w:rFonts w:asciiTheme="minorHAnsi" w:hAnsiTheme="minorHAnsi" w:cstheme="minorHAnsi"/>
          <w:i/>
          <w:iCs/>
          <w:color w:val="C00000"/>
          <w:sz w:val="20"/>
          <w:szCs w:val="20"/>
          <w:vertAlign w:val="superscript"/>
        </w:rPr>
        <w:t>93</w:t>
      </w:r>
      <w:r w:rsidR="00D071AB" w:rsidRPr="00D72776">
        <w:rPr>
          <w:rFonts w:asciiTheme="minorHAnsi" w:hAnsiTheme="minorHAnsi" w:cstheme="minorHAnsi"/>
          <w:i/>
          <w:iCs/>
          <w:color w:val="C00000"/>
          <w:sz w:val="20"/>
          <w:szCs w:val="20"/>
          <w:vertAlign w:val="superscript"/>
        </w:rPr>
        <w:t>]</w:t>
      </w:r>
      <w:r w:rsidRPr="00D72776">
        <w:rPr>
          <w:rFonts w:asciiTheme="minorHAnsi" w:hAnsiTheme="minorHAnsi" w:cstheme="minorHAnsi"/>
          <w:i/>
          <w:iCs/>
          <w:color w:val="C00000"/>
          <w:sz w:val="20"/>
          <w:szCs w:val="20"/>
        </w:rPr>
        <w:t xml:space="preserve"> </w:t>
      </w:r>
      <w:r w:rsidRPr="00D72776">
        <w:rPr>
          <w:rFonts w:asciiTheme="minorHAnsi" w:hAnsiTheme="minorHAnsi" w:cstheme="minorHAnsi"/>
          <w:i/>
          <w:iCs/>
          <w:color w:val="000000" w:themeColor="text1"/>
          <w:sz w:val="20"/>
          <w:szCs w:val="20"/>
        </w:rPr>
        <w:t xml:space="preserve">e nel promuovere i fenotipi dell'invecchiamento (come il declino muscolare e la sarcopenia) </w:t>
      </w:r>
      <w:r w:rsidR="00D071AB" w:rsidRPr="00D72776">
        <w:rPr>
          <w:rFonts w:asciiTheme="minorHAnsi" w:hAnsiTheme="minorHAnsi" w:cstheme="minorHAnsi"/>
          <w:i/>
          <w:iCs/>
          <w:color w:val="C00000"/>
          <w:sz w:val="20"/>
          <w:szCs w:val="20"/>
          <w:vertAlign w:val="superscript"/>
        </w:rPr>
        <w:t>[</w:t>
      </w:r>
      <w:r w:rsidRPr="00D72776">
        <w:rPr>
          <w:rFonts w:asciiTheme="minorHAnsi" w:hAnsiTheme="minorHAnsi" w:cstheme="minorHAnsi"/>
          <w:i/>
          <w:iCs/>
          <w:color w:val="C00000"/>
          <w:sz w:val="20"/>
          <w:szCs w:val="20"/>
          <w:vertAlign w:val="superscript"/>
        </w:rPr>
        <w:t>94</w:t>
      </w:r>
      <w:r w:rsidR="00D071AB" w:rsidRPr="00D72776">
        <w:rPr>
          <w:rFonts w:asciiTheme="minorHAnsi" w:hAnsiTheme="minorHAnsi" w:cstheme="minorHAnsi"/>
          <w:i/>
          <w:iCs/>
          <w:color w:val="C00000"/>
          <w:sz w:val="20"/>
          <w:szCs w:val="20"/>
          <w:vertAlign w:val="superscript"/>
        </w:rPr>
        <w:t>]</w:t>
      </w:r>
      <w:r w:rsidRPr="00D72776">
        <w:rPr>
          <w:rFonts w:asciiTheme="minorHAnsi" w:hAnsiTheme="minorHAnsi" w:cstheme="minorHAnsi"/>
          <w:i/>
          <w:iCs/>
          <w:color w:val="000000" w:themeColor="text1"/>
          <w:sz w:val="20"/>
          <w:szCs w:val="20"/>
        </w:rPr>
        <w:t xml:space="preserve">. </w:t>
      </w:r>
    </w:p>
    <w:p w:rsidR="00D41960" w:rsidRPr="00D72776" w:rsidRDefault="00D41960" w:rsidP="00D72776">
      <w:pPr>
        <w:pBdr>
          <w:top w:val="double" w:sz="4" w:space="1" w:color="2F5496" w:themeColor="accent1" w:themeShade="BF"/>
          <w:left w:val="double" w:sz="4" w:space="1" w:color="2F5496" w:themeColor="accent1" w:themeShade="BF"/>
          <w:bottom w:val="double" w:sz="4" w:space="1" w:color="2F5496" w:themeColor="accent1" w:themeShade="BF"/>
          <w:right w:val="double" w:sz="4" w:space="1" w:color="2F5496" w:themeColor="accent1" w:themeShade="BF"/>
        </w:pBdr>
        <w:shd w:val="clear" w:color="auto" w:fill="FBF9E1"/>
        <w:ind w:left="567" w:right="701"/>
        <w:jc w:val="both"/>
        <w:rPr>
          <w:rFonts w:asciiTheme="minorHAnsi" w:hAnsiTheme="minorHAnsi" w:cstheme="minorHAnsi"/>
          <w:i/>
          <w:iCs/>
          <w:color w:val="000000" w:themeColor="text1"/>
          <w:sz w:val="20"/>
          <w:szCs w:val="20"/>
        </w:rPr>
      </w:pPr>
    </w:p>
    <w:p w:rsidR="00D72776" w:rsidRDefault="00D72776" w:rsidP="00B648DA">
      <w:pPr>
        <w:jc w:val="both"/>
        <w:rPr>
          <w:rFonts w:asciiTheme="minorHAnsi" w:hAnsiTheme="minorHAnsi" w:cstheme="minorHAnsi"/>
          <w:color w:val="000000" w:themeColor="text1"/>
          <w:sz w:val="20"/>
          <w:szCs w:val="20"/>
        </w:rPr>
      </w:pPr>
    </w:p>
    <w:p w:rsidR="008323F2" w:rsidRPr="00E565AE" w:rsidRDefault="00C913F9"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L'assunzione di cibo come fonte di energia viene utilizzata dall'organismo per esigenze metaboliche e</w:t>
      </w:r>
      <w:r w:rsidR="00CC4795"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dai batteri intestinali per la loro crescita</w:t>
      </w:r>
      <w:r w:rsidR="00D071AB" w:rsidRPr="00E565AE">
        <w:rPr>
          <w:rFonts w:asciiTheme="minorHAnsi" w:hAnsiTheme="minorHAnsi" w:cstheme="minorHAnsi"/>
          <w:color w:val="000000" w:themeColor="text1"/>
          <w:sz w:val="20"/>
          <w:szCs w:val="20"/>
        </w:rPr>
        <w:t xml:space="preserve"> </w:t>
      </w:r>
      <w:r w:rsidR="00D071AB" w:rsidRPr="00D72776">
        <w:rPr>
          <w:rFonts w:asciiTheme="minorHAnsi" w:hAnsiTheme="minorHAnsi" w:cstheme="minorHAnsi"/>
          <w:color w:val="C00000"/>
          <w:sz w:val="20"/>
          <w:szCs w:val="20"/>
          <w:vertAlign w:val="superscript"/>
        </w:rPr>
        <w:t>[</w:t>
      </w:r>
      <w:r w:rsidRPr="00D72776">
        <w:rPr>
          <w:rFonts w:asciiTheme="minorHAnsi" w:hAnsiTheme="minorHAnsi" w:cstheme="minorHAnsi"/>
          <w:color w:val="C00000"/>
          <w:sz w:val="20"/>
          <w:szCs w:val="20"/>
          <w:vertAlign w:val="superscript"/>
        </w:rPr>
        <w:t>154</w:t>
      </w:r>
      <w:r w:rsidR="00D071AB" w:rsidRPr="00D72776">
        <w:rPr>
          <w:rFonts w:asciiTheme="minorHAnsi" w:hAnsiTheme="minorHAnsi" w:cstheme="minorHAnsi"/>
          <w:color w:val="C00000"/>
          <w:sz w:val="20"/>
          <w:szCs w:val="20"/>
          <w:vertAlign w:val="superscript"/>
        </w:rPr>
        <w:t>]</w:t>
      </w:r>
      <w:r w:rsidRPr="00E565AE">
        <w:rPr>
          <w:rFonts w:asciiTheme="minorHAnsi" w:hAnsiTheme="minorHAnsi" w:cstheme="minorHAnsi"/>
          <w:color w:val="000000" w:themeColor="text1"/>
          <w:sz w:val="20"/>
          <w:szCs w:val="20"/>
        </w:rPr>
        <w:t xml:space="preserve">. </w:t>
      </w:r>
    </w:p>
    <w:p w:rsidR="008323F2" w:rsidRPr="00E565AE" w:rsidRDefault="008323F2" w:rsidP="00B648DA">
      <w:pPr>
        <w:jc w:val="both"/>
        <w:rPr>
          <w:rFonts w:asciiTheme="minorHAnsi" w:hAnsiTheme="minorHAnsi" w:cstheme="minorHAnsi"/>
          <w:color w:val="000000" w:themeColor="text1"/>
          <w:sz w:val="20"/>
          <w:szCs w:val="20"/>
        </w:rPr>
      </w:pPr>
    </w:p>
    <w:p w:rsidR="008323F2" w:rsidRPr="00E565AE" w:rsidRDefault="00C913F9"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Il microbiota intestinale mostra una </w:t>
      </w:r>
      <w:r w:rsidRPr="006831B7">
        <w:rPr>
          <w:rFonts w:asciiTheme="minorHAnsi" w:hAnsiTheme="minorHAnsi" w:cstheme="minorHAnsi"/>
          <w:b/>
          <w:bCs/>
          <w:color w:val="000000" w:themeColor="text1"/>
          <w:sz w:val="20"/>
          <w:szCs w:val="20"/>
          <w:shd w:val="clear" w:color="auto" w:fill="FBF9E1"/>
        </w:rPr>
        <w:t>fluttuazione circadiana</w:t>
      </w:r>
      <w:r w:rsidR="00CC4795" w:rsidRPr="00E565AE">
        <w:rPr>
          <w:rFonts w:asciiTheme="minorHAnsi" w:hAnsiTheme="minorHAnsi" w:cstheme="minorHAnsi"/>
          <w:color w:val="000000" w:themeColor="text1"/>
          <w:sz w:val="20"/>
          <w:szCs w:val="20"/>
        </w:rPr>
        <w:t xml:space="preserve"> </w:t>
      </w:r>
      <w:r w:rsidR="00D071AB" w:rsidRPr="00D72776">
        <w:rPr>
          <w:rFonts w:asciiTheme="minorHAnsi" w:hAnsiTheme="minorHAnsi" w:cstheme="minorHAnsi"/>
          <w:color w:val="C00000"/>
          <w:sz w:val="20"/>
          <w:szCs w:val="20"/>
          <w:vertAlign w:val="superscript"/>
        </w:rPr>
        <w:t>[</w:t>
      </w:r>
      <w:r w:rsidRPr="00D72776">
        <w:rPr>
          <w:rFonts w:asciiTheme="minorHAnsi" w:hAnsiTheme="minorHAnsi" w:cstheme="minorHAnsi"/>
          <w:color w:val="C00000"/>
          <w:sz w:val="20"/>
          <w:szCs w:val="20"/>
          <w:vertAlign w:val="superscript"/>
        </w:rPr>
        <w:t>155</w:t>
      </w:r>
      <w:r w:rsidR="00D071AB" w:rsidRPr="00D72776">
        <w:rPr>
          <w:rFonts w:asciiTheme="minorHAnsi" w:hAnsiTheme="minorHAnsi" w:cstheme="minorHAnsi"/>
          <w:color w:val="C00000"/>
          <w:sz w:val="20"/>
          <w:szCs w:val="20"/>
          <w:vertAlign w:val="superscript"/>
        </w:rPr>
        <w:t>]</w:t>
      </w:r>
      <w:r w:rsidRPr="00E565AE">
        <w:rPr>
          <w:rFonts w:asciiTheme="minorHAnsi" w:hAnsiTheme="minorHAnsi" w:cstheme="minorHAnsi"/>
          <w:color w:val="000000" w:themeColor="text1"/>
          <w:sz w:val="20"/>
          <w:szCs w:val="20"/>
        </w:rPr>
        <w:t>, principalmente guidata dall'assunzione di cibo diurna, che porta ad un’abbondanza ritmica</w:t>
      </w:r>
      <w:r w:rsidR="00CC4795"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di metaboliti microbici</w:t>
      </w:r>
      <w:r w:rsidR="00D071AB" w:rsidRPr="00E565AE">
        <w:rPr>
          <w:rFonts w:asciiTheme="minorHAnsi" w:hAnsiTheme="minorHAnsi" w:cstheme="minorHAnsi"/>
          <w:color w:val="000000" w:themeColor="text1"/>
          <w:sz w:val="20"/>
          <w:szCs w:val="20"/>
        </w:rPr>
        <w:t xml:space="preserve"> </w:t>
      </w:r>
      <w:r w:rsidR="00D071AB" w:rsidRPr="00D72776">
        <w:rPr>
          <w:rFonts w:asciiTheme="minorHAnsi" w:hAnsiTheme="minorHAnsi" w:cstheme="minorHAnsi"/>
          <w:color w:val="C00000"/>
          <w:sz w:val="20"/>
          <w:szCs w:val="20"/>
          <w:vertAlign w:val="superscript"/>
        </w:rPr>
        <w:t>[</w:t>
      </w:r>
      <w:r w:rsidRPr="00D72776">
        <w:rPr>
          <w:rFonts w:asciiTheme="minorHAnsi" w:hAnsiTheme="minorHAnsi" w:cstheme="minorHAnsi"/>
          <w:color w:val="C00000"/>
          <w:sz w:val="20"/>
          <w:szCs w:val="20"/>
          <w:vertAlign w:val="superscript"/>
        </w:rPr>
        <w:t>1</w:t>
      </w:r>
      <w:r w:rsidR="00D071AB" w:rsidRPr="00D72776">
        <w:rPr>
          <w:rFonts w:asciiTheme="minorHAnsi" w:hAnsiTheme="minorHAnsi" w:cstheme="minorHAnsi"/>
          <w:color w:val="C00000"/>
          <w:sz w:val="20"/>
          <w:szCs w:val="20"/>
          <w:vertAlign w:val="superscript"/>
        </w:rPr>
        <w:t>,</w:t>
      </w:r>
      <w:r w:rsidRPr="00D72776">
        <w:rPr>
          <w:rFonts w:asciiTheme="minorHAnsi" w:hAnsiTheme="minorHAnsi" w:cstheme="minorHAnsi"/>
          <w:color w:val="C00000"/>
          <w:sz w:val="20"/>
          <w:szCs w:val="20"/>
          <w:vertAlign w:val="superscript"/>
        </w:rPr>
        <w:t>56</w:t>
      </w:r>
      <w:r w:rsidR="00D071AB" w:rsidRPr="00D72776">
        <w:rPr>
          <w:rFonts w:asciiTheme="minorHAnsi" w:hAnsiTheme="minorHAnsi" w:cstheme="minorHAnsi"/>
          <w:color w:val="C00000"/>
          <w:sz w:val="20"/>
          <w:szCs w:val="20"/>
          <w:vertAlign w:val="superscript"/>
        </w:rPr>
        <w:t>,</w:t>
      </w:r>
      <w:r w:rsidRPr="00D72776">
        <w:rPr>
          <w:rFonts w:asciiTheme="minorHAnsi" w:hAnsiTheme="minorHAnsi" w:cstheme="minorHAnsi"/>
          <w:color w:val="C00000"/>
          <w:sz w:val="20"/>
          <w:szCs w:val="20"/>
          <w:vertAlign w:val="superscript"/>
        </w:rPr>
        <w:t>157</w:t>
      </w:r>
      <w:r w:rsidR="00D071AB" w:rsidRPr="00D72776">
        <w:rPr>
          <w:rFonts w:asciiTheme="minorHAnsi" w:hAnsiTheme="minorHAnsi" w:cstheme="minorHAnsi"/>
          <w:color w:val="C00000"/>
          <w:sz w:val="20"/>
          <w:szCs w:val="20"/>
          <w:vertAlign w:val="superscript"/>
        </w:rPr>
        <w:t>]</w:t>
      </w:r>
      <w:r w:rsidRPr="00E565AE">
        <w:rPr>
          <w:rFonts w:asciiTheme="minorHAnsi" w:hAnsiTheme="minorHAnsi" w:cstheme="minorHAnsi"/>
          <w:color w:val="000000" w:themeColor="text1"/>
          <w:sz w:val="20"/>
          <w:szCs w:val="20"/>
        </w:rPr>
        <w:t xml:space="preserve">. </w:t>
      </w:r>
    </w:p>
    <w:p w:rsidR="008323F2" w:rsidRPr="00E565AE" w:rsidRDefault="008323F2" w:rsidP="00B648DA">
      <w:pPr>
        <w:jc w:val="both"/>
        <w:rPr>
          <w:rFonts w:asciiTheme="minorHAnsi" w:hAnsiTheme="minorHAnsi" w:cstheme="minorHAnsi"/>
          <w:color w:val="000000" w:themeColor="text1"/>
          <w:sz w:val="20"/>
          <w:szCs w:val="20"/>
        </w:rPr>
      </w:pPr>
    </w:p>
    <w:p w:rsidR="008323F2" w:rsidRPr="00E565AE" w:rsidRDefault="00C913F9"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L'oscillazione sistemica del</w:t>
      </w:r>
      <w:r w:rsidR="003E5A42" w:rsidRPr="00E565AE">
        <w:rPr>
          <w:rFonts w:asciiTheme="minorHAnsi" w:hAnsiTheme="minorHAnsi" w:cstheme="minorHAnsi"/>
          <w:color w:val="000000" w:themeColor="text1"/>
          <w:sz w:val="20"/>
          <w:szCs w:val="20"/>
        </w:rPr>
        <w:t xml:space="preserve">l’insieme dei metaboliti </w:t>
      </w:r>
      <w:r w:rsidRPr="00E565AE">
        <w:rPr>
          <w:rFonts w:asciiTheme="minorHAnsi" w:hAnsiTheme="minorHAnsi" w:cstheme="minorHAnsi"/>
          <w:color w:val="000000" w:themeColor="text1"/>
          <w:sz w:val="20"/>
          <w:szCs w:val="20"/>
        </w:rPr>
        <w:t xml:space="preserve"> </w:t>
      </w:r>
      <w:r w:rsidR="003E5A42" w:rsidRPr="00E565AE">
        <w:rPr>
          <w:rFonts w:asciiTheme="minorHAnsi" w:hAnsiTheme="minorHAnsi" w:cstheme="minorHAnsi"/>
          <w:color w:val="000000" w:themeColor="text1"/>
          <w:sz w:val="20"/>
          <w:szCs w:val="20"/>
        </w:rPr>
        <w:t>(</w:t>
      </w:r>
      <w:r w:rsidRPr="00E565AE">
        <w:rPr>
          <w:rFonts w:asciiTheme="minorHAnsi" w:hAnsiTheme="minorHAnsi" w:cstheme="minorHAnsi"/>
          <w:color w:val="000000" w:themeColor="text1"/>
          <w:sz w:val="20"/>
          <w:szCs w:val="20"/>
          <w:u w:val="single"/>
        </w:rPr>
        <w:t>metaboloma</w:t>
      </w:r>
      <w:r w:rsidR="003E5A42" w:rsidRPr="00E565AE">
        <w:rPr>
          <w:rFonts w:asciiTheme="minorHAnsi" w:hAnsiTheme="minorHAnsi" w:cstheme="minorHAnsi"/>
          <w:color w:val="000000" w:themeColor="text1"/>
          <w:sz w:val="20"/>
          <w:szCs w:val="20"/>
        </w:rPr>
        <w:t>)</w:t>
      </w:r>
      <w:r w:rsidRPr="00E565AE">
        <w:rPr>
          <w:rFonts w:asciiTheme="minorHAnsi" w:hAnsiTheme="minorHAnsi" w:cstheme="minorHAnsi"/>
          <w:color w:val="000000" w:themeColor="text1"/>
          <w:sz w:val="20"/>
          <w:szCs w:val="20"/>
        </w:rPr>
        <w:t xml:space="preserve"> derivato dal microbiota dell'intestino regola la fisiologia dell'ospite, inclusa la funzione metabolica</w:t>
      </w:r>
      <w:r w:rsidR="00CC4795"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 xml:space="preserve">e </w:t>
      </w:r>
      <w:r w:rsidR="00D071AB" w:rsidRPr="00E565AE">
        <w:rPr>
          <w:rFonts w:asciiTheme="minorHAnsi" w:hAnsiTheme="minorHAnsi" w:cstheme="minorHAnsi"/>
          <w:color w:val="000000" w:themeColor="text1"/>
          <w:sz w:val="20"/>
          <w:szCs w:val="20"/>
        </w:rPr>
        <w:t xml:space="preserve">la </w:t>
      </w:r>
      <w:r w:rsidRPr="00E565AE">
        <w:rPr>
          <w:rFonts w:asciiTheme="minorHAnsi" w:hAnsiTheme="minorHAnsi" w:cstheme="minorHAnsi"/>
          <w:color w:val="000000" w:themeColor="text1"/>
          <w:sz w:val="20"/>
          <w:szCs w:val="20"/>
        </w:rPr>
        <w:t>disintossicazione da</w:t>
      </w:r>
      <w:r w:rsidR="003E5A42" w:rsidRPr="00E565AE">
        <w:rPr>
          <w:rFonts w:asciiTheme="minorHAnsi" w:hAnsiTheme="minorHAnsi" w:cstheme="minorHAnsi"/>
          <w:color w:val="000000" w:themeColor="text1"/>
          <w:sz w:val="20"/>
          <w:szCs w:val="20"/>
        </w:rPr>
        <w:t>i farmaci</w:t>
      </w:r>
      <w:r w:rsidR="008323F2" w:rsidRPr="00E565AE">
        <w:rPr>
          <w:rFonts w:asciiTheme="minorHAnsi" w:hAnsiTheme="minorHAnsi" w:cstheme="minorHAnsi"/>
          <w:color w:val="000000" w:themeColor="text1"/>
          <w:sz w:val="20"/>
          <w:szCs w:val="20"/>
        </w:rPr>
        <w:t xml:space="preserve"> </w:t>
      </w:r>
      <w:r w:rsidR="00D071AB" w:rsidRPr="006831B7">
        <w:rPr>
          <w:rFonts w:asciiTheme="minorHAnsi" w:hAnsiTheme="minorHAnsi" w:cstheme="minorHAnsi"/>
          <w:color w:val="C00000"/>
          <w:sz w:val="20"/>
          <w:szCs w:val="20"/>
          <w:vertAlign w:val="superscript"/>
        </w:rPr>
        <w:t>[</w:t>
      </w:r>
      <w:r w:rsidRPr="006831B7">
        <w:rPr>
          <w:rFonts w:asciiTheme="minorHAnsi" w:hAnsiTheme="minorHAnsi" w:cstheme="minorHAnsi"/>
          <w:color w:val="C00000"/>
          <w:sz w:val="20"/>
          <w:szCs w:val="20"/>
          <w:vertAlign w:val="superscript"/>
        </w:rPr>
        <w:t>157</w:t>
      </w:r>
      <w:r w:rsidR="00D071AB" w:rsidRPr="006831B7">
        <w:rPr>
          <w:rFonts w:asciiTheme="minorHAnsi" w:hAnsiTheme="minorHAnsi" w:cstheme="minorHAnsi"/>
          <w:color w:val="C00000"/>
          <w:sz w:val="20"/>
          <w:szCs w:val="20"/>
          <w:vertAlign w:val="superscript"/>
        </w:rPr>
        <w:t>,</w:t>
      </w:r>
      <w:r w:rsidRPr="006831B7">
        <w:rPr>
          <w:rFonts w:asciiTheme="minorHAnsi" w:hAnsiTheme="minorHAnsi" w:cstheme="minorHAnsi"/>
          <w:color w:val="C00000"/>
          <w:sz w:val="20"/>
          <w:szCs w:val="20"/>
          <w:vertAlign w:val="superscript"/>
        </w:rPr>
        <w:t>158</w:t>
      </w:r>
      <w:r w:rsidR="00D071AB" w:rsidRPr="006831B7">
        <w:rPr>
          <w:rFonts w:asciiTheme="minorHAnsi" w:hAnsiTheme="minorHAnsi" w:cstheme="minorHAnsi"/>
          <w:color w:val="C00000"/>
          <w:sz w:val="20"/>
          <w:szCs w:val="20"/>
          <w:vertAlign w:val="superscript"/>
        </w:rPr>
        <w:t>]</w:t>
      </w:r>
      <w:r w:rsidRPr="00E565AE">
        <w:rPr>
          <w:rFonts w:asciiTheme="minorHAnsi" w:hAnsiTheme="minorHAnsi" w:cstheme="minorHAnsi"/>
          <w:color w:val="000000" w:themeColor="text1"/>
          <w:sz w:val="20"/>
          <w:szCs w:val="20"/>
        </w:rPr>
        <w:t xml:space="preserve">. </w:t>
      </w:r>
    </w:p>
    <w:p w:rsidR="008323F2" w:rsidRPr="00E565AE" w:rsidRDefault="008323F2" w:rsidP="00B648DA">
      <w:pPr>
        <w:jc w:val="both"/>
        <w:rPr>
          <w:rFonts w:asciiTheme="minorHAnsi" w:hAnsiTheme="minorHAnsi" w:cstheme="minorHAnsi"/>
          <w:color w:val="000000" w:themeColor="text1"/>
          <w:sz w:val="20"/>
          <w:szCs w:val="20"/>
        </w:rPr>
      </w:pPr>
    </w:p>
    <w:p w:rsidR="008323F2" w:rsidRPr="00E565AE" w:rsidRDefault="00C913F9"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L'adesione batterica all'epitelio mostra </w:t>
      </w:r>
      <w:r w:rsidR="003E5A42" w:rsidRPr="00E565AE">
        <w:rPr>
          <w:rFonts w:asciiTheme="minorHAnsi" w:hAnsiTheme="minorHAnsi" w:cstheme="minorHAnsi"/>
          <w:color w:val="000000" w:themeColor="text1"/>
          <w:sz w:val="20"/>
          <w:szCs w:val="20"/>
        </w:rPr>
        <w:t xml:space="preserve">fluttuazioni </w:t>
      </w:r>
      <w:r w:rsidRPr="00E565AE">
        <w:rPr>
          <w:rFonts w:asciiTheme="minorHAnsi" w:hAnsiTheme="minorHAnsi" w:cstheme="minorHAnsi"/>
          <w:color w:val="000000" w:themeColor="text1"/>
          <w:sz w:val="20"/>
          <w:szCs w:val="20"/>
        </w:rPr>
        <w:t>temporal</w:t>
      </w:r>
      <w:r w:rsidR="003E5A42" w:rsidRPr="00E565AE">
        <w:rPr>
          <w:rFonts w:asciiTheme="minorHAnsi" w:hAnsiTheme="minorHAnsi" w:cstheme="minorHAnsi"/>
          <w:color w:val="000000" w:themeColor="text1"/>
          <w:sz w:val="20"/>
          <w:szCs w:val="20"/>
        </w:rPr>
        <w:t xml:space="preserve">i </w:t>
      </w:r>
      <w:r w:rsidR="00D071AB" w:rsidRPr="00E565AE">
        <w:rPr>
          <w:rFonts w:asciiTheme="minorHAnsi" w:hAnsiTheme="minorHAnsi" w:cstheme="minorHAnsi"/>
          <w:color w:val="000000" w:themeColor="text1"/>
          <w:sz w:val="20"/>
          <w:szCs w:val="20"/>
        </w:rPr>
        <w:t xml:space="preserve">e </w:t>
      </w:r>
      <w:r w:rsidR="003E5A42" w:rsidRPr="00E565AE">
        <w:rPr>
          <w:rFonts w:asciiTheme="minorHAnsi" w:hAnsiTheme="minorHAnsi" w:cstheme="minorHAnsi"/>
          <w:color w:val="000000" w:themeColor="text1"/>
          <w:sz w:val="20"/>
          <w:szCs w:val="20"/>
        </w:rPr>
        <w:t>l’</w:t>
      </w:r>
      <w:r w:rsidRPr="00E565AE">
        <w:rPr>
          <w:rFonts w:asciiTheme="minorHAnsi" w:hAnsiTheme="minorHAnsi" w:cstheme="minorHAnsi"/>
          <w:color w:val="000000" w:themeColor="text1"/>
          <w:sz w:val="20"/>
          <w:szCs w:val="20"/>
        </w:rPr>
        <w:t>interruzione dell'attività oscillatoria del microbiota intestinale, a seguito di trattament</w:t>
      </w:r>
      <w:r w:rsidR="003E5A42" w:rsidRPr="00E565AE">
        <w:rPr>
          <w:rFonts w:asciiTheme="minorHAnsi" w:hAnsiTheme="minorHAnsi" w:cstheme="minorHAnsi"/>
          <w:color w:val="000000" w:themeColor="text1"/>
          <w:sz w:val="20"/>
          <w:szCs w:val="20"/>
        </w:rPr>
        <w:t>i</w:t>
      </w:r>
      <w:r w:rsidRPr="00E565AE">
        <w:rPr>
          <w:rFonts w:asciiTheme="minorHAnsi" w:hAnsiTheme="minorHAnsi" w:cstheme="minorHAnsi"/>
          <w:color w:val="000000" w:themeColor="text1"/>
          <w:sz w:val="20"/>
          <w:szCs w:val="20"/>
        </w:rPr>
        <w:t xml:space="preserve"> antibiotic</w:t>
      </w:r>
      <w:r w:rsidR="003E5A42" w:rsidRPr="00E565AE">
        <w:rPr>
          <w:rFonts w:asciiTheme="minorHAnsi" w:hAnsiTheme="minorHAnsi" w:cstheme="minorHAnsi"/>
          <w:color w:val="000000" w:themeColor="text1"/>
          <w:sz w:val="20"/>
          <w:szCs w:val="20"/>
        </w:rPr>
        <w:t>i</w:t>
      </w:r>
      <w:r w:rsidRPr="00E565AE">
        <w:rPr>
          <w:rFonts w:asciiTheme="minorHAnsi" w:hAnsiTheme="minorHAnsi" w:cstheme="minorHAnsi"/>
          <w:color w:val="000000" w:themeColor="text1"/>
          <w:sz w:val="20"/>
          <w:szCs w:val="20"/>
        </w:rPr>
        <w:t xml:space="preserve"> o</w:t>
      </w:r>
      <w:r w:rsidR="00CC4795"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temp</w:t>
      </w:r>
      <w:r w:rsidR="003E5A42" w:rsidRPr="00E565AE">
        <w:rPr>
          <w:rFonts w:asciiTheme="minorHAnsi" w:hAnsiTheme="minorHAnsi" w:cstheme="minorHAnsi"/>
          <w:color w:val="000000" w:themeColor="text1"/>
          <w:sz w:val="20"/>
          <w:szCs w:val="20"/>
        </w:rPr>
        <w:t>istiche</w:t>
      </w:r>
      <w:r w:rsidRPr="00E565AE">
        <w:rPr>
          <w:rFonts w:asciiTheme="minorHAnsi" w:hAnsiTheme="minorHAnsi" w:cstheme="minorHAnsi"/>
          <w:color w:val="000000" w:themeColor="text1"/>
          <w:sz w:val="20"/>
          <w:szCs w:val="20"/>
        </w:rPr>
        <w:t xml:space="preserve"> disordinat</w:t>
      </w:r>
      <w:r w:rsidR="003E5A42" w:rsidRPr="00E565AE">
        <w:rPr>
          <w:rFonts w:asciiTheme="minorHAnsi" w:hAnsiTheme="minorHAnsi" w:cstheme="minorHAnsi"/>
          <w:color w:val="000000" w:themeColor="text1"/>
          <w:sz w:val="20"/>
          <w:szCs w:val="20"/>
        </w:rPr>
        <w:t>e</w:t>
      </w:r>
      <w:r w:rsidRPr="00E565AE">
        <w:rPr>
          <w:rFonts w:asciiTheme="minorHAnsi" w:hAnsiTheme="minorHAnsi" w:cstheme="minorHAnsi"/>
          <w:color w:val="000000" w:themeColor="text1"/>
          <w:sz w:val="20"/>
          <w:szCs w:val="20"/>
        </w:rPr>
        <w:t xml:space="preserve"> di assunzione </w:t>
      </w:r>
      <w:r w:rsidR="003E5A42" w:rsidRPr="00E565AE">
        <w:rPr>
          <w:rFonts w:asciiTheme="minorHAnsi" w:hAnsiTheme="minorHAnsi" w:cstheme="minorHAnsi"/>
          <w:color w:val="000000" w:themeColor="text1"/>
          <w:sz w:val="20"/>
          <w:szCs w:val="20"/>
        </w:rPr>
        <w:t>del cibo</w:t>
      </w:r>
      <w:r w:rsidRPr="00E565AE">
        <w:rPr>
          <w:rFonts w:asciiTheme="minorHAnsi" w:hAnsiTheme="minorHAnsi" w:cstheme="minorHAnsi"/>
          <w:color w:val="000000" w:themeColor="text1"/>
          <w:sz w:val="20"/>
          <w:szCs w:val="20"/>
        </w:rPr>
        <w:t>, porta alla disorganizzazione della ritmicità dell'ospite</w:t>
      </w:r>
      <w:r w:rsidR="003E5A42" w:rsidRPr="00E565AE">
        <w:rPr>
          <w:rFonts w:asciiTheme="minorHAnsi" w:hAnsiTheme="minorHAnsi" w:cstheme="minorHAnsi"/>
          <w:color w:val="000000" w:themeColor="text1"/>
          <w:sz w:val="20"/>
          <w:szCs w:val="20"/>
        </w:rPr>
        <w:t xml:space="preserve"> </w:t>
      </w:r>
      <w:r w:rsidR="00D071AB" w:rsidRPr="006831B7">
        <w:rPr>
          <w:rFonts w:asciiTheme="minorHAnsi" w:hAnsiTheme="minorHAnsi" w:cstheme="minorHAnsi"/>
          <w:color w:val="C00000"/>
          <w:sz w:val="20"/>
          <w:szCs w:val="20"/>
          <w:vertAlign w:val="superscript"/>
        </w:rPr>
        <w:t>[</w:t>
      </w:r>
      <w:r w:rsidRPr="006831B7">
        <w:rPr>
          <w:rFonts w:asciiTheme="minorHAnsi" w:hAnsiTheme="minorHAnsi" w:cstheme="minorHAnsi"/>
          <w:color w:val="C00000"/>
          <w:sz w:val="20"/>
          <w:szCs w:val="20"/>
          <w:vertAlign w:val="superscript"/>
        </w:rPr>
        <w:t>158</w:t>
      </w:r>
      <w:r w:rsidR="00D071AB" w:rsidRPr="006831B7">
        <w:rPr>
          <w:rFonts w:asciiTheme="minorHAnsi" w:hAnsiTheme="minorHAnsi" w:cstheme="minorHAnsi"/>
          <w:color w:val="C00000"/>
          <w:sz w:val="20"/>
          <w:szCs w:val="20"/>
          <w:vertAlign w:val="superscript"/>
        </w:rPr>
        <w:t>]</w:t>
      </w:r>
      <w:r w:rsidRPr="006831B7">
        <w:rPr>
          <w:rFonts w:asciiTheme="minorHAnsi" w:hAnsiTheme="minorHAnsi" w:cstheme="minorHAnsi"/>
          <w:color w:val="C00000"/>
          <w:sz w:val="20"/>
          <w:szCs w:val="20"/>
        </w:rPr>
        <w:t>,</w:t>
      </w:r>
      <w:r w:rsidR="00CC4795"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 xml:space="preserve">suggerendo che </w:t>
      </w:r>
      <w:r w:rsidRPr="00E565AE">
        <w:rPr>
          <w:rFonts w:asciiTheme="minorHAnsi" w:hAnsiTheme="minorHAnsi" w:cstheme="minorHAnsi"/>
          <w:b/>
          <w:bCs/>
          <w:color w:val="000000" w:themeColor="text1"/>
          <w:sz w:val="20"/>
          <w:szCs w:val="20"/>
        </w:rPr>
        <w:t>il microbiota intestinale funge da regolatore circadiano periferico</w:t>
      </w:r>
      <w:r w:rsidR="003E5A42" w:rsidRPr="00E565AE">
        <w:rPr>
          <w:rFonts w:asciiTheme="minorHAnsi" w:hAnsiTheme="minorHAnsi" w:cstheme="minorHAnsi"/>
          <w:color w:val="000000" w:themeColor="text1"/>
          <w:sz w:val="20"/>
          <w:szCs w:val="20"/>
        </w:rPr>
        <w:t xml:space="preserve"> </w:t>
      </w:r>
      <w:r w:rsidR="00D071AB" w:rsidRPr="006831B7">
        <w:rPr>
          <w:rFonts w:asciiTheme="minorHAnsi" w:hAnsiTheme="minorHAnsi" w:cstheme="minorHAnsi"/>
          <w:color w:val="C00000"/>
          <w:sz w:val="20"/>
          <w:szCs w:val="20"/>
          <w:vertAlign w:val="superscript"/>
        </w:rPr>
        <w:t>[</w:t>
      </w:r>
      <w:r w:rsidRPr="006831B7">
        <w:rPr>
          <w:rFonts w:asciiTheme="minorHAnsi" w:hAnsiTheme="minorHAnsi" w:cstheme="minorHAnsi"/>
          <w:color w:val="C00000"/>
          <w:sz w:val="20"/>
          <w:szCs w:val="20"/>
          <w:vertAlign w:val="superscript"/>
        </w:rPr>
        <w:t>159</w:t>
      </w:r>
      <w:r w:rsidR="00D071AB" w:rsidRPr="006831B7">
        <w:rPr>
          <w:rFonts w:asciiTheme="minorHAnsi" w:hAnsiTheme="minorHAnsi" w:cstheme="minorHAnsi"/>
          <w:color w:val="C00000"/>
          <w:sz w:val="20"/>
          <w:szCs w:val="20"/>
          <w:vertAlign w:val="superscript"/>
        </w:rPr>
        <w:t>]</w:t>
      </w:r>
      <w:r w:rsidRPr="00E565AE">
        <w:rPr>
          <w:rFonts w:asciiTheme="minorHAnsi" w:hAnsiTheme="minorHAnsi" w:cstheme="minorHAnsi"/>
          <w:color w:val="000000" w:themeColor="text1"/>
          <w:sz w:val="20"/>
          <w:szCs w:val="20"/>
        </w:rPr>
        <w:t xml:space="preserve">. </w:t>
      </w:r>
    </w:p>
    <w:p w:rsidR="008323F2" w:rsidRPr="00E565AE" w:rsidRDefault="008323F2" w:rsidP="00B648DA">
      <w:pPr>
        <w:jc w:val="both"/>
        <w:rPr>
          <w:rFonts w:asciiTheme="minorHAnsi" w:hAnsiTheme="minorHAnsi" w:cstheme="minorHAnsi"/>
          <w:color w:val="000000" w:themeColor="text1"/>
          <w:sz w:val="20"/>
          <w:szCs w:val="20"/>
        </w:rPr>
      </w:pPr>
    </w:p>
    <w:p w:rsidR="006831B7" w:rsidRDefault="006831B7"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127"/>
        <w:jc w:val="both"/>
        <w:rPr>
          <w:rFonts w:asciiTheme="minorHAnsi" w:hAnsiTheme="minorHAnsi" w:cstheme="minorHAnsi"/>
          <w:i/>
          <w:iCs/>
          <w:color w:val="000000" w:themeColor="text1"/>
          <w:sz w:val="20"/>
          <w:szCs w:val="20"/>
        </w:rPr>
      </w:pPr>
    </w:p>
    <w:p w:rsidR="008323F2" w:rsidRPr="006831B7" w:rsidRDefault="00C913F9"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127"/>
        <w:jc w:val="both"/>
        <w:rPr>
          <w:rFonts w:asciiTheme="minorHAnsi" w:hAnsiTheme="minorHAnsi" w:cstheme="minorHAnsi"/>
          <w:i/>
          <w:iCs/>
          <w:color w:val="000000" w:themeColor="text1"/>
          <w:sz w:val="20"/>
          <w:szCs w:val="20"/>
        </w:rPr>
      </w:pPr>
      <w:r w:rsidRPr="006831B7">
        <w:rPr>
          <w:rFonts w:asciiTheme="minorHAnsi" w:hAnsiTheme="minorHAnsi" w:cstheme="minorHAnsi"/>
          <w:i/>
          <w:iCs/>
          <w:color w:val="000000" w:themeColor="text1"/>
          <w:sz w:val="20"/>
          <w:szCs w:val="20"/>
        </w:rPr>
        <w:t>Nel complesso, l'interazione ospite-microrganismo sembra essere essenziale per</w:t>
      </w:r>
      <w:r w:rsidR="003E5A42" w:rsidRPr="006831B7">
        <w:rPr>
          <w:rFonts w:asciiTheme="minorHAnsi" w:hAnsiTheme="minorHAnsi" w:cstheme="minorHAnsi"/>
          <w:i/>
          <w:iCs/>
          <w:color w:val="000000" w:themeColor="text1"/>
          <w:sz w:val="20"/>
          <w:szCs w:val="20"/>
        </w:rPr>
        <w:t xml:space="preserve"> </w:t>
      </w:r>
      <w:r w:rsidRPr="006831B7">
        <w:rPr>
          <w:rFonts w:asciiTheme="minorHAnsi" w:hAnsiTheme="minorHAnsi" w:cstheme="minorHAnsi"/>
          <w:i/>
          <w:iCs/>
          <w:color w:val="000000" w:themeColor="text1"/>
          <w:sz w:val="20"/>
          <w:szCs w:val="20"/>
        </w:rPr>
        <w:t>mantene</w:t>
      </w:r>
      <w:r w:rsidR="003E5A42" w:rsidRPr="006831B7">
        <w:rPr>
          <w:rFonts w:asciiTheme="minorHAnsi" w:hAnsiTheme="minorHAnsi" w:cstheme="minorHAnsi"/>
          <w:i/>
          <w:iCs/>
          <w:color w:val="000000" w:themeColor="text1"/>
          <w:sz w:val="20"/>
          <w:szCs w:val="20"/>
        </w:rPr>
        <w:t>re</w:t>
      </w:r>
      <w:r w:rsidRPr="006831B7">
        <w:rPr>
          <w:rFonts w:asciiTheme="minorHAnsi" w:hAnsiTheme="minorHAnsi" w:cstheme="minorHAnsi"/>
          <w:i/>
          <w:iCs/>
          <w:color w:val="000000" w:themeColor="text1"/>
          <w:sz w:val="20"/>
          <w:szCs w:val="20"/>
        </w:rPr>
        <w:t xml:space="preserve"> </w:t>
      </w:r>
      <w:r w:rsidR="003E5A42" w:rsidRPr="006831B7">
        <w:rPr>
          <w:rFonts w:asciiTheme="minorHAnsi" w:hAnsiTheme="minorHAnsi" w:cstheme="minorHAnsi"/>
          <w:i/>
          <w:iCs/>
          <w:color w:val="000000" w:themeColor="text1"/>
          <w:sz w:val="20"/>
          <w:szCs w:val="20"/>
        </w:rPr>
        <w:t>i ritmi</w:t>
      </w:r>
      <w:r w:rsidR="00D071AB" w:rsidRPr="006831B7">
        <w:rPr>
          <w:rFonts w:asciiTheme="minorHAnsi" w:hAnsiTheme="minorHAnsi" w:cstheme="minorHAnsi"/>
          <w:i/>
          <w:iCs/>
          <w:color w:val="000000" w:themeColor="text1"/>
          <w:sz w:val="20"/>
          <w:szCs w:val="20"/>
        </w:rPr>
        <w:t xml:space="preserve"> </w:t>
      </w:r>
      <w:r w:rsidRPr="006831B7">
        <w:rPr>
          <w:rFonts w:asciiTheme="minorHAnsi" w:hAnsiTheme="minorHAnsi" w:cstheme="minorHAnsi"/>
          <w:i/>
          <w:iCs/>
          <w:color w:val="000000" w:themeColor="text1"/>
          <w:sz w:val="20"/>
          <w:szCs w:val="20"/>
        </w:rPr>
        <w:t>appropriat</w:t>
      </w:r>
      <w:r w:rsidR="00D071AB" w:rsidRPr="006831B7">
        <w:rPr>
          <w:rFonts w:asciiTheme="minorHAnsi" w:hAnsiTheme="minorHAnsi" w:cstheme="minorHAnsi"/>
          <w:i/>
          <w:iCs/>
          <w:color w:val="000000" w:themeColor="text1"/>
          <w:sz w:val="20"/>
          <w:szCs w:val="20"/>
        </w:rPr>
        <w:t>i</w:t>
      </w:r>
      <w:r w:rsidRPr="006831B7">
        <w:rPr>
          <w:rFonts w:asciiTheme="minorHAnsi" w:hAnsiTheme="minorHAnsi" w:cstheme="minorHAnsi"/>
          <w:i/>
          <w:iCs/>
          <w:color w:val="000000" w:themeColor="text1"/>
          <w:sz w:val="20"/>
          <w:szCs w:val="20"/>
        </w:rPr>
        <w:t>, integrando le fluttuazioni</w:t>
      </w:r>
      <w:r w:rsidR="003E5A42" w:rsidRPr="006831B7">
        <w:rPr>
          <w:rFonts w:asciiTheme="minorHAnsi" w:hAnsiTheme="minorHAnsi" w:cstheme="minorHAnsi"/>
          <w:i/>
          <w:iCs/>
          <w:color w:val="000000" w:themeColor="text1"/>
          <w:sz w:val="20"/>
          <w:szCs w:val="20"/>
        </w:rPr>
        <w:t xml:space="preserve"> dei </w:t>
      </w:r>
      <w:r w:rsidRPr="006831B7">
        <w:rPr>
          <w:rFonts w:asciiTheme="minorHAnsi" w:hAnsiTheme="minorHAnsi" w:cstheme="minorHAnsi"/>
          <w:i/>
          <w:iCs/>
          <w:color w:val="000000" w:themeColor="text1"/>
          <w:sz w:val="20"/>
          <w:szCs w:val="20"/>
        </w:rPr>
        <w:t xml:space="preserve">segnali nutrizionali </w:t>
      </w:r>
      <w:r w:rsidR="003E5A42" w:rsidRPr="006831B7">
        <w:rPr>
          <w:rFonts w:asciiTheme="minorHAnsi" w:hAnsiTheme="minorHAnsi" w:cstheme="minorHAnsi"/>
          <w:i/>
          <w:iCs/>
          <w:color w:val="000000" w:themeColor="text1"/>
          <w:sz w:val="20"/>
          <w:szCs w:val="20"/>
        </w:rPr>
        <w:t xml:space="preserve">e </w:t>
      </w:r>
      <w:r w:rsidRPr="006831B7">
        <w:rPr>
          <w:rFonts w:asciiTheme="minorHAnsi" w:hAnsiTheme="minorHAnsi" w:cstheme="minorHAnsi"/>
          <w:i/>
          <w:iCs/>
          <w:color w:val="000000" w:themeColor="text1"/>
          <w:sz w:val="20"/>
          <w:szCs w:val="20"/>
        </w:rPr>
        <w:t xml:space="preserve">ambientali. </w:t>
      </w:r>
    </w:p>
    <w:p w:rsidR="008323F2" w:rsidRPr="006831B7" w:rsidRDefault="008323F2"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127"/>
        <w:jc w:val="both"/>
        <w:rPr>
          <w:rFonts w:asciiTheme="minorHAnsi" w:hAnsiTheme="minorHAnsi" w:cstheme="minorHAnsi"/>
          <w:i/>
          <w:iCs/>
          <w:color w:val="000000" w:themeColor="text1"/>
          <w:sz w:val="20"/>
          <w:szCs w:val="20"/>
        </w:rPr>
      </w:pPr>
    </w:p>
    <w:p w:rsidR="008323F2" w:rsidRDefault="00C913F9"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127"/>
        <w:jc w:val="both"/>
        <w:rPr>
          <w:rFonts w:asciiTheme="minorHAnsi" w:hAnsiTheme="minorHAnsi" w:cstheme="minorHAnsi"/>
          <w:i/>
          <w:iCs/>
          <w:color w:val="000000" w:themeColor="text1"/>
          <w:sz w:val="20"/>
          <w:szCs w:val="20"/>
        </w:rPr>
      </w:pPr>
      <w:r w:rsidRPr="006831B7">
        <w:rPr>
          <w:rFonts w:asciiTheme="minorHAnsi" w:hAnsiTheme="minorHAnsi" w:cstheme="minorHAnsi"/>
          <w:i/>
          <w:iCs/>
          <w:color w:val="000000" w:themeColor="text1"/>
          <w:sz w:val="20"/>
          <w:szCs w:val="20"/>
        </w:rPr>
        <w:t xml:space="preserve">Secondo </w:t>
      </w:r>
      <w:r w:rsidR="003E5A42" w:rsidRPr="006831B7">
        <w:rPr>
          <w:rFonts w:asciiTheme="minorHAnsi" w:hAnsiTheme="minorHAnsi" w:cstheme="minorHAnsi"/>
          <w:i/>
          <w:iCs/>
          <w:color w:val="000000" w:themeColor="text1"/>
          <w:sz w:val="20"/>
          <w:szCs w:val="20"/>
        </w:rPr>
        <w:t xml:space="preserve">la </w:t>
      </w:r>
      <w:r w:rsidR="003E5A42" w:rsidRPr="006831B7">
        <w:rPr>
          <w:rFonts w:asciiTheme="minorHAnsi" w:hAnsiTheme="minorHAnsi" w:cstheme="minorHAnsi"/>
          <w:b/>
          <w:bCs/>
          <w:i/>
          <w:iCs/>
          <w:color w:val="000000" w:themeColor="text1"/>
          <w:sz w:val="20"/>
          <w:szCs w:val="20"/>
          <w:u w:val="single"/>
          <w:shd w:val="clear" w:color="auto" w:fill="FBF9E1"/>
        </w:rPr>
        <w:t>cronobiomica</w:t>
      </w:r>
      <w:r w:rsidR="006F6F0B" w:rsidRPr="006831B7">
        <w:rPr>
          <w:rFonts w:asciiTheme="minorHAnsi" w:hAnsiTheme="minorHAnsi" w:cstheme="minorHAnsi"/>
          <w:b/>
          <w:bCs/>
          <w:i/>
          <w:iCs/>
          <w:color w:val="000000" w:themeColor="text1"/>
          <w:sz w:val="20"/>
          <w:szCs w:val="20"/>
          <w:u w:val="single"/>
        </w:rPr>
        <w:t xml:space="preserve"> </w:t>
      </w:r>
      <w:r w:rsidR="00CE2E49" w:rsidRPr="006831B7">
        <w:rPr>
          <w:rStyle w:val="FootnoteReference"/>
          <w:rFonts w:asciiTheme="minorHAnsi" w:hAnsiTheme="minorHAnsi" w:cstheme="minorHAnsi"/>
          <w:i/>
          <w:iCs/>
          <w:color w:val="000000" w:themeColor="text1"/>
          <w:sz w:val="20"/>
          <w:szCs w:val="20"/>
        </w:rPr>
        <w:footnoteReference w:id="217"/>
      </w:r>
      <w:r w:rsidRPr="006831B7">
        <w:rPr>
          <w:rFonts w:asciiTheme="minorHAnsi" w:hAnsiTheme="minorHAnsi" w:cstheme="minorHAnsi"/>
          <w:i/>
          <w:iCs/>
          <w:color w:val="000000" w:themeColor="text1"/>
          <w:sz w:val="20"/>
          <w:szCs w:val="20"/>
        </w:rPr>
        <w:t>, questa interazione è</w:t>
      </w:r>
      <w:r w:rsidR="003E5A42" w:rsidRPr="006831B7">
        <w:rPr>
          <w:rFonts w:asciiTheme="minorHAnsi" w:hAnsiTheme="minorHAnsi" w:cstheme="minorHAnsi"/>
          <w:i/>
          <w:iCs/>
          <w:color w:val="000000" w:themeColor="text1"/>
          <w:sz w:val="20"/>
          <w:szCs w:val="20"/>
        </w:rPr>
        <w:t xml:space="preserve"> </w:t>
      </w:r>
      <w:r w:rsidRPr="006831B7">
        <w:rPr>
          <w:rFonts w:asciiTheme="minorHAnsi" w:hAnsiTheme="minorHAnsi" w:cstheme="minorHAnsi"/>
          <w:i/>
          <w:iCs/>
          <w:color w:val="000000" w:themeColor="text1"/>
          <w:sz w:val="20"/>
          <w:szCs w:val="20"/>
        </w:rPr>
        <w:t xml:space="preserve">bidirezionale e l'orologio </w:t>
      </w:r>
      <w:r w:rsidR="003E5A42" w:rsidRPr="006831B7">
        <w:rPr>
          <w:rFonts w:asciiTheme="minorHAnsi" w:hAnsiTheme="minorHAnsi" w:cstheme="minorHAnsi"/>
          <w:i/>
          <w:iCs/>
          <w:color w:val="000000" w:themeColor="text1"/>
          <w:sz w:val="20"/>
          <w:szCs w:val="20"/>
        </w:rPr>
        <w:t xml:space="preserve">dell’ospite </w:t>
      </w:r>
      <w:r w:rsidRPr="006831B7">
        <w:rPr>
          <w:rFonts w:asciiTheme="minorHAnsi" w:hAnsiTheme="minorHAnsi" w:cstheme="minorHAnsi"/>
          <w:i/>
          <w:iCs/>
          <w:color w:val="000000" w:themeColor="text1"/>
          <w:sz w:val="20"/>
          <w:szCs w:val="20"/>
        </w:rPr>
        <w:t xml:space="preserve">influenza le configurazioni della comunità </w:t>
      </w:r>
      <w:r w:rsidR="003E5A42" w:rsidRPr="006831B7">
        <w:rPr>
          <w:rFonts w:asciiTheme="minorHAnsi" w:hAnsiTheme="minorHAnsi" w:cstheme="minorHAnsi"/>
          <w:i/>
          <w:iCs/>
          <w:color w:val="000000" w:themeColor="text1"/>
          <w:sz w:val="20"/>
          <w:szCs w:val="20"/>
        </w:rPr>
        <w:t>m</w:t>
      </w:r>
      <w:r w:rsidRPr="006831B7">
        <w:rPr>
          <w:rFonts w:asciiTheme="minorHAnsi" w:hAnsiTheme="minorHAnsi" w:cstheme="minorHAnsi"/>
          <w:i/>
          <w:iCs/>
          <w:color w:val="000000" w:themeColor="text1"/>
          <w:sz w:val="20"/>
          <w:szCs w:val="20"/>
        </w:rPr>
        <w:t>icrobica.</w:t>
      </w:r>
      <w:r w:rsidR="003E5A42" w:rsidRPr="006831B7">
        <w:rPr>
          <w:rFonts w:asciiTheme="minorHAnsi" w:hAnsiTheme="minorHAnsi" w:cstheme="minorHAnsi"/>
          <w:i/>
          <w:iCs/>
          <w:color w:val="000000" w:themeColor="text1"/>
          <w:sz w:val="20"/>
          <w:szCs w:val="20"/>
        </w:rPr>
        <w:t xml:space="preserve"> </w:t>
      </w:r>
    </w:p>
    <w:p w:rsidR="006831B7" w:rsidRPr="006831B7" w:rsidRDefault="006831B7"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127"/>
        <w:jc w:val="both"/>
        <w:rPr>
          <w:rFonts w:asciiTheme="minorHAnsi" w:hAnsiTheme="minorHAnsi" w:cstheme="minorHAnsi"/>
          <w:i/>
          <w:iCs/>
          <w:color w:val="000000" w:themeColor="text1"/>
          <w:sz w:val="20"/>
          <w:szCs w:val="20"/>
        </w:rPr>
      </w:pPr>
    </w:p>
    <w:p w:rsidR="006831B7" w:rsidRDefault="00C913F9"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127"/>
        <w:jc w:val="both"/>
        <w:rPr>
          <w:rFonts w:asciiTheme="minorHAnsi" w:hAnsiTheme="minorHAnsi" w:cstheme="minorHAnsi"/>
          <w:i/>
          <w:iCs/>
          <w:color w:val="000000" w:themeColor="text1"/>
          <w:sz w:val="20"/>
          <w:szCs w:val="20"/>
        </w:rPr>
      </w:pPr>
      <w:r w:rsidRPr="006831B7">
        <w:rPr>
          <w:rFonts w:asciiTheme="minorHAnsi" w:hAnsiTheme="minorHAnsi" w:cstheme="minorHAnsi"/>
          <w:i/>
          <w:iCs/>
          <w:color w:val="000000" w:themeColor="text1"/>
          <w:sz w:val="20"/>
          <w:szCs w:val="20"/>
        </w:rPr>
        <w:t xml:space="preserve">Inoltre, poiché i batteri commensali competono con i patogeni invasori, </w:t>
      </w:r>
      <w:r w:rsidR="003E5A42" w:rsidRPr="006831B7">
        <w:rPr>
          <w:rFonts w:asciiTheme="minorHAnsi" w:hAnsiTheme="minorHAnsi" w:cstheme="minorHAnsi"/>
          <w:b/>
          <w:bCs/>
          <w:i/>
          <w:iCs/>
          <w:color w:val="000000" w:themeColor="text1"/>
          <w:sz w:val="20"/>
          <w:szCs w:val="20"/>
        </w:rPr>
        <w:t>l</w:t>
      </w:r>
      <w:r w:rsidRPr="006831B7">
        <w:rPr>
          <w:rFonts w:asciiTheme="minorHAnsi" w:hAnsiTheme="minorHAnsi" w:cstheme="minorHAnsi"/>
          <w:b/>
          <w:bCs/>
          <w:i/>
          <w:iCs/>
          <w:color w:val="000000" w:themeColor="text1"/>
          <w:sz w:val="20"/>
          <w:szCs w:val="20"/>
        </w:rPr>
        <w:t>'oscillazione del microbiota intestinale contribuisce alla variazione circadiana d</w:t>
      </w:r>
      <w:r w:rsidR="003E5A42" w:rsidRPr="006831B7">
        <w:rPr>
          <w:rFonts w:asciiTheme="minorHAnsi" w:hAnsiTheme="minorHAnsi" w:cstheme="minorHAnsi"/>
          <w:b/>
          <w:bCs/>
          <w:i/>
          <w:iCs/>
          <w:color w:val="000000" w:themeColor="text1"/>
          <w:sz w:val="20"/>
          <w:szCs w:val="20"/>
        </w:rPr>
        <w:t xml:space="preserve">ella </w:t>
      </w:r>
      <w:r w:rsidRPr="006831B7">
        <w:rPr>
          <w:rFonts w:asciiTheme="minorHAnsi" w:hAnsiTheme="minorHAnsi" w:cstheme="minorHAnsi"/>
          <w:b/>
          <w:bCs/>
          <w:i/>
          <w:iCs/>
          <w:color w:val="000000" w:themeColor="text1"/>
          <w:sz w:val="20"/>
          <w:szCs w:val="20"/>
        </w:rPr>
        <w:t>difesa dell'ospite</w:t>
      </w:r>
      <w:r w:rsidRPr="006831B7">
        <w:rPr>
          <w:rFonts w:asciiTheme="minorHAnsi" w:hAnsiTheme="minorHAnsi" w:cstheme="minorHAnsi"/>
          <w:i/>
          <w:iCs/>
          <w:color w:val="000000" w:themeColor="text1"/>
          <w:sz w:val="20"/>
          <w:szCs w:val="20"/>
        </w:rPr>
        <w:t>.</w:t>
      </w:r>
    </w:p>
    <w:p w:rsidR="008323F2" w:rsidRPr="006831B7" w:rsidRDefault="00C913F9"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127"/>
        <w:jc w:val="both"/>
        <w:rPr>
          <w:rFonts w:asciiTheme="minorHAnsi" w:hAnsiTheme="minorHAnsi" w:cstheme="minorHAnsi"/>
          <w:i/>
          <w:iCs/>
          <w:color w:val="000000" w:themeColor="text1"/>
          <w:sz w:val="20"/>
          <w:szCs w:val="20"/>
        </w:rPr>
      </w:pPr>
      <w:r w:rsidRPr="006831B7">
        <w:rPr>
          <w:rFonts w:asciiTheme="minorHAnsi" w:hAnsiTheme="minorHAnsi" w:cstheme="minorHAnsi"/>
          <w:i/>
          <w:iCs/>
          <w:color w:val="000000" w:themeColor="text1"/>
          <w:sz w:val="20"/>
          <w:szCs w:val="20"/>
        </w:rPr>
        <w:t xml:space="preserve"> </w:t>
      </w:r>
    </w:p>
    <w:p w:rsidR="008323F2" w:rsidRDefault="00C913F9"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127"/>
        <w:jc w:val="both"/>
        <w:rPr>
          <w:rFonts w:asciiTheme="minorHAnsi" w:hAnsiTheme="minorHAnsi" w:cstheme="minorHAnsi"/>
          <w:i/>
          <w:iCs/>
          <w:color w:val="000000" w:themeColor="text1"/>
          <w:sz w:val="20"/>
          <w:szCs w:val="20"/>
        </w:rPr>
      </w:pPr>
      <w:r w:rsidRPr="006831B7">
        <w:rPr>
          <w:rFonts w:asciiTheme="minorHAnsi" w:hAnsiTheme="minorHAnsi" w:cstheme="minorHAnsi"/>
          <w:i/>
          <w:iCs/>
          <w:color w:val="000000" w:themeColor="text1"/>
          <w:sz w:val="20"/>
          <w:szCs w:val="20"/>
        </w:rPr>
        <w:t>Le interruzioni circadiane indotte da</w:t>
      </w:r>
      <w:r w:rsidR="003E5A42" w:rsidRPr="006831B7">
        <w:rPr>
          <w:rFonts w:asciiTheme="minorHAnsi" w:hAnsiTheme="minorHAnsi" w:cstheme="minorHAnsi"/>
          <w:i/>
          <w:iCs/>
          <w:color w:val="000000" w:themeColor="text1"/>
          <w:sz w:val="20"/>
          <w:szCs w:val="20"/>
        </w:rPr>
        <w:t>i</w:t>
      </w:r>
      <w:r w:rsidRPr="006831B7">
        <w:rPr>
          <w:rFonts w:asciiTheme="minorHAnsi" w:hAnsiTheme="minorHAnsi" w:cstheme="minorHAnsi"/>
          <w:i/>
          <w:iCs/>
          <w:color w:val="000000" w:themeColor="text1"/>
          <w:sz w:val="20"/>
          <w:szCs w:val="20"/>
        </w:rPr>
        <w:t xml:space="preserve"> modern</w:t>
      </w:r>
      <w:r w:rsidR="003E5A42" w:rsidRPr="006831B7">
        <w:rPr>
          <w:rFonts w:asciiTheme="minorHAnsi" w:hAnsiTheme="minorHAnsi" w:cstheme="minorHAnsi"/>
          <w:i/>
          <w:iCs/>
          <w:color w:val="000000" w:themeColor="text1"/>
          <w:sz w:val="20"/>
          <w:szCs w:val="20"/>
        </w:rPr>
        <w:t>i</w:t>
      </w:r>
      <w:r w:rsidRPr="006831B7">
        <w:rPr>
          <w:rFonts w:asciiTheme="minorHAnsi" w:hAnsiTheme="minorHAnsi" w:cstheme="minorHAnsi"/>
          <w:i/>
          <w:iCs/>
          <w:color w:val="000000" w:themeColor="text1"/>
          <w:sz w:val="20"/>
          <w:szCs w:val="20"/>
        </w:rPr>
        <w:t xml:space="preserve"> stili di vita potrebbero portare a disbiosi</w:t>
      </w:r>
      <w:r w:rsidR="00D071AB" w:rsidRPr="006831B7">
        <w:rPr>
          <w:rFonts w:asciiTheme="minorHAnsi" w:hAnsiTheme="minorHAnsi" w:cstheme="minorHAnsi"/>
          <w:i/>
          <w:iCs/>
          <w:color w:val="000000" w:themeColor="text1"/>
          <w:sz w:val="20"/>
          <w:szCs w:val="20"/>
        </w:rPr>
        <w:t xml:space="preserve"> e </w:t>
      </w:r>
      <w:r w:rsidRPr="006831B7">
        <w:rPr>
          <w:rFonts w:asciiTheme="minorHAnsi" w:hAnsiTheme="minorHAnsi" w:cstheme="minorHAnsi"/>
          <w:i/>
          <w:iCs/>
          <w:color w:val="000000" w:themeColor="text1"/>
          <w:sz w:val="20"/>
          <w:szCs w:val="20"/>
        </w:rPr>
        <w:t xml:space="preserve">predisporre l'ospite a </w:t>
      </w:r>
      <w:r w:rsidR="003E5A42" w:rsidRPr="006831B7">
        <w:rPr>
          <w:rFonts w:asciiTheme="minorHAnsi" w:hAnsiTheme="minorHAnsi" w:cstheme="minorHAnsi"/>
          <w:i/>
          <w:iCs/>
          <w:color w:val="000000" w:themeColor="text1"/>
          <w:sz w:val="20"/>
          <w:szCs w:val="20"/>
        </w:rPr>
        <w:t xml:space="preserve">disturbi </w:t>
      </w:r>
      <w:r w:rsidRPr="006831B7">
        <w:rPr>
          <w:rFonts w:asciiTheme="minorHAnsi" w:hAnsiTheme="minorHAnsi" w:cstheme="minorHAnsi"/>
          <w:i/>
          <w:iCs/>
          <w:color w:val="000000" w:themeColor="text1"/>
          <w:sz w:val="20"/>
          <w:szCs w:val="20"/>
        </w:rPr>
        <w:t>metaboli</w:t>
      </w:r>
      <w:r w:rsidR="003E5A42" w:rsidRPr="006831B7">
        <w:rPr>
          <w:rFonts w:asciiTheme="minorHAnsi" w:hAnsiTheme="minorHAnsi" w:cstheme="minorHAnsi"/>
          <w:i/>
          <w:iCs/>
          <w:color w:val="000000" w:themeColor="text1"/>
          <w:sz w:val="20"/>
          <w:szCs w:val="20"/>
        </w:rPr>
        <w:t>ci</w:t>
      </w:r>
      <w:r w:rsidRPr="006831B7">
        <w:rPr>
          <w:rFonts w:asciiTheme="minorHAnsi" w:hAnsiTheme="minorHAnsi" w:cstheme="minorHAnsi"/>
          <w:i/>
          <w:iCs/>
          <w:color w:val="000000" w:themeColor="text1"/>
          <w:sz w:val="20"/>
          <w:szCs w:val="20"/>
        </w:rPr>
        <w:t xml:space="preserve"> e infiammazione </w:t>
      </w:r>
      <w:r w:rsidR="00D071AB" w:rsidRPr="006831B7">
        <w:rPr>
          <w:rFonts w:asciiTheme="minorHAnsi" w:hAnsiTheme="minorHAnsi" w:cstheme="minorHAnsi"/>
          <w:i/>
          <w:iCs/>
          <w:color w:val="C00000"/>
          <w:sz w:val="20"/>
          <w:szCs w:val="20"/>
          <w:shd w:val="clear" w:color="auto" w:fill="FBF9E1"/>
          <w:vertAlign w:val="superscript"/>
        </w:rPr>
        <w:t>[</w:t>
      </w:r>
      <w:r w:rsidRPr="006831B7">
        <w:rPr>
          <w:rFonts w:asciiTheme="minorHAnsi" w:hAnsiTheme="minorHAnsi" w:cstheme="minorHAnsi"/>
          <w:i/>
          <w:iCs/>
          <w:color w:val="C00000"/>
          <w:sz w:val="20"/>
          <w:szCs w:val="20"/>
          <w:shd w:val="clear" w:color="auto" w:fill="FBF9E1"/>
          <w:vertAlign w:val="superscript"/>
        </w:rPr>
        <w:t>81</w:t>
      </w:r>
      <w:r w:rsidR="00D071AB" w:rsidRPr="006831B7">
        <w:rPr>
          <w:rFonts w:asciiTheme="minorHAnsi" w:hAnsiTheme="minorHAnsi" w:cstheme="minorHAnsi"/>
          <w:i/>
          <w:iCs/>
          <w:color w:val="C00000"/>
          <w:sz w:val="20"/>
          <w:szCs w:val="20"/>
          <w:shd w:val="clear" w:color="auto" w:fill="FBF9E1"/>
          <w:vertAlign w:val="superscript"/>
        </w:rPr>
        <w:t>,</w:t>
      </w:r>
      <w:r w:rsidRPr="006831B7">
        <w:rPr>
          <w:rFonts w:asciiTheme="minorHAnsi" w:hAnsiTheme="minorHAnsi" w:cstheme="minorHAnsi"/>
          <w:i/>
          <w:iCs/>
          <w:color w:val="C00000"/>
          <w:sz w:val="20"/>
          <w:szCs w:val="20"/>
          <w:shd w:val="clear" w:color="auto" w:fill="FBF9E1"/>
          <w:vertAlign w:val="superscript"/>
        </w:rPr>
        <w:t>161</w:t>
      </w:r>
      <w:r w:rsidR="00D071AB" w:rsidRPr="006831B7">
        <w:rPr>
          <w:rFonts w:asciiTheme="minorHAnsi" w:hAnsiTheme="minorHAnsi" w:cstheme="minorHAnsi"/>
          <w:i/>
          <w:iCs/>
          <w:color w:val="C00000"/>
          <w:sz w:val="20"/>
          <w:szCs w:val="20"/>
          <w:shd w:val="clear" w:color="auto" w:fill="FBF9E1"/>
          <w:vertAlign w:val="superscript"/>
        </w:rPr>
        <w:t>]</w:t>
      </w:r>
      <w:r w:rsidRPr="006831B7">
        <w:rPr>
          <w:rFonts w:asciiTheme="minorHAnsi" w:hAnsiTheme="minorHAnsi" w:cstheme="minorHAnsi"/>
          <w:i/>
          <w:iCs/>
          <w:color w:val="000000" w:themeColor="text1"/>
          <w:sz w:val="20"/>
          <w:szCs w:val="20"/>
        </w:rPr>
        <w:t xml:space="preserve">. </w:t>
      </w:r>
    </w:p>
    <w:p w:rsidR="006831B7" w:rsidRPr="006831B7" w:rsidRDefault="006831B7"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1127"/>
        <w:jc w:val="both"/>
        <w:rPr>
          <w:rFonts w:asciiTheme="minorHAnsi" w:hAnsiTheme="minorHAnsi" w:cstheme="minorHAnsi"/>
          <w:i/>
          <w:iCs/>
          <w:color w:val="000000" w:themeColor="text1"/>
          <w:sz w:val="20"/>
          <w:szCs w:val="20"/>
        </w:rPr>
      </w:pPr>
    </w:p>
    <w:p w:rsidR="008323F2" w:rsidRPr="00E565AE" w:rsidRDefault="008323F2" w:rsidP="00B648DA">
      <w:pPr>
        <w:jc w:val="both"/>
        <w:rPr>
          <w:rFonts w:asciiTheme="minorHAnsi" w:hAnsiTheme="minorHAnsi" w:cstheme="minorHAnsi"/>
          <w:color w:val="000000" w:themeColor="text1"/>
          <w:sz w:val="20"/>
          <w:szCs w:val="20"/>
        </w:rPr>
      </w:pPr>
    </w:p>
    <w:p w:rsidR="008323F2" w:rsidRPr="00E565AE" w:rsidRDefault="008323F2"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L</w:t>
      </w:r>
      <w:r w:rsidR="003E5A42" w:rsidRPr="00E565AE">
        <w:rPr>
          <w:rFonts w:asciiTheme="minorHAnsi" w:hAnsiTheme="minorHAnsi" w:cstheme="minorHAnsi"/>
          <w:color w:val="000000" w:themeColor="text1"/>
          <w:sz w:val="20"/>
          <w:szCs w:val="20"/>
        </w:rPr>
        <w:t>’i</w:t>
      </w:r>
      <w:r w:rsidR="00C913F9" w:rsidRPr="00E565AE">
        <w:rPr>
          <w:rFonts w:asciiTheme="minorHAnsi" w:hAnsiTheme="minorHAnsi" w:cstheme="minorHAnsi"/>
          <w:color w:val="000000" w:themeColor="text1"/>
          <w:sz w:val="20"/>
          <w:szCs w:val="20"/>
        </w:rPr>
        <w:t>n</w:t>
      </w:r>
      <w:r w:rsidR="00D071AB" w:rsidRPr="00E565AE">
        <w:rPr>
          <w:rFonts w:asciiTheme="minorHAnsi" w:hAnsiTheme="minorHAnsi" w:cstheme="minorHAnsi"/>
          <w:color w:val="000000" w:themeColor="text1"/>
          <w:sz w:val="20"/>
          <w:szCs w:val="20"/>
        </w:rPr>
        <w:t>troduzione</w:t>
      </w:r>
      <w:r w:rsidR="00C913F9" w:rsidRPr="00E565AE">
        <w:rPr>
          <w:rFonts w:asciiTheme="minorHAnsi" w:hAnsiTheme="minorHAnsi" w:cstheme="minorHAnsi"/>
          <w:color w:val="000000" w:themeColor="text1"/>
          <w:sz w:val="20"/>
          <w:szCs w:val="20"/>
        </w:rPr>
        <w:t xml:space="preserve"> regolare di nutrienti nel colon </w:t>
      </w:r>
      <w:r w:rsidR="003E5A42" w:rsidRPr="00E565AE">
        <w:rPr>
          <w:rFonts w:asciiTheme="minorHAnsi" w:hAnsiTheme="minorHAnsi" w:cstheme="minorHAnsi"/>
          <w:color w:val="000000" w:themeColor="text1"/>
          <w:sz w:val="20"/>
          <w:szCs w:val="20"/>
        </w:rPr>
        <w:t xml:space="preserve">stimola </w:t>
      </w:r>
      <w:r w:rsidR="00C913F9" w:rsidRPr="00E565AE">
        <w:rPr>
          <w:rFonts w:asciiTheme="minorHAnsi" w:hAnsiTheme="minorHAnsi" w:cstheme="minorHAnsi"/>
          <w:color w:val="000000" w:themeColor="text1"/>
          <w:sz w:val="20"/>
          <w:szCs w:val="20"/>
        </w:rPr>
        <w:t>immediatamente</w:t>
      </w:r>
      <w:r w:rsidR="003E5A42" w:rsidRPr="00E565AE">
        <w:rPr>
          <w:rFonts w:asciiTheme="minorHAnsi" w:hAnsiTheme="minorHAnsi" w:cstheme="minorHAnsi"/>
          <w:color w:val="000000" w:themeColor="text1"/>
          <w:sz w:val="20"/>
          <w:szCs w:val="20"/>
        </w:rPr>
        <w:t xml:space="preserve"> </w:t>
      </w:r>
      <w:r w:rsidR="00C913F9" w:rsidRPr="00E565AE">
        <w:rPr>
          <w:rFonts w:asciiTheme="minorHAnsi" w:hAnsiTheme="minorHAnsi" w:cstheme="minorHAnsi"/>
          <w:color w:val="000000" w:themeColor="text1"/>
          <w:sz w:val="20"/>
          <w:szCs w:val="20"/>
        </w:rPr>
        <w:t xml:space="preserve">la crescita batterica per 20 minuti. </w:t>
      </w:r>
    </w:p>
    <w:p w:rsidR="008323F2" w:rsidRDefault="003E5A42"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Le m</w:t>
      </w:r>
      <w:r w:rsidR="00C913F9" w:rsidRPr="00E565AE">
        <w:rPr>
          <w:rFonts w:asciiTheme="minorHAnsi" w:hAnsiTheme="minorHAnsi" w:cstheme="minorHAnsi"/>
          <w:color w:val="000000" w:themeColor="text1"/>
          <w:sz w:val="20"/>
          <w:szCs w:val="20"/>
        </w:rPr>
        <w:t xml:space="preserve">olecole batteriche e </w:t>
      </w:r>
      <w:r w:rsidR="00D071AB" w:rsidRPr="00E565AE">
        <w:rPr>
          <w:rFonts w:asciiTheme="minorHAnsi" w:hAnsiTheme="minorHAnsi" w:cstheme="minorHAnsi"/>
          <w:color w:val="000000" w:themeColor="text1"/>
          <w:sz w:val="20"/>
          <w:szCs w:val="20"/>
        </w:rPr>
        <w:t xml:space="preserve">i </w:t>
      </w:r>
      <w:r w:rsidR="00C913F9" w:rsidRPr="00E565AE">
        <w:rPr>
          <w:rFonts w:asciiTheme="minorHAnsi" w:hAnsiTheme="minorHAnsi" w:cstheme="minorHAnsi"/>
          <w:color w:val="000000" w:themeColor="text1"/>
          <w:sz w:val="20"/>
          <w:szCs w:val="20"/>
        </w:rPr>
        <w:t xml:space="preserve">metaboliti, la </w:t>
      </w:r>
      <w:r w:rsidRPr="00E565AE">
        <w:rPr>
          <w:rFonts w:asciiTheme="minorHAnsi" w:hAnsiTheme="minorHAnsi" w:cstheme="minorHAnsi"/>
          <w:color w:val="000000" w:themeColor="text1"/>
          <w:sz w:val="20"/>
          <w:szCs w:val="20"/>
        </w:rPr>
        <w:t xml:space="preserve">cui </w:t>
      </w:r>
      <w:r w:rsidR="00C913F9" w:rsidRPr="00E565AE">
        <w:rPr>
          <w:rFonts w:asciiTheme="minorHAnsi" w:hAnsiTheme="minorHAnsi" w:cstheme="minorHAnsi"/>
          <w:color w:val="000000" w:themeColor="text1"/>
          <w:sz w:val="20"/>
          <w:szCs w:val="20"/>
        </w:rPr>
        <w:t>produzione è regolata da</w:t>
      </w:r>
      <w:r w:rsidRPr="00E565AE">
        <w:rPr>
          <w:rFonts w:asciiTheme="minorHAnsi" w:hAnsiTheme="minorHAnsi" w:cstheme="minorHAnsi"/>
          <w:color w:val="000000" w:themeColor="text1"/>
          <w:sz w:val="20"/>
          <w:szCs w:val="20"/>
        </w:rPr>
        <w:t>lle</w:t>
      </w:r>
      <w:r w:rsidR="00C913F9" w:rsidRPr="00E565AE">
        <w:rPr>
          <w:rFonts w:asciiTheme="minorHAnsi" w:hAnsiTheme="minorHAnsi" w:cstheme="minorHAnsi"/>
          <w:color w:val="000000" w:themeColor="text1"/>
          <w:sz w:val="20"/>
          <w:szCs w:val="20"/>
        </w:rPr>
        <w:t xml:space="preserve"> fasi d</w:t>
      </w:r>
      <w:r w:rsidRPr="00E565AE">
        <w:rPr>
          <w:rFonts w:asciiTheme="minorHAnsi" w:hAnsiTheme="minorHAnsi" w:cstheme="minorHAnsi"/>
          <w:color w:val="000000" w:themeColor="text1"/>
          <w:sz w:val="20"/>
          <w:szCs w:val="20"/>
        </w:rPr>
        <w:t>ella</w:t>
      </w:r>
      <w:r w:rsidR="00C913F9" w:rsidRPr="00E565AE">
        <w:rPr>
          <w:rFonts w:asciiTheme="minorHAnsi" w:hAnsiTheme="minorHAnsi" w:cstheme="minorHAnsi"/>
          <w:color w:val="000000" w:themeColor="text1"/>
          <w:sz w:val="20"/>
          <w:szCs w:val="20"/>
        </w:rPr>
        <w:t xml:space="preserve"> crescita batterica, controll</w:t>
      </w:r>
      <w:r w:rsidRPr="00E565AE">
        <w:rPr>
          <w:rFonts w:asciiTheme="minorHAnsi" w:hAnsiTheme="minorHAnsi" w:cstheme="minorHAnsi"/>
          <w:color w:val="000000" w:themeColor="text1"/>
          <w:sz w:val="20"/>
          <w:szCs w:val="20"/>
        </w:rPr>
        <w:t>ano il</w:t>
      </w:r>
      <w:r w:rsidR="00C913F9" w:rsidRPr="00E565AE">
        <w:rPr>
          <w:rFonts w:asciiTheme="minorHAnsi" w:hAnsiTheme="minorHAnsi" w:cstheme="minorHAnsi"/>
          <w:color w:val="000000" w:themeColor="text1"/>
          <w:sz w:val="20"/>
          <w:szCs w:val="20"/>
        </w:rPr>
        <w:t xml:space="preserve"> rilascio d</w:t>
      </w:r>
      <w:r w:rsidRPr="00E565AE">
        <w:rPr>
          <w:rFonts w:asciiTheme="minorHAnsi" w:hAnsiTheme="minorHAnsi" w:cstheme="minorHAnsi"/>
          <w:color w:val="000000" w:themeColor="text1"/>
          <w:sz w:val="20"/>
          <w:szCs w:val="20"/>
        </w:rPr>
        <w:t>egli</w:t>
      </w:r>
      <w:r w:rsidR="00C913F9" w:rsidRPr="00E565AE">
        <w:rPr>
          <w:rFonts w:asciiTheme="minorHAnsi" w:hAnsiTheme="minorHAnsi" w:cstheme="minorHAnsi"/>
          <w:color w:val="000000" w:themeColor="text1"/>
          <w:sz w:val="20"/>
          <w:szCs w:val="20"/>
        </w:rPr>
        <w:t xml:space="preserve"> </w:t>
      </w:r>
      <w:r w:rsidRPr="006831B7">
        <w:rPr>
          <w:rFonts w:asciiTheme="minorHAnsi" w:hAnsiTheme="minorHAnsi" w:cstheme="minorHAnsi"/>
          <w:b/>
          <w:bCs/>
          <w:color w:val="000000" w:themeColor="text1"/>
          <w:sz w:val="20"/>
          <w:szCs w:val="20"/>
        </w:rPr>
        <w:t xml:space="preserve">ormoni della </w:t>
      </w:r>
      <w:r w:rsidR="00C913F9" w:rsidRPr="006831B7">
        <w:rPr>
          <w:rFonts w:asciiTheme="minorHAnsi" w:hAnsiTheme="minorHAnsi" w:cstheme="minorHAnsi"/>
          <w:b/>
          <w:bCs/>
          <w:color w:val="000000" w:themeColor="text1"/>
          <w:sz w:val="20"/>
          <w:szCs w:val="20"/>
        </w:rPr>
        <w:t>sazietà</w:t>
      </w:r>
      <w:r w:rsidRPr="00E565AE">
        <w:rPr>
          <w:rFonts w:asciiTheme="minorHAnsi" w:hAnsiTheme="minorHAnsi" w:cstheme="minorHAnsi"/>
          <w:color w:val="000000" w:themeColor="text1"/>
          <w:sz w:val="20"/>
          <w:szCs w:val="20"/>
        </w:rPr>
        <w:t xml:space="preserve"> </w:t>
      </w:r>
      <w:r w:rsidR="00C913F9" w:rsidRPr="00E565AE">
        <w:rPr>
          <w:rFonts w:asciiTheme="minorHAnsi" w:hAnsiTheme="minorHAnsi" w:cstheme="minorHAnsi"/>
          <w:color w:val="000000" w:themeColor="text1"/>
          <w:sz w:val="20"/>
          <w:szCs w:val="20"/>
        </w:rPr>
        <w:t xml:space="preserve">nell'intestino. </w:t>
      </w:r>
    </w:p>
    <w:p w:rsidR="006831B7" w:rsidRPr="00E565AE" w:rsidRDefault="006831B7" w:rsidP="00B648DA">
      <w:pPr>
        <w:jc w:val="both"/>
        <w:rPr>
          <w:rFonts w:asciiTheme="minorHAnsi" w:hAnsiTheme="minorHAnsi" w:cstheme="minorHAnsi"/>
          <w:color w:val="000000" w:themeColor="text1"/>
          <w:sz w:val="20"/>
          <w:szCs w:val="20"/>
        </w:rPr>
      </w:pPr>
    </w:p>
    <w:p w:rsidR="008323F2" w:rsidRDefault="00C913F9"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Pertanto, le molecole batteriche sistemiche </w:t>
      </w:r>
      <w:r w:rsidR="003E5A42" w:rsidRPr="00E565AE">
        <w:rPr>
          <w:rFonts w:asciiTheme="minorHAnsi" w:hAnsiTheme="minorHAnsi" w:cstheme="minorHAnsi"/>
          <w:color w:val="000000" w:themeColor="text1"/>
          <w:sz w:val="20"/>
          <w:szCs w:val="20"/>
        </w:rPr>
        <w:t>sono in grado di agire</w:t>
      </w:r>
      <w:r w:rsidRPr="00E565AE">
        <w:rPr>
          <w:rFonts w:asciiTheme="minorHAnsi" w:hAnsiTheme="minorHAnsi" w:cstheme="minorHAnsi"/>
          <w:color w:val="000000" w:themeColor="text1"/>
          <w:sz w:val="20"/>
          <w:szCs w:val="20"/>
        </w:rPr>
        <w:t xml:space="preserve"> direttamente</w:t>
      </w:r>
      <w:r w:rsidR="00CC4795"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su</w:t>
      </w:r>
      <w:r w:rsidR="003E5A42" w:rsidRPr="00E565AE">
        <w:rPr>
          <w:rFonts w:asciiTheme="minorHAnsi" w:hAnsiTheme="minorHAnsi" w:cstheme="minorHAnsi"/>
          <w:color w:val="000000" w:themeColor="text1"/>
          <w:sz w:val="20"/>
          <w:szCs w:val="20"/>
        </w:rPr>
        <w:t xml:space="preserve">lle vie del segnale </w:t>
      </w:r>
      <w:r w:rsidRPr="00E565AE">
        <w:rPr>
          <w:rFonts w:asciiTheme="minorHAnsi" w:hAnsiTheme="minorHAnsi" w:cstheme="minorHAnsi"/>
          <w:color w:val="000000" w:themeColor="text1"/>
          <w:sz w:val="20"/>
          <w:szCs w:val="20"/>
        </w:rPr>
        <w:t xml:space="preserve">dell'appetito </w:t>
      </w:r>
      <w:r w:rsidR="003E5A42" w:rsidRPr="00E565AE">
        <w:rPr>
          <w:rFonts w:asciiTheme="minorHAnsi" w:hAnsiTheme="minorHAnsi" w:cstheme="minorHAnsi"/>
          <w:color w:val="000000" w:themeColor="text1"/>
          <w:sz w:val="20"/>
          <w:szCs w:val="20"/>
        </w:rPr>
        <w:t>modificando</w:t>
      </w:r>
      <w:r w:rsidRPr="00E565AE">
        <w:rPr>
          <w:rFonts w:asciiTheme="minorHAnsi" w:hAnsiTheme="minorHAnsi" w:cstheme="minorHAnsi"/>
          <w:color w:val="000000" w:themeColor="text1"/>
          <w:sz w:val="20"/>
          <w:szCs w:val="20"/>
        </w:rPr>
        <w:t xml:space="preserve"> lo stato energetico </w:t>
      </w:r>
      <w:r w:rsidR="003E5A42" w:rsidRPr="00E565AE">
        <w:rPr>
          <w:rFonts w:asciiTheme="minorHAnsi" w:hAnsiTheme="minorHAnsi" w:cstheme="minorHAnsi"/>
          <w:color w:val="000000" w:themeColor="text1"/>
          <w:sz w:val="20"/>
          <w:szCs w:val="20"/>
        </w:rPr>
        <w:t>sia dell’</w:t>
      </w:r>
      <w:r w:rsidRPr="00E565AE">
        <w:rPr>
          <w:rFonts w:asciiTheme="minorHAnsi" w:hAnsiTheme="minorHAnsi" w:cstheme="minorHAnsi"/>
          <w:color w:val="000000" w:themeColor="text1"/>
          <w:sz w:val="20"/>
          <w:szCs w:val="20"/>
        </w:rPr>
        <w:t>ospit</w:t>
      </w:r>
      <w:r w:rsidR="003E5A42" w:rsidRPr="00E565AE">
        <w:rPr>
          <w:rFonts w:asciiTheme="minorHAnsi" w:hAnsiTheme="minorHAnsi" w:cstheme="minorHAnsi"/>
          <w:color w:val="000000" w:themeColor="text1"/>
          <w:sz w:val="20"/>
          <w:szCs w:val="20"/>
        </w:rPr>
        <w:t>e ch</w:t>
      </w:r>
      <w:r w:rsidRPr="00E565AE">
        <w:rPr>
          <w:rFonts w:asciiTheme="minorHAnsi" w:hAnsiTheme="minorHAnsi" w:cstheme="minorHAnsi"/>
          <w:color w:val="000000" w:themeColor="text1"/>
          <w:sz w:val="20"/>
          <w:szCs w:val="20"/>
        </w:rPr>
        <w:t>e</w:t>
      </w:r>
      <w:r w:rsidR="003E5A42" w:rsidRPr="00E565AE">
        <w:rPr>
          <w:rFonts w:asciiTheme="minorHAnsi" w:hAnsiTheme="minorHAnsi" w:cstheme="minorHAnsi"/>
          <w:color w:val="000000" w:themeColor="text1"/>
          <w:sz w:val="20"/>
          <w:szCs w:val="20"/>
        </w:rPr>
        <w:t xml:space="preserve"> del</w:t>
      </w:r>
      <w:r w:rsidRPr="00E565AE">
        <w:rPr>
          <w:rFonts w:asciiTheme="minorHAnsi" w:hAnsiTheme="minorHAnsi" w:cstheme="minorHAnsi"/>
          <w:color w:val="000000" w:themeColor="text1"/>
          <w:sz w:val="20"/>
          <w:szCs w:val="20"/>
        </w:rPr>
        <w:t xml:space="preserve"> suo microbiota intestinale. </w:t>
      </w:r>
    </w:p>
    <w:p w:rsidR="006831B7" w:rsidRPr="00E565AE" w:rsidRDefault="006831B7" w:rsidP="00B648DA">
      <w:pPr>
        <w:jc w:val="both"/>
        <w:rPr>
          <w:rFonts w:asciiTheme="minorHAnsi" w:hAnsiTheme="minorHAnsi" w:cstheme="minorHAnsi"/>
          <w:color w:val="000000" w:themeColor="text1"/>
          <w:sz w:val="20"/>
          <w:szCs w:val="20"/>
        </w:rPr>
      </w:pPr>
    </w:p>
    <w:p w:rsidR="003C2C76" w:rsidRPr="00E565AE" w:rsidRDefault="00C913F9"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Questa modulazione </w:t>
      </w:r>
      <w:r w:rsidR="003E5A42" w:rsidRPr="00E565AE">
        <w:rPr>
          <w:rFonts w:asciiTheme="minorHAnsi" w:hAnsiTheme="minorHAnsi" w:cstheme="minorHAnsi"/>
          <w:color w:val="000000" w:themeColor="text1"/>
          <w:sz w:val="20"/>
          <w:szCs w:val="20"/>
        </w:rPr>
        <w:t xml:space="preserve">a breve termine </w:t>
      </w:r>
      <w:r w:rsidRPr="00E565AE">
        <w:rPr>
          <w:rFonts w:asciiTheme="minorHAnsi" w:hAnsiTheme="minorHAnsi" w:cstheme="minorHAnsi"/>
          <w:color w:val="000000" w:themeColor="text1"/>
          <w:sz w:val="20"/>
          <w:szCs w:val="20"/>
        </w:rPr>
        <w:t>della sazietà intestinale da parte d</w:t>
      </w:r>
      <w:r w:rsidR="003E5A42" w:rsidRPr="00E565AE">
        <w:rPr>
          <w:rFonts w:asciiTheme="minorHAnsi" w:hAnsiTheme="minorHAnsi" w:cstheme="minorHAnsi"/>
          <w:color w:val="000000" w:themeColor="text1"/>
          <w:sz w:val="20"/>
          <w:szCs w:val="20"/>
        </w:rPr>
        <w:t xml:space="preserve">ella crescita </w:t>
      </w:r>
      <w:r w:rsidRPr="00E565AE">
        <w:rPr>
          <w:rFonts w:asciiTheme="minorHAnsi" w:hAnsiTheme="minorHAnsi" w:cstheme="minorHAnsi"/>
          <w:color w:val="000000" w:themeColor="text1"/>
          <w:sz w:val="20"/>
          <w:szCs w:val="20"/>
        </w:rPr>
        <w:t>batteri</w:t>
      </w:r>
      <w:r w:rsidR="003E5A42" w:rsidRPr="00E565AE">
        <w:rPr>
          <w:rFonts w:asciiTheme="minorHAnsi" w:hAnsiTheme="minorHAnsi" w:cstheme="minorHAnsi"/>
          <w:color w:val="000000" w:themeColor="text1"/>
          <w:sz w:val="20"/>
          <w:szCs w:val="20"/>
        </w:rPr>
        <w:t>ca</w:t>
      </w:r>
      <w:r w:rsidRPr="00E565AE">
        <w:rPr>
          <w:rFonts w:asciiTheme="minorHAnsi" w:hAnsiTheme="minorHAnsi" w:cstheme="minorHAnsi"/>
          <w:color w:val="000000" w:themeColor="text1"/>
          <w:sz w:val="20"/>
          <w:szCs w:val="20"/>
        </w:rPr>
        <w:t xml:space="preserve"> può essere abbinata al controllo a lungo termine dell'appetito, che</w:t>
      </w:r>
      <w:r w:rsidR="00D73290" w:rsidRPr="00E565AE">
        <w:rPr>
          <w:rFonts w:asciiTheme="minorHAnsi" w:hAnsiTheme="minorHAnsi" w:cstheme="minorHAnsi"/>
          <w:color w:val="000000" w:themeColor="text1"/>
          <w:sz w:val="20"/>
          <w:szCs w:val="20"/>
        </w:rPr>
        <w:t xml:space="preserve"> a sua volta</w:t>
      </w:r>
      <w:r w:rsidRPr="00E565AE">
        <w:rPr>
          <w:rFonts w:asciiTheme="minorHAnsi" w:hAnsiTheme="minorHAnsi" w:cstheme="minorHAnsi"/>
          <w:color w:val="000000" w:themeColor="text1"/>
          <w:sz w:val="20"/>
          <w:szCs w:val="20"/>
        </w:rPr>
        <w:t xml:space="preserve"> è regolato da</w:t>
      </w:r>
      <w:r w:rsidR="00D73290" w:rsidRPr="00E565AE">
        <w:rPr>
          <w:rFonts w:asciiTheme="minorHAnsi" w:hAnsiTheme="minorHAnsi" w:cstheme="minorHAnsi"/>
          <w:color w:val="000000" w:themeColor="text1"/>
          <w:sz w:val="20"/>
          <w:szCs w:val="20"/>
        </w:rPr>
        <w:t>i</w:t>
      </w:r>
      <w:r w:rsidR="00CC4795"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circuiti neuropeptidergici nell'ipotalamo</w:t>
      </w:r>
      <w:r w:rsidR="00D73290" w:rsidRPr="00E565AE">
        <w:rPr>
          <w:rFonts w:asciiTheme="minorHAnsi" w:hAnsiTheme="minorHAnsi" w:cstheme="minorHAnsi"/>
          <w:color w:val="000000" w:themeColor="text1"/>
          <w:sz w:val="20"/>
          <w:szCs w:val="20"/>
        </w:rPr>
        <w:t xml:space="preserve"> </w:t>
      </w:r>
      <w:r w:rsidR="00863B73" w:rsidRPr="006831B7">
        <w:rPr>
          <w:rFonts w:asciiTheme="minorHAnsi" w:hAnsiTheme="minorHAnsi" w:cstheme="minorHAnsi"/>
          <w:color w:val="C00000"/>
          <w:sz w:val="20"/>
          <w:szCs w:val="20"/>
          <w:vertAlign w:val="superscript"/>
        </w:rPr>
        <w:t>[</w:t>
      </w:r>
      <w:r w:rsidRPr="006831B7">
        <w:rPr>
          <w:rFonts w:asciiTheme="minorHAnsi" w:hAnsiTheme="minorHAnsi" w:cstheme="minorHAnsi"/>
          <w:color w:val="C00000"/>
          <w:sz w:val="20"/>
          <w:szCs w:val="20"/>
          <w:vertAlign w:val="superscript"/>
        </w:rPr>
        <w:t>154</w:t>
      </w:r>
      <w:r w:rsidR="00863B73" w:rsidRPr="006831B7">
        <w:rPr>
          <w:rFonts w:asciiTheme="minorHAnsi" w:hAnsiTheme="minorHAnsi" w:cstheme="minorHAnsi"/>
          <w:color w:val="C00000"/>
          <w:sz w:val="20"/>
          <w:szCs w:val="20"/>
          <w:vertAlign w:val="superscript"/>
        </w:rPr>
        <w:t>]</w:t>
      </w:r>
      <w:r w:rsidRPr="00E565AE">
        <w:rPr>
          <w:rFonts w:asciiTheme="minorHAnsi" w:hAnsiTheme="minorHAnsi" w:cstheme="minorHAnsi"/>
          <w:color w:val="000000" w:themeColor="text1"/>
          <w:sz w:val="20"/>
          <w:szCs w:val="20"/>
        </w:rPr>
        <w:t>.</w:t>
      </w:r>
      <w:r w:rsidR="00CE2E49" w:rsidRPr="00E565AE">
        <w:rPr>
          <w:rFonts w:asciiTheme="minorHAnsi" w:hAnsiTheme="minorHAnsi" w:cstheme="minorHAnsi"/>
          <w:color w:val="000000" w:themeColor="text1"/>
          <w:sz w:val="20"/>
          <w:szCs w:val="20"/>
        </w:rPr>
        <w:t xml:space="preserve"> </w:t>
      </w:r>
    </w:p>
    <w:p w:rsidR="008323F2" w:rsidRPr="00E565AE" w:rsidRDefault="008323F2" w:rsidP="00B648DA">
      <w:pPr>
        <w:jc w:val="both"/>
        <w:rPr>
          <w:rFonts w:asciiTheme="minorHAnsi" w:hAnsiTheme="minorHAnsi" w:cstheme="minorHAnsi"/>
          <w:color w:val="000000" w:themeColor="text1"/>
          <w:sz w:val="20"/>
          <w:szCs w:val="20"/>
        </w:rPr>
      </w:pPr>
    </w:p>
    <w:p w:rsidR="00D73290" w:rsidRPr="00E565AE" w:rsidRDefault="00D73290" w:rsidP="00B648DA">
      <w:pPr>
        <w:jc w:val="both"/>
        <w:rPr>
          <w:rFonts w:asciiTheme="minorHAnsi" w:hAnsiTheme="minorHAnsi" w:cstheme="minorHAnsi"/>
          <w:color w:val="000000" w:themeColor="text1"/>
          <w:sz w:val="22"/>
          <w:szCs w:val="22"/>
        </w:rPr>
      </w:pPr>
    </w:p>
    <w:p w:rsidR="00F9574E" w:rsidRDefault="00F9574E" w:rsidP="00B648DA">
      <w:pPr>
        <w:jc w:val="both"/>
        <w:rPr>
          <w:rFonts w:asciiTheme="minorHAnsi" w:hAnsiTheme="minorHAnsi" w:cstheme="minorHAnsi"/>
          <w:color w:val="000000" w:themeColor="text1"/>
          <w:sz w:val="22"/>
          <w:szCs w:val="22"/>
        </w:rPr>
      </w:pPr>
      <w:r w:rsidRPr="00E565AE">
        <w:rPr>
          <w:rFonts w:asciiTheme="minorHAnsi" w:hAnsiTheme="minorHAnsi" w:cstheme="minorHAnsi"/>
          <w:color w:val="000000" w:themeColor="text1"/>
          <w:sz w:val="22"/>
          <w:szCs w:val="22"/>
        </w:rPr>
        <w:fldChar w:fldCharType="begin"/>
      </w:r>
      <w:r w:rsidRPr="00E565AE">
        <w:rPr>
          <w:rFonts w:asciiTheme="minorHAnsi" w:hAnsiTheme="minorHAnsi" w:cstheme="minorHAnsi"/>
          <w:color w:val="000000" w:themeColor="text1"/>
          <w:sz w:val="22"/>
          <w:szCs w:val="22"/>
        </w:rPr>
        <w:instrText xml:space="preserve"> INCLUDEPICTURE "https://media.springernature.com/full/springer-static/image/art%3A10.1038%2Fs41574-018-0059-4/MediaObjects/41574_2018_59_Fig3_HTML.png" \* MERGEFORMATINET </w:instrText>
      </w:r>
      <w:r w:rsidRPr="00E565AE">
        <w:rPr>
          <w:rFonts w:asciiTheme="minorHAnsi" w:hAnsiTheme="minorHAnsi" w:cstheme="minorHAnsi"/>
          <w:color w:val="000000" w:themeColor="text1"/>
          <w:sz w:val="22"/>
          <w:szCs w:val="22"/>
        </w:rPr>
        <w:fldChar w:fldCharType="separate"/>
      </w:r>
      <w:r w:rsidRPr="00E565AE">
        <w:rPr>
          <w:rFonts w:asciiTheme="minorHAnsi" w:hAnsiTheme="minorHAnsi" w:cstheme="minorHAnsi"/>
          <w:noProof/>
          <w:color w:val="000000" w:themeColor="text1"/>
          <w:sz w:val="22"/>
          <w:szCs w:val="22"/>
        </w:rPr>
        <w:drawing>
          <wp:inline distT="0" distB="0" distL="0" distR="0">
            <wp:extent cx="6116320" cy="3275965"/>
            <wp:effectExtent l="0" t="0" r="5080" b="635"/>
            <wp:docPr id="193" name="Immagine 19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116320" cy="3275965"/>
                    </a:xfrm>
                    <a:prstGeom prst="rect">
                      <a:avLst/>
                    </a:prstGeom>
                    <a:noFill/>
                    <a:ln>
                      <a:noFill/>
                    </a:ln>
                  </pic:spPr>
                </pic:pic>
              </a:graphicData>
            </a:graphic>
          </wp:inline>
        </w:drawing>
      </w:r>
      <w:r w:rsidRPr="00E565AE">
        <w:rPr>
          <w:rFonts w:asciiTheme="minorHAnsi" w:hAnsiTheme="minorHAnsi" w:cstheme="minorHAnsi"/>
          <w:color w:val="000000" w:themeColor="text1"/>
          <w:sz w:val="22"/>
          <w:szCs w:val="22"/>
        </w:rPr>
        <w:fldChar w:fldCharType="end"/>
      </w:r>
    </w:p>
    <w:p w:rsidR="006831B7" w:rsidRPr="00E565AE" w:rsidRDefault="006831B7" w:rsidP="00B648DA">
      <w:pPr>
        <w:jc w:val="both"/>
        <w:rPr>
          <w:rFonts w:asciiTheme="minorHAnsi" w:hAnsiTheme="minorHAnsi" w:cstheme="minorHAnsi"/>
          <w:color w:val="000000" w:themeColor="text1"/>
          <w:sz w:val="22"/>
          <w:szCs w:val="22"/>
        </w:rPr>
      </w:pPr>
    </w:p>
    <w:p w:rsidR="006F0CC0" w:rsidRPr="006831B7" w:rsidRDefault="00863B73" w:rsidP="006831B7">
      <w:pPr>
        <w:shd w:val="clear" w:color="auto" w:fill="F2F2F2" w:themeFill="background1" w:themeFillShade="F2"/>
        <w:jc w:val="both"/>
        <w:rPr>
          <w:rFonts w:asciiTheme="minorHAnsi" w:hAnsiTheme="minorHAnsi"/>
          <w:color w:val="000000" w:themeColor="text1"/>
          <w:sz w:val="18"/>
          <w:szCs w:val="18"/>
        </w:rPr>
      </w:pPr>
      <w:r w:rsidRPr="006831B7">
        <w:rPr>
          <w:rFonts w:asciiTheme="minorHAnsi" w:hAnsiTheme="minorHAnsi"/>
          <w:color w:val="000000" w:themeColor="text1"/>
          <w:sz w:val="18"/>
          <w:szCs w:val="18"/>
        </w:rPr>
        <w:t xml:space="preserve">Tratta da </w:t>
      </w:r>
    </w:p>
    <w:p w:rsidR="008A1BF8" w:rsidRPr="006831B7" w:rsidRDefault="0052743C" w:rsidP="006831B7">
      <w:pPr>
        <w:shd w:val="clear" w:color="auto" w:fill="F2F2F2" w:themeFill="background1" w:themeFillShade="F2"/>
        <w:jc w:val="both"/>
        <w:rPr>
          <w:rFonts w:asciiTheme="minorHAnsi" w:hAnsiTheme="minorHAnsi" w:cstheme="minorHAnsi"/>
          <w:color w:val="000000" w:themeColor="text1"/>
          <w:sz w:val="18"/>
          <w:szCs w:val="18"/>
        </w:rPr>
      </w:pPr>
      <w:hyperlink r:id="rId173" w:history="1">
        <w:r w:rsidR="006F0CC0" w:rsidRPr="006831B7">
          <w:rPr>
            <w:rStyle w:val="Hyperlink"/>
            <w:rFonts w:asciiTheme="minorHAnsi" w:hAnsiTheme="minorHAnsi" w:cstheme="minorHAnsi"/>
            <w:color w:val="000000" w:themeColor="text1"/>
            <w:sz w:val="18"/>
            <w:szCs w:val="18"/>
            <w:u w:val="none"/>
          </w:rPr>
          <w:t>https://www.semanticscholar.org/paper/Inflammaging%3A-a-new-immune%E2%80%93metabolic-viewpoint-for-Franceschi-Garagnani/6247ca2e33d38d072f1f7196e156b43975d00e71</w:t>
        </w:r>
      </w:hyperlink>
    </w:p>
    <w:p w:rsidR="006831B7" w:rsidRDefault="00863B73" w:rsidP="006831B7">
      <w:pPr>
        <w:shd w:val="clear" w:color="auto" w:fill="F2F2F2" w:themeFill="background1" w:themeFillShade="F2"/>
        <w:jc w:val="both"/>
        <w:rPr>
          <w:rFonts w:asciiTheme="minorHAnsi" w:hAnsiTheme="minorHAnsi" w:cstheme="minorHAnsi"/>
          <w:color w:val="000000" w:themeColor="text1"/>
          <w:sz w:val="18"/>
          <w:szCs w:val="18"/>
        </w:rPr>
      </w:pPr>
      <w:r w:rsidRPr="006831B7">
        <w:rPr>
          <w:rFonts w:asciiTheme="minorHAnsi" w:hAnsiTheme="minorHAnsi" w:cstheme="minorHAnsi"/>
          <w:b/>
          <w:bCs/>
          <w:color w:val="000000" w:themeColor="text1"/>
          <w:sz w:val="18"/>
          <w:szCs w:val="18"/>
        </w:rPr>
        <w:t>Il microbiota intestinale come modulatore chiave della nutrizione e dell'infiammazione</w:t>
      </w:r>
      <w:r w:rsidRPr="006831B7">
        <w:rPr>
          <w:rFonts w:asciiTheme="minorHAnsi" w:hAnsiTheme="minorHAnsi" w:cstheme="minorHAnsi"/>
          <w:color w:val="000000" w:themeColor="text1"/>
          <w:sz w:val="18"/>
          <w:szCs w:val="18"/>
        </w:rPr>
        <w:t>. Il microbiota intestinale trasforma i segnali ambientali e le molecole alimentari in segnali di metaboliti per comunicare con diversi organi e tessuti</w:t>
      </w:r>
      <w:r w:rsidR="007B79B5" w:rsidRPr="006831B7">
        <w:rPr>
          <w:rFonts w:asciiTheme="minorHAnsi" w:hAnsiTheme="minorHAnsi" w:cstheme="minorHAnsi"/>
          <w:color w:val="000000" w:themeColor="text1"/>
          <w:sz w:val="18"/>
          <w:szCs w:val="18"/>
        </w:rPr>
        <w:t xml:space="preserve"> </w:t>
      </w:r>
      <w:r w:rsidRPr="006831B7">
        <w:rPr>
          <w:rFonts w:asciiTheme="minorHAnsi" w:hAnsiTheme="minorHAnsi" w:cstheme="minorHAnsi"/>
          <w:color w:val="000000" w:themeColor="text1"/>
          <w:sz w:val="18"/>
          <w:szCs w:val="18"/>
        </w:rPr>
        <w:t xml:space="preserve">nell'ospite, mediando l'infiammazione legata al pasto. </w:t>
      </w:r>
    </w:p>
    <w:p w:rsidR="006831B7" w:rsidRDefault="007B79B5" w:rsidP="006831B7">
      <w:pPr>
        <w:shd w:val="clear" w:color="auto" w:fill="F2F2F2" w:themeFill="background1" w:themeFillShade="F2"/>
        <w:jc w:val="both"/>
        <w:rPr>
          <w:rFonts w:asciiTheme="minorHAnsi" w:hAnsiTheme="minorHAnsi" w:cstheme="minorHAnsi"/>
          <w:color w:val="000000" w:themeColor="text1"/>
          <w:sz w:val="18"/>
          <w:szCs w:val="18"/>
        </w:rPr>
      </w:pPr>
      <w:r w:rsidRPr="006831B7">
        <w:rPr>
          <w:rFonts w:asciiTheme="minorHAnsi" w:hAnsiTheme="minorHAnsi" w:cstheme="minorHAnsi"/>
          <w:b/>
          <w:bCs/>
          <w:color w:val="000000" w:themeColor="text1"/>
          <w:sz w:val="18"/>
          <w:szCs w:val="18"/>
        </w:rPr>
        <w:t>a)</w:t>
      </w:r>
      <w:r w:rsidR="00863B73" w:rsidRPr="006831B7">
        <w:rPr>
          <w:rFonts w:asciiTheme="minorHAnsi" w:hAnsiTheme="minorHAnsi" w:cstheme="minorHAnsi"/>
          <w:color w:val="000000" w:themeColor="text1"/>
          <w:sz w:val="18"/>
          <w:szCs w:val="18"/>
        </w:rPr>
        <w:t xml:space="preserve"> </w:t>
      </w:r>
      <w:r w:rsidRPr="006831B7">
        <w:rPr>
          <w:rFonts w:asciiTheme="minorHAnsi" w:hAnsiTheme="minorHAnsi" w:cstheme="minorHAnsi"/>
          <w:color w:val="000000" w:themeColor="text1"/>
          <w:sz w:val="18"/>
          <w:szCs w:val="18"/>
        </w:rPr>
        <w:t>sono mostrate l</w:t>
      </w:r>
      <w:r w:rsidR="00863B73" w:rsidRPr="006831B7">
        <w:rPr>
          <w:rFonts w:asciiTheme="minorHAnsi" w:hAnsiTheme="minorHAnsi" w:cstheme="minorHAnsi"/>
          <w:color w:val="000000" w:themeColor="text1"/>
          <w:sz w:val="18"/>
          <w:szCs w:val="18"/>
        </w:rPr>
        <w:t xml:space="preserve">e connessioni tra il microbiota intestinale e </w:t>
      </w:r>
      <w:r w:rsidRPr="006831B7">
        <w:rPr>
          <w:rFonts w:asciiTheme="minorHAnsi" w:hAnsiTheme="minorHAnsi" w:cstheme="minorHAnsi"/>
          <w:color w:val="000000" w:themeColor="text1"/>
          <w:sz w:val="18"/>
          <w:szCs w:val="18"/>
        </w:rPr>
        <w:t xml:space="preserve">i </w:t>
      </w:r>
      <w:r w:rsidR="00863B73" w:rsidRPr="006831B7">
        <w:rPr>
          <w:rFonts w:asciiTheme="minorHAnsi" w:hAnsiTheme="minorHAnsi" w:cstheme="minorHAnsi"/>
          <w:color w:val="000000" w:themeColor="text1"/>
          <w:sz w:val="18"/>
          <w:szCs w:val="18"/>
        </w:rPr>
        <w:t>tre</w:t>
      </w:r>
      <w:r w:rsidRPr="006831B7">
        <w:rPr>
          <w:rFonts w:asciiTheme="minorHAnsi" w:hAnsiTheme="minorHAnsi" w:cstheme="minorHAnsi"/>
          <w:color w:val="000000" w:themeColor="text1"/>
          <w:sz w:val="18"/>
          <w:szCs w:val="18"/>
        </w:rPr>
        <w:t xml:space="preserve"> </w:t>
      </w:r>
      <w:r w:rsidR="00863B73" w:rsidRPr="006831B7">
        <w:rPr>
          <w:rFonts w:asciiTheme="minorHAnsi" w:hAnsiTheme="minorHAnsi" w:cstheme="minorHAnsi"/>
          <w:color w:val="000000" w:themeColor="text1"/>
          <w:sz w:val="18"/>
          <w:szCs w:val="18"/>
        </w:rPr>
        <w:t>organi metabolicamente importanti (fegato, cervello e tessuto adiposo). Intestino e fegato formano un legame bidirezionale chiamato asse intestino-fegato attraverso la vena porta e il dotto biliare. Il microbiota intestinale stabilisce anche un</w:t>
      </w:r>
      <w:r w:rsidRPr="006831B7">
        <w:rPr>
          <w:rFonts w:asciiTheme="minorHAnsi" w:hAnsiTheme="minorHAnsi" w:cstheme="minorHAnsi"/>
          <w:color w:val="000000" w:themeColor="text1"/>
          <w:sz w:val="18"/>
          <w:szCs w:val="18"/>
        </w:rPr>
        <w:t>a</w:t>
      </w:r>
      <w:r w:rsidR="00863B73" w:rsidRPr="006831B7">
        <w:rPr>
          <w:rFonts w:asciiTheme="minorHAnsi" w:hAnsiTheme="minorHAnsi" w:cstheme="minorHAnsi"/>
          <w:color w:val="000000" w:themeColor="text1"/>
          <w:sz w:val="18"/>
          <w:szCs w:val="18"/>
        </w:rPr>
        <w:t xml:space="preserve"> forte </w:t>
      </w:r>
      <w:r w:rsidRPr="006831B7">
        <w:rPr>
          <w:rFonts w:asciiTheme="minorHAnsi" w:hAnsiTheme="minorHAnsi" w:cstheme="minorHAnsi"/>
          <w:color w:val="000000" w:themeColor="text1"/>
          <w:sz w:val="18"/>
          <w:szCs w:val="18"/>
        </w:rPr>
        <w:t xml:space="preserve">connessione </w:t>
      </w:r>
      <w:r w:rsidR="00863B73" w:rsidRPr="006831B7">
        <w:rPr>
          <w:rFonts w:asciiTheme="minorHAnsi" w:hAnsiTheme="minorHAnsi" w:cstheme="minorHAnsi"/>
          <w:color w:val="000000" w:themeColor="text1"/>
          <w:sz w:val="18"/>
          <w:szCs w:val="18"/>
        </w:rPr>
        <w:t>bidirezionale</w:t>
      </w:r>
      <w:r w:rsidRPr="006831B7">
        <w:rPr>
          <w:rFonts w:asciiTheme="minorHAnsi" w:hAnsiTheme="minorHAnsi" w:cstheme="minorHAnsi"/>
          <w:color w:val="000000" w:themeColor="text1"/>
          <w:sz w:val="18"/>
          <w:szCs w:val="18"/>
        </w:rPr>
        <w:t xml:space="preserve"> </w:t>
      </w:r>
      <w:r w:rsidR="00863B73" w:rsidRPr="006831B7">
        <w:rPr>
          <w:rFonts w:asciiTheme="minorHAnsi" w:hAnsiTheme="minorHAnsi" w:cstheme="minorHAnsi"/>
          <w:color w:val="000000" w:themeColor="text1"/>
          <w:sz w:val="18"/>
          <w:szCs w:val="18"/>
        </w:rPr>
        <w:t>con il sistema nervoso centrale chiamato asse intestino-cervello. Il microbiota intestinale comunica anche con</w:t>
      </w:r>
      <w:r w:rsidRPr="006831B7">
        <w:rPr>
          <w:rFonts w:asciiTheme="minorHAnsi" w:hAnsiTheme="minorHAnsi" w:cstheme="minorHAnsi"/>
          <w:color w:val="000000" w:themeColor="text1"/>
          <w:sz w:val="18"/>
          <w:szCs w:val="18"/>
        </w:rPr>
        <w:t xml:space="preserve"> il </w:t>
      </w:r>
      <w:r w:rsidR="00863B73" w:rsidRPr="006831B7">
        <w:rPr>
          <w:rFonts w:asciiTheme="minorHAnsi" w:hAnsiTheme="minorHAnsi" w:cstheme="minorHAnsi"/>
          <w:color w:val="000000" w:themeColor="text1"/>
          <w:sz w:val="18"/>
          <w:szCs w:val="18"/>
        </w:rPr>
        <w:t xml:space="preserve">tessuto adiposo dell'ospite. Anche </w:t>
      </w:r>
      <w:r w:rsidRPr="006831B7">
        <w:rPr>
          <w:rFonts w:asciiTheme="minorHAnsi" w:hAnsiTheme="minorHAnsi" w:cstheme="minorHAnsi"/>
          <w:color w:val="000000" w:themeColor="text1"/>
          <w:sz w:val="18"/>
          <w:szCs w:val="18"/>
        </w:rPr>
        <w:t>la comunicazione</w:t>
      </w:r>
      <w:r w:rsidR="00863B73" w:rsidRPr="006831B7">
        <w:rPr>
          <w:rFonts w:asciiTheme="minorHAnsi" w:hAnsiTheme="minorHAnsi" w:cstheme="minorHAnsi"/>
          <w:color w:val="000000" w:themeColor="text1"/>
          <w:sz w:val="18"/>
          <w:szCs w:val="18"/>
        </w:rPr>
        <w:t xml:space="preserve"> tra il microbiota intestinale e gli altri organi è regolat</w:t>
      </w:r>
      <w:r w:rsidRPr="006831B7">
        <w:rPr>
          <w:rFonts w:asciiTheme="minorHAnsi" w:hAnsiTheme="minorHAnsi" w:cstheme="minorHAnsi"/>
          <w:color w:val="000000" w:themeColor="text1"/>
          <w:sz w:val="18"/>
          <w:szCs w:val="18"/>
        </w:rPr>
        <w:t>a</w:t>
      </w:r>
      <w:r w:rsidR="00863B73" w:rsidRPr="006831B7">
        <w:rPr>
          <w:rFonts w:asciiTheme="minorHAnsi" w:hAnsiTheme="minorHAnsi" w:cstheme="minorHAnsi"/>
          <w:color w:val="000000" w:themeColor="text1"/>
          <w:sz w:val="18"/>
          <w:szCs w:val="18"/>
        </w:rPr>
        <w:t xml:space="preserve"> da</w:t>
      </w:r>
      <w:r w:rsidRPr="006831B7">
        <w:rPr>
          <w:rFonts w:asciiTheme="minorHAnsi" w:hAnsiTheme="minorHAnsi" w:cstheme="minorHAnsi"/>
          <w:color w:val="000000" w:themeColor="text1"/>
          <w:sz w:val="18"/>
          <w:szCs w:val="18"/>
        </w:rPr>
        <w:t>i</w:t>
      </w:r>
      <w:r w:rsidR="00863B73" w:rsidRPr="006831B7">
        <w:rPr>
          <w:rFonts w:asciiTheme="minorHAnsi" w:hAnsiTheme="minorHAnsi" w:cstheme="minorHAnsi"/>
          <w:color w:val="000000" w:themeColor="text1"/>
          <w:sz w:val="18"/>
          <w:szCs w:val="18"/>
        </w:rPr>
        <w:t xml:space="preserve"> </w:t>
      </w:r>
      <w:r w:rsidRPr="006831B7">
        <w:rPr>
          <w:rFonts w:asciiTheme="minorHAnsi" w:hAnsiTheme="minorHAnsi" w:cstheme="minorHAnsi"/>
          <w:color w:val="000000" w:themeColor="text1"/>
          <w:sz w:val="18"/>
          <w:szCs w:val="18"/>
        </w:rPr>
        <w:t xml:space="preserve">ritmi </w:t>
      </w:r>
      <w:r w:rsidR="00863B73" w:rsidRPr="006831B7">
        <w:rPr>
          <w:rFonts w:asciiTheme="minorHAnsi" w:hAnsiTheme="minorHAnsi" w:cstheme="minorHAnsi"/>
          <w:color w:val="000000" w:themeColor="text1"/>
          <w:sz w:val="18"/>
          <w:szCs w:val="18"/>
        </w:rPr>
        <w:t>circadian</w:t>
      </w:r>
      <w:r w:rsidRPr="006831B7">
        <w:rPr>
          <w:rFonts w:asciiTheme="minorHAnsi" w:hAnsiTheme="minorHAnsi" w:cstheme="minorHAnsi"/>
          <w:color w:val="000000" w:themeColor="text1"/>
          <w:sz w:val="18"/>
          <w:szCs w:val="18"/>
        </w:rPr>
        <w:t>i</w:t>
      </w:r>
      <w:r w:rsidR="00863B73" w:rsidRPr="006831B7">
        <w:rPr>
          <w:rFonts w:asciiTheme="minorHAnsi" w:hAnsiTheme="minorHAnsi" w:cstheme="minorHAnsi"/>
          <w:color w:val="000000" w:themeColor="text1"/>
          <w:sz w:val="18"/>
          <w:szCs w:val="18"/>
        </w:rPr>
        <w:t xml:space="preserve">, che sono guidati da un orologio </w:t>
      </w:r>
      <w:r w:rsidRPr="006831B7">
        <w:rPr>
          <w:rFonts w:asciiTheme="minorHAnsi" w:hAnsiTheme="minorHAnsi" w:cstheme="minorHAnsi"/>
          <w:color w:val="000000" w:themeColor="text1"/>
          <w:sz w:val="18"/>
          <w:szCs w:val="18"/>
        </w:rPr>
        <w:t xml:space="preserve">centrale che si trova </w:t>
      </w:r>
      <w:r w:rsidR="00863B73" w:rsidRPr="006831B7">
        <w:rPr>
          <w:rFonts w:asciiTheme="minorHAnsi" w:hAnsiTheme="minorHAnsi" w:cstheme="minorHAnsi"/>
          <w:color w:val="000000" w:themeColor="text1"/>
          <w:sz w:val="18"/>
          <w:szCs w:val="18"/>
        </w:rPr>
        <w:t>all'interno dei nuclei soprachiasmatici dell'ipotalamo, ed è principalmente</w:t>
      </w:r>
      <w:r w:rsidRPr="006831B7">
        <w:rPr>
          <w:rFonts w:asciiTheme="minorHAnsi" w:hAnsiTheme="minorHAnsi" w:cstheme="minorHAnsi"/>
          <w:color w:val="000000" w:themeColor="text1"/>
          <w:sz w:val="18"/>
          <w:szCs w:val="18"/>
        </w:rPr>
        <w:t xml:space="preserve"> stimolato</w:t>
      </w:r>
      <w:r w:rsidR="00863B73" w:rsidRPr="006831B7">
        <w:rPr>
          <w:rFonts w:asciiTheme="minorHAnsi" w:hAnsiTheme="minorHAnsi" w:cstheme="minorHAnsi"/>
          <w:color w:val="000000" w:themeColor="text1"/>
          <w:sz w:val="18"/>
          <w:szCs w:val="18"/>
        </w:rPr>
        <w:t xml:space="preserve"> da segnali luminosi</w:t>
      </w:r>
      <w:r w:rsidRPr="006831B7">
        <w:rPr>
          <w:rFonts w:asciiTheme="minorHAnsi" w:hAnsiTheme="minorHAnsi" w:cstheme="minorHAnsi"/>
          <w:color w:val="000000" w:themeColor="text1"/>
          <w:sz w:val="18"/>
          <w:szCs w:val="18"/>
        </w:rPr>
        <w:t xml:space="preserve"> </w:t>
      </w:r>
      <w:r w:rsidRPr="006831B7">
        <w:rPr>
          <w:rFonts w:asciiTheme="minorHAnsi" w:hAnsiTheme="minorHAnsi" w:cstheme="minorHAnsi"/>
          <w:color w:val="C00000"/>
          <w:sz w:val="18"/>
          <w:szCs w:val="18"/>
          <w:vertAlign w:val="superscript"/>
        </w:rPr>
        <w:t>[</w:t>
      </w:r>
      <w:r w:rsidR="00863B73" w:rsidRPr="006831B7">
        <w:rPr>
          <w:rFonts w:asciiTheme="minorHAnsi" w:hAnsiTheme="minorHAnsi" w:cstheme="minorHAnsi"/>
          <w:color w:val="C00000"/>
          <w:sz w:val="18"/>
          <w:szCs w:val="18"/>
          <w:vertAlign w:val="superscript"/>
        </w:rPr>
        <w:t>174</w:t>
      </w:r>
      <w:r w:rsidRPr="006831B7">
        <w:rPr>
          <w:rFonts w:asciiTheme="minorHAnsi" w:hAnsiTheme="minorHAnsi" w:cstheme="minorHAnsi"/>
          <w:color w:val="C00000"/>
          <w:sz w:val="18"/>
          <w:szCs w:val="18"/>
          <w:vertAlign w:val="superscript"/>
        </w:rPr>
        <w:t>]</w:t>
      </w:r>
      <w:r w:rsidR="00863B73" w:rsidRPr="006831B7">
        <w:rPr>
          <w:rFonts w:asciiTheme="minorHAnsi" w:hAnsiTheme="minorHAnsi" w:cstheme="minorHAnsi"/>
          <w:color w:val="000000" w:themeColor="text1"/>
          <w:sz w:val="18"/>
          <w:szCs w:val="18"/>
        </w:rPr>
        <w:t xml:space="preserve">. Inoltre, gli orologi periferici si trovano in tutto il corpo </w:t>
      </w:r>
      <w:r w:rsidRPr="006831B7">
        <w:rPr>
          <w:rFonts w:asciiTheme="minorHAnsi" w:hAnsiTheme="minorHAnsi" w:cstheme="minorHAnsi"/>
          <w:color w:val="000000" w:themeColor="text1"/>
          <w:sz w:val="18"/>
          <w:szCs w:val="18"/>
        </w:rPr>
        <w:t xml:space="preserve">negli </w:t>
      </w:r>
      <w:r w:rsidR="00863B73" w:rsidRPr="006831B7">
        <w:rPr>
          <w:rFonts w:asciiTheme="minorHAnsi" w:hAnsiTheme="minorHAnsi" w:cstheme="minorHAnsi"/>
          <w:color w:val="000000" w:themeColor="text1"/>
          <w:sz w:val="18"/>
          <w:szCs w:val="18"/>
        </w:rPr>
        <w:t>organi periferici come</w:t>
      </w:r>
      <w:r w:rsidRPr="006831B7">
        <w:rPr>
          <w:rFonts w:asciiTheme="minorHAnsi" w:hAnsiTheme="minorHAnsi" w:cstheme="minorHAnsi"/>
          <w:color w:val="000000" w:themeColor="text1"/>
          <w:sz w:val="18"/>
          <w:szCs w:val="18"/>
        </w:rPr>
        <w:t xml:space="preserve"> il </w:t>
      </w:r>
      <w:r w:rsidR="00863B73" w:rsidRPr="006831B7">
        <w:rPr>
          <w:rFonts w:asciiTheme="minorHAnsi" w:hAnsiTheme="minorHAnsi" w:cstheme="minorHAnsi"/>
          <w:color w:val="000000" w:themeColor="text1"/>
          <w:sz w:val="18"/>
          <w:szCs w:val="18"/>
        </w:rPr>
        <w:t xml:space="preserve">fegato, </w:t>
      </w:r>
      <w:r w:rsidRPr="006831B7">
        <w:rPr>
          <w:rFonts w:asciiTheme="minorHAnsi" w:hAnsiTheme="minorHAnsi" w:cstheme="minorHAnsi"/>
          <w:color w:val="000000" w:themeColor="text1"/>
          <w:sz w:val="18"/>
          <w:szCs w:val="18"/>
        </w:rPr>
        <w:t>l’</w:t>
      </w:r>
      <w:r w:rsidR="00863B73" w:rsidRPr="006831B7">
        <w:rPr>
          <w:rFonts w:asciiTheme="minorHAnsi" w:hAnsiTheme="minorHAnsi" w:cstheme="minorHAnsi"/>
          <w:color w:val="000000" w:themeColor="text1"/>
          <w:sz w:val="18"/>
          <w:szCs w:val="18"/>
        </w:rPr>
        <w:t xml:space="preserve">intestino e </w:t>
      </w:r>
      <w:r w:rsidRPr="006831B7">
        <w:rPr>
          <w:rFonts w:asciiTheme="minorHAnsi" w:hAnsiTheme="minorHAnsi" w:cstheme="minorHAnsi"/>
          <w:color w:val="000000" w:themeColor="text1"/>
          <w:sz w:val="18"/>
          <w:szCs w:val="18"/>
        </w:rPr>
        <w:t xml:space="preserve">il </w:t>
      </w:r>
      <w:r w:rsidR="00863B73" w:rsidRPr="006831B7">
        <w:rPr>
          <w:rFonts w:asciiTheme="minorHAnsi" w:hAnsiTheme="minorHAnsi" w:cstheme="minorHAnsi"/>
          <w:color w:val="000000" w:themeColor="text1"/>
          <w:sz w:val="18"/>
          <w:szCs w:val="18"/>
        </w:rPr>
        <w:t>tessuto adiposo</w:t>
      </w:r>
      <w:r w:rsidRPr="006831B7">
        <w:rPr>
          <w:rFonts w:asciiTheme="minorHAnsi" w:hAnsiTheme="minorHAnsi" w:cstheme="minorHAnsi"/>
          <w:color w:val="000000" w:themeColor="text1"/>
          <w:sz w:val="18"/>
          <w:szCs w:val="18"/>
        </w:rPr>
        <w:t xml:space="preserve"> </w:t>
      </w:r>
      <w:r w:rsidRPr="006831B7">
        <w:rPr>
          <w:rFonts w:asciiTheme="minorHAnsi" w:hAnsiTheme="minorHAnsi" w:cstheme="minorHAnsi"/>
          <w:color w:val="C00000"/>
          <w:sz w:val="18"/>
          <w:szCs w:val="18"/>
          <w:vertAlign w:val="superscript"/>
        </w:rPr>
        <w:t>[</w:t>
      </w:r>
      <w:r w:rsidR="00863B73" w:rsidRPr="006831B7">
        <w:rPr>
          <w:rFonts w:asciiTheme="minorHAnsi" w:hAnsiTheme="minorHAnsi" w:cstheme="minorHAnsi"/>
          <w:color w:val="C00000"/>
          <w:sz w:val="18"/>
          <w:szCs w:val="18"/>
          <w:vertAlign w:val="superscript"/>
        </w:rPr>
        <w:t>175</w:t>
      </w:r>
      <w:r w:rsidRPr="006831B7">
        <w:rPr>
          <w:rFonts w:asciiTheme="minorHAnsi" w:hAnsiTheme="minorHAnsi" w:cstheme="minorHAnsi"/>
          <w:color w:val="C00000"/>
          <w:sz w:val="18"/>
          <w:szCs w:val="18"/>
          <w:vertAlign w:val="superscript"/>
        </w:rPr>
        <w:t>]</w:t>
      </w:r>
      <w:r w:rsidR="00863B73" w:rsidRPr="006831B7">
        <w:rPr>
          <w:rFonts w:asciiTheme="minorHAnsi" w:hAnsiTheme="minorHAnsi" w:cstheme="minorHAnsi"/>
          <w:color w:val="000000" w:themeColor="text1"/>
          <w:sz w:val="18"/>
          <w:szCs w:val="18"/>
        </w:rPr>
        <w:t>. Il ritmo di alimentazione e il microbiota intestinale guidano l'orologio periferico (</w:t>
      </w:r>
      <w:r w:rsidRPr="006831B7">
        <w:rPr>
          <w:rFonts w:asciiTheme="minorHAnsi" w:hAnsiTheme="minorHAnsi" w:cstheme="minorHAnsi"/>
          <w:color w:val="000000" w:themeColor="text1"/>
          <w:sz w:val="18"/>
          <w:szCs w:val="18"/>
        </w:rPr>
        <w:t xml:space="preserve">regolazione trascrizionale </w:t>
      </w:r>
      <w:r w:rsidR="00863B73" w:rsidRPr="006831B7">
        <w:rPr>
          <w:rFonts w:asciiTheme="minorHAnsi" w:hAnsiTheme="minorHAnsi" w:cstheme="minorHAnsi"/>
          <w:color w:val="000000" w:themeColor="text1"/>
          <w:sz w:val="18"/>
          <w:szCs w:val="18"/>
        </w:rPr>
        <w:t>circadian</w:t>
      </w:r>
      <w:r w:rsidRPr="006831B7">
        <w:rPr>
          <w:rFonts w:asciiTheme="minorHAnsi" w:hAnsiTheme="minorHAnsi" w:cstheme="minorHAnsi"/>
          <w:color w:val="000000" w:themeColor="text1"/>
          <w:sz w:val="18"/>
          <w:szCs w:val="18"/>
        </w:rPr>
        <w:t>a</w:t>
      </w:r>
      <w:r w:rsidR="00863B73" w:rsidRPr="006831B7">
        <w:rPr>
          <w:rFonts w:asciiTheme="minorHAnsi" w:hAnsiTheme="minorHAnsi" w:cstheme="minorHAnsi"/>
          <w:color w:val="000000" w:themeColor="text1"/>
          <w:sz w:val="18"/>
          <w:szCs w:val="18"/>
        </w:rPr>
        <w:t xml:space="preserve"> tra gli organi), che a sua volta può contribuire alla regolazione dell'orologio centrale (</w:t>
      </w:r>
      <w:r w:rsidRPr="006831B7">
        <w:rPr>
          <w:rFonts w:asciiTheme="minorHAnsi" w:hAnsiTheme="minorHAnsi" w:cstheme="minorHAnsi"/>
          <w:color w:val="000000" w:themeColor="text1"/>
          <w:sz w:val="18"/>
          <w:szCs w:val="18"/>
        </w:rPr>
        <w:t>espressione dei trascritti)</w:t>
      </w:r>
      <w:r w:rsidR="00863B73" w:rsidRPr="006831B7">
        <w:rPr>
          <w:rFonts w:asciiTheme="minorHAnsi" w:hAnsiTheme="minorHAnsi" w:cstheme="minorHAnsi"/>
          <w:color w:val="000000" w:themeColor="text1"/>
          <w:sz w:val="18"/>
          <w:szCs w:val="18"/>
        </w:rPr>
        <w:t>. La "spazzatura" nutrizionale e metabolica contribuisce alla metaflammazione e all'infiamma</w:t>
      </w:r>
      <w:r w:rsidRPr="006831B7">
        <w:rPr>
          <w:rFonts w:asciiTheme="minorHAnsi" w:hAnsiTheme="minorHAnsi" w:cstheme="minorHAnsi"/>
          <w:color w:val="000000" w:themeColor="text1"/>
          <w:sz w:val="18"/>
          <w:szCs w:val="18"/>
        </w:rPr>
        <w:t>ging</w:t>
      </w:r>
      <w:r w:rsidR="00863B73" w:rsidRPr="006831B7">
        <w:rPr>
          <w:rFonts w:asciiTheme="minorHAnsi" w:hAnsiTheme="minorHAnsi" w:cstheme="minorHAnsi"/>
          <w:color w:val="000000" w:themeColor="text1"/>
          <w:sz w:val="18"/>
          <w:szCs w:val="18"/>
        </w:rPr>
        <w:t>.</w:t>
      </w:r>
    </w:p>
    <w:p w:rsidR="00863B73" w:rsidRPr="006831B7" w:rsidRDefault="00863B73" w:rsidP="006831B7">
      <w:pPr>
        <w:shd w:val="clear" w:color="auto" w:fill="F2F2F2" w:themeFill="background1" w:themeFillShade="F2"/>
        <w:jc w:val="both"/>
        <w:rPr>
          <w:rFonts w:asciiTheme="minorHAnsi" w:hAnsiTheme="minorHAnsi" w:cstheme="minorHAnsi"/>
          <w:color w:val="000000" w:themeColor="text1"/>
          <w:sz w:val="18"/>
          <w:szCs w:val="18"/>
        </w:rPr>
      </w:pPr>
      <w:r w:rsidRPr="006831B7">
        <w:rPr>
          <w:rFonts w:asciiTheme="minorHAnsi" w:hAnsiTheme="minorHAnsi" w:cstheme="minorHAnsi"/>
          <w:color w:val="000000" w:themeColor="text1"/>
          <w:sz w:val="18"/>
          <w:szCs w:val="18"/>
        </w:rPr>
        <w:t xml:space="preserve"> </w:t>
      </w:r>
      <w:r w:rsidR="007B79B5" w:rsidRPr="006831B7">
        <w:rPr>
          <w:rFonts w:asciiTheme="minorHAnsi" w:hAnsiTheme="minorHAnsi" w:cstheme="minorHAnsi"/>
          <w:b/>
          <w:bCs/>
          <w:color w:val="000000" w:themeColor="text1"/>
          <w:sz w:val="18"/>
          <w:szCs w:val="18"/>
        </w:rPr>
        <w:t>b)</w:t>
      </w:r>
      <w:r w:rsidR="007B79B5" w:rsidRPr="006831B7">
        <w:rPr>
          <w:rFonts w:asciiTheme="minorHAnsi" w:hAnsiTheme="minorHAnsi" w:cstheme="minorHAnsi"/>
          <w:color w:val="000000" w:themeColor="text1"/>
          <w:sz w:val="18"/>
          <w:szCs w:val="18"/>
        </w:rPr>
        <w:t xml:space="preserve"> </w:t>
      </w:r>
      <w:r w:rsidRPr="006831B7">
        <w:rPr>
          <w:rFonts w:asciiTheme="minorHAnsi" w:hAnsiTheme="minorHAnsi" w:cstheme="minorHAnsi"/>
          <w:color w:val="000000" w:themeColor="text1"/>
          <w:sz w:val="18"/>
          <w:szCs w:val="18"/>
        </w:rPr>
        <w:t>Vengono mostrati i livelli di infiammazione durante i periodi di costante denutrizione (basso apporto calorico), la normale alimentazione (che ha periodi di alimentazione e digiuno) e l'eccessiva nutrizione (alto apporto calorico).</w:t>
      </w:r>
    </w:p>
    <w:p w:rsidR="00863B73" w:rsidRPr="00E565AE" w:rsidRDefault="00863B73" w:rsidP="00B648DA">
      <w:pPr>
        <w:jc w:val="both"/>
        <w:rPr>
          <w:rFonts w:asciiTheme="minorHAnsi" w:hAnsiTheme="minorHAnsi" w:cstheme="minorHAnsi"/>
          <w:color w:val="000000" w:themeColor="text1"/>
          <w:sz w:val="22"/>
          <w:szCs w:val="22"/>
        </w:rPr>
      </w:pPr>
    </w:p>
    <w:p w:rsidR="006831B7" w:rsidRDefault="006831B7"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1268"/>
        <w:jc w:val="both"/>
        <w:rPr>
          <w:rFonts w:asciiTheme="minorHAnsi" w:hAnsiTheme="minorHAnsi" w:cstheme="minorHAnsi"/>
          <w:i/>
          <w:iCs/>
          <w:color w:val="000000" w:themeColor="text1"/>
          <w:sz w:val="20"/>
          <w:szCs w:val="20"/>
        </w:rPr>
      </w:pPr>
    </w:p>
    <w:p w:rsidR="008323F2" w:rsidRDefault="00D73290"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1268"/>
        <w:jc w:val="both"/>
        <w:rPr>
          <w:rFonts w:asciiTheme="minorHAnsi" w:hAnsiTheme="minorHAnsi" w:cstheme="minorHAnsi"/>
          <w:i/>
          <w:iCs/>
          <w:color w:val="C00000"/>
          <w:sz w:val="20"/>
          <w:szCs w:val="20"/>
        </w:rPr>
      </w:pPr>
      <w:r w:rsidRPr="006831B7">
        <w:rPr>
          <w:rFonts w:asciiTheme="minorHAnsi" w:hAnsiTheme="minorHAnsi" w:cstheme="minorHAnsi"/>
          <w:i/>
          <w:iCs/>
          <w:color w:val="000000" w:themeColor="text1"/>
          <w:sz w:val="20"/>
          <w:szCs w:val="20"/>
        </w:rPr>
        <w:t xml:space="preserve">Le risposte immunitarie intestinali durante lo stato di salute e di malattia sono modellate dal microbiota intestinale, e il rimodellamento legato all'età potrebbe contribuire all’infiammazione sistemica, che può direttamente o indirettamente influisce sulla sua composizione. </w:t>
      </w:r>
      <w:r w:rsidR="007B79B5" w:rsidRPr="006831B7">
        <w:rPr>
          <w:rFonts w:asciiTheme="minorHAnsi" w:hAnsiTheme="minorHAnsi" w:cstheme="minorHAnsi"/>
          <w:i/>
          <w:iCs/>
          <w:color w:val="C00000"/>
          <w:sz w:val="20"/>
          <w:szCs w:val="20"/>
          <w:vertAlign w:val="superscript"/>
        </w:rPr>
        <w:t>[</w:t>
      </w:r>
      <w:r w:rsidRPr="006831B7">
        <w:rPr>
          <w:rFonts w:asciiTheme="minorHAnsi" w:hAnsiTheme="minorHAnsi" w:cstheme="minorHAnsi"/>
          <w:i/>
          <w:iCs/>
          <w:color w:val="C00000"/>
          <w:sz w:val="20"/>
          <w:szCs w:val="20"/>
          <w:vertAlign w:val="superscript"/>
        </w:rPr>
        <w:t>62</w:t>
      </w:r>
      <w:r w:rsidR="007B79B5" w:rsidRPr="006831B7">
        <w:rPr>
          <w:rFonts w:asciiTheme="minorHAnsi" w:hAnsiTheme="minorHAnsi" w:cstheme="minorHAnsi"/>
          <w:i/>
          <w:iCs/>
          <w:color w:val="C00000"/>
          <w:sz w:val="20"/>
          <w:szCs w:val="20"/>
          <w:vertAlign w:val="superscript"/>
        </w:rPr>
        <w:t>]</w:t>
      </w:r>
      <w:r w:rsidR="00D449B3" w:rsidRPr="006831B7">
        <w:rPr>
          <w:rFonts w:asciiTheme="minorHAnsi" w:hAnsiTheme="minorHAnsi" w:cstheme="minorHAnsi"/>
          <w:i/>
          <w:iCs/>
          <w:color w:val="C00000"/>
          <w:sz w:val="20"/>
          <w:szCs w:val="20"/>
        </w:rPr>
        <w:t xml:space="preserve"> </w:t>
      </w:r>
      <w:r w:rsidR="006F6F0B" w:rsidRPr="006831B7">
        <w:rPr>
          <w:rStyle w:val="FootnoteReference"/>
          <w:rFonts w:asciiTheme="minorHAnsi" w:hAnsiTheme="minorHAnsi" w:cstheme="minorHAnsi"/>
          <w:i/>
          <w:iCs/>
          <w:color w:val="000000" w:themeColor="text1"/>
          <w:sz w:val="20"/>
          <w:szCs w:val="20"/>
        </w:rPr>
        <w:footnoteReference w:id="218"/>
      </w:r>
    </w:p>
    <w:p w:rsidR="006831B7" w:rsidRPr="006831B7" w:rsidRDefault="006831B7"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1268"/>
        <w:jc w:val="both"/>
        <w:rPr>
          <w:rFonts w:asciiTheme="minorHAnsi" w:hAnsiTheme="minorHAnsi" w:cstheme="minorHAnsi"/>
          <w:i/>
          <w:iCs/>
          <w:color w:val="000000" w:themeColor="text1"/>
          <w:sz w:val="20"/>
          <w:szCs w:val="20"/>
        </w:rPr>
      </w:pPr>
    </w:p>
    <w:p w:rsidR="008323F2" w:rsidRPr="00E565AE" w:rsidRDefault="008323F2" w:rsidP="00B648DA">
      <w:pPr>
        <w:jc w:val="both"/>
        <w:rPr>
          <w:rFonts w:asciiTheme="minorHAnsi" w:hAnsiTheme="minorHAnsi" w:cstheme="minorHAnsi"/>
          <w:color w:val="000000" w:themeColor="text1"/>
          <w:sz w:val="20"/>
          <w:szCs w:val="20"/>
        </w:rPr>
      </w:pPr>
    </w:p>
    <w:p w:rsidR="00CC4795" w:rsidRPr="00E565AE" w:rsidRDefault="00D73290"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In particolare, i cambiamenti nel profilo del microbiota intestinale</w:t>
      </w:r>
      <w:r w:rsidR="00D449B3" w:rsidRPr="00E565AE">
        <w:rPr>
          <w:rFonts w:asciiTheme="minorHAnsi" w:hAnsiTheme="minorHAnsi" w:cstheme="minorHAnsi"/>
          <w:color w:val="000000" w:themeColor="text1"/>
          <w:sz w:val="20"/>
          <w:szCs w:val="20"/>
        </w:rPr>
        <w:t xml:space="preserve"> nei</w:t>
      </w:r>
      <w:r w:rsidRPr="00E565AE">
        <w:rPr>
          <w:rFonts w:asciiTheme="minorHAnsi" w:hAnsiTheme="minorHAnsi" w:cstheme="minorHAnsi"/>
          <w:color w:val="000000" w:themeColor="text1"/>
          <w:sz w:val="20"/>
          <w:szCs w:val="20"/>
        </w:rPr>
        <w:t xml:space="preserve"> centenari, in cui vi è un arricchimento di</w:t>
      </w:r>
      <w:r w:rsidR="00D449B3" w:rsidRPr="00E565AE">
        <w:rPr>
          <w:rFonts w:asciiTheme="minorHAnsi" w:hAnsiTheme="minorHAnsi" w:cstheme="minorHAnsi"/>
          <w:color w:val="000000" w:themeColor="text1"/>
          <w:sz w:val="20"/>
          <w:szCs w:val="20"/>
        </w:rPr>
        <w:t xml:space="preserve"> </w:t>
      </w:r>
      <w:r w:rsidRPr="00E565AE">
        <w:rPr>
          <w:rFonts w:asciiTheme="minorHAnsi" w:hAnsiTheme="minorHAnsi" w:cstheme="minorHAnsi"/>
          <w:color w:val="000000" w:themeColor="text1"/>
          <w:sz w:val="20"/>
          <w:szCs w:val="20"/>
        </w:rPr>
        <w:t>Proteobatteri e una diminuzione d</w:t>
      </w:r>
      <w:r w:rsidR="00D449B3" w:rsidRPr="00E565AE">
        <w:rPr>
          <w:rFonts w:asciiTheme="minorHAnsi" w:hAnsiTheme="minorHAnsi" w:cstheme="minorHAnsi"/>
          <w:color w:val="000000" w:themeColor="text1"/>
          <w:sz w:val="20"/>
          <w:szCs w:val="20"/>
        </w:rPr>
        <w:t xml:space="preserve">i batteri che </w:t>
      </w:r>
      <w:r w:rsidRPr="00E565AE">
        <w:rPr>
          <w:rFonts w:asciiTheme="minorHAnsi" w:hAnsiTheme="minorHAnsi" w:cstheme="minorHAnsi"/>
          <w:color w:val="000000" w:themeColor="text1"/>
          <w:sz w:val="20"/>
          <w:szCs w:val="20"/>
        </w:rPr>
        <w:t>produ</w:t>
      </w:r>
      <w:r w:rsidR="00D449B3" w:rsidRPr="00E565AE">
        <w:rPr>
          <w:rFonts w:asciiTheme="minorHAnsi" w:hAnsiTheme="minorHAnsi" w:cstheme="minorHAnsi"/>
          <w:color w:val="000000" w:themeColor="text1"/>
          <w:sz w:val="20"/>
          <w:szCs w:val="20"/>
        </w:rPr>
        <w:t>cono</w:t>
      </w:r>
      <w:r w:rsidRPr="00E565AE">
        <w:rPr>
          <w:rFonts w:asciiTheme="minorHAnsi" w:hAnsiTheme="minorHAnsi" w:cstheme="minorHAnsi"/>
          <w:color w:val="000000" w:themeColor="text1"/>
          <w:sz w:val="20"/>
          <w:szCs w:val="20"/>
        </w:rPr>
        <w:t xml:space="preserve"> butirrato</w:t>
      </w:r>
      <w:r w:rsidR="00D449B3" w:rsidRPr="00E565AE">
        <w:rPr>
          <w:rFonts w:asciiTheme="minorHAnsi" w:hAnsiTheme="minorHAnsi" w:cstheme="minorHAnsi"/>
          <w:color w:val="000000" w:themeColor="text1"/>
          <w:sz w:val="20"/>
          <w:szCs w:val="20"/>
        </w:rPr>
        <w:t xml:space="preserve">, sono </w:t>
      </w:r>
      <w:r w:rsidRPr="00E565AE">
        <w:rPr>
          <w:rFonts w:asciiTheme="minorHAnsi" w:hAnsiTheme="minorHAnsi" w:cstheme="minorHAnsi"/>
          <w:color w:val="000000" w:themeColor="text1"/>
          <w:sz w:val="20"/>
          <w:szCs w:val="20"/>
        </w:rPr>
        <w:t xml:space="preserve">correlati con un </w:t>
      </w:r>
      <w:r w:rsidRPr="00746334">
        <w:rPr>
          <w:rFonts w:asciiTheme="minorHAnsi" w:hAnsiTheme="minorHAnsi" w:cstheme="minorHAnsi"/>
          <w:b/>
          <w:bCs/>
          <w:color w:val="000000" w:themeColor="text1"/>
          <w:sz w:val="20"/>
          <w:szCs w:val="20"/>
        </w:rPr>
        <w:t>aumento sistemico dei livelli</w:t>
      </w:r>
      <w:r w:rsidR="00CC4795" w:rsidRPr="00746334">
        <w:rPr>
          <w:rFonts w:asciiTheme="minorHAnsi" w:hAnsiTheme="minorHAnsi" w:cstheme="minorHAnsi"/>
          <w:b/>
          <w:bCs/>
          <w:color w:val="000000" w:themeColor="text1"/>
          <w:sz w:val="20"/>
          <w:szCs w:val="20"/>
        </w:rPr>
        <w:t xml:space="preserve"> </w:t>
      </w:r>
      <w:r w:rsidRPr="00746334">
        <w:rPr>
          <w:rFonts w:asciiTheme="minorHAnsi" w:hAnsiTheme="minorHAnsi" w:cstheme="minorHAnsi"/>
          <w:b/>
          <w:bCs/>
          <w:color w:val="000000" w:themeColor="text1"/>
          <w:sz w:val="20"/>
          <w:szCs w:val="20"/>
        </w:rPr>
        <w:t>delle citochine pro-infiammatorie IL-6 e IL-8</w:t>
      </w:r>
      <w:r w:rsidR="00CC4795" w:rsidRPr="00E565AE">
        <w:rPr>
          <w:rFonts w:asciiTheme="minorHAnsi" w:hAnsiTheme="minorHAnsi" w:cstheme="minorHAnsi"/>
          <w:color w:val="000000" w:themeColor="text1"/>
          <w:sz w:val="20"/>
          <w:szCs w:val="20"/>
        </w:rPr>
        <w:t xml:space="preserve">. </w:t>
      </w:r>
      <w:r w:rsidR="007B79B5" w:rsidRPr="00746334">
        <w:rPr>
          <w:rFonts w:asciiTheme="minorHAnsi" w:hAnsiTheme="minorHAnsi" w:cstheme="minorHAnsi"/>
          <w:color w:val="C00000"/>
          <w:sz w:val="20"/>
          <w:szCs w:val="20"/>
          <w:vertAlign w:val="superscript"/>
        </w:rPr>
        <w:t>[</w:t>
      </w:r>
      <w:r w:rsidR="00CC4795" w:rsidRPr="00746334">
        <w:rPr>
          <w:rFonts w:asciiTheme="minorHAnsi" w:hAnsiTheme="minorHAnsi" w:cstheme="minorHAnsi"/>
          <w:color w:val="C00000"/>
          <w:sz w:val="20"/>
          <w:szCs w:val="20"/>
          <w:vertAlign w:val="superscript"/>
        </w:rPr>
        <w:t>53</w:t>
      </w:r>
      <w:r w:rsidR="007B79B5" w:rsidRPr="00746334">
        <w:rPr>
          <w:rFonts w:asciiTheme="minorHAnsi" w:hAnsiTheme="minorHAnsi" w:cstheme="minorHAnsi"/>
          <w:color w:val="C00000"/>
          <w:sz w:val="20"/>
          <w:szCs w:val="20"/>
          <w:vertAlign w:val="superscript"/>
        </w:rPr>
        <w:t>]</w:t>
      </w:r>
      <w:r w:rsidR="00CC4795" w:rsidRPr="00E565AE">
        <w:rPr>
          <w:rFonts w:asciiTheme="minorHAnsi" w:hAnsiTheme="minorHAnsi" w:cstheme="minorHAnsi"/>
          <w:color w:val="000000" w:themeColor="text1"/>
          <w:sz w:val="20"/>
          <w:szCs w:val="20"/>
        </w:rPr>
        <w:t>.</w:t>
      </w:r>
      <w:r w:rsidR="005A291C" w:rsidRPr="00E565AE">
        <w:rPr>
          <w:rFonts w:asciiTheme="minorHAnsi" w:hAnsiTheme="minorHAnsi" w:cstheme="minorHAnsi"/>
          <w:color w:val="000000" w:themeColor="text1"/>
          <w:sz w:val="20"/>
          <w:szCs w:val="20"/>
        </w:rPr>
        <w:t xml:space="preserve"> </w:t>
      </w:r>
    </w:p>
    <w:p w:rsidR="00CC4795" w:rsidRPr="00E565AE" w:rsidRDefault="00CC4795"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Il phylum dei Proteobacteria è un gruppo contenente molti batteri che sono stati ridefiniti come </w:t>
      </w:r>
      <w:r w:rsidRPr="00E565AE">
        <w:rPr>
          <w:rFonts w:asciiTheme="minorHAnsi" w:hAnsiTheme="minorHAnsi" w:cstheme="minorHAnsi"/>
          <w:b/>
          <w:bCs/>
          <w:color w:val="000000" w:themeColor="text1"/>
          <w:sz w:val="20"/>
          <w:szCs w:val="20"/>
        </w:rPr>
        <w:t>patobionti</w:t>
      </w:r>
      <w:r w:rsidRPr="00E565AE">
        <w:rPr>
          <w:rFonts w:asciiTheme="minorHAnsi" w:hAnsiTheme="minorHAnsi" w:cstheme="minorHAnsi"/>
          <w:color w:val="000000" w:themeColor="text1"/>
          <w:sz w:val="20"/>
          <w:szCs w:val="20"/>
        </w:rPr>
        <w:t xml:space="preserve">. </w:t>
      </w:r>
    </w:p>
    <w:p w:rsidR="008323F2" w:rsidRPr="00E565AE" w:rsidRDefault="00CC4795"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lastRenderedPageBreak/>
        <w:t xml:space="preserve">I patobionti sono considerati componenti minori e opportunistici dell'ecosistema dell'intestino umano che, </w:t>
      </w:r>
      <w:r w:rsidR="006831B7">
        <w:rPr>
          <w:rFonts w:asciiTheme="minorHAnsi" w:hAnsiTheme="minorHAnsi" w:cstheme="minorHAnsi"/>
          <w:color w:val="000000" w:themeColor="text1"/>
          <w:sz w:val="20"/>
          <w:szCs w:val="20"/>
        </w:rPr>
        <w:t xml:space="preserve">in </w:t>
      </w:r>
      <w:r w:rsidRPr="00E565AE">
        <w:rPr>
          <w:rFonts w:asciiTheme="minorHAnsi" w:hAnsiTheme="minorHAnsi" w:cstheme="minorHAnsi"/>
          <w:color w:val="000000" w:themeColor="text1"/>
          <w:sz w:val="20"/>
          <w:szCs w:val="20"/>
        </w:rPr>
        <w:t xml:space="preserve">alcune circostanze (come l'infiammazione) possono sfuggire alla sorveglianza, superare i simbionti mutualistici e indurre patologie. </w:t>
      </w:r>
    </w:p>
    <w:p w:rsidR="00CC4795" w:rsidRPr="00E565AE" w:rsidRDefault="00CC4795"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Il butirrato è un acido grasso a catena corta che rappresenta un'importante fonte di energia per gli enterociti ed è stato implicato nella protezione contro le malattie infiammatorie  intestinali </w:t>
      </w:r>
      <w:r w:rsidR="007B79B5" w:rsidRPr="006831B7">
        <w:rPr>
          <w:rFonts w:asciiTheme="minorHAnsi" w:hAnsiTheme="minorHAnsi" w:cstheme="minorHAnsi"/>
          <w:color w:val="C00000"/>
          <w:sz w:val="20"/>
          <w:szCs w:val="20"/>
          <w:vertAlign w:val="superscript"/>
        </w:rPr>
        <w:t>[</w:t>
      </w:r>
      <w:r w:rsidRPr="006831B7">
        <w:rPr>
          <w:rFonts w:asciiTheme="minorHAnsi" w:hAnsiTheme="minorHAnsi" w:cstheme="minorHAnsi"/>
          <w:color w:val="C00000"/>
          <w:sz w:val="20"/>
          <w:szCs w:val="20"/>
          <w:vertAlign w:val="superscript"/>
        </w:rPr>
        <w:t>44</w:t>
      </w:r>
      <w:r w:rsidR="007B79B5" w:rsidRPr="006831B7">
        <w:rPr>
          <w:rFonts w:asciiTheme="minorHAnsi" w:hAnsiTheme="minorHAnsi" w:cstheme="minorHAnsi"/>
          <w:color w:val="C00000"/>
          <w:sz w:val="20"/>
          <w:szCs w:val="20"/>
          <w:vertAlign w:val="superscript"/>
        </w:rPr>
        <w:t>]</w:t>
      </w:r>
      <w:r w:rsidR="006F6F0B" w:rsidRPr="006831B7">
        <w:rPr>
          <w:rFonts w:asciiTheme="minorHAnsi" w:hAnsiTheme="minorHAnsi" w:cstheme="minorHAnsi"/>
          <w:color w:val="C00000"/>
          <w:sz w:val="20"/>
          <w:szCs w:val="20"/>
          <w:vertAlign w:val="superscript"/>
        </w:rPr>
        <w:t xml:space="preserve"> </w:t>
      </w:r>
    </w:p>
    <w:p w:rsidR="005A291C" w:rsidRPr="00E565AE" w:rsidRDefault="005A291C" w:rsidP="00B648DA">
      <w:pPr>
        <w:jc w:val="both"/>
        <w:rPr>
          <w:rFonts w:asciiTheme="minorHAnsi" w:hAnsiTheme="minorHAnsi" w:cstheme="minorHAnsi"/>
          <w:color w:val="000000" w:themeColor="text1"/>
          <w:sz w:val="20"/>
          <w:szCs w:val="20"/>
        </w:rPr>
      </w:pPr>
    </w:p>
    <w:p w:rsidR="008323F2" w:rsidRPr="00E565AE" w:rsidRDefault="008A1BF8"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Un'analisi filogenetica completa del microbiota intestinale umano di </w:t>
      </w:r>
      <w:r w:rsidR="007B79B5" w:rsidRPr="00E565AE">
        <w:rPr>
          <w:rFonts w:asciiTheme="minorHAnsi" w:hAnsiTheme="minorHAnsi" w:cstheme="minorHAnsi"/>
          <w:color w:val="000000" w:themeColor="text1"/>
          <w:sz w:val="20"/>
          <w:szCs w:val="20"/>
        </w:rPr>
        <w:t>italiani</w:t>
      </w:r>
      <w:r w:rsidRPr="00E565AE">
        <w:rPr>
          <w:rFonts w:asciiTheme="minorHAnsi" w:hAnsiTheme="minorHAnsi" w:cstheme="minorHAnsi"/>
          <w:color w:val="000000" w:themeColor="text1"/>
          <w:sz w:val="20"/>
          <w:szCs w:val="20"/>
        </w:rPr>
        <w:t xml:space="preserve"> (22-109 anni) ha </w:t>
      </w:r>
      <w:r w:rsidR="007B79B5" w:rsidRPr="00E565AE">
        <w:rPr>
          <w:rFonts w:asciiTheme="minorHAnsi" w:hAnsiTheme="minorHAnsi" w:cstheme="minorHAnsi"/>
          <w:color w:val="000000" w:themeColor="text1"/>
          <w:sz w:val="20"/>
          <w:szCs w:val="20"/>
        </w:rPr>
        <w:t>evidenziato</w:t>
      </w:r>
      <w:r w:rsidRPr="00E565AE">
        <w:rPr>
          <w:rFonts w:asciiTheme="minorHAnsi" w:hAnsiTheme="minorHAnsi" w:cstheme="minorHAnsi"/>
          <w:color w:val="000000" w:themeColor="text1"/>
          <w:sz w:val="20"/>
          <w:szCs w:val="20"/>
        </w:rPr>
        <w:t xml:space="preserve"> che </w:t>
      </w:r>
      <w:r w:rsidRPr="00E565AE">
        <w:rPr>
          <w:rFonts w:asciiTheme="minorHAnsi" w:hAnsiTheme="minorHAnsi" w:cstheme="minorHAnsi"/>
          <w:b/>
          <w:bCs/>
          <w:color w:val="000000" w:themeColor="text1"/>
          <w:sz w:val="20"/>
          <w:szCs w:val="20"/>
        </w:rPr>
        <w:t>la popolazione principale del microbiota intestinale</w:t>
      </w:r>
      <w:r w:rsidRPr="00E565AE">
        <w:rPr>
          <w:rFonts w:asciiTheme="minorHAnsi" w:hAnsiTheme="minorHAnsi" w:cstheme="minorHAnsi"/>
          <w:color w:val="000000" w:themeColor="text1"/>
          <w:sz w:val="20"/>
          <w:szCs w:val="20"/>
        </w:rPr>
        <w:t xml:space="preserve"> (che comprendeva i taxa batterici simbiotici dominanti </w:t>
      </w:r>
      <w:r w:rsidR="007B79B5" w:rsidRPr="00E565AE">
        <w:rPr>
          <w:rFonts w:asciiTheme="minorHAnsi" w:hAnsiTheme="minorHAnsi" w:cstheme="minorHAnsi"/>
          <w:color w:val="000000" w:themeColor="text1"/>
          <w:sz w:val="20"/>
          <w:szCs w:val="20"/>
        </w:rPr>
        <w:t xml:space="preserve">dei </w:t>
      </w:r>
      <w:r w:rsidRPr="00E565AE">
        <w:rPr>
          <w:rFonts w:asciiTheme="minorHAnsi" w:hAnsiTheme="minorHAnsi" w:cstheme="minorHAnsi"/>
          <w:color w:val="000000" w:themeColor="text1"/>
          <w:sz w:val="20"/>
          <w:szCs w:val="20"/>
        </w:rPr>
        <w:t xml:space="preserve">Ruminococcaceae, Lachnospiraceae e Bacteroidaceae) </w:t>
      </w:r>
      <w:r w:rsidRPr="00E565AE">
        <w:rPr>
          <w:rFonts w:asciiTheme="minorHAnsi" w:hAnsiTheme="minorHAnsi" w:cstheme="minorHAnsi"/>
          <w:b/>
          <w:bCs/>
          <w:color w:val="000000" w:themeColor="text1"/>
          <w:sz w:val="20"/>
          <w:szCs w:val="20"/>
        </w:rPr>
        <w:t>mostra una diminuzione della diversità e dell'abbondanza relativa con l'età</w:t>
      </w:r>
      <w:r w:rsidR="007B79B5" w:rsidRPr="00E565AE">
        <w:rPr>
          <w:rFonts w:asciiTheme="minorHAnsi" w:hAnsiTheme="minorHAnsi" w:cstheme="minorHAnsi"/>
          <w:color w:val="000000" w:themeColor="text1"/>
          <w:sz w:val="20"/>
          <w:szCs w:val="20"/>
        </w:rPr>
        <w:t xml:space="preserve"> </w:t>
      </w:r>
      <w:r w:rsidR="007B79B5" w:rsidRPr="006831B7">
        <w:rPr>
          <w:rFonts w:asciiTheme="minorHAnsi" w:hAnsiTheme="minorHAnsi" w:cstheme="minorHAnsi"/>
          <w:color w:val="C00000"/>
          <w:sz w:val="20"/>
          <w:szCs w:val="20"/>
          <w:vertAlign w:val="superscript"/>
        </w:rPr>
        <w:t>[</w:t>
      </w:r>
      <w:r w:rsidRPr="006831B7">
        <w:rPr>
          <w:rFonts w:asciiTheme="minorHAnsi" w:hAnsiTheme="minorHAnsi" w:cstheme="minorHAnsi"/>
          <w:color w:val="C00000"/>
          <w:sz w:val="20"/>
          <w:szCs w:val="20"/>
          <w:vertAlign w:val="superscript"/>
        </w:rPr>
        <w:t>56</w:t>
      </w:r>
      <w:r w:rsidR="007B79B5" w:rsidRPr="006831B7">
        <w:rPr>
          <w:rFonts w:asciiTheme="minorHAnsi" w:hAnsiTheme="minorHAnsi" w:cstheme="minorHAnsi"/>
          <w:color w:val="C00000"/>
          <w:sz w:val="20"/>
          <w:szCs w:val="20"/>
          <w:vertAlign w:val="superscript"/>
        </w:rPr>
        <w:t>]</w:t>
      </w:r>
      <w:r w:rsidRPr="00E565AE">
        <w:rPr>
          <w:rFonts w:asciiTheme="minorHAnsi" w:hAnsiTheme="minorHAnsi" w:cstheme="minorHAnsi"/>
          <w:color w:val="000000" w:themeColor="text1"/>
          <w:sz w:val="20"/>
          <w:szCs w:val="20"/>
        </w:rPr>
        <w:t xml:space="preserve">. </w:t>
      </w:r>
    </w:p>
    <w:p w:rsidR="008323F2" w:rsidRPr="00E565AE" w:rsidRDefault="008323F2" w:rsidP="00B648DA">
      <w:pPr>
        <w:jc w:val="both"/>
        <w:rPr>
          <w:rFonts w:asciiTheme="minorHAnsi" w:hAnsiTheme="minorHAnsi" w:cstheme="minorHAnsi"/>
          <w:color w:val="000000" w:themeColor="text1"/>
          <w:sz w:val="20"/>
          <w:szCs w:val="20"/>
        </w:rPr>
      </w:pPr>
    </w:p>
    <w:p w:rsidR="008323F2" w:rsidRPr="00E565AE" w:rsidRDefault="007B79B5" w:rsidP="00B648DA">
      <w:pPr>
        <w:jc w:val="both"/>
        <w:rPr>
          <w:rFonts w:asciiTheme="minorHAnsi" w:hAnsiTheme="minorHAnsi" w:cstheme="minorHAnsi"/>
          <w:color w:val="000000" w:themeColor="text1"/>
          <w:sz w:val="20"/>
          <w:szCs w:val="20"/>
        </w:rPr>
      </w:pPr>
      <w:r w:rsidRPr="00E565AE">
        <w:rPr>
          <w:rFonts w:asciiTheme="minorHAnsi" w:hAnsiTheme="minorHAnsi" w:cstheme="minorHAnsi"/>
          <w:b/>
          <w:bCs/>
          <w:color w:val="000000" w:themeColor="text1"/>
          <w:sz w:val="20"/>
          <w:szCs w:val="20"/>
        </w:rPr>
        <w:t>Nell’</w:t>
      </w:r>
      <w:r w:rsidR="008A1BF8" w:rsidRPr="00E565AE">
        <w:rPr>
          <w:rFonts w:asciiTheme="minorHAnsi" w:hAnsiTheme="minorHAnsi" w:cstheme="minorHAnsi"/>
          <w:b/>
          <w:bCs/>
          <w:color w:val="000000" w:themeColor="text1"/>
          <w:sz w:val="20"/>
          <w:szCs w:val="20"/>
        </w:rPr>
        <w:t>estrema longevità (&gt; 105 anni), questo declino è compensato da un aumento di specie probabilmente benefiche e sottodominanti</w:t>
      </w:r>
      <w:r w:rsidR="008A1BF8" w:rsidRPr="00E565AE">
        <w:rPr>
          <w:rFonts w:asciiTheme="minorHAnsi" w:hAnsiTheme="minorHAnsi" w:cstheme="minorHAnsi"/>
          <w:color w:val="000000" w:themeColor="text1"/>
          <w:sz w:val="20"/>
          <w:szCs w:val="20"/>
        </w:rPr>
        <w:t xml:space="preserve"> di Akkermansia spp., Bifidobacterium spp. e Christensenellaceae. </w:t>
      </w:r>
    </w:p>
    <w:p w:rsidR="008323F2" w:rsidRPr="00E565AE" w:rsidRDefault="008A1BF8"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 xml:space="preserve">Di conseguenza, </w:t>
      </w:r>
      <w:r w:rsidR="007B79B5" w:rsidRPr="00E565AE">
        <w:rPr>
          <w:rFonts w:asciiTheme="minorHAnsi" w:hAnsiTheme="minorHAnsi" w:cstheme="minorHAnsi"/>
          <w:color w:val="000000" w:themeColor="text1"/>
          <w:sz w:val="20"/>
          <w:szCs w:val="20"/>
        </w:rPr>
        <w:t xml:space="preserve">è stato osservato </w:t>
      </w:r>
      <w:r w:rsidRPr="00E565AE">
        <w:rPr>
          <w:rFonts w:asciiTheme="minorHAnsi" w:hAnsiTheme="minorHAnsi" w:cstheme="minorHAnsi"/>
          <w:color w:val="000000" w:themeColor="text1"/>
          <w:sz w:val="20"/>
          <w:szCs w:val="20"/>
        </w:rPr>
        <w:t xml:space="preserve">un inaspettato </w:t>
      </w:r>
      <w:r w:rsidRPr="006831B7">
        <w:rPr>
          <w:rFonts w:asciiTheme="minorHAnsi" w:hAnsiTheme="minorHAnsi" w:cstheme="minorHAnsi"/>
          <w:b/>
          <w:bCs/>
          <w:color w:val="000000" w:themeColor="text1"/>
          <w:sz w:val="20"/>
          <w:szCs w:val="20"/>
        </w:rPr>
        <w:t>aumento della diversità nella composizione del microbiota intestinale</w:t>
      </w:r>
      <w:r w:rsidRPr="00E565AE">
        <w:rPr>
          <w:rFonts w:asciiTheme="minorHAnsi" w:hAnsiTheme="minorHAnsi" w:cstheme="minorHAnsi"/>
          <w:color w:val="000000" w:themeColor="text1"/>
          <w:sz w:val="20"/>
          <w:szCs w:val="20"/>
        </w:rPr>
        <w:t xml:space="preserve"> rispetto agli individui più giovani nei centenari in Italia e anche in Cina e Giappone, nonostante le differenze di genetica, stile di vita e dieta tra le persone di  questi paesi</w:t>
      </w:r>
      <w:r w:rsidR="007B79B5" w:rsidRPr="00E565AE">
        <w:rPr>
          <w:rFonts w:asciiTheme="minorHAnsi" w:hAnsiTheme="minorHAnsi" w:cstheme="minorHAnsi"/>
          <w:color w:val="000000" w:themeColor="text1"/>
          <w:sz w:val="20"/>
          <w:szCs w:val="20"/>
        </w:rPr>
        <w:t xml:space="preserve"> </w:t>
      </w:r>
      <w:r w:rsidR="007B79B5" w:rsidRPr="006831B7">
        <w:rPr>
          <w:rFonts w:asciiTheme="minorHAnsi" w:hAnsiTheme="minorHAnsi" w:cstheme="minorHAnsi"/>
          <w:color w:val="C00000"/>
          <w:sz w:val="20"/>
          <w:szCs w:val="20"/>
          <w:vertAlign w:val="superscript"/>
        </w:rPr>
        <w:t>[</w:t>
      </w:r>
      <w:r w:rsidRPr="006831B7">
        <w:rPr>
          <w:rFonts w:asciiTheme="minorHAnsi" w:hAnsiTheme="minorHAnsi" w:cstheme="minorHAnsi"/>
          <w:color w:val="C00000"/>
          <w:sz w:val="20"/>
          <w:szCs w:val="20"/>
          <w:vertAlign w:val="superscript"/>
        </w:rPr>
        <w:t>60</w:t>
      </w:r>
      <w:r w:rsidR="007B79B5" w:rsidRPr="006831B7">
        <w:rPr>
          <w:rFonts w:asciiTheme="minorHAnsi" w:hAnsiTheme="minorHAnsi" w:cstheme="minorHAnsi"/>
          <w:color w:val="C00000"/>
          <w:sz w:val="20"/>
          <w:szCs w:val="20"/>
          <w:vertAlign w:val="superscript"/>
        </w:rPr>
        <w:t>]</w:t>
      </w:r>
      <w:r w:rsidRPr="00E565AE">
        <w:rPr>
          <w:rFonts w:asciiTheme="minorHAnsi" w:hAnsiTheme="minorHAnsi" w:cstheme="minorHAnsi"/>
          <w:color w:val="000000" w:themeColor="text1"/>
          <w:sz w:val="20"/>
          <w:szCs w:val="20"/>
        </w:rPr>
        <w:t xml:space="preserve">. </w:t>
      </w:r>
    </w:p>
    <w:p w:rsidR="008323F2" w:rsidRPr="00E565AE" w:rsidRDefault="008323F2" w:rsidP="00B648DA">
      <w:pPr>
        <w:jc w:val="both"/>
        <w:rPr>
          <w:rFonts w:asciiTheme="minorHAnsi" w:hAnsiTheme="minorHAnsi" w:cstheme="minorHAnsi"/>
          <w:color w:val="000000" w:themeColor="text1"/>
          <w:sz w:val="20"/>
          <w:szCs w:val="20"/>
        </w:rPr>
      </w:pPr>
    </w:p>
    <w:p w:rsidR="008A1BF8" w:rsidRPr="00E565AE" w:rsidRDefault="008A1BF8" w:rsidP="00B648DA">
      <w:pPr>
        <w:jc w:val="both"/>
        <w:rPr>
          <w:rFonts w:asciiTheme="minorHAnsi" w:hAnsiTheme="minorHAnsi" w:cstheme="minorHAnsi"/>
          <w:color w:val="000000" w:themeColor="text1"/>
          <w:sz w:val="20"/>
          <w:szCs w:val="20"/>
        </w:rPr>
      </w:pPr>
      <w:r w:rsidRPr="00E565AE">
        <w:rPr>
          <w:rFonts w:asciiTheme="minorHAnsi" w:hAnsiTheme="minorHAnsi" w:cstheme="minorHAnsi"/>
          <w:color w:val="000000" w:themeColor="text1"/>
          <w:sz w:val="20"/>
          <w:szCs w:val="20"/>
        </w:rPr>
        <w:t>Un profilo così straordinario di longevità, è probabilmente un indicatore chiave di salute dei centenari ed è in contrasto con la caratteristica diminuzione della diversità del microbiota intestinale associata con la maggior parte, se non tutte, le malattie legate all'età</w:t>
      </w:r>
      <w:r w:rsidR="007B79B5" w:rsidRPr="00E565AE">
        <w:rPr>
          <w:rFonts w:asciiTheme="minorHAnsi" w:hAnsiTheme="minorHAnsi" w:cstheme="minorHAnsi"/>
          <w:color w:val="000000" w:themeColor="text1"/>
          <w:sz w:val="20"/>
          <w:szCs w:val="20"/>
        </w:rPr>
        <w:t xml:space="preserve"> </w:t>
      </w:r>
      <w:r w:rsidR="007B79B5" w:rsidRPr="006831B7">
        <w:rPr>
          <w:rFonts w:asciiTheme="minorHAnsi" w:hAnsiTheme="minorHAnsi" w:cstheme="minorHAnsi"/>
          <w:color w:val="C00000"/>
          <w:sz w:val="20"/>
          <w:szCs w:val="20"/>
          <w:vertAlign w:val="superscript"/>
        </w:rPr>
        <w:t>[</w:t>
      </w:r>
      <w:r w:rsidRPr="006831B7">
        <w:rPr>
          <w:rFonts w:asciiTheme="minorHAnsi" w:hAnsiTheme="minorHAnsi" w:cstheme="minorHAnsi"/>
          <w:color w:val="C00000"/>
          <w:sz w:val="20"/>
          <w:szCs w:val="20"/>
          <w:vertAlign w:val="superscript"/>
        </w:rPr>
        <w:t>56,60</w:t>
      </w:r>
      <w:r w:rsidR="007B79B5" w:rsidRPr="006831B7">
        <w:rPr>
          <w:rFonts w:asciiTheme="minorHAnsi" w:hAnsiTheme="minorHAnsi" w:cstheme="minorHAnsi"/>
          <w:color w:val="C00000"/>
          <w:sz w:val="20"/>
          <w:szCs w:val="20"/>
          <w:vertAlign w:val="superscript"/>
        </w:rPr>
        <w:t>]</w:t>
      </w:r>
      <w:r w:rsidRPr="00E565AE">
        <w:rPr>
          <w:rFonts w:asciiTheme="minorHAnsi" w:hAnsiTheme="minorHAnsi" w:cstheme="minorHAnsi"/>
          <w:color w:val="000000" w:themeColor="text1"/>
          <w:sz w:val="20"/>
          <w:szCs w:val="20"/>
        </w:rPr>
        <w:t>.</w:t>
      </w:r>
    </w:p>
    <w:p w:rsidR="005C01E5" w:rsidRPr="00E565AE" w:rsidRDefault="005C01E5" w:rsidP="00B648DA">
      <w:pPr>
        <w:jc w:val="both"/>
        <w:rPr>
          <w:rFonts w:asciiTheme="minorHAnsi" w:hAnsiTheme="minorHAnsi" w:cstheme="minorHAnsi"/>
          <w:color w:val="000000" w:themeColor="text1"/>
          <w:sz w:val="22"/>
          <w:szCs w:val="22"/>
        </w:rPr>
      </w:pPr>
    </w:p>
    <w:p w:rsidR="00100954" w:rsidRPr="00E565AE" w:rsidRDefault="00100954" w:rsidP="00B648DA">
      <w:pPr>
        <w:jc w:val="both"/>
        <w:rPr>
          <w:rFonts w:asciiTheme="minorHAnsi" w:hAnsiTheme="minorHAnsi" w:cstheme="minorHAnsi"/>
          <w:color w:val="000000" w:themeColor="text1"/>
          <w:sz w:val="22"/>
          <w:szCs w:val="22"/>
        </w:rPr>
      </w:pPr>
      <w:r w:rsidRPr="00E565AE">
        <w:rPr>
          <w:rFonts w:asciiTheme="minorHAnsi" w:hAnsiTheme="minorHAnsi" w:cstheme="minorHAnsi"/>
          <w:color w:val="000000" w:themeColor="text1"/>
          <w:sz w:val="22"/>
          <w:szCs w:val="22"/>
        </w:rPr>
        <w:fldChar w:fldCharType="begin"/>
      </w:r>
      <w:r w:rsidRPr="00E565AE">
        <w:rPr>
          <w:rFonts w:asciiTheme="minorHAnsi" w:hAnsiTheme="minorHAnsi" w:cstheme="minorHAnsi"/>
          <w:color w:val="000000" w:themeColor="text1"/>
          <w:sz w:val="22"/>
          <w:szCs w:val="22"/>
        </w:rPr>
        <w:instrText xml:space="preserve"> INCLUDEPICTURE "https://www.ncbi.nlm.nih.gov/pmc/articles/PMC6004897/bin/nha-4-nha170030-g003.jpg" \* MERGEFORMATINET </w:instrText>
      </w:r>
      <w:r w:rsidRPr="00E565AE">
        <w:rPr>
          <w:rFonts w:asciiTheme="minorHAnsi" w:hAnsiTheme="minorHAnsi" w:cstheme="minorHAnsi"/>
          <w:color w:val="000000" w:themeColor="text1"/>
          <w:sz w:val="22"/>
          <w:szCs w:val="22"/>
        </w:rPr>
        <w:fldChar w:fldCharType="separate"/>
      </w:r>
      <w:r w:rsidRPr="00E565AE">
        <w:rPr>
          <w:rFonts w:asciiTheme="minorHAnsi" w:hAnsiTheme="minorHAnsi" w:cstheme="minorHAnsi"/>
          <w:noProof/>
          <w:color w:val="000000" w:themeColor="text1"/>
          <w:sz w:val="22"/>
          <w:szCs w:val="22"/>
        </w:rPr>
        <w:drawing>
          <wp:inline distT="0" distB="0" distL="0" distR="0">
            <wp:extent cx="6116320" cy="4234180"/>
            <wp:effectExtent l="0" t="0" r="5080" b="0"/>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16320" cy="4234180"/>
                    </a:xfrm>
                    <a:prstGeom prst="rect">
                      <a:avLst/>
                    </a:prstGeom>
                    <a:noFill/>
                    <a:ln>
                      <a:noFill/>
                    </a:ln>
                  </pic:spPr>
                </pic:pic>
              </a:graphicData>
            </a:graphic>
          </wp:inline>
        </w:drawing>
      </w:r>
      <w:r w:rsidRPr="00E565AE">
        <w:rPr>
          <w:rFonts w:asciiTheme="minorHAnsi" w:hAnsiTheme="minorHAnsi" w:cstheme="minorHAnsi"/>
          <w:color w:val="000000" w:themeColor="text1"/>
          <w:sz w:val="22"/>
          <w:szCs w:val="22"/>
        </w:rPr>
        <w:fldChar w:fldCharType="end"/>
      </w:r>
    </w:p>
    <w:p w:rsidR="003B271B" w:rsidRPr="00E565AE" w:rsidRDefault="003B271B" w:rsidP="00B648DA">
      <w:pPr>
        <w:jc w:val="both"/>
        <w:rPr>
          <w:rFonts w:asciiTheme="minorHAnsi" w:hAnsiTheme="minorHAnsi" w:cstheme="minorHAnsi"/>
          <w:color w:val="000000" w:themeColor="text1"/>
          <w:sz w:val="16"/>
          <w:szCs w:val="16"/>
        </w:rPr>
      </w:pPr>
    </w:p>
    <w:p w:rsidR="00D139CA" w:rsidRPr="006831B7" w:rsidRDefault="003B271B" w:rsidP="006831B7">
      <w:pPr>
        <w:shd w:val="clear" w:color="auto" w:fill="F2F2F2" w:themeFill="background1" w:themeFillShade="F2"/>
        <w:jc w:val="both"/>
        <w:rPr>
          <w:rStyle w:val="Hyperlink"/>
          <w:rFonts w:asciiTheme="minorHAnsi" w:eastAsiaTheme="majorEastAsia" w:hAnsiTheme="minorHAnsi" w:cstheme="minorHAnsi"/>
          <w:color w:val="000000" w:themeColor="text1"/>
          <w:sz w:val="18"/>
          <w:szCs w:val="18"/>
          <w:u w:val="none"/>
        </w:rPr>
      </w:pPr>
      <w:r w:rsidRPr="006831B7">
        <w:rPr>
          <w:rFonts w:asciiTheme="minorHAnsi" w:hAnsiTheme="minorHAnsi" w:cstheme="minorHAnsi"/>
          <w:color w:val="000000" w:themeColor="text1"/>
          <w:sz w:val="18"/>
          <w:szCs w:val="18"/>
        </w:rPr>
        <w:t xml:space="preserve">Tratta da </w:t>
      </w:r>
      <w:hyperlink r:id="rId175" w:history="1">
        <w:r w:rsidRPr="006831B7">
          <w:rPr>
            <w:rStyle w:val="Hyperlink"/>
            <w:rFonts w:asciiTheme="minorHAnsi" w:eastAsiaTheme="majorEastAsia" w:hAnsiTheme="minorHAnsi" w:cstheme="minorHAnsi"/>
            <w:color w:val="000000" w:themeColor="text1"/>
            <w:sz w:val="18"/>
            <w:szCs w:val="18"/>
            <w:u w:val="none"/>
          </w:rPr>
          <w:t>https://www.ncbi.nlm.nih.gov/pmc/articles/PMC6004897/</w:t>
        </w:r>
      </w:hyperlink>
    </w:p>
    <w:p w:rsidR="003B271B" w:rsidRPr="006831B7" w:rsidRDefault="003B271B" w:rsidP="006831B7">
      <w:pPr>
        <w:shd w:val="clear" w:color="auto" w:fill="F2F2F2" w:themeFill="background1" w:themeFillShade="F2"/>
        <w:jc w:val="both"/>
        <w:rPr>
          <w:rFonts w:asciiTheme="minorHAnsi" w:hAnsiTheme="minorHAnsi" w:cstheme="minorHAnsi"/>
          <w:color w:val="000000" w:themeColor="text1"/>
          <w:sz w:val="18"/>
          <w:szCs w:val="18"/>
        </w:rPr>
      </w:pPr>
      <w:r w:rsidRPr="006831B7">
        <w:rPr>
          <w:rFonts w:asciiTheme="minorHAnsi" w:hAnsiTheme="minorHAnsi" w:cstheme="minorHAnsi"/>
          <w:b/>
          <w:bCs/>
          <w:color w:val="000000" w:themeColor="text1"/>
          <w:sz w:val="18"/>
          <w:szCs w:val="18"/>
        </w:rPr>
        <w:t>Caratteristiche dell'ambiente intestinale omeostatico (eubiosi)</w:t>
      </w:r>
      <w:r w:rsidRPr="006831B7">
        <w:rPr>
          <w:rFonts w:asciiTheme="minorHAnsi" w:hAnsiTheme="minorHAnsi" w:cstheme="minorHAnsi"/>
          <w:color w:val="000000" w:themeColor="text1"/>
          <w:sz w:val="18"/>
          <w:szCs w:val="18"/>
        </w:rPr>
        <w:t xml:space="preserve"> </w:t>
      </w:r>
      <w:r w:rsidRPr="006831B7">
        <w:rPr>
          <w:rFonts w:asciiTheme="minorHAnsi" w:hAnsiTheme="minorHAnsi" w:cstheme="minorHAnsi"/>
          <w:b/>
          <w:bCs/>
          <w:color w:val="000000" w:themeColor="text1"/>
          <w:sz w:val="18"/>
          <w:szCs w:val="18"/>
        </w:rPr>
        <w:t>(A) e in che modo un microbiota perturbato (disbiosi) e la barriera intestinale possono provocare malattie legate all'invecchiamento (B)</w:t>
      </w:r>
      <w:r w:rsidRPr="006831B7">
        <w:rPr>
          <w:rFonts w:asciiTheme="minorHAnsi" w:hAnsiTheme="minorHAnsi" w:cstheme="minorHAnsi"/>
          <w:color w:val="000000" w:themeColor="text1"/>
          <w:sz w:val="18"/>
          <w:szCs w:val="18"/>
        </w:rPr>
        <w:t xml:space="preserve">. In condizioni omeostatiche (eubiosi), le cellule epiteliali producono peptidi antimicrobici (AMP) in risposta a interleuchine (ad es. IL-22) ed esprimono anche recettori per il riconoscimento dei profili molecolari (ad es. Recettori Toll-like; TLR). I microbi intestinali regolano la secrezione di muco e la produzione di AMP e regolano / migliorano l'integrità della barriera intestinale attraverso la produzione di acidi grassi a catena corta (SCFA). Le cellule caliciformi producono muco per limitare l'invasione dei patobionti. Le cellule linfoidi (ad es. Cellule TH17) svolgono un ruolo nella difesa dell'ospite producendo IL-22. Le cellule dendritiche (DC) inducono l'attivazione e la differenziazione delle cellule B naïve per produrre plasmacellule che rilasciano IgA commensali specifiche nella lamina propria. Le IgA vengono trasportate nel lume intestinale </w:t>
      </w:r>
      <w:r w:rsidRPr="006831B7">
        <w:rPr>
          <w:rFonts w:asciiTheme="minorHAnsi" w:hAnsiTheme="minorHAnsi" w:cstheme="minorHAnsi"/>
          <w:color w:val="000000" w:themeColor="text1"/>
          <w:sz w:val="18"/>
          <w:szCs w:val="18"/>
        </w:rPr>
        <w:lastRenderedPageBreak/>
        <w:t>come IgA secreto (sIgA) attraverso i recettori (recettore dell'immunoglobulina polimerica pIgR), dove dopo l’sIgA si lega ai microbi commensali e agli antigeni solubili, limitando così la loro aderenza all'epitelio ospite e le perdite attraverso la barriera intestinale. Tuttavia, in caso di disbiosi e / o ambiente senescente, l'alterata composizione del microbiota e la permeabilità intestinale indebolita / perturbata possono portare a una maggiore aderenza e la perdita di vari microbi e sottoprodotti microbici attraverso la barriera intestinale, provocando in tal modo risposte iperinfiammatorie che alla fine aumentano la suscettibilità dell'ospite a vari disturbi intestinali e sistemici attraverso le perturbazioni dell'asse cervello-intestino, asse fegato-intestino, ec</w:t>
      </w:r>
      <w:r w:rsidR="006831B7">
        <w:rPr>
          <w:rFonts w:asciiTheme="minorHAnsi" w:hAnsiTheme="minorHAnsi" w:cstheme="minorHAnsi"/>
          <w:color w:val="000000" w:themeColor="text1"/>
          <w:sz w:val="18"/>
          <w:szCs w:val="18"/>
        </w:rPr>
        <w:t>t</w:t>
      </w:r>
      <w:r w:rsidRPr="006831B7">
        <w:rPr>
          <w:rFonts w:asciiTheme="minorHAnsi" w:hAnsiTheme="minorHAnsi" w:cstheme="minorHAnsi"/>
          <w:color w:val="000000" w:themeColor="text1"/>
          <w:sz w:val="18"/>
          <w:szCs w:val="18"/>
        </w:rPr>
        <w:t>.</w:t>
      </w:r>
    </w:p>
    <w:p w:rsidR="006F0CC0" w:rsidRPr="00E565AE" w:rsidRDefault="006F0CC0" w:rsidP="003B271B">
      <w:pPr>
        <w:jc w:val="both"/>
        <w:rPr>
          <w:rFonts w:asciiTheme="minorHAnsi" w:hAnsiTheme="minorHAnsi" w:cstheme="minorHAnsi"/>
          <w:color w:val="000000" w:themeColor="text1"/>
          <w:sz w:val="16"/>
          <w:szCs w:val="16"/>
        </w:rPr>
      </w:pPr>
    </w:p>
    <w:p w:rsidR="006831B7" w:rsidRDefault="006831B7"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276"/>
        <w:jc w:val="both"/>
        <w:rPr>
          <w:rFonts w:asciiTheme="minorHAnsi" w:hAnsiTheme="minorHAnsi" w:cstheme="minorHAnsi"/>
          <w:i/>
          <w:iCs/>
          <w:color w:val="000000" w:themeColor="text1"/>
          <w:sz w:val="20"/>
          <w:szCs w:val="20"/>
        </w:rPr>
      </w:pPr>
    </w:p>
    <w:p w:rsidR="006831B7" w:rsidRDefault="00D41960"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276"/>
        <w:jc w:val="both"/>
        <w:rPr>
          <w:rFonts w:asciiTheme="minorHAnsi" w:hAnsiTheme="minorHAnsi" w:cstheme="minorHAnsi"/>
          <w:i/>
          <w:iCs/>
          <w:color w:val="000000" w:themeColor="text1"/>
          <w:sz w:val="20"/>
          <w:szCs w:val="20"/>
        </w:rPr>
      </w:pPr>
      <w:r w:rsidRPr="006831B7">
        <w:rPr>
          <w:rFonts w:asciiTheme="minorHAnsi" w:hAnsiTheme="minorHAnsi" w:cstheme="minorHAnsi"/>
          <w:i/>
          <w:iCs/>
          <w:color w:val="000000" w:themeColor="text1"/>
          <w:sz w:val="20"/>
          <w:szCs w:val="20"/>
        </w:rPr>
        <w:t>Il meccanismo che unisce l'eccesso di nutrienti e l'infiammazione è il cosiddetto</w:t>
      </w:r>
      <w:r w:rsidR="003B271B" w:rsidRPr="006831B7">
        <w:rPr>
          <w:rFonts w:asciiTheme="minorHAnsi" w:hAnsiTheme="minorHAnsi" w:cstheme="minorHAnsi"/>
          <w:i/>
          <w:iCs/>
          <w:color w:val="000000" w:themeColor="text1"/>
          <w:sz w:val="20"/>
          <w:szCs w:val="20"/>
        </w:rPr>
        <w:t xml:space="preserve"> </w:t>
      </w:r>
      <w:r w:rsidRPr="006831B7">
        <w:rPr>
          <w:rFonts w:asciiTheme="minorHAnsi" w:hAnsiTheme="minorHAnsi" w:cstheme="minorHAnsi"/>
          <w:b/>
          <w:bCs/>
          <w:i/>
          <w:iCs/>
          <w:color w:val="000000" w:themeColor="text1"/>
          <w:sz w:val="20"/>
          <w:szCs w:val="20"/>
        </w:rPr>
        <w:t>processo di meta-infiammazione (meta</w:t>
      </w:r>
      <w:r w:rsidR="00CA186F" w:rsidRPr="006831B7">
        <w:rPr>
          <w:rFonts w:asciiTheme="minorHAnsi" w:hAnsiTheme="minorHAnsi" w:cstheme="minorHAnsi"/>
          <w:b/>
          <w:bCs/>
          <w:i/>
          <w:iCs/>
          <w:color w:val="000000" w:themeColor="text1"/>
          <w:sz w:val="20"/>
          <w:szCs w:val="20"/>
        </w:rPr>
        <w:t xml:space="preserve">flammation - </w:t>
      </w:r>
      <w:r w:rsidRPr="006831B7">
        <w:rPr>
          <w:rFonts w:asciiTheme="minorHAnsi" w:hAnsiTheme="minorHAnsi" w:cstheme="minorHAnsi"/>
          <w:b/>
          <w:bCs/>
          <w:i/>
          <w:iCs/>
          <w:color w:val="000000" w:themeColor="text1"/>
          <w:sz w:val="20"/>
          <w:szCs w:val="20"/>
        </w:rPr>
        <w:t>infiammazione metabolica)</w:t>
      </w:r>
      <w:r w:rsidRPr="006831B7">
        <w:rPr>
          <w:rFonts w:asciiTheme="minorHAnsi" w:hAnsiTheme="minorHAnsi" w:cstheme="minorHAnsi"/>
          <w:i/>
          <w:iCs/>
          <w:color w:val="000000" w:themeColor="text1"/>
          <w:sz w:val="20"/>
          <w:szCs w:val="20"/>
        </w:rPr>
        <w:t>,</w:t>
      </w:r>
      <w:r w:rsidR="00CA186F" w:rsidRPr="006831B7">
        <w:rPr>
          <w:rFonts w:asciiTheme="minorHAnsi" w:hAnsiTheme="minorHAnsi" w:cstheme="minorHAnsi"/>
          <w:i/>
          <w:iCs/>
          <w:color w:val="000000" w:themeColor="text1"/>
          <w:sz w:val="20"/>
          <w:szCs w:val="20"/>
        </w:rPr>
        <w:t xml:space="preserve"> cioè</w:t>
      </w:r>
      <w:r w:rsidRPr="006831B7">
        <w:rPr>
          <w:rFonts w:asciiTheme="minorHAnsi" w:hAnsiTheme="minorHAnsi" w:cstheme="minorHAnsi"/>
          <w:i/>
          <w:iCs/>
          <w:color w:val="000000" w:themeColor="text1"/>
          <w:sz w:val="20"/>
          <w:szCs w:val="20"/>
        </w:rPr>
        <w:t xml:space="preserve"> un'infiammazione cronica e sterile di basso grado sostenut</w:t>
      </w:r>
      <w:r w:rsidR="00CA186F" w:rsidRPr="006831B7">
        <w:rPr>
          <w:rFonts w:asciiTheme="minorHAnsi" w:hAnsiTheme="minorHAnsi" w:cstheme="minorHAnsi"/>
          <w:i/>
          <w:iCs/>
          <w:color w:val="000000" w:themeColor="text1"/>
          <w:sz w:val="20"/>
          <w:szCs w:val="20"/>
        </w:rPr>
        <w:t>a</w:t>
      </w:r>
      <w:r w:rsidRPr="006831B7">
        <w:rPr>
          <w:rFonts w:asciiTheme="minorHAnsi" w:hAnsiTheme="minorHAnsi" w:cstheme="minorHAnsi"/>
          <w:i/>
          <w:iCs/>
          <w:color w:val="000000" w:themeColor="text1"/>
          <w:sz w:val="20"/>
          <w:szCs w:val="20"/>
        </w:rPr>
        <w:t xml:space="preserve"> da un'elevata assunzione di nutrienti che altera </w:t>
      </w:r>
      <w:r w:rsidR="00CA186F" w:rsidRPr="006831B7">
        <w:rPr>
          <w:rFonts w:asciiTheme="minorHAnsi" w:hAnsiTheme="minorHAnsi" w:cstheme="minorHAnsi"/>
          <w:i/>
          <w:iCs/>
          <w:color w:val="000000" w:themeColor="text1"/>
          <w:sz w:val="20"/>
          <w:szCs w:val="20"/>
        </w:rPr>
        <w:t xml:space="preserve">la risposta </w:t>
      </w:r>
      <w:r w:rsidRPr="006831B7">
        <w:rPr>
          <w:rFonts w:asciiTheme="minorHAnsi" w:hAnsiTheme="minorHAnsi" w:cstheme="minorHAnsi"/>
          <w:i/>
          <w:iCs/>
          <w:color w:val="000000" w:themeColor="text1"/>
          <w:sz w:val="20"/>
          <w:szCs w:val="20"/>
        </w:rPr>
        <w:t>infiammatori</w:t>
      </w:r>
      <w:r w:rsidR="00CA186F" w:rsidRPr="006831B7">
        <w:rPr>
          <w:rFonts w:asciiTheme="minorHAnsi" w:hAnsiTheme="minorHAnsi" w:cstheme="minorHAnsi"/>
          <w:i/>
          <w:iCs/>
          <w:color w:val="000000" w:themeColor="text1"/>
          <w:sz w:val="20"/>
          <w:szCs w:val="20"/>
        </w:rPr>
        <w:t>a e metabolica</w:t>
      </w:r>
      <w:r w:rsidRPr="006831B7">
        <w:rPr>
          <w:rFonts w:asciiTheme="minorHAnsi" w:hAnsiTheme="minorHAnsi" w:cstheme="minorHAnsi"/>
          <w:i/>
          <w:iCs/>
          <w:color w:val="000000" w:themeColor="text1"/>
          <w:sz w:val="20"/>
          <w:szCs w:val="20"/>
        </w:rPr>
        <w:t xml:space="preserve"> delle cellule, dei tessuti</w:t>
      </w:r>
      <w:r w:rsidR="00CA186F" w:rsidRPr="006831B7">
        <w:rPr>
          <w:rFonts w:asciiTheme="minorHAnsi" w:hAnsiTheme="minorHAnsi" w:cstheme="minorHAnsi"/>
          <w:i/>
          <w:iCs/>
          <w:color w:val="000000" w:themeColor="text1"/>
          <w:sz w:val="20"/>
          <w:szCs w:val="20"/>
        </w:rPr>
        <w:t xml:space="preserve"> </w:t>
      </w:r>
      <w:r w:rsidRPr="006831B7">
        <w:rPr>
          <w:rFonts w:asciiTheme="minorHAnsi" w:hAnsiTheme="minorHAnsi" w:cstheme="minorHAnsi"/>
          <w:i/>
          <w:iCs/>
          <w:color w:val="000000" w:themeColor="text1"/>
          <w:sz w:val="20"/>
          <w:szCs w:val="20"/>
        </w:rPr>
        <w:t xml:space="preserve">e </w:t>
      </w:r>
      <w:r w:rsidR="00CA186F" w:rsidRPr="006831B7">
        <w:rPr>
          <w:rFonts w:asciiTheme="minorHAnsi" w:hAnsiTheme="minorHAnsi" w:cstheme="minorHAnsi"/>
          <w:i/>
          <w:iCs/>
          <w:color w:val="000000" w:themeColor="text1"/>
          <w:sz w:val="20"/>
          <w:szCs w:val="20"/>
        </w:rPr>
        <w:t xml:space="preserve">degli </w:t>
      </w:r>
      <w:r w:rsidRPr="006831B7">
        <w:rPr>
          <w:rFonts w:asciiTheme="minorHAnsi" w:hAnsiTheme="minorHAnsi" w:cstheme="minorHAnsi"/>
          <w:i/>
          <w:iCs/>
          <w:color w:val="000000" w:themeColor="text1"/>
          <w:sz w:val="20"/>
          <w:szCs w:val="20"/>
        </w:rPr>
        <w:t>organi</w:t>
      </w:r>
      <w:r w:rsidR="002B202F" w:rsidRPr="006831B7">
        <w:rPr>
          <w:rFonts w:asciiTheme="minorHAnsi" w:hAnsiTheme="minorHAnsi" w:cstheme="minorHAnsi"/>
          <w:i/>
          <w:iCs/>
          <w:color w:val="000000" w:themeColor="text1"/>
          <w:sz w:val="20"/>
          <w:szCs w:val="20"/>
        </w:rPr>
        <w:t xml:space="preserve">. </w:t>
      </w:r>
      <w:r w:rsidR="002B202F" w:rsidRPr="006831B7">
        <w:rPr>
          <w:rStyle w:val="FootnoteReference"/>
          <w:rFonts w:asciiTheme="minorHAnsi" w:hAnsiTheme="minorHAnsi" w:cstheme="minorHAnsi"/>
          <w:i/>
          <w:iCs/>
          <w:color w:val="000000" w:themeColor="text1"/>
          <w:sz w:val="20"/>
          <w:szCs w:val="20"/>
        </w:rPr>
        <w:footnoteReference w:id="219"/>
      </w:r>
      <w:r w:rsidR="00CA186F" w:rsidRPr="006831B7">
        <w:rPr>
          <w:rFonts w:asciiTheme="minorHAnsi" w:hAnsiTheme="minorHAnsi" w:cstheme="minorHAnsi"/>
          <w:i/>
          <w:iCs/>
          <w:color w:val="000000" w:themeColor="text1"/>
          <w:sz w:val="20"/>
          <w:szCs w:val="20"/>
        </w:rPr>
        <w:t xml:space="preserve"> </w:t>
      </w:r>
    </w:p>
    <w:p w:rsidR="006831B7" w:rsidRDefault="006831B7"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276"/>
        <w:jc w:val="both"/>
        <w:rPr>
          <w:rFonts w:asciiTheme="minorHAnsi" w:hAnsiTheme="minorHAnsi" w:cstheme="minorHAnsi"/>
          <w:i/>
          <w:iCs/>
          <w:color w:val="000000" w:themeColor="text1"/>
          <w:sz w:val="20"/>
          <w:szCs w:val="20"/>
        </w:rPr>
      </w:pPr>
    </w:p>
    <w:p w:rsidR="006831B7" w:rsidRDefault="00D41960"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276"/>
        <w:jc w:val="both"/>
        <w:rPr>
          <w:rFonts w:asciiTheme="minorHAnsi" w:hAnsiTheme="minorHAnsi" w:cstheme="minorHAnsi"/>
          <w:i/>
          <w:iCs/>
          <w:color w:val="000000" w:themeColor="text1"/>
          <w:sz w:val="20"/>
          <w:szCs w:val="20"/>
        </w:rPr>
      </w:pPr>
      <w:r w:rsidRPr="006831B7">
        <w:rPr>
          <w:rFonts w:asciiTheme="minorHAnsi" w:hAnsiTheme="minorHAnsi" w:cstheme="minorHAnsi"/>
          <w:i/>
          <w:iCs/>
          <w:color w:val="000000" w:themeColor="text1"/>
          <w:sz w:val="20"/>
          <w:szCs w:val="20"/>
        </w:rPr>
        <w:t>La meta</w:t>
      </w:r>
      <w:r w:rsidR="00CA186F" w:rsidRPr="006831B7">
        <w:rPr>
          <w:rFonts w:asciiTheme="minorHAnsi" w:hAnsiTheme="minorHAnsi" w:cstheme="minorHAnsi"/>
          <w:i/>
          <w:iCs/>
          <w:color w:val="000000" w:themeColor="text1"/>
          <w:sz w:val="20"/>
          <w:szCs w:val="20"/>
        </w:rPr>
        <w:t>infiamma</w:t>
      </w:r>
      <w:r w:rsidRPr="006831B7">
        <w:rPr>
          <w:rFonts w:asciiTheme="minorHAnsi" w:hAnsiTheme="minorHAnsi" w:cstheme="minorHAnsi"/>
          <w:i/>
          <w:iCs/>
          <w:color w:val="000000" w:themeColor="text1"/>
          <w:sz w:val="20"/>
          <w:szCs w:val="20"/>
        </w:rPr>
        <w:t>zione potrebbe precedere e contribuire a</w:t>
      </w:r>
      <w:r w:rsidR="00CA186F" w:rsidRPr="006831B7">
        <w:rPr>
          <w:rFonts w:asciiTheme="minorHAnsi" w:hAnsiTheme="minorHAnsi" w:cstheme="minorHAnsi"/>
          <w:i/>
          <w:iCs/>
          <w:color w:val="000000" w:themeColor="text1"/>
          <w:sz w:val="20"/>
          <w:szCs w:val="20"/>
        </w:rPr>
        <w:t>ll’</w:t>
      </w:r>
      <w:r w:rsidRPr="006831B7">
        <w:rPr>
          <w:rFonts w:asciiTheme="minorHAnsi" w:hAnsiTheme="minorHAnsi" w:cstheme="minorHAnsi"/>
          <w:i/>
          <w:iCs/>
          <w:color w:val="000000" w:themeColor="text1"/>
          <w:sz w:val="20"/>
          <w:szCs w:val="20"/>
        </w:rPr>
        <w:t xml:space="preserve">infiammazione </w:t>
      </w:r>
      <w:r w:rsidR="00CA186F" w:rsidRPr="006831B7">
        <w:rPr>
          <w:rFonts w:asciiTheme="minorHAnsi" w:hAnsiTheme="minorHAnsi" w:cstheme="minorHAnsi"/>
          <w:i/>
          <w:iCs/>
          <w:color w:val="000000" w:themeColor="text1"/>
          <w:sz w:val="20"/>
          <w:szCs w:val="20"/>
        </w:rPr>
        <w:t xml:space="preserve">e viceversa, </w:t>
      </w:r>
      <w:r w:rsidRPr="006831B7">
        <w:rPr>
          <w:rFonts w:asciiTheme="minorHAnsi" w:hAnsiTheme="minorHAnsi" w:cstheme="minorHAnsi"/>
          <w:i/>
          <w:iCs/>
          <w:color w:val="000000" w:themeColor="text1"/>
          <w:sz w:val="20"/>
          <w:szCs w:val="20"/>
        </w:rPr>
        <w:t xml:space="preserve">e </w:t>
      </w:r>
      <w:r w:rsidR="00CA186F" w:rsidRPr="006831B7">
        <w:rPr>
          <w:rFonts w:asciiTheme="minorHAnsi" w:hAnsiTheme="minorHAnsi" w:cstheme="minorHAnsi"/>
          <w:i/>
          <w:iCs/>
          <w:color w:val="000000" w:themeColor="text1"/>
          <w:sz w:val="20"/>
          <w:szCs w:val="20"/>
        </w:rPr>
        <w:t xml:space="preserve">le malattie </w:t>
      </w:r>
      <w:r w:rsidRPr="006831B7">
        <w:rPr>
          <w:rFonts w:asciiTheme="minorHAnsi" w:hAnsiTheme="minorHAnsi" w:cstheme="minorHAnsi"/>
          <w:i/>
          <w:iCs/>
          <w:color w:val="000000" w:themeColor="text1"/>
          <w:sz w:val="20"/>
          <w:szCs w:val="20"/>
        </w:rPr>
        <w:t>metabolic</w:t>
      </w:r>
      <w:r w:rsidR="00CA186F" w:rsidRPr="006831B7">
        <w:rPr>
          <w:rFonts w:asciiTheme="minorHAnsi" w:hAnsiTheme="minorHAnsi" w:cstheme="minorHAnsi"/>
          <w:i/>
          <w:iCs/>
          <w:color w:val="000000" w:themeColor="text1"/>
          <w:sz w:val="20"/>
          <w:szCs w:val="20"/>
        </w:rPr>
        <w:t>he</w:t>
      </w:r>
      <w:r w:rsidRPr="006831B7">
        <w:rPr>
          <w:rFonts w:asciiTheme="minorHAnsi" w:hAnsiTheme="minorHAnsi" w:cstheme="minorHAnsi"/>
          <w:i/>
          <w:iCs/>
          <w:color w:val="000000" w:themeColor="text1"/>
          <w:sz w:val="20"/>
          <w:szCs w:val="20"/>
        </w:rPr>
        <w:t xml:space="preserve"> legat</w:t>
      </w:r>
      <w:r w:rsidR="00CA186F" w:rsidRPr="006831B7">
        <w:rPr>
          <w:rFonts w:asciiTheme="minorHAnsi" w:hAnsiTheme="minorHAnsi" w:cstheme="minorHAnsi"/>
          <w:i/>
          <w:iCs/>
          <w:color w:val="000000" w:themeColor="text1"/>
          <w:sz w:val="20"/>
          <w:szCs w:val="20"/>
        </w:rPr>
        <w:t>e</w:t>
      </w:r>
      <w:r w:rsidRPr="006831B7">
        <w:rPr>
          <w:rFonts w:asciiTheme="minorHAnsi" w:hAnsiTheme="minorHAnsi" w:cstheme="minorHAnsi"/>
          <w:i/>
          <w:iCs/>
          <w:color w:val="000000" w:themeColor="text1"/>
          <w:sz w:val="20"/>
          <w:szCs w:val="20"/>
        </w:rPr>
        <w:t xml:space="preserve"> all'età</w:t>
      </w:r>
      <w:r w:rsidR="00CA186F" w:rsidRPr="006831B7">
        <w:rPr>
          <w:rFonts w:asciiTheme="minorHAnsi" w:hAnsiTheme="minorHAnsi" w:cstheme="minorHAnsi"/>
          <w:i/>
          <w:iCs/>
          <w:color w:val="000000" w:themeColor="text1"/>
          <w:sz w:val="20"/>
          <w:szCs w:val="20"/>
        </w:rPr>
        <w:t xml:space="preserve"> a loro volta</w:t>
      </w:r>
      <w:r w:rsidRPr="006831B7">
        <w:rPr>
          <w:rFonts w:asciiTheme="minorHAnsi" w:hAnsiTheme="minorHAnsi" w:cstheme="minorHAnsi"/>
          <w:i/>
          <w:iCs/>
          <w:color w:val="000000" w:themeColor="text1"/>
          <w:sz w:val="20"/>
          <w:szCs w:val="20"/>
        </w:rPr>
        <w:t xml:space="preserve"> potrebbero essere considerate manifestazioni dell'accelerazione</w:t>
      </w:r>
      <w:r w:rsidR="00CA186F" w:rsidRPr="006831B7">
        <w:rPr>
          <w:rFonts w:asciiTheme="minorHAnsi" w:hAnsiTheme="minorHAnsi" w:cstheme="minorHAnsi"/>
          <w:i/>
          <w:iCs/>
          <w:color w:val="000000" w:themeColor="text1"/>
          <w:sz w:val="20"/>
          <w:szCs w:val="20"/>
        </w:rPr>
        <w:t xml:space="preserve"> </w:t>
      </w:r>
      <w:r w:rsidRPr="006831B7">
        <w:rPr>
          <w:rFonts w:asciiTheme="minorHAnsi" w:hAnsiTheme="minorHAnsi" w:cstheme="minorHAnsi"/>
          <w:i/>
          <w:iCs/>
          <w:color w:val="000000" w:themeColor="text1"/>
          <w:sz w:val="20"/>
          <w:szCs w:val="20"/>
        </w:rPr>
        <w:t xml:space="preserve">dell'invecchiamento (che a sua volta accelera l'invecchiamento stesso). </w:t>
      </w:r>
      <w:r w:rsidR="002B202F" w:rsidRPr="006831B7">
        <w:rPr>
          <w:rStyle w:val="FootnoteReference"/>
          <w:rFonts w:asciiTheme="minorHAnsi" w:hAnsiTheme="minorHAnsi" w:cstheme="minorHAnsi"/>
          <w:i/>
          <w:iCs/>
          <w:color w:val="000000" w:themeColor="text1"/>
          <w:sz w:val="20"/>
          <w:szCs w:val="20"/>
        </w:rPr>
        <w:footnoteReference w:id="220"/>
      </w:r>
      <w:r w:rsidR="002B202F" w:rsidRPr="006831B7">
        <w:rPr>
          <w:rFonts w:asciiTheme="minorHAnsi" w:hAnsiTheme="minorHAnsi" w:cstheme="minorHAnsi"/>
          <w:i/>
          <w:iCs/>
          <w:color w:val="000000" w:themeColor="text1"/>
          <w:sz w:val="20"/>
          <w:szCs w:val="20"/>
        </w:rPr>
        <w:t xml:space="preserve"> </w:t>
      </w:r>
    </w:p>
    <w:p w:rsidR="006831B7" w:rsidRDefault="006831B7"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276"/>
        <w:jc w:val="both"/>
        <w:rPr>
          <w:rFonts w:asciiTheme="minorHAnsi" w:hAnsiTheme="minorHAnsi" w:cstheme="minorHAnsi"/>
          <w:i/>
          <w:iCs/>
          <w:color w:val="000000" w:themeColor="text1"/>
          <w:sz w:val="20"/>
          <w:szCs w:val="20"/>
        </w:rPr>
      </w:pPr>
    </w:p>
    <w:p w:rsidR="00CC4795" w:rsidRDefault="00D41960"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276"/>
        <w:jc w:val="both"/>
        <w:rPr>
          <w:rFonts w:asciiTheme="minorHAnsi" w:hAnsiTheme="minorHAnsi" w:cstheme="minorHAnsi"/>
          <w:i/>
          <w:iCs/>
          <w:color w:val="000000" w:themeColor="text1"/>
          <w:sz w:val="20"/>
          <w:szCs w:val="20"/>
        </w:rPr>
      </w:pPr>
      <w:r w:rsidRPr="006831B7">
        <w:rPr>
          <w:rFonts w:asciiTheme="minorHAnsi" w:hAnsiTheme="minorHAnsi" w:cstheme="minorHAnsi"/>
          <w:i/>
          <w:iCs/>
          <w:color w:val="000000" w:themeColor="text1"/>
          <w:sz w:val="20"/>
          <w:szCs w:val="20"/>
        </w:rPr>
        <w:t>Questa ipotesi unificante indica</w:t>
      </w:r>
      <w:r w:rsidR="00CA186F" w:rsidRPr="006831B7">
        <w:rPr>
          <w:rFonts w:asciiTheme="minorHAnsi" w:hAnsiTheme="minorHAnsi" w:cstheme="minorHAnsi"/>
          <w:i/>
          <w:iCs/>
          <w:color w:val="000000" w:themeColor="text1"/>
          <w:sz w:val="20"/>
          <w:szCs w:val="20"/>
        </w:rPr>
        <w:t xml:space="preserve"> </w:t>
      </w:r>
      <w:r w:rsidRPr="006831B7">
        <w:rPr>
          <w:rFonts w:asciiTheme="minorHAnsi" w:hAnsiTheme="minorHAnsi" w:cstheme="minorHAnsi"/>
          <w:i/>
          <w:iCs/>
          <w:color w:val="000000" w:themeColor="text1"/>
          <w:sz w:val="20"/>
          <w:szCs w:val="20"/>
        </w:rPr>
        <w:t>che la storia metabolica di un individuo probabilmente</w:t>
      </w:r>
      <w:r w:rsidR="00CA186F" w:rsidRPr="006831B7">
        <w:rPr>
          <w:rFonts w:asciiTheme="minorHAnsi" w:hAnsiTheme="minorHAnsi" w:cstheme="minorHAnsi"/>
          <w:i/>
          <w:iCs/>
          <w:color w:val="000000" w:themeColor="text1"/>
          <w:sz w:val="20"/>
          <w:szCs w:val="20"/>
        </w:rPr>
        <w:t xml:space="preserve"> influenza l’</w:t>
      </w:r>
      <w:r w:rsidRPr="006831B7">
        <w:rPr>
          <w:rFonts w:asciiTheme="minorHAnsi" w:hAnsiTheme="minorHAnsi" w:cstheme="minorHAnsi"/>
          <w:b/>
          <w:bCs/>
          <w:i/>
          <w:iCs/>
          <w:color w:val="000000" w:themeColor="text1"/>
          <w:sz w:val="20"/>
          <w:szCs w:val="20"/>
        </w:rPr>
        <w:t>immunobiografia</w:t>
      </w:r>
      <w:r w:rsidRPr="006831B7">
        <w:rPr>
          <w:rFonts w:asciiTheme="minorHAnsi" w:hAnsiTheme="minorHAnsi" w:cstheme="minorHAnsi"/>
          <w:i/>
          <w:iCs/>
          <w:color w:val="000000" w:themeColor="text1"/>
          <w:sz w:val="20"/>
          <w:szCs w:val="20"/>
        </w:rPr>
        <w:t xml:space="preserve"> e </w:t>
      </w:r>
      <w:r w:rsidR="00CA186F" w:rsidRPr="006831B7">
        <w:rPr>
          <w:rFonts w:asciiTheme="minorHAnsi" w:hAnsiTheme="minorHAnsi" w:cstheme="minorHAnsi"/>
          <w:i/>
          <w:iCs/>
          <w:color w:val="000000" w:themeColor="text1"/>
          <w:sz w:val="20"/>
          <w:szCs w:val="20"/>
        </w:rPr>
        <w:t xml:space="preserve">il </w:t>
      </w:r>
      <w:r w:rsidRPr="006831B7">
        <w:rPr>
          <w:rFonts w:asciiTheme="minorHAnsi" w:hAnsiTheme="minorHAnsi" w:cstheme="minorHAnsi"/>
          <w:b/>
          <w:bCs/>
          <w:i/>
          <w:iCs/>
          <w:color w:val="000000" w:themeColor="text1"/>
          <w:sz w:val="20"/>
          <w:szCs w:val="20"/>
        </w:rPr>
        <w:t>fenotipo infiammatorio</w:t>
      </w:r>
      <w:r w:rsidR="00CA186F" w:rsidRPr="006831B7">
        <w:rPr>
          <w:rFonts w:asciiTheme="minorHAnsi" w:hAnsiTheme="minorHAnsi" w:cstheme="minorHAnsi"/>
          <w:i/>
          <w:iCs/>
          <w:color w:val="000000" w:themeColor="text1"/>
          <w:sz w:val="20"/>
          <w:szCs w:val="20"/>
        </w:rPr>
        <w:t xml:space="preserve"> di un individuo</w:t>
      </w:r>
      <w:r w:rsidRPr="006831B7">
        <w:rPr>
          <w:rFonts w:asciiTheme="minorHAnsi" w:hAnsiTheme="minorHAnsi" w:cstheme="minorHAnsi"/>
          <w:i/>
          <w:iCs/>
          <w:color w:val="000000" w:themeColor="text1"/>
          <w:sz w:val="20"/>
          <w:szCs w:val="20"/>
        </w:rPr>
        <w:t xml:space="preserve">, </w:t>
      </w:r>
      <w:r w:rsidR="00CA186F" w:rsidRPr="006831B7">
        <w:rPr>
          <w:rFonts w:asciiTheme="minorHAnsi" w:hAnsiTheme="minorHAnsi" w:cstheme="minorHAnsi"/>
          <w:i/>
          <w:iCs/>
          <w:color w:val="000000" w:themeColor="text1"/>
          <w:sz w:val="20"/>
          <w:szCs w:val="20"/>
        </w:rPr>
        <w:t>determinand</w:t>
      </w:r>
      <w:r w:rsidRPr="006831B7">
        <w:rPr>
          <w:rFonts w:asciiTheme="minorHAnsi" w:hAnsiTheme="minorHAnsi" w:cstheme="minorHAnsi"/>
          <w:i/>
          <w:iCs/>
          <w:color w:val="000000" w:themeColor="text1"/>
          <w:sz w:val="20"/>
          <w:szCs w:val="20"/>
        </w:rPr>
        <w:t>o così il rischio di</w:t>
      </w:r>
      <w:r w:rsidR="00CA186F" w:rsidRPr="006831B7">
        <w:rPr>
          <w:rFonts w:asciiTheme="minorHAnsi" w:hAnsiTheme="minorHAnsi" w:cstheme="minorHAnsi"/>
          <w:i/>
          <w:iCs/>
          <w:color w:val="000000" w:themeColor="text1"/>
          <w:sz w:val="20"/>
          <w:szCs w:val="20"/>
        </w:rPr>
        <w:t xml:space="preserve"> </w:t>
      </w:r>
      <w:r w:rsidRPr="006831B7">
        <w:rPr>
          <w:rFonts w:asciiTheme="minorHAnsi" w:hAnsiTheme="minorHAnsi" w:cstheme="minorHAnsi"/>
          <w:i/>
          <w:iCs/>
          <w:color w:val="000000" w:themeColor="text1"/>
          <w:sz w:val="20"/>
          <w:szCs w:val="20"/>
        </w:rPr>
        <w:t>svilupp</w:t>
      </w:r>
      <w:r w:rsidR="00CA186F" w:rsidRPr="006831B7">
        <w:rPr>
          <w:rFonts w:asciiTheme="minorHAnsi" w:hAnsiTheme="minorHAnsi" w:cstheme="minorHAnsi"/>
          <w:i/>
          <w:iCs/>
          <w:color w:val="000000" w:themeColor="text1"/>
          <w:sz w:val="20"/>
          <w:szCs w:val="20"/>
        </w:rPr>
        <w:t>are</w:t>
      </w:r>
      <w:r w:rsidRPr="006831B7">
        <w:rPr>
          <w:rFonts w:asciiTheme="minorHAnsi" w:hAnsiTheme="minorHAnsi" w:cstheme="minorHAnsi"/>
          <w:i/>
          <w:iCs/>
          <w:color w:val="000000" w:themeColor="text1"/>
          <w:sz w:val="20"/>
          <w:szCs w:val="20"/>
        </w:rPr>
        <w:t xml:space="preserve"> malattie metaboliche croniche legate all'età</w:t>
      </w:r>
      <w:r w:rsidR="00CA186F" w:rsidRPr="006831B7">
        <w:rPr>
          <w:rFonts w:asciiTheme="minorHAnsi" w:hAnsiTheme="minorHAnsi" w:cstheme="minorHAnsi"/>
          <w:i/>
          <w:iCs/>
          <w:color w:val="000000" w:themeColor="text1"/>
          <w:sz w:val="20"/>
          <w:szCs w:val="20"/>
        </w:rPr>
        <w:t>.</w:t>
      </w:r>
    </w:p>
    <w:p w:rsidR="006831B7" w:rsidRPr="006831B7" w:rsidRDefault="006831B7" w:rsidP="006831B7">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851" w:right="276"/>
        <w:jc w:val="both"/>
        <w:rPr>
          <w:rFonts w:asciiTheme="minorHAnsi" w:hAnsiTheme="minorHAnsi" w:cstheme="minorHAnsi"/>
          <w:i/>
          <w:iCs/>
          <w:color w:val="000000" w:themeColor="text1"/>
          <w:sz w:val="20"/>
          <w:szCs w:val="20"/>
        </w:rPr>
      </w:pPr>
    </w:p>
    <w:p w:rsidR="00CA186F" w:rsidRPr="00E565AE" w:rsidRDefault="00CA186F" w:rsidP="00B648DA">
      <w:pPr>
        <w:jc w:val="both"/>
        <w:rPr>
          <w:rFonts w:asciiTheme="minorHAnsi" w:hAnsiTheme="minorHAnsi" w:cstheme="minorHAnsi"/>
          <w:color w:val="000000" w:themeColor="text1"/>
          <w:sz w:val="22"/>
          <w:szCs w:val="22"/>
        </w:rPr>
      </w:pPr>
    </w:p>
    <w:p w:rsidR="00100954" w:rsidRPr="00E565AE" w:rsidRDefault="00100954" w:rsidP="00B648DA">
      <w:pPr>
        <w:jc w:val="both"/>
        <w:rPr>
          <w:rFonts w:asciiTheme="minorHAnsi" w:hAnsiTheme="minorHAnsi" w:cstheme="minorHAnsi"/>
          <w:color w:val="000000" w:themeColor="text1"/>
          <w:sz w:val="22"/>
          <w:szCs w:val="22"/>
        </w:rPr>
      </w:pPr>
      <w:r w:rsidRPr="00E565AE">
        <w:rPr>
          <w:rFonts w:asciiTheme="minorHAnsi" w:hAnsiTheme="minorHAnsi" w:cstheme="minorHAnsi"/>
          <w:color w:val="000000" w:themeColor="text1"/>
          <w:sz w:val="22"/>
          <w:szCs w:val="22"/>
        </w:rPr>
        <w:fldChar w:fldCharType="begin"/>
      </w:r>
      <w:r w:rsidRPr="00E565AE">
        <w:rPr>
          <w:rFonts w:asciiTheme="minorHAnsi" w:hAnsiTheme="minorHAnsi" w:cstheme="minorHAnsi"/>
          <w:color w:val="000000" w:themeColor="text1"/>
          <w:sz w:val="22"/>
          <w:szCs w:val="22"/>
        </w:rPr>
        <w:instrText xml:space="preserve"> INCLUDEPICTURE "https://www.ncbi.nlm.nih.gov/pmc/articles/PMC6004897/bin/nha-4-nha170030-g002.jpg" \* MERGEFORMATINET </w:instrText>
      </w:r>
      <w:r w:rsidRPr="00E565AE">
        <w:rPr>
          <w:rFonts w:asciiTheme="minorHAnsi" w:hAnsiTheme="minorHAnsi" w:cstheme="minorHAnsi"/>
          <w:color w:val="000000" w:themeColor="text1"/>
          <w:sz w:val="22"/>
          <w:szCs w:val="22"/>
        </w:rPr>
        <w:fldChar w:fldCharType="separate"/>
      </w:r>
      <w:r w:rsidRPr="00E565AE">
        <w:rPr>
          <w:rFonts w:asciiTheme="minorHAnsi" w:hAnsiTheme="minorHAnsi" w:cstheme="minorHAnsi"/>
          <w:noProof/>
          <w:color w:val="000000" w:themeColor="text1"/>
          <w:sz w:val="22"/>
          <w:szCs w:val="22"/>
        </w:rPr>
        <w:drawing>
          <wp:inline distT="0" distB="0" distL="0" distR="0">
            <wp:extent cx="6116320" cy="3629660"/>
            <wp:effectExtent l="0" t="0" r="5080" b="2540"/>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16320" cy="3629660"/>
                    </a:xfrm>
                    <a:prstGeom prst="rect">
                      <a:avLst/>
                    </a:prstGeom>
                    <a:noFill/>
                    <a:ln>
                      <a:noFill/>
                    </a:ln>
                  </pic:spPr>
                </pic:pic>
              </a:graphicData>
            </a:graphic>
          </wp:inline>
        </w:drawing>
      </w:r>
      <w:r w:rsidRPr="00E565AE">
        <w:rPr>
          <w:rFonts w:asciiTheme="minorHAnsi" w:hAnsiTheme="minorHAnsi" w:cstheme="minorHAnsi"/>
          <w:color w:val="000000" w:themeColor="text1"/>
          <w:sz w:val="22"/>
          <w:szCs w:val="22"/>
        </w:rPr>
        <w:fldChar w:fldCharType="end"/>
      </w:r>
    </w:p>
    <w:p w:rsidR="00E565AE" w:rsidRDefault="00E565AE" w:rsidP="00B648DA">
      <w:pPr>
        <w:jc w:val="both"/>
        <w:rPr>
          <w:rFonts w:asciiTheme="minorHAnsi" w:hAnsiTheme="minorHAnsi" w:cstheme="minorHAnsi"/>
          <w:color w:val="000000" w:themeColor="text1"/>
          <w:sz w:val="16"/>
          <w:szCs w:val="16"/>
        </w:rPr>
      </w:pPr>
    </w:p>
    <w:p w:rsidR="00100954" w:rsidRPr="00746334" w:rsidRDefault="003B271B" w:rsidP="00746334">
      <w:pPr>
        <w:shd w:val="clear" w:color="auto" w:fill="F2F2F2" w:themeFill="background1" w:themeFillShade="F2"/>
        <w:jc w:val="both"/>
        <w:rPr>
          <w:rFonts w:asciiTheme="minorHAnsi" w:hAnsiTheme="minorHAnsi" w:cstheme="minorHAnsi"/>
          <w:color w:val="000000" w:themeColor="text1"/>
          <w:sz w:val="18"/>
          <w:szCs w:val="18"/>
        </w:rPr>
      </w:pPr>
      <w:r w:rsidRPr="00746334">
        <w:rPr>
          <w:rFonts w:asciiTheme="minorHAnsi" w:hAnsiTheme="minorHAnsi" w:cstheme="minorHAnsi"/>
          <w:color w:val="000000" w:themeColor="text1"/>
          <w:sz w:val="18"/>
          <w:szCs w:val="18"/>
        </w:rPr>
        <w:t xml:space="preserve">Tratta da </w:t>
      </w:r>
      <w:hyperlink r:id="rId177" w:history="1">
        <w:r w:rsidRPr="00746334">
          <w:rPr>
            <w:rStyle w:val="Hyperlink"/>
            <w:rFonts w:asciiTheme="minorHAnsi" w:eastAsiaTheme="majorEastAsia" w:hAnsiTheme="minorHAnsi" w:cstheme="minorHAnsi"/>
            <w:color w:val="000000" w:themeColor="text1"/>
            <w:sz w:val="18"/>
            <w:szCs w:val="18"/>
            <w:u w:val="none"/>
          </w:rPr>
          <w:t>https://www.ncbi.nlm.nih.gov/pmc/articles/PMC6004897/</w:t>
        </w:r>
      </w:hyperlink>
    </w:p>
    <w:p w:rsidR="00100954" w:rsidRPr="00746334" w:rsidRDefault="006F6F0B" w:rsidP="00746334">
      <w:pPr>
        <w:shd w:val="clear" w:color="auto" w:fill="F2F2F2" w:themeFill="background1" w:themeFillShade="F2"/>
        <w:jc w:val="both"/>
        <w:rPr>
          <w:rFonts w:asciiTheme="minorHAnsi" w:hAnsiTheme="minorHAnsi" w:cstheme="minorHAnsi"/>
          <w:color w:val="000000" w:themeColor="text1"/>
          <w:sz w:val="18"/>
          <w:szCs w:val="18"/>
        </w:rPr>
      </w:pPr>
      <w:r w:rsidRPr="00746334">
        <w:rPr>
          <w:rFonts w:asciiTheme="minorHAnsi" w:hAnsiTheme="minorHAnsi" w:cstheme="minorHAnsi"/>
          <w:b/>
          <w:bCs/>
          <w:color w:val="000000" w:themeColor="text1"/>
          <w:sz w:val="18"/>
          <w:szCs w:val="18"/>
        </w:rPr>
        <w:t>Caratteristiche dell'ambiente intestinale omeostatico (eubiosi)</w:t>
      </w:r>
      <w:r w:rsidRPr="00746334">
        <w:rPr>
          <w:rFonts w:asciiTheme="minorHAnsi" w:hAnsiTheme="minorHAnsi" w:cstheme="minorHAnsi"/>
          <w:color w:val="000000" w:themeColor="text1"/>
          <w:sz w:val="18"/>
          <w:szCs w:val="18"/>
        </w:rPr>
        <w:t xml:space="preserve"> </w:t>
      </w:r>
      <w:r w:rsidRPr="00746334">
        <w:rPr>
          <w:rFonts w:asciiTheme="minorHAnsi" w:hAnsiTheme="minorHAnsi" w:cstheme="minorHAnsi"/>
          <w:b/>
          <w:bCs/>
          <w:color w:val="000000" w:themeColor="text1"/>
          <w:sz w:val="18"/>
          <w:szCs w:val="18"/>
        </w:rPr>
        <w:t>(A) e in che modo un microbiota perturbato (disbiosi) e la barriera intestinale possono provocare malattie legate all'invecchiamento (B)</w:t>
      </w:r>
      <w:r w:rsidRPr="00746334">
        <w:rPr>
          <w:rFonts w:asciiTheme="minorHAnsi" w:hAnsiTheme="minorHAnsi" w:cstheme="minorHAnsi"/>
          <w:color w:val="000000" w:themeColor="text1"/>
          <w:sz w:val="18"/>
          <w:szCs w:val="18"/>
        </w:rPr>
        <w:t xml:space="preserve">. In condizioni omeostatiche (eubiosi), le cellule epiteliali </w:t>
      </w:r>
      <w:r w:rsidRPr="00746334">
        <w:rPr>
          <w:rFonts w:asciiTheme="minorHAnsi" w:hAnsiTheme="minorHAnsi" w:cstheme="minorHAnsi"/>
          <w:color w:val="000000" w:themeColor="text1"/>
          <w:sz w:val="18"/>
          <w:szCs w:val="18"/>
        </w:rPr>
        <w:lastRenderedPageBreak/>
        <w:t xml:space="preserve">producono peptidi antimicrobici (AMP) in risposta a interleuchine (ad es. IL-22) ed esprimono anche recettori per il riconoscimento dei profili molecolari (ad es. Recettori Toll-like; TLR). I microbi intestinali regolano la secrezione di muco e la produzione di AMP e regolano / migliorano l'integrità della barriera intestinale attraverso la produzione di acidi grassi a catena corta (SCFA). Le cellule caliciformi producono muco per limitare l'invasione dei patobionti. Le cellule linfoidi (ad es. Cellule TH17) svolgono un ruolo nella difesa dell'ospite producendo IL-22. Le cellule dendritiche (DC) inducono l'attivazione e la differenziazione delle cellule B naïve per produrre plasmacellule che </w:t>
      </w:r>
      <w:r w:rsidR="003B271B" w:rsidRPr="00746334">
        <w:rPr>
          <w:rFonts w:asciiTheme="minorHAnsi" w:hAnsiTheme="minorHAnsi" w:cstheme="minorHAnsi"/>
          <w:color w:val="000000" w:themeColor="text1"/>
          <w:sz w:val="18"/>
          <w:szCs w:val="18"/>
        </w:rPr>
        <w:t>rilasciano</w:t>
      </w:r>
      <w:r w:rsidRPr="00746334">
        <w:rPr>
          <w:rFonts w:asciiTheme="minorHAnsi" w:hAnsiTheme="minorHAnsi" w:cstheme="minorHAnsi"/>
          <w:color w:val="000000" w:themeColor="text1"/>
          <w:sz w:val="18"/>
          <w:szCs w:val="18"/>
        </w:rPr>
        <w:t xml:space="preserve"> IgA commensali specifiche nella lamina propria. Le IgA vengono trasportate nel lume intestinale come IgA secreto (sIgA) attraverso i recettori (recettore dell'immunoglobulina polimerica pIgR), dove dopo </w:t>
      </w:r>
      <w:r w:rsidR="003B271B" w:rsidRPr="00746334">
        <w:rPr>
          <w:rFonts w:asciiTheme="minorHAnsi" w:hAnsiTheme="minorHAnsi" w:cstheme="minorHAnsi"/>
          <w:color w:val="000000" w:themeColor="text1"/>
          <w:sz w:val="18"/>
          <w:szCs w:val="18"/>
        </w:rPr>
        <w:t>l’</w:t>
      </w:r>
      <w:r w:rsidRPr="00746334">
        <w:rPr>
          <w:rFonts w:asciiTheme="minorHAnsi" w:hAnsiTheme="minorHAnsi" w:cstheme="minorHAnsi"/>
          <w:color w:val="000000" w:themeColor="text1"/>
          <w:sz w:val="18"/>
          <w:szCs w:val="18"/>
        </w:rPr>
        <w:t xml:space="preserve">sIgA si lega ai microbi commensali e agli antigeni solubili, limitando così la loro aderenza all'epitelio ospite e </w:t>
      </w:r>
      <w:r w:rsidR="003B271B" w:rsidRPr="00746334">
        <w:rPr>
          <w:rFonts w:asciiTheme="minorHAnsi" w:hAnsiTheme="minorHAnsi" w:cstheme="minorHAnsi"/>
          <w:color w:val="000000" w:themeColor="text1"/>
          <w:sz w:val="18"/>
          <w:szCs w:val="18"/>
        </w:rPr>
        <w:t xml:space="preserve">le </w:t>
      </w:r>
      <w:r w:rsidRPr="00746334">
        <w:rPr>
          <w:rFonts w:asciiTheme="minorHAnsi" w:hAnsiTheme="minorHAnsi" w:cstheme="minorHAnsi"/>
          <w:color w:val="000000" w:themeColor="text1"/>
          <w:sz w:val="18"/>
          <w:szCs w:val="18"/>
        </w:rPr>
        <w:t>perdite attraverso la barriera intestinale. Tuttavia, in caso di disbiosi e / o</w:t>
      </w:r>
      <w:r w:rsidR="003B271B" w:rsidRPr="00746334">
        <w:rPr>
          <w:rFonts w:asciiTheme="minorHAnsi" w:hAnsiTheme="minorHAnsi" w:cstheme="minorHAnsi"/>
          <w:color w:val="000000" w:themeColor="text1"/>
          <w:sz w:val="18"/>
          <w:szCs w:val="18"/>
        </w:rPr>
        <w:t xml:space="preserve"> ambiente</w:t>
      </w:r>
      <w:r w:rsidRPr="00746334">
        <w:rPr>
          <w:rFonts w:asciiTheme="minorHAnsi" w:hAnsiTheme="minorHAnsi" w:cstheme="minorHAnsi"/>
          <w:color w:val="000000" w:themeColor="text1"/>
          <w:sz w:val="18"/>
          <w:szCs w:val="18"/>
        </w:rPr>
        <w:t xml:space="preserve"> senescente, l'alterata composizione del microbiota e la permeabilità intestinale indebolita / perturbata possono portare a una maggiore aderenza e </w:t>
      </w:r>
      <w:r w:rsidR="003B271B" w:rsidRPr="00746334">
        <w:rPr>
          <w:rFonts w:asciiTheme="minorHAnsi" w:hAnsiTheme="minorHAnsi" w:cstheme="minorHAnsi"/>
          <w:color w:val="000000" w:themeColor="text1"/>
          <w:sz w:val="18"/>
          <w:szCs w:val="18"/>
        </w:rPr>
        <w:t xml:space="preserve">la </w:t>
      </w:r>
      <w:r w:rsidRPr="00746334">
        <w:rPr>
          <w:rFonts w:asciiTheme="minorHAnsi" w:hAnsiTheme="minorHAnsi" w:cstheme="minorHAnsi"/>
          <w:color w:val="000000" w:themeColor="text1"/>
          <w:sz w:val="18"/>
          <w:szCs w:val="18"/>
        </w:rPr>
        <w:t xml:space="preserve">perdita di vari microbi e sottoprodotti microbici attraverso la barriera intestinale, provocando in tal modo risposte iperinfiammatorie che alla fine aumentano la suscettibilità dell'ospite a vari disturbi intestinali e sistemici attraverso </w:t>
      </w:r>
      <w:r w:rsidR="003B271B" w:rsidRPr="00746334">
        <w:rPr>
          <w:rFonts w:asciiTheme="minorHAnsi" w:hAnsiTheme="minorHAnsi" w:cstheme="minorHAnsi"/>
          <w:color w:val="000000" w:themeColor="text1"/>
          <w:sz w:val="18"/>
          <w:szCs w:val="18"/>
        </w:rPr>
        <w:t xml:space="preserve">le </w:t>
      </w:r>
      <w:r w:rsidRPr="00746334">
        <w:rPr>
          <w:rFonts w:asciiTheme="minorHAnsi" w:hAnsiTheme="minorHAnsi" w:cstheme="minorHAnsi"/>
          <w:color w:val="000000" w:themeColor="text1"/>
          <w:sz w:val="18"/>
          <w:szCs w:val="18"/>
        </w:rPr>
        <w:t>perturbazioni dell'asse cervello-intestino, asse fegato-intestino, ecc.</w:t>
      </w:r>
    </w:p>
    <w:p w:rsidR="00100954" w:rsidRPr="00E82A6A" w:rsidRDefault="00100954" w:rsidP="00B648DA">
      <w:pPr>
        <w:jc w:val="both"/>
        <w:rPr>
          <w:rFonts w:asciiTheme="minorHAnsi" w:hAnsiTheme="minorHAnsi" w:cstheme="minorHAnsi"/>
          <w:sz w:val="22"/>
          <w:szCs w:val="22"/>
        </w:rPr>
      </w:pPr>
    </w:p>
    <w:p w:rsidR="00CA186F" w:rsidRPr="00DB4F96" w:rsidRDefault="005C01E5" w:rsidP="00746334">
      <w:pPr>
        <w:pStyle w:val="Heading3"/>
        <w:shd w:val="clear" w:color="auto" w:fill="E2EFD9" w:themeFill="accent6" w:themeFillTint="33"/>
        <w:jc w:val="center"/>
        <w:rPr>
          <w:i/>
          <w:iCs/>
        </w:rPr>
      </w:pPr>
      <w:bookmarkStart w:id="76" w:name="_Toc43342407"/>
      <w:r w:rsidRPr="006F0CC0">
        <w:rPr>
          <w:rStyle w:val="Heading4Char"/>
          <w:rFonts w:asciiTheme="minorHAnsi" w:hAnsiTheme="minorHAnsi" w:cstheme="minorHAnsi"/>
          <w:i w:val="0"/>
          <w:iCs w:val="0"/>
          <w:color w:val="C00000"/>
        </w:rPr>
        <w:t>M</w:t>
      </w:r>
      <w:r w:rsidR="00DD34F4" w:rsidRPr="006F0CC0">
        <w:rPr>
          <w:rStyle w:val="Heading4Char"/>
          <w:rFonts w:asciiTheme="minorHAnsi" w:hAnsiTheme="minorHAnsi" w:cstheme="minorHAnsi"/>
          <w:i w:val="0"/>
          <w:iCs w:val="0"/>
          <w:color w:val="C00000"/>
        </w:rPr>
        <w:t>icrobiota e COVID-19</w:t>
      </w:r>
      <w:r w:rsidR="00DD34F4" w:rsidRPr="006F0CC0">
        <w:rPr>
          <w:i/>
          <w:iCs/>
          <w:color w:val="C00000"/>
        </w:rPr>
        <w:t xml:space="preserve"> </w:t>
      </w:r>
      <w:r w:rsidR="00DD34F4" w:rsidRPr="006F0CC0">
        <w:rPr>
          <w:rStyle w:val="FootnoteReference"/>
          <w:rFonts w:asciiTheme="minorHAnsi" w:hAnsiTheme="minorHAnsi" w:cstheme="minorHAnsi"/>
          <w:color w:val="000000" w:themeColor="text1"/>
          <w:sz w:val="22"/>
          <w:szCs w:val="22"/>
        </w:rPr>
        <w:footnoteReference w:id="221"/>
      </w:r>
      <w:bookmarkEnd w:id="76"/>
    </w:p>
    <w:p w:rsidR="00187C57" w:rsidRDefault="00DD34F4" w:rsidP="00B648DA">
      <w:pPr>
        <w:jc w:val="both"/>
        <w:rPr>
          <w:rFonts w:asciiTheme="minorHAnsi" w:hAnsiTheme="minorHAnsi" w:cstheme="minorHAnsi"/>
          <w:sz w:val="20"/>
          <w:szCs w:val="20"/>
        </w:rPr>
      </w:pPr>
      <w:r w:rsidRPr="006F0CC0">
        <w:rPr>
          <w:rFonts w:asciiTheme="minorHAnsi" w:hAnsiTheme="minorHAnsi" w:cstheme="minorHAnsi"/>
          <w:sz w:val="20"/>
          <w:szCs w:val="20"/>
        </w:rPr>
        <w:t xml:space="preserve">Come discusso sopra, i segnali derivati dal microbiota intestinale </w:t>
      </w:r>
      <w:r w:rsidR="002F2804" w:rsidRPr="006F0CC0">
        <w:rPr>
          <w:rFonts w:asciiTheme="minorHAnsi" w:hAnsiTheme="minorHAnsi" w:cstheme="minorHAnsi"/>
          <w:sz w:val="20"/>
          <w:szCs w:val="20"/>
        </w:rPr>
        <w:t>orientano</w:t>
      </w:r>
      <w:r w:rsidRPr="006F0CC0">
        <w:rPr>
          <w:rFonts w:asciiTheme="minorHAnsi" w:hAnsiTheme="minorHAnsi" w:cstheme="minorHAnsi"/>
          <w:sz w:val="20"/>
          <w:szCs w:val="20"/>
        </w:rPr>
        <w:t xml:space="preserve"> le </w:t>
      </w:r>
      <w:r w:rsidR="002F2804" w:rsidRPr="006F0CC0">
        <w:rPr>
          <w:rFonts w:asciiTheme="minorHAnsi" w:hAnsiTheme="minorHAnsi" w:cstheme="minorHAnsi"/>
          <w:sz w:val="20"/>
          <w:szCs w:val="20"/>
        </w:rPr>
        <w:t xml:space="preserve">risposte pro e antinfiammatorie delle </w:t>
      </w:r>
      <w:r w:rsidRPr="006F0CC0">
        <w:rPr>
          <w:rFonts w:asciiTheme="minorHAnsi" w:hAnsiTheme="minorHAnsi" w:cstheme="minorHAnsi"/>
          <w:sz w:val="20"/>
          <w:szCs w:val="20"/>
        </w:rPr>
        <w:t xml:space="preserve">cellule immunitarie, influenzando così la suscettibilità a varie malattie </w:t>
      </w:r>
      <w:r w:rsidR="003B271B" w:rsidRPr="006F0CC0">
        <w:rPr>
          <w:rStyle w:val="FootnoteReference"/>
          <w:rFonts w:asciiTheme="minorHAnsi" w:hAnsiTheme="minorHAnsi" w:cstheme="minorHAnsi"/>
          <w:sz w:val="20"/>
          <w:szCs w:val="20"/>
        </w:rPr>
        <w:footnoteReference w:id="222"/>
      </w:r>
      <w:r w:rsidR="003B271B" w:rsidRPr="006F0CC0">
        <w:rPr>
          <w:rFonts w:asciiTheme="minorHAnsi" w:hAnsiTheme="minorHAnsi" w:cstheme="minorHAnsi"/>
          <w:sz w:val="20"/>
          <w:szCs w:val="20"/>
        </w:rPr>
        <w:t xml:space="preserve">. </w:t>
      </w:r>
    </w:p>
    <w:p w:rsidR="002B202F" w:rsidRDefault="00DD34F4" w:rsidP="00B648DA">
      <w:pPr>
        <w:jc w:val="both"/>
        <w:rPr>
          <w:rFonts w:asciiTheme="minorHAnsi" w:hAnsiTheme="minorHAnsi" w:cstheme="minorHAnsi"/>
          <w:sz w:val="20"/>
          <w:szCs w:val="20"/>
        </w:rPr>
      </w:pPr>
      <w:r w:rsidRPr="006F0CC0">
        <w:rPr>
          <w:rFonts w:asciiTheme="minorHAnsi" w:hAnsiTheme="minorHAnsi" w:cstheme="minorHAnsi"/>
          <w:sz w:val="20"/>
          <w:szCs w:val="20"/>
        </w:rPr>
        <w:t xml:space="preserve">L'omeostasi </w:t>
      </w:r>
      <w:r w:rsidR="002F2804" w:rsidRPr="006F0CC0">
        <w:rPr>
          <w:rFonts w:asciiTheme="minorHAnsi" w:hAnsiTheme="minorHAnsi" w:cstheme="minorHAnsi"/>
          <w:sz w:val="20"/>
          <w:szCs w:val="20"/>
        </w:rPr>
        <w:t xml:space="preserve">del sistema immunitario </w:t>
      </w:r>
      <w:r w:rsidRPr="006F0CC0">
        <w:rPr>
          <w:rFonts w:asciiTheme="minorHAnsi" w:hAnsiTheme="minorHAnsi" w:cstheme="minorHAnsi"/>
          <w:sz w:val="20"/>
          <w:szCs w:val="20"/>
        </w:rPr>
        <w:t xml:space="preserve">dell'intestino è </w:t>
      </w:r>
      <w:r w:rsidR="002F2804" w:rsidRPr="006F0CC0">
        <w:rPr>
          <w:rFonts w:asciiTheme="minorHAnsi" w:hAnsiTheme="minorHAnsi" w:cstheme="minorHAnsi"/>
          <w:sz w:val="20"/>
          <w:szCs w:val="20"/>
        </w:rPr>
        <w:t>regolata</w:t>
      </w:r>
      <w:r w:rsidRPr="006F0CC0">
        <w:rPr>
          <w:rFonts w:asciiTheme="minorHAnsi" w:hAnsiTheme="minorHAnsi" w:cstheme="minorHAnsi"/>
          <w:sz w:val="20"/>
          <w:szCs w:val="20"/>
        </w:rPr>
        <w:t xml:space="preserve"> dell'equilibrio </w:t>
      </w:r>
      <w:r w:rsidR="002F2804" w:rsidRPr="006F0CC0">
        <w:rPr>
          <w:rFonts w:asciiTheme="minorHAnsi" w:hAnsiTheme="minorHAnsi" w:cstheme="minorHAnsi"/>
          <w:sz w:val="20"/>
          <w:szCs w:val="20"/>
        </w:rPr>
        <w:t>tra le</w:t>
      </w:r>
      <w:r w:rsidRPr="006F0CC0">
        <w:rPr>
          <w:rFonts w:asciiTheme="minorHAnsi" w:hAnsiTheme="minorHAnsi" w:cstheme="minorHAnsi"/>
          <w:sz w:val="20"/>
          <w:szCs w:val="20"/>
        </w:rPr>
        <w:t xml:space="preserve"> risposte pro-infiammatorie </w:t>
      </w:r>
      <w:r w:rsidR="002F2804" w:rsidRPr="006F0CC0">
        <w:rPr>
          <w:rFonts w:asciiTheme="minorHAnsi" w:hAnsiTheme="minorHAnsi" w:cstheme="minorHAnsi"/>
          <w:sz w:val="20"/>
          <w:szCs w:val="20"/>
        </w:rPr>
        <w:t xml:space="preserve">dei </w:t>
      </w:r>
      <w:r w:rsidRPr="006F0CC0">
        <w:rPr>
          <w:rFonts w:asciiTheme="minorHAnsi" w:hAnsiTheme="minorHAnsi" w:cstheme="minorHAnsi"/>
          <w:sz w:val="20"/>
          <w:szCs w:val="20"/>
        </w:rPr>
        <w:t xml:space="preserve">Th17 </w:t>
      </w:r>
      <w:r w:rsidR="002F2804" w:rsidRPr="006F0CC0">
        <w:rPr>
          <w:rFonts w:asciiTheme="minorHAnsi" w:hAnsiTheme="minorHAnsi" w:cstheme="minorHAnsi"/>
          <w:sz w:val="20"/>
          <w:szCs w:val="20"/>
        </w:rPr>
        <w:t xml:space="preserve">e </w:t>
      </w:r>
      <w:r w:rsidR="00187C57">
        <w:rPr>
          <w:rFonts w:asciiTheme="minorHAnsi" w:hAnsiTheme="minorHAnsi" w:cstheme="minorHAnsi"/>
          <w:sz w:val="20"/>
          <w:szCs w:val="20"/>
        </w:rPr>
        <w:t xml:space="preserve">quelle </w:t>
      </w:r>
      <w:r w:rsidR="002F2804" w:rsidRPr="006F0CC0">
        <w:rPr>
          <w:rFonts w:asciiTheme="minorHAnsi" w:hAnsiTheme="minorHAnsi" w:cstheme="minorHAnsi"/>
          <w:sz w:val="20"/>
          <w:szCs w:val="20"/>
        </w:rPr>
        <w:t xml:space="preserve">delle </w:t>
      </w:r>
      <w:r w:rsidRPr="006F0CC0">
        <w:rPr>
          <w:rFonts w:asciiTheme="minorHAnsi" w:hAnsiTheme="minorHAnsi" w:cstheme="minorHAnsi"/>
          <w:sz w:val="20"/>
          <w:szCs w:val="20"/>
        </w:rPr>
        <w:t xml:space="preserve"> cellule T regolatorie (Tregs)</w:t>
      </w:r>
      <w:r w:rsidR="00187C57">
        <w:rPr>
          <w:rFonts w:asciiTheme="minorHAnsi" w:hAnsiTheme="minorHAnsi" w:cstheme="minorHAnsi"/>
          <w:sz w:val="20"/>
          <w:szCs w:val="20"/>
        </w:rPr>
        <w:t>,</w:t>
      </w:r>
      <w:r w:rsidRPr="006F0CC0">
        <w:rPr>
          <w:rFonts w:asciiTheme="minorHAnsi" w:hAnsiTheme="minorHAnsi" w:cstheme="minorHAnsi"/>
          <w:sz w:val="20"/>
          <w:szCs w:val="20"/>
        </w:rPr>
        <w:t xml:space="preserve"> </w:t>
      </w:r>
      <w:r w:rsidR="002F2804" w:rsidRPr="006F0CC0">
        <w:rPr>
          <w:rFonts w:asciiTheme="minorHAnsi" w:hAnsiTheme="minorHAnsi" w:cstheme="minorHAnsi"/>
          <w:sz w:val="20"/>
          <w:szCs w:val="20"/>
        </w:rPr>
        <w:t>il quale</w:t>
      </w:r>
      <w:r w:rsidRPr="006F0CC0">
        <w:rPr>
          <w:rFonts w:asciiTheme="minorHAnsi" w:hAnsiTheme="minorHAnsi" w:cstheme="minorHAnsi"/>
          <w:sz w:val="20"/>
          <w:szCs w:val="20"/>
        </w:rPr>
        <w:t xml:space="preserve"> </w:t>
      </w:r>
      <w:r w:rsidR="002F2804" w:rsidRPr="006F0CC0">
        <w:rPr>
          <w:rFonts w:asciiTheme="minorHAnsi" w:hAnsiTheme="minorHAnsi" w:cstheme="minorHAnsi"/>
          <w:sz w:val="20"/>
          <w:szCs w:val="20"/>
        </w:rPr>
        <w:t xml:space="preserve">a sua volta </w:t>
      </w:r>
      <w:r w:rsidRPr="006F0CC0">
        <w:rPr>
          <w:rFonts w:asciiTheme="minorHAnsi" w:hAnsiTheme="minorHAnsi" w:cstheme="minorHAnsi"/>
          <w:sz w:val="20"/>
          <w:szCs w:val="20"/>
        </w:rPr>
        <w:t>è controllat</w:t>
      </w:r>
      <w:r w:rsidR="002F2804" w:rsidRPr="006F0CC0">
        <w:rPr>
          <w:rFonts w:asciiTheme="minorHAnsi" w:hAnsiTheme="minorHAnsi" w:cstheme="minorHAnsi"/>
          <w:sz w:val="20"/>
          <w:szCs w:val="20"/>
        </w:rPr>
        <w:t>o</w:t>
      </w:r>
      <w:r w:rsidRPr="006F0CC0">
        <w:rPr>
          <w:rFonts w:asciiTheme="minorHAnsi" w:hAnsiTheme="minorHAnsi" w:cstheme="minorHAnsi"/>
          <w:sz w:val="20"/>
          <w:szCs w:val="20"/>
        </w:rPr>
        <w:t xml:space="preserve"> dai microrganismi commensali</w:t>
      </w:r>
      <w:r w:rsidR="003B271B" w:rsidRPr="006F0CC0">
        <w:rPr>
          <w:rFonts w:asciiTheme="minorHAnsi" w:hAnsiTheme="minorHAnsi" w:cstheme="minorHAnsi"/>
          <w:sz w:val="20"/>
          <w:szCs w:val="20"/>
        </w:rPr>
        <w:t xml:space="preserve"> </w:t>
      </w:r>
      <w:r w:rsidR="003B271B" w:rsidRPr="006F0CC0">
        <w:rPr>
          <w:rStyle w:val="FootnoteReference"/>
          <w:rFonts w:asciiTheme="minorHAnsi" w:hAnsiTheme="minorHAnsi" w:cstheme="minorHAnsi"/>
          <w:sz w:val="20"/>
          <w:szCs w:val="20"/>
        </w:rPr>
        <w:footnoteReference w:id="223"/>
      </w:r>
      <w:r w:rsidRPr="006F0CC0">
        <w:rPr>
          <w:rFonts w:asciiTheme="minorHAnsi" w:hAnsiTheme="minorHAnsi" w:cstheme="minorHAnsi"/>
          <w:sz w:val="20"/>
          <w:szCs w:val="20"/>
        </w:rPr>
        <w:t xml:space="preserve">. </w:t>
      </w:r>
    </w:p>
    <w:p w:rsidR="00746334" w:rsidRPr="006F0CC0" w:rsidRDefault="00746334" w:rsidP="00B648DA">
      <w:pPr>
        <w:jc w:val="both"/>
        <w:rPr>
          <w:rFonts w:asciiTheme="minorHAnsi" w:hAnsiTheme="minorHAnsi" w:cstheme="minorHAnsi"/>
          <w:sz w:val="20"/>
          <w:szCs w:val="20"/>
        </w:rPr>
      </w:pPr>
    </w:p>
    <w:p w:rsidR="00187C57" w:rsidRPr="00746334" w:rsidRDefault="00187C57" w:rsidP="0074633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843"/>
        <w:jc w:val="both"/>
        <w:rPr>
          <w:rFonts w:asciiTheme="minorHAnsi" w:hAnsiTheme="minorHAnsi" w:cstheme="minorHAnsi"/>
          <w:i/>
          <w:iCs/>
          <w:sz w:val="20"/>
          <w:szCs w:val="20"/>
        </w:rPr>
      </w:pPr>
    </w:p>
    <w:p w:rsidR="002F2804" w:rsidRPr="00746334" w:rsidRDefault="002F2804" w:rsidP="0074633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843"/>
        <w:jc w:val="both"/>
        <w:rPr>
          <w:rFonts w:asciiTheme="minorHAnsi" w:hAnsiTheme="minorHAnsi" w:cstheme="minorHAnsi"/>
          <w:i/>
          <w:iCs/>
          <w:sz w:val="20"/>
          <w:szCs w:val="20"/>
        </w:rPr>
      </w:pPr>
      <w:r w:rsidRPr="00746334">
        <w:rPr>
          <w:rFonts w:asciiTheme="minorHAnsi" w:hAnsiTheme="minorHAnsi" w:cstheme="minorHAnsi"/>
          <w:i/>
          <w:iCs/>
          <w:sz w:val="20"/>
          <w:szCs w:val="20"/>
        </w:rPr>
        <w:t>Per superare un’i</w:t>
      </w:r>
      <w:r w:rsidR="00DD34F4" w:rsidRPr="00746334">
        <w:rPr>
          <w:rFonts w:asciiTheme="minorHAnsi" w:hAnsiTheme="minorHAnsi" w:cstheme="minorHAnsi"/>
          <w:i/>
          <w:iCs/>
          <w:sz w:val="20"/>
          <w:szCs w:val="20"/>
        </w:rPr>
        <w:t>nfezion</w:t>
      </w:r>
      <w:r w:rsidRPr="00746334">
        <w:rPr>
          <w:rFonts w:asciiTheme="minorHAnsi" w:hAnsiTheme="minorHAnsi" w:cstheme="minorHAnsi"/>
          <w:i/>
          <w:iCs/>
          <w:sz w:val="20"/>
          <w:szCs w:val="20"/>
        </w:rPr>
        <w:t>e</w:t>
      </w:r>
      <w:r w:rsidR="00DD34F4" w:rsidRPr="00746334">
        <w:rPr>
          <w:rFonts w:asciiTheme="minorHAnsi" w:hAnsiTheme="minorHAnsi" w:cstheme="minorHAnsi"/>
          <w:i/>
          <w:iCs/>
          <w:sz w:val="20"/>
          <w:szCs w:val="20"/>
        </w:rPr>
        <w:t xml:space="preserve"> come </w:t>
      </w:r>
      <w:r w:rsidRPr="00746334">
        <w:rPr>
          <w:rFonts w:asciiTheme="minorHAnsi" w:hAnsiTheme="minorHAnsi" w:cstheme="minorHAnsi"/>
          <w:i/>
          <w:iCs/>
          <w:sz w:val="20"/>
          <w:szCs w:val="20"/>
        </w:rPr>
        <w:t xml:space="preserve">quella da </w:t>
      </w:r>
      <w:r w:rsidR="00DD34F4" w:rsidRPr="00746334">
        <w:rPr>
          <w:rFonts w:asciiTheme="minorHAnsi" w:hAnsiTheme="minorHAnsi" w:cstheme="minorHAnsi"/>
          <w:i/>
          <w:iCs/>
          <w:sz w:val="20"/>
          <w:szCs w:val="20"/>
        </w:rPr>
        <w:t xml:space="preserve">coronavirus, </w:t>
      </w:r>
      <w:r w:rsidRPr="00746334">
        <w:rPr>
          <w:rFonts w:asciiTheme="minorHAnsi" w:hAnsiTheme="minorHAnsi" w:cstheme="minorHAnsi"/>
          <w:b/>
          <w:bCs/>
          <w:i/>
          <w:iCs/>
          <w:sz w:val="20"/>
          <w:szCs w:val="20"/>
        </w:rPr>
        <w:t>è fondamentale mantenere il</w:t>
      </w:r>
      <w:r w:rsidR="00DD34F4" w:rsidRPr="00746334">
        <w:rPr>
          <w:rFonts w:asciiTheme="minorHAnsi" w:hAnsiTheme="minorHAnsi" w:cstheme="minorHAnsi"/>
          <w:b/>
          <w:bCs/>
          <w:i/>
          <w:iCs/>
          <w:sz w:val="20"/>
          <w:szCs w:val="20"/>
        </w:rPr>
        <w:t xml:space="preserve"> microbioma intestinale sano</w:t>
      </w:r>
      <w:r w:rsidR="00DD34F4" w:rsidRPr="00746334">
        <w:rPr>
          <w:rFonts w:asciiTheme="minorHAnsi" w:hAnsiTheme="minorHAnsi" w:cstheme="minorHAnsi"/>
          <w:i/>
          <w:iCs/>
          <w:sz w:val="20"/>
          <w:szCs w:val="20"/>
        </w:rPr>
        <w:t xml:space="preserve"> </w:t>
      </w:r>
      <w:r w:rsidRPr="00746334">
        <w:rPr>
          <w:rFonts w:asciiTheme="minorHAnsi" w:hAnsiTheme="minorHAnsi" w:cstheme="minorHAnsi"/>
          <w:i/>
          <w:iCs/>
          <w:sz w:val="20"/>
          <w:szCs w:val="20"/>
        </w:rPr>
        <w:t>in modo che il</w:t>
      </w:r>
      <w:r w:rsidR="00DD34F4" w:rsidRPr="00746334">
        <w:rPr>
          <w:rFonts w:asciiTheme="minorHAnsi" w:hAnsiTheme="minorHAnsi" w:cstheme="minorHAnsi"/>
          <w:i/>
          <w:iCs/>
          <w:sz w:val="20"/>
          <w:szCs w:val="20"/>
        </w:rPr>
        <w:t xml:space="preserve"> sistema immunitario </w:t>
      </w:r>
      <w:r w:rsidRPr="00746334">
        <w:rPr>
          <w:rFonts w:asciiTheme="minorHAnsi" w:hAnsiTheme="minorHAnsi" w:cstheme="minorHAnsi"/>
          <w:i/>
          <w:iCs/>
          <w:sz w:val="20"/>
          <w:szCs w:val="20"/>
        </w:rPr>
        <w:t xml:space="preserve">possa rispondere in maniera </w:t>
      </w:r>
      <w:r w:rsidR="00DD34F4" w:rsidRPr="00746334">
        <w:rPr>
          <w:rFonts w:asciiTheme="minorHAnsi" w:hAnsiTheme="minorHAnsi" w:cstheme="minorHAnsi"/>
          <w:i/>
          <w:iCs/>
          <w:sz w:val="20"/>
          <w:szCs w:val="20"/>
        </w:rPr>
        <w:t xml:space="preserve">ottimale per prevenire una serie di reazioni immunitarie eccessive </w:t>
      </w:r>
      <w:r w:rsidRPr="00746334">
        <w:rPr>
          <w:rFonts w:asciiTheme="minorHAnsi" w:hAnsiTheme="minorHAnsi" w:cstheme="minorHAnsi"/>
          <w:i/>
          <w:iCs/>
          <w:sz w:val="20"/>
          <w:szCs w:val="20"/>
        </w:rPr>
        <w:t>potenzialmente</w:t>
      </w:r>
      <w:r w:rsidR="00DD34F4" w:rsidRPr="00746334">
        <w:rPr>
          <w:rFonts w:asciiTheme="minorHAnsi" w:hAnsiTheme="minorHAnsi" w:cstheme="minorHAnsi"/>
          <w:i/>
          <w:iCs/>
          <w:sz w:val="20"/>
          <w:szCs w:val="20"/>
        </w:rPr>
        <w:t xml:space="preserve"> dannose per i polmoni e </w:t>
      </w:r>
      <w:r w:rsidRPr="00746334">
        <w:rPr>
          <w:rFonts w:asciiTheme="minorHAnsi" w:hAnsiTheme="minorHAnsi" w:cstheme="minorHAnsi"/>
          <w:i/>
          <w:iCs/>
          <w:sz w:val="20"/>
          <w:szCs w:val="20"/>
        </w:rPr>
        <w:t>gli altri</w:t>
      </w:r>
      <w:r w:rsidR="00DD34F4" w:rsidRPr="00746334">
        <w:rPr>
          <w:rFonts w:asciiTheme="minorHAnsi" w:hAnsiTheme="minorHAnsi" w:cstheme="minorHAnsi"/>
          <w:i/>
          <w:iCs/>
          <w:sz w:val="20"/>
          <w:szCs w:val="20"/>
        </w:rPr>
        <w:t xml:space="preserve"> organi vitali</w:t>
      </w:r>
      <w:r w:rsidRPr="00746334">
        <w:rPr>
          <w:rFonts w:asciiTheme="minorHAnsi" w:hAnsiTheme="minorHAnsi" w:cstheme="minorHAnsi"/>
          <w:i/>
          <w:iCs/>
          <w:sz w:val="20"/>
          <w:szCs w:val="20"/>
        </w:rPr>
        <w:t xml:space="preserve"> come avviene nelle complicazioni severe da</w:t>
      </w:r>
      <w:r w:rsidR="00DD34F4" w:rsidRPr="00746334">
        <w:rPr>
          <w:rFonts w:asciiTheme="minorHAnsi" w:hAnsiTheme="minorHAnsi" w:cstheme="minorHAnsi"/>
          <w:i/>
          <w:iCs/>
          <w:sz w:val="20"/>
          <w:szCs w:val="20"/>
        </w:rPr>
        <w:t xml:space="preserve"> Covid-19</w:t>
      </w:r>
      <w:r w:rsidRPr="00746334">
        <w:rPr>
          <w:rFonts w:asciiTheme="minorHAnsi" w:hAnsiTheme="minorHAnsi" w:cstheme="minorHAnsi"/>
          <w:i/>
          <w:iCs/>
          <w:sz w:val="20"/>
          <w:szCs w:val="20"/>
        </w:rPr>
        <w:t xml:space="preserve">. </w:t>
      </w:r>
    </w:p>
    <w:p w:rsidR="00187C57" w:rsidRPr="00746334" w:rsidRDefault="00187C57" w:rsidP="0074633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843"/>
        <w:jc w:val="both"/>
        <w:rPr>
          <w:rFonts w:asciiTheme="minorHAnsi" w:hAnsiTheme="minorHAnsi" w:cstheme="minorHAnsi"/>
          <w:i/>
          <w:iCs/>
          <w:sz w:val="20"/>
          <w:szCs w:val="20"/>
        </w:rPr>
      </w:pPr>
    </w:p>
    <w:p w:rsidR="002B202F" w:rsidRDefault="002F2804" w:rsidP="0074633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843"/>
        <w:jc w:val="both"/>
        <w:rPr>
          <w:rFonts w:asciiTheme="minorHAnsi" w:hAnsiTheme="minorHAnsi" w:cstheme="minorHAnsi"/>
          <w:i/>
          <w:iCs/>
          <w:sz w:val="20"/>
          <w:szCs w:val="20"/>
        </w:rPr>
      </w:pPr>
      <w:r w:rsidRPr="00746334">
        <w:rPr>
          <w:rFonts w:asciiTheme="minorHAnsi" w:hAnsiTheme="minorHAnsi" w:cstheme="minorHAnsi"/>
          <w:i/>
          <w:iCs/>
          <w:sz w:val="20"/>
          <w:szCs w:val="20"/>
        </w:rPr>
        <w:t xml:space="preserve">La fascia di popolazione più anziana è più suscettibile alle complicazioni da COVID-19 anche a causa di una </w:t>
      </w:r>
      <w:r w:rsidRPr="00746334">
        <w:rPr>
          <w:rFonts w:asciiTheme="minorHAnsi" w:hAnsiTheme="minorHAnsi" w:cstheme="minorHAnsi"/>
          <w:b/>
          <w:bCs/>
          <w:i/>
          <w:iCs/>
          <w:sz w:val="20"/>
          <w:szCs w:val="20"/>
        </w:rPr>
        <w:t>maggiore frequenza di disbiosi intestinale</w:t>
      </w:r>
      <w:r w:rsidRPr="00746334">
        <w:rPr>
          <w:rFonts w:asciiTheme="minorHAnsi" w:hAnsiTheme="minorHAnsi" w:cstheme="minorHAnsi"/>
          <w:i/>
          <w:iCs/>
          <w:sz w:val="20"/>
          <w:szCs w:val="20"/>
        </w:rPr>
        <w:t>, dovuta all’invecchiamento e/o all’uso continuativo di farmaci che modificano il microbiota e ad una dieta scorretta</w:t>
      </w:r>
      <w:r w:rsidR="00D139CA" w:rsidRPr="00746334">
        <w:rPr>
          <w:rFonts w:asciiTheme="minorHAnsi" w:hAnsiTheme="minorHAnsi" w:cstheme="minorHAnsi"/>
          <w:i/>
          <w:iCs/>
          <w:sz w:val="20"/>
          <w:szCs w:val="20"/>
        </w:rPr>
        <w:t xml:space="preserve"> </w:t>
      </w:r>
      <w:r w:rsidR="00D139CA" w:rsidRPr="00746334">
        <w:rPr>
          <w:rStyle w:val="FootnoteReference"/>
          <w:rFonts w:asciiTheme="minorHAnsi" w:hAnsiTheme="minorHAnsi" w:cstheme="minorHAnsi"/>
          <w:i/>
          <w:iCs/>
          <w:color w:val="000000" w:themeColor="text1"/>
          <w:sz w:val="20"/>
          <w:szCs w:val="20"/>
        </w:rPr>
        <w:footnoteReference w:id="224"/>
      </w:r>
      <w:r w:rsidR="00D139CA" w:rsidRPr="00746334">
        <w:rPr>
          <w:rFonts w:asciiTheme="minorHAnsi" w:hAnsiTheme="minorHAnsi" w:cstheme="minorHAnsi"/>
          <w:i/>
          <w:iCs/>
          <w:sz w:val="20"/>
          <w:szCs w:val="20"/>
        </w:rPr>
        <w:t>, in particolare negli anziani lungodegenti in comunità</w:t>
      </w:r>
      <w:r w:rsidR="002B202F" w:rsidRPr="00746334">
        <w:rPr>
          <w:rFonts w:asciiTheme="minorHAnsi" w:hAnsiTheme="minorHAnsi" w:cstheme="minorHAnsi"/>
          <w:i/>
          <w:iCs/>
          <w:sz w:val="20"/>
          <w:szCs w:val="20"/>
        </w:rPr>
        <w:t>.</w:t>
      </w:r>
      <w:r w:rsidR="00D139CA" w:rsidRPr="00746334">
        <w:rPr>
          <w:rFonts w:asciiTheme="minorHAnsi" w:hAnsiTheme="minorHAnsi" w:cstheme="minorHAnsi"/>
          <w:i/>
          <w:iCs/>
          <w:sz w:val="20"/>
          <w:szCs w:val="20"/>
        </w:rPr>
        <w:t xml:space="preserve"> </w:t>
      </w:r>
      <w:r w:rsidR="00D139CA" w:rsidRPr="00746334">
        <w:rPr>
          <w:rStyle w:val="FootnoteReference"/>
          <w:rFonts w:asciiTheme="minorHAnsi" w:hAnsiTheme="minorHAnsi" w:cstheme="minorHAnsi"/>
          <w:i/>
          <w:iCs/>
          <w:color w:val="000000" w:themeColor="text1"/>
          <w:sz w:val="20"/>
          <w:szCs w:val="20"/>
        </w:rPr>
        <w:footnoteReference w:id="225"/>
      </w:r>
      <w:r w:rsidR="00D139CA" w:rsidRPr="00746334">
        <w:rPr>
          <w:rFonts w:asciiTheme="minorHAnsi" w:hAnsiTheme="minorHAnsi" w:cstheme="minorHAnsi"/>
          <w:i/>
          <w:iCs/>
          <w:sz w:val="20"/>
          <w:szCs w:val="20"/>
        </w:rPr>
        <w:t xml:space="preserve"> </w:t>
      </w:r>
    </w:p>
    <w:p w:rsidR="009246ED" w:rsidRPr="00746334" w:rsidRDefault="009246ED" w:rsidP="00746334">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843"/>
        <w:jc w:val="both"/>
        <w:rPr>
          <w:rFonts w:asciiTheme="minorHAnsi" w:hAnsiTheme="minorHAnsi" w:cstheme="minorHAnsi"/>
          <w:i/>
          <w:iCs/>
          <w:sz w:val="20"/>
          <w:szCs w:val="20"/>
        </w:rPr>
      </w:pPr>
    </w:p>
    <w:p w:rsidR="00187C57" w:rsidRDefault="002F2804" w:rsidP="00B648DA">
      <w:pPr>
        <w:jc w:val="both"/>
        <w:rPr>
          <w:rFonts w:asciiTheme="minorHAnsi" w:hAnsiTheme="minorHAnsi" w:cstheme="minorHAnsi"/>
          <w:sz w:val="20"/>
          <w:szCs w:val="20"/>
        </w:rPr>
      </w:pPr>
      <w:r w:rsidRPr="006F0CC0">
        <w:rPr>
          <w:rFonts w:asciiTheme="minorHAnsi" w:hAnsiTheme="minorHAnsi" w:cstheme="minorHAnsi"/>
          <w:sz w:val="20"/>
          <w:szCs w:val="20"/>
        </w:rPr>
        <w:lastRenderedPageBreak/>
        <w:t>Dallo studio del microbioma fecale di pazienti ospedalizzati per COVID-19 è emerso che</w:t>
      </w:r>
      <w:r w:rsidR="006672CE" w:rsidRPr="006F0CC0">
        <w:rPr>
          <w:rFonts w:asciiTheme="minorHAnsi" w:hAnsiTheme="minorHAnsi" w:cstheme="minorHAnsi"/>
          <w:sz w:val="20"/>
          <w:szCs w:val="20"/>
        </w:rPr>
        <w:t xml:space="preserve"> erano presenti alterazioni significative rispetto ai controlli, caratterizzate </w:t>
      </w:r>
      <w:r w:rsidR="006672CE" w:rsidRPr="00746334">
        <w:rPr>
          <w:rFonts w:asciiTheme="minorHAnsi" w:hAnsiTheme="minorHAnsi" w:cstheme="minorHAnsi"/>
          <w:sz w:val="20"/>
          <w:szCs w:val="20"/>
        </w:rPr>
        <w:t>dall'</w:t>
      </w:r>
      <w:r w:rsidR="006672CE" w:rsidRPr="00746334">
        <w:rPr>
          <w:rFonts w:asciiTheme="minorHAnsi" w:hAnsiTheme="minorHAnsi" w:cstheme="minorHAnsi"/>
          <w:b/>
          <w:bCs/>
          <w:sz w:val="20"/>
          <w:szCs w:val="20"/>
        </w:rPr>
        <w:t>arricchimento di agenti patogeni opportunistici e dall'esaurimento di commensali benefici</w:t>
      </w:r>
      <w:r w:rsidR="006672CE" w:rsidRPr="006F0CC0">
        <w:rPr>
          <w:rFonts w:asciiTheme="minorHAnsi" w:hAnsiTheme="minorHAnsi" w:cstheme="minorHAnsi"/>
          <w:sz w:val="20"/>
          <w:szCs w:val="20"/>
        </w:rPr>
        <w:t xml:space="preserve">, al momento del ricovero e per tutta la </w:t>
      </w:r>
      <w:r w:rsidR="0087072E" w:rsidRPr="006F0CC0">
        <w:rPr>
          <w:rFonts w:asciiTheme="minorHAnsi" w:hAnsiTheme="minorHAnsi" w:cstheme="minorHAnsi"/>
          <w:sz w:val="20"/>
          <w:szCs w:val="20"/>
        </w:rPr>
        <w:t xml:space="preserve">sua </w:t>
      </w:r>
      <w:r w:rsidR="006672CE" w:rsidRPr="006F0CC0">
        <w:rPr>
          <w:rFonts w:asciiTheme="minorHAnsi" w:hAnsiTheme="minorHAnsi" w:cstheme="minorHAnsi"/>
          <w:sz w:val="20"/>
          <w:szCs w:val="20"/>
        </w:rPr>
        <w:t xml:space="preserve">durata. </w:t>
      </w:r>
    </w:p>
    <w:p w:rsidR="00187C57" w:rsidRDefault="00187C57" w:rsidP="00B648DA">
      <w:pPr>
        <w:jc w:val="both"/>
        <w:rPr>
          <w:rFonts w:asciiTheme="minorHAnsi" w:hAnsiTheme="minorHAnsi" w:cstheme="minorHAnsi"/>
          <w:sz w:val="20"/>
          <w:szCs w:val="20"/>
        </w:rPr>
      </w:pPr>
    </w:p>
    <w:p w:rsidR="00187C57" w:rsidRDefault="0087072E" w:rsidP="009246ED">
      <w:pPr>
        <w:shd w:val="clear" w:color="auto" w:fill="FBF9E1"/>
        <w:jc w:val="both"/>
        <w:rPr>
          <w:rFonts w:asciiTheme="minorHAnsi" w:hAnsiTheme="minorHAnsi" w:cstheme="minorHAnsi"/>
          <w:sz w:val="20"/>
          <w:szCs w:val="20"/>
        </w:rPr>
      </w:pPr>
      <w:r w:rsidRPr="009246ED">
        <w:rPr>
          <w:rFonts w:asciiTheme="minorHAnsi" w:hAnsiTheme="minorHAnsi" w:cstheme="minorHAnsi"/>
          <w:sz w:val="20"/>
          <w:szCs w:val="20"/>
          <w:shd w:val="clear" w:color="auto" w:fill="FBF9E1"/>
        </w:rPr>
        <w:t>L’impoverimento dei</w:t>
      </w:r>
      <w:r w:rsidR="006672CE" w:rsidRPr="009246ED">
        <w:rPr>
          <w:rFonts w:asciiTheme="minorHAnsi" w:hAnsiTheme="minorHAnsi" w:cstheme="minorHAnsi"/>
          <w:sz w:val="20"/>
          <w:szCs w:val="20"/>
          <w:shd w:val="clear" w:color="auto" w:fill="FBF9E1"/>
        </w:rPr>
        <w:t xml:space="preserve"> simbionti e la disbiosi intestinale persistevano anche dopo </w:t>
      </w:r>
      <w:r w:rsidRPr="009246ED">
        <w:rPr>
          <w:rFonts w:asciiTheme="minorHAnsi" w:hAnsiTheme="minorHAnsi" w:cstheme="minorHAnsi"/>
          <w:sz w:val="20"/>
          <w:szCs w:val="20"/>
          <w:shd w:val="clear" w:color="auto" w:fill="FBF9E1"/>
        </w:rPr>
        <w:t>l’eliminazione</w:t>
      </w:r>
      <w:r w:rsidR="006672CE" w:rsidRPr="009246ED">
        <w:rPr>
          <w:rFonts w:asciiTheme="minorHAnsi" w:hAnsiTheme="minorHAnsi" w:cstheme="minorHAnsi"/>
          <w:sz w:val="20"/>
          <w:szCs w:val="20"/>
          <w:shd w:val="clear" w:color="auto" w:fill="FBF9E1"/>
        </w:rPr>
        <w:t xml:space="preserve"> de</w:t>
      </w:r>
      <w:r w:rsidRPr="009246ED">
        <w:rPr>
          <w:rFonts w:asciiTheme="minorHAnsi" w:hAnsiTheme="minorHAnsi" w:cstheme="minorHAnsi"/>
          <w:sz w:val="20"/>
          <w:szCs w:val="20"/>
          <w:shd w:val="clear" w:color="auto" w:fill="FBF9E1"/>
        </w:rPr>
        <w:t>l</w:t>
      </w:r>
      <w:r w:rsidR="006672CE" w:rsidRPr="009246ED">
        <w:rPr>
          <w:rFonts w:asciiTheme="minorHAnsi" w:hAnsiTheme="minorHAnsi" w:cstheme="minorHAnsi"/>
          <w:sz w:val="20"/>
          <w:szCs w:val="20"/>
          <w:shd w:val="clear" w:color="auto" w:fill="FBF9E1"/>
        </w:rPr>
        <w:t xml:space="preserve"> SARS-CoV-2 (determinata </w:t>
      </w:r>
      <w:r w:rsidRPr="009246ED">
        <w:rPr>
          <w:rFonts w:asciiTheme="minorHAnsi" w:hAnsiTheme="minorHAnsi" w:cstheme="minorHAnsi"/>
          <w:sz w:val="20"/>
          <w:szCs w:val="20"/>
          <w:shd w:val="clear" w:color="auto" w:fill="FBF9E1"/>
        </w:rPr>
        <w:t xml:space="preserve">con i </w:t>
      </w:r>
      <w:r w:rsidR="006672CE" w:rsidRPr="009246ED">
        <w:rPr>
          <w:rFonts w:asciiTheme="minorHAnsi" w:hAnsiTheme="minorHAnsi" w:cstheme="minorHAnsi"/>
          <w:sz w:val="20"/>
          <w:szCs w:val="20"/>
          <w:shd w:val="clear" w:color="auto" w:fill="FBF9E1"/>
        </w:rPr>
        <w:t xml:space="preserve">tamponi </w:t>
      </w:r>
      <w:r w:rsidRPr="009246ED">
        <w:rPr>
          <w:rFonts w:asciiTheme="minorHAnsi" w:hAnsiTheme="minorHAnsi" w:cstheme="minorHAnsi"/>
          <w:sz w:val="20"/>
          <w:szCs w:val="20"/>
          <w:shd w:val="clear" w:color="auto" w:fill="FBF9E1"/>
        </w:rPr>
        <w:t>faringei</w:t>
      </w:r>
      <w:r w:rsidR="006672CE" w:rsidRPr="009246ED">
        <w:rPr>
          <w:rFonts w:asciiTheme="minorHAnsi" w:hAnsiTheme="minorHAnsi" w:cstheme="minorHAnsi"/>
          <w:sz w:val="20"/>
          <w:szCs w:val="20"/>
          <w:shd w:val="clear" w:color="auto" w:fill="FBF9E1"/>
        </w:rPr>
        <w:t>) e la risoluzione dei sintomi respiratori</w:t>
      </w:r>
      <w:r w:rsidR="006672CE" w:rsidRPr="006F0CC0">
        <w:rPr>
          <w:rFonts w:asciiTheme="minorHAnsi" w:hAnsiTheme="minorHAnsi" w:cstheme="minorHAnsi"/>
          <w:sz w:val="20"/>
          <w:szCs w:val="20"/>
        </w:rPr>
        <w:t xml:space="preserve">. </w:t>
      </w:r>
    </w:p>
    <w:p w:rsidR="00746334" w:rsidRDefault="00746334" w:rsidP="00B648DA">
      <w:pPr>
        <w:jc w:val="both"/>
        <w:rPr>
          <w:rFonts w:asciiTheme="minorHAnsi" w:hAnsiTheme="minorHAnsi" w:cstheme="minorHAnsi"/>
          <w:sz w:val="20"/>
          <w:szCs w:val="20"/>
        </w:rPr>
      </w:pPr>
    </w:p>
    <w:p w:rsidR="00187C57" w:rsidRDefault="006672CE" w:rsidP="00B648DA">
      <w:pPr>
        <w:jc w:val="both"/>
        <w:rPr>
          <w:rFonts w:asciiTheme="minorHAnsi" w:hAnsiTheme="minorHAnsi" w:cstheme="minorHAnsi"/>
          <w:sz w:val="20"/>
          <w:szCs w:val="20"/>
        </w:rPr>
      </w:pPr>
      <w:r w:rsidRPr="006F0CC0">
        <w:rPr>
          <w:rFonts w:asciiTheme="minorHAnsi" w:hAnsiTheme="minorHAnsi" w:cstheme="minorHAnsi"/>
          <w:sz w:val="20"/>
          <w:szCs w:val="20"/>
        </w:rPr>
        <w:t xml:space="preserve">L'abbondanza di Coprobacillus, Clostridium ramosum e Clostridium hathewayi era correlata alla </w:t>
      </w:r>
      <w:r w:rsidR="002B202F" w:rsidRPr="006F0CC0">
        <w:rPr>
          <w:rFonts w:asciiTheme="minorHAnsi" w:hAnsiTheme="minorHAnsi" w:cstheme="minorHAnsi"/>
          <w:sz w:val="20"/>
          <w:szCs w:val="20"/>
        </w:rPr>
        <w:t>severità</w:t>
      </w:r>
      <w:r w:rsidRPr="006F0CC0">
        <w:rPr>
          <w:rFonts w:asciiTheme="minorHAnsi" w:hAnsiTheme="minorHAnsi" w:cstheme="minorHAnsi"/>
          <w:sz w:val="20"/>
          <w:szCs w:val="20"/>
        </w:rPr>
        <w:t xml:space="preserve"> del</w:t>
      </w:r>
      <w:r w:rsidR="0087072E" w:rsidRPr="006F0CC0">
        <w:rPr>
          <w:rFonts w:asciiTheme="minorHAnsi" w:hAnsiTheme="minorHAnsi" w:cstheme="minorHAnsi"/>
          <w:sz w:val="20"/>
          <w:szCs w:val="20"/>
        </w:rPr>
        <w:t xml:space="preserve"> </w:t>
      </w:r>
      <w:r w:rsidRPr="006F0CC0">
        <w:rPr>
          <w:rFonts w:asciiTheme="minorHAnsi" w:hAnsiTheme="minorHAnsi" w:cstheme="minorHAnsi"/>
          <w:sz w:val="20"/>
          <w:szCs w:val="20"/>
        </w:rPr>
        <w:t>COVID-19</w:t>
      </w:r>
      <w:r w:rsidR="0087072E" w:rsidRPr="006F0CC0">
        <w:rPr>
          <w:rFonts w:asciiTheme="minorHAnsi" w:hAnsiTheme="minorHAnsi" w:cstheme="minorHAnsi"/>
          <w:sz w:val="20"/>
          <w:szCs w:val="20"/>
        </w:rPr>
        <w:t xml:space="preserve">, mentre </w:t>
      </w:r>
      <w:r w:rsidRPr="006F0CC0">
        <w:rPr>
          <w:rFonts w:asciiTheme="minorHAnsi" w:hAnsiTheme="minorHAnsi" w:cstheme="minorHAnsi"/>
          <w:sz w:val="20"/>
          <w:szCs w:val="20"/>
        </w:rPr>
        <w:t xml:space="preserve">c'era una correlazione inversa tra l'abbondanza di Faecalibacterium prausnitzii (un batterio antinfiammatorio) e la gravità della malattia. </w:t>
      </w:r>
    </w:p>
    <w:p w:rsidR="00746334" w:rsidRDefault="00746334" w:rsidP="00B648DA">
      <w:pPr>
        <w:jc w:val="both"/>
        <w:rPr>
          <w:rFonts w:asciiTheme="minorHAnsi" w:hAnsiTheme="minorHAnsi" w:cstheme="minorHAnsi"/>
          <w:sz w:val="20"/>
          <w:szCs w:val="20"/>
        </w:rPr>
      </w:pPr>
    </w:p>
    <w:p w:rsidR="00F2471B" w:rsidRDefault="006672CE" w:rsidP="00B648DA">
      <w:pPr>
        <w:jc w:val="both"/>
        <w:rPr>
          <w:rFonts w:asciiTheme="minorHAnsi" w:hAnsiTheme="minorHAnsi" w:cstheme="minorHAnsi"/>
          <w:sz w:val="20"/>
          <w:szCs w:val="20"/>
        </w:rPr>
      </w:pPr>
      <w:r w:rsidRPr="006F0CC0">
        <w:rPr>
          <w:rFonts w:asciiTheme="minorHAnsi" w:hAnsiTheme="minorHAnsi" w:cstheme="minorHAnsi"/>
          <w:sz w:val="20"/>
          <w:szCs w:val="20"/>
        </w:rPr>
        <w:t xml:space="preserve">Nel corso del ricovero, Bacteroides dorei, Bacteroides thetaiotaomicron, Bacteroides massiliensis e Bacteroides ovatus, che sottoregolano l'espressione di ACE2 nell'intestino murino, </w:t>
      </w:r>
      <w:r w:rsidR="002B202F" w:rsidRPr="006F0CC0">
        <w:rPr>
          <w:rFonts w:asciiTheme="minorHAnsi" w:hAnsiTheme="minorHAnsi" w:cstheme="minorHAnsi"/>
          <w:sz w:val="20"/>
          <w:szCs w:val="20"/>
        </w:rPr>
        <w:t>erano</w:t>
      </w:r>
      <w:r w:rsidR="0087072E" w:rsidRPr="006F0CC0">
        <w:rPr>
          <w:rFonts w:asciiTheme="minorHAnsi" w:hAnsiTheme="minorHAnsi" w:cstheme="minorHAnsi"/>
          <w:sz w:val="20"/>
          <w:szCs w:val="20"/>
        </w:rPr>
        <w:t xml:space="preserve"> </w:t>
      </w:r>
      <w:r w:rsidRPr="006F0CC0">
        <w:rPr>
          <w:rFonts w:asciiTheme="minorHAnsi" w:hAnsiTheme="minorHAnsi" w:cstheme="minorHAnsi"/>
          <w:sz w:val="20"/>
          <w:szCs w:val="20"/>
        </w:rPr>
        <w:t>correlati inversamente al</w:t>
      </w:r>
      <w:r w:rsidR="0087072E" w:rsidRPr="006F0CC0">
        <w:rPr>
          <w:rFonts w:asciiTheme="minorHAnsi" w:hAnsiTheme="minorHAnsi" w:cstheme="minorHAnsi"/>
          <w:sz w:val="20"/>
          <w:szCs w:val="20"/>
        </w:rPr>
        <w:t>la</w:t>
      </w:r>
      <w:r w:rsidRPr="006F0CC0">
        <w:rPr>
          <w:rFonts w:asciiTheme="minorHAnsi" w:hAnsiTheme="minorHAnsi" w:cstheme="minorHAnsi"/>
          <w:sz w:val="20"/>
          <w:szCs w:val="20"/>
        </w:rPr>
        <w:t xml:space="preserve"> caric</w:t>
      </w:r>
      <w:r w:rsidR="0087072E" w:rsidRPr="006F0CC0">
        <w:rPr>
          <w:rFonts w:asciiTheme="minorHAnsi" w:hAnsiTheme="minorHAnsi" w:cstheme="minorHAnsi"/>
          <w:sz w:val="20"/>
          <w:szCs w:val="20"/>
        </w:rPr>
        <w:t xml:space="preserve">a virale </w:t>
      </w:r>
      <w:r w:rsidRPr="006F0CC0">
        <w:rPr>
          <w:rFonts w:asciiTheme="minorHAnsi" w:hAnsiTheme="minorHAnsi" w:cstheme="minorHAnsi"/>
          <w:sz w:val="20"/>
          <w:szCs w:val="20"/>
        </w:rPr>
        <w:t xml:space="preserve">di SARS-CoV-2 </w:t>
      </w:r>
      <w:r w:rsidR="0087072E" w:rsidRPr="006F0CC0">
        <w:rPr>
          <w:rFonts w:asciiTheme="minorHAnsi" w:hAnsiTheme="minorHAnsi" w:cstheme="minorHAnsi"/>
          <w:sz w:val="20"/>
          <w:szCs w:val="20"/>
        </w:rPr>
        <w:t>nei</w:t>
      </w:r>
      <w:r w:rsidRPr="006F0CC0">
        <w:rPr>
          <w:rFonts w:asciiTheme="minorHAnsi" w:hAnsiTheme="minorHAnsi" w:cstheme="minorHAnsi"/>
          <w:sz w:val="20"/>
          <w:szCs w:val="20"/>
        </w:rPr>
        <w:t xml:space="preserve"> campioni fecali d</w:t>
      </w:r>
      <w:r w:rsidR="0087072E" w:rsidRPr="006F0CC0">
        <w:rPr>
          <w:rFonts w:asciiTheme="minorHAnsi" w:hAnsiTheme="minorHAnsi" w:cstheme="minorHAnsi"/>
          <w:sz w:val="20"/>
          <w:szCs w:val="20"/>
        </w:rPr>
        <w:t>e</w:t>
      </w:r>
      <w:r w:rsidRPr="006F0CC0">
        <w:rPr>
          <w:rFonts w:asciiTheme="minorHAnsi" w:hAnsiTheme="minorHAnsi" w:cstheme="minorHAnsi"/>
          <w:sz w:val="20"/>
          <w:szCs w:val="20"/>
        </w:rPr>
        <w:t>i pazienti.</w:t>
      </w:r>
      <w:r w:rsidR="0087072E" w:rsidRPr="006F0CC0">
        <w:rPr>
          <w:rFonts w:asciiTheme="minorHAnsi" w:hAnsiTheme="minorHAnsi" w:cstheme="minorHAnsi"/>
          <w:sz w:val="20"/>
          <w:szCs w:val="20"/>
        </w:rPr>
        <w:t xml:space="preserve"> </w:t>
      </w:r>
      <w:r w:rsidR="0087072E" w:rsidRPr="006F0CC0">
        <w:rPr>
          <w:rStyle w:val="FootnoteReference"/>
          <w:rFonts w:asciiTheme="minorHAnsi" w:hAnsiTheme="minorHAnsi" w:cstheme="minorHAnsi"/>
          <w:color w:val="000000" w:themeColor="text1"/>
          <w:sz w:val="20"/>
          <w:szCs w:val="20"/>
        </w:rPr>
        <w:footnoteReference w:id="226"/>
      </w:r>
    </w:p>
    <w:p w:rsidR="00746334" w:rsidRDefault="00746334" w:rsidP="00B648DA">
      <w:pPr>
        <w:jc w:val="both"/>
        <w:rPr>
          <w:rFonts w:asciiTheme="minorHAnsi" w:hAnsiTheme="minorHAnsi" w:cstheme="minorHAnsi"/>
          <w:sz w:val="20"/>
          <w:szCs w:val="20"/>
        </w:rPr>
      </w:pPr>
    </w:p>
    <w:p w:rsidR="00187C57" w:rsidRPr="006F0CC0" w:rsidRDefault="00187C57" w:rsidP="00B648DA">
      <w:pPr>
        <w:jc w:val="both"/>
        <w:rPr>
          <w:rFonts w:asciiTheme="minorHAnsi" w:hAnsiTheme="minorHAnsi" w:cstheme="minorHAnsi"/>
          <w:sz w:val="20"/>
          <w:szCs w:val="20"/>
        </w:rPr>
      </w:pPr>
    </w:p>
    <w:p w:rsidR="00F2471B" w:rsidRPr="00E82A6A" w:rsidRDefault="00F2471B" w:rsidP="0083286E">
      <w:pPr>
        <w:jc w:val="center"/>
        <w:rPr>
          <w:rFonts w:asciiTheme="minorHAnsi" w:hAnsiTheme="minorHAnsi" w:cstheme="minorHAnsi"/>
          <w:sz w:val="22"/>
          <w:szCs w:val="22"/>
        </w:rPr>
      </w:pPr>
      <w:r w:rsidRPr="00E82A6A">
        <w:rPr>
          <w:rFonts w:asciiTheme="minorHAnsi" w:hAnsiTheme="minorHAnsi" w:cstheme="minorHAnsi"/>
          <w:sz w:val="22"/>
          <w:szCs w:val="22"/>
        </w:rPr>
        <w:fldChar w:fldCharType="begin"/>
      </w:r>
      <w:r w:rsidRPr="00E82A6A">
        <w:rPr>
          <w:rFonts w:asciiTheme="minorHAnsi" w:hAnsiTheme="minorHAnsi" w:cstheme="minorHAnsi"/>
          <w:sz w:val="22"/>
          <w:szCs w:val="22"/>
        </w:rPr>
        <w:instrText xml:space="preserve"> INCLUDEPICTURE "https://www.ncbi.nlm.nih.gov/pmc/articles/PMC7217790/bin/gr1_lrg.jpg" \* MERGEFORMATINET </w:instrText>
      </w:r>
      <w:r w:rsidRPr="00E82A6A">
        <w:rPr>
          <w:rFonts w:asciiTheme="minorHAnsi" w:hAnsiTheme="minorHAnsi" w:cstheme="minorHAnsi"/>
          <w:sz w:val="22"/>
          <w:szCs w:val="22"/>
        </w:rPr>
        <w:fldChar w:fldCharType="separate"/>
      </w:r>
      <w:r w:rsidRPr="00E82A6A">
        <w:rPr>
          <w:rFonts w:asciiTheme="minorHAnsi" w:hAnsiTheme="minorHAnsi" w:cstheme="minorHAnsi"/>
          <w:noProof/>
          <w:sz w:val="22"/>
          <w:szCs w:val="22"/>
        </w:rPr>
        <w:drawing>
          <wp:inline distT="0" distB="0" distL="0" distR="0" wp14:anchorId="67B4DE40" wp14:editId="20BF2135">
            <wp:extent cx="4948657" cy="2791326"/>
            <wp:effectExtent l="0" t="0" r="4445" b="3175"/>
            <wp:docPr id="202" name="Immagine 20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
                    <pic:cNvPicPr>
                      <a:picLocks noChangeAspect="1" noChangeArrowheads="1"/>
                    </pic:cNvPicPr>
                  </pic:nvPicPr>
                  <pic:blipFill>
                    <a:blip r:embed="rId178">
                      <a:extLst>
                        <a:ext uri="{BEBA8EAE-BF5A-486C-A8C5-ECC9F3942E4B}">
                          <a14:imgProps xmlns:a14="http://schemas.microsoft.com/office/drawing/2010/main">
                            <a14:imgLayer r:embed="rId179">
                              <a14:imgEffect>
                                <a14:sharpenSoften amount="53000"/>
                              </a14:imgEffect>
                              <a14:imgEffect>
                                <a14:brightnessContrast bright="39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5045750" cy="2846092"/>
                    </a:xfrm>
                    <a:prstGeom prst="rect">
                      <a:avLst/>
                    </a:prstGeom>
                    <a:noFill/>
                    <a:ln>
                      <a:noFill/>
                    </a:ln>
                  </pic:spPr>
                </pic:pic>
              </a:graphicData>
            </a:graphic>
          </wp:inline>
        </w:drawing>
      </w:r>
      <w:r w:rsidRPr="00E82A6A">
        <w:rPr>
          <w:rFonts w:asciiTheme="minorHAnsi" w:hAnsiTheme="minorHAnsi" w:cstheme="minorHAnsi"/>
          <w:sz w:val="22"/>
          <w:szCs w:val="22"/>
        </w:rPr>
        <w:fldChar w:fldCharType="end"/>
      </w:r>
    </w:p>
    <w:p w:rsidR="00746334" w:rsidRDefault="00746334" w:rsidP="00B648DA">
      <w:pPr>
        <w:jc w:val="both"/>
        <w:rPr>
          <w:rFonts w:asciiTheme="minorHAnsi" w:hAnsiTheme="minorHAnsi" w:cstheme="minorHAnsi"/>
          <w:color w:val="000000" w:themeColor="text1"/>
          <w:sz w:val="16"/>
          <w:szCs w:val="16"/>
        </w:rPr>
      </w:pPr>
    </w:p>
    <w:p w:rsidR="00F2471B" w:rsidRPr="00746334" w:rsidRDefault="00F2471B" w:rsidP="00746334">
      <w:pPr>
        <w:shd w:val="clear" w:color="auto" w:fill="F2F2F2" w:themeFill="background1" w:themeFillShade="F2"/>
        <w:jc w:val="both"/>
        <w:rPr>
          <w:rFonts w:asciiTheme="minorHAnsi" w:hAnsiTheme="minorHAnsi" w:cstheme="minorHAnsi"/>
          <w:color w:val="000000" w:themeColor="text1"/>
          <w:sz w:val="18"/>
          <w:szCs w:val="18"/>
        </w:rPr>
      </w:pPr>
      <w:r w:rsidRPr="00746334">
        <w:rPr>
          <w:rFonts w:asciiTheme="minorHAnsi" w:hAnsiTheme="minorHAnsi" w:cstheme="minorHAnsi"/>
          <w:color w:val="000000" w:themeColor="text1"/>
          <w:sz w:val="18"/>
          <w:szCs w:val="18"/>
        </w:rPr>
        <w:t xml:space="preserve">Tratta da </w:t>
      </w:r>
      <w:hyperlink r:id="rId180" w:history="1">
        <w:r w:rsidRPr="00746334">
          <w:rPr>
            <w:rStyle w:val="Hyperlink"/>
            <w:rFonts w:asciiTheme="minorHAnsi" w:hAnsiTheme="minorHAnsi" w:cstheme="minorHAnsi"/>
            <w:color w:val="000000" w:themeColor="text1"/>
            <w:sz w:val="18"/>
            <w:szCs w:val="18"/>
            <w:u w:val="none"/>
          </w:rPr>
          <w:t>https://www.ncbi.nlm.nih.gov/pmc/articles/PMC7217790/</w:t>
        </w:r>
      </w:hyperlink>
    </w:p>
    <w:p w:rsidR="002B202F" w:rsidRPr="00746334" w:rsidRDefault="002B202F" w:rsidP="00746334">
      <w:pPr>
        <w:shd w:val="clear" w:color="auto" w:fill="F2F2F2" w:themeFill="background1" w:themeFillShade="F2"/>
        <w:rPr>
          <w:rFonts w:asciiTheme="minorHAnsi" w:hAnsiTheme="minorHAnsi" w:cstheme="minorHAnsi"/>
          <w:b/>
          <w:bCs/>
          <w:sz w:val="18"/>
          <w:szCs w:val="18"/>
        </w:rPr>
      </w:pPr>
      <w:r w:rsidRPr="00746334">
        <w:rPr>
          <w:rFonts w:asciiTheme="minorHAnsi" w:hAnsiTheme="minorHAnsi" w:cstheme="minorHAnsi"/>
          <w:b/>
          <w:bCs/>
          <w:sz w:val="18"/>
          <w:szCs w:val="18"/>
        </w:rPr>
        <w:t>Possibile ruolo del microbiota intestinale nella modulazione della risposta immunitaria in Covid-19.</w:t>
      </w:r>
    </w:p>
    <w:p w:rsidR="00621B6D" w:rsidRPr="00746334" w:rsidRDefault="002B202F" w:rsidP="00746334">
      <w:pPr>
        <w:shd w:val="clear" w:color="auto" w:fill="F2F2F2" w:themeFill="background1" w:themeFillShade="F2"/>
        <w:rPr>
          <w:rFonts w:asciiTheme="minorHAnsi" w:hAnsiTheme="minorHAnsi" w:cstheme="minorHAnsi"/>
          <w:sz w:val="18"/>
          <w:szCs w:val="18"/>
        </w:rPr>
      </w:pPr>
      <w:r w:rsidRPr="00746334">
        <w:rPr>
          <w:rFonts w:asciiTheme="minorHAnsi" w:hAnsiTheme="minorHAnsi" w:cstheme="minorHAnsi"/>
          <w:sz w:val="18"/>
          <w:szCs w:val="18"/>
        </w:rPr>
        <w:t xml:space="preserve">Il microbiota intestinale può agire sulla risposta immunitaria influenzando così la progressione della malattia. Sia la risposta immunitaria iperattiva sia quella </w:t>
      </w:r>
      <w:r w:rsidR="00D321D7" w:rsidRPr="00746334">
        <w:rPr>
          <w:rFonts w:asciiTheme="minorHAnsi" w:hAnsiTheme="minorHAnsi" w:cstheme="minorHAnsi"/>
          <w:sz w:val="18"/>
          <w:szCs w:val="18"/>
        </w:rPr>
        <w:t>ipo</w:t>
      </w:r>
      <w:r w:rsidRPr="00746334">
        <w:rPr>
          <w:rFonts w:asciiTheme="minorHAnsi" w:hAnsiTheme="minorHAnsi" w:cstheme="minorHAnsi"/>
          <w:sz w:val="18"/>
          <w:szCs w:val="18"/>
        </w:rPr>
        <w:t>attiva, probabilmente mediata dal microbiota intestinale, possono portare a gravi eventi avversi clinici</w:t>
      </w:r>
      <w:r w:rsidR="00D321D7" w:rsidRPr="00746334">
        <w:rPr>
          <w:rFonts w:asciiTheme="minorHAnsi" w:hAnsiTheme="minorHAnsi" w:cstheme="minorHAnsi"/>
          <w:sz w:val="18"/>
          <w:szCs w:val="18"/>
        </w:rPr>
        <w:t>.</w:t>
      </w:r>
    </w:p>
    <w:p w:rsidR="009246ED" w:rsidRDefault="009246ED" w:rsidP="006F0CC0">
      <w:pPr>
        <w:pStyle w:val="Heading2"/>
        <w:jc w:val="center"/>
        <w:rPr>
          <w:rFonts w:asciiTheme="minorHAnsi" w:hAnsiTheme="minorHAnsi" w:cstheme="minorHAnsi"/>
          <w:b/>
          <w:color w:val="C00000"/>
          <w:sz w:val="24"/>
          <w:szCs w:val="24"/>
        </w:rPr>
      </w:pPr>
      <w:bookmarkStart w:id="79" w:name="_Toc43342408"/>
    </w:p>
    <w:p w:rsidR="009246ED" w:rsidRDefault="009246ED" w:rsidP="009246ED"/>
    <w:p w:rsidR="009246ED" w:rsidRDefault="009246ED" w:rsidP="009246ED"/>
    <w:p w:rsidR="009246ED" w:rsidRPr="009246ED" w:rsidRDefault="009246ED" w:rsidP="009246ED"/>
    <w:p w:rsidR="009246ED" w:rsidRDefault="009246ED" w:rsidP="006F0CC0">
      <w:pPr>
        <w:pStyle w:val="Heading2"/>
        <w:jc w:val="center"/>
        <w:rPr>
          <w:rFonts w:asciiTheme="minorHAnsi" w:hAnsiTheme="minorHAnsi" w:cstheme="minorHAnsi"/>
          <w:b/>
          <w:color w:val="C00000"/>
          <w:sz w:val="24"/>
          <w:szCs w:val="24"/>
        </w:rPr>
      </w:pPr>
    </w:p>
    <w:p w:rsidR="009246ED" w:rsidRDefault="009246ED" w:rsidP="009246ED"/>
    <w:p w:rsidR="009246ED" w:rsidRDefault="009246ED" w:rsidP="009246ED"/>
    <w:p w:rsidR="009246ED" w:rsidRDefault="009246ED" w:rsidP="009246ED"/>
    <w:p w:rsidR="009246ED" w:rsidRDefault="009246ED" w:rsidP="009246ED"/>
    <w:p w:rsidR="009246ED" w:rsidRPr="009246ED" w:rsidRDefault="009246ED" w:rsidP="009246ED"/>
    <w:p w:rsidR="00E5713A" w:rsidRPr="006F0CC0" w:rsidRDefault="00E5713A" w:rsidP="009246ED">
      <w:pPr>
        <w:pStyle w:val="Heading2"/>
        <w:shd w:val="clear" w:color="auto" w:fill="E2EFD9" w:themeFill="accent6" w:themeFillTint="33"/>
        <w:jc w:val="center"/>
        <w:rPr>
          <w:rFonts w:asciiTheme="minorHAnsi" w:hAnsiTheme="minorHAnsi" w:cstheme="minorHAnsi"/>
          <w:b/>
          <w:color w:val="C00000"/>
          <w:sz w:val="24"/>
          <w:szCs w:val="24"/>
        </w:rPr>
      </w:pPr>
      <w:r w:rsidRPr="006F0CC0">
        <w:rPr>
          <w:rFonts w:asciiTheme="minorHAnsi" w:hAnsiTheme="minorHAnsi" w:cstheme="minorHAnsi"/>
          <w:b/>
          <w:color w:val="C00000"/>
          <w:sz w:val="24"/>
          <w:szCs w:val="24"/>
        </w:rPr>
        <w:lastRenderedPageBreak/>
        <w:t>Differenza di genere</w:t>
      </w:r>
      <w:bookmarkEnd w:id="79"/>
    </w:p>
    <w:p w:rsidR="008D4E15" w:rsidRPr="00E82A6A" w:rsidRDefault="008D4E15" w:rsidP="00B648DA">
      <w:pPr>
        <w:jc w:val="both"/>
        <w:rPr>
          <w:rFonts w:asciiTheme="minorHAnsi" w:hAnsiTheme="minorHAnsi" w:cstheme="minorHAnsi"/>
          <w:sz w:val="22"/>
          <w:szCs w:val="22"/>
        </w:rPr>
      </w:pPr>
    </w:p>
    <w:p w:rsidR="00187C57" w:rsidRDefault="008D4E15" w:rsidP="00B648DA">
      <w:pPr>
        <w:jc w:val="both"/>
        <w:rPr>
          <w:rFonts w:asciiTheme="minorHAnsi" w:hAnsiTheme="minorHAnsi" w:cstheme="minorHAnsi"/>
          <w:color w:val="000000"/>
          <w:sz w:val="20"/>
          <w:szCs w:val="20"/>
          <w:shd w:val="clear" w:color="auto" w:fill="FFFFFF"/>
        </w:rPr>
      </w:pPr>
      <w:r w:rsidRPr="006F0CC0">
        <w:rPr>
          <w:rFonts w:asciiTheme="minorHAnsi" w:hAnsiTheme="minorHAnsi" w:cstheme="minorHAnsi"/>
          <w:color w:val="000000"/>
          <w:sz w:val="20"/>
          <w:szCs w:val="20"/>
          <w:shd w:val="clear" w:color="auto" w:fill="FFFFFF"/>
        </w:rPr>
        <w:t xml:space="preserve">Dai dati finora disponibili emerge che l'intera popolazione con SARS-CoV2 è composta per il </w:t>
      </w:r>
      <w:r w:rsidRPr="009246ED">
        <w:rPr>
          <w:rFonts w:asciiTheme="minorHAnsi" w:hAnsiTheme="minorHAnsi" w:cstheme="minorHAnsi"/>
          <w:b/>
          <w:bCs/>
          <w:color w:val="000000"/>
          <w:sz w:val="20"/>
          <w:szCs w:val="20"/>
          <w:shd w:val="clear" w:color="auto" w:fill="FFFFFF"/>
        </w:rPr>
        <w:t>58% da</w:t>
      </w:r>
      <w:r w:rsidR="009246ED">
        <w:rPr>
          <w:rFonts w:asciiTheme="minorHAnsi" w:hAnsiTheme="minorHAnsi" w:cstheme="minorHAnsi"/>
          <w:b/>
          <w:bCs/>
          <w:color w:val="000000"/>
          <w:sz w:val="20"/>
          <w:szCs w:val="20"/>
          <w:shd w:val="clear" w:color="auto" w:fill="FFFFFF"/>
        </w:rPr>
        <w:t xml:space="preserve"> soggetti </w:t>
      </w:r>
      <w:r w:rsidRPr="009246ED">
        <w:rPr>
          <w:rFonts w:asciiTheme="minorHAnsi" w:hAnsiTheme="minorHAnsi" w:cstheme="minorHAnsi"/>
          <w:b/>
          <w:bCs/>
          <w:color w:val="000000"/>
          <w:sz w:val="20"/>
          <w:szCs w:val="20"/>
          <w:shd w:val="clear" w:color="auto" w:fill="FFFFFF"/>
        </w:rPr>
        <w:t>maschi</w:t>
      </w:r>
      <w:r w:rsidR="009246ED">
        <w:rPr>
          <w:rFonts w:asciiTheme="minorHAnsi" w:hAnsiTheme="minorHAnsi" w:cstheme="minorHAnsi"/>
          <w:b/>
          <w:bCs/>
          <w:color w:val="000000"/>
          <w:sz w:val="20"/>
          <w:szCs w:val="20"/>
          <w:shd w:val="clear" w:color="auto" w:fill="FFFFFF"/>
        </w:rPr>
        <w:t>li</w:t>
      </w:r>
      <w:r w:rsidRPr="006F0CC0">
        <w:rPr>
          <w:rFonts w:asciiTheme="minorHAnsi" w:hAnsiTheme="minorHAnsi" w:cstheme="minorHAnsi"/>
          <w:color w:val="000000"/>
          <w:sz w:val="20"/>
          <w:szCs w:val="20"/>
          <w:shd w:val="clear" w:color="auto" w:fill="FFFFFF"/>
        </w:rPr>
        <w:t>.</w:t>
      </w:r>
      <w:r w:rsidR="00D321D7" w:rsidRPr="006F0CC0">
        <w:rPr>
          <w:rStyle w:val="FootnoteReference"/>
          <w:rFonts w:asciiTheme="minorHAnsi" w:hAnsiTheme="minorHAnsi" w:cstheme="minorHAnsi"/>
          <w:color w:val="000000"/>
          <w:sz w:val="20"/>
          <w:szCs w:val="20"/>
          <w:shd w:val="clear" w:color="auto" w:fill="FFFFFF"/>
        </w:rPr>
        <w:footnoteReference w:id="227"/>
      </w:r>
      <w:r w:rsidR="00D321D7" w:rsidRPr="006F0CC0">
        <w:rPr>
          <w:rFonts w:asciiTheme="minorHAnsi" w:hAnsiTheme="minorHAnsi" w:cstheme="minorHAnsi"/>
          <w:color w:val="000000"/>
          <w:sz w:val="20"/>
          <w:szCs w:val="20"/>
          <w:shd w:val="clear" w:color="auto" w:fill="FFFFFF"/>
        </w:rPr>
        <w:t xml:space="preserve"> </w:t>
      </w:r>
    </w:p>
    <w:p w:rsidR="00187C57" w:rsidRDefault="008D4E15" w:rsidP="00B648DA">
      <w:pPr>
        <w:jc w:val="both"/>
        <w:rPr>
          <w:rFonts w:asciiTheme="minorHAnsi" w:hAnsiTheme="minorHAnsi" w:cstheme="minorHAnsi"/>
          <w:color w:val="000000"/>
          <w:sz w:val="20"/>
          <w:szCs w:val="20"/>
          <w:shd w:val="clear" w:color="auto" w:fill="FFFFFF"/>
        </w:rPr>
      </w:pPr>
      <w:r w:rsidRPr="006F0CC0">
        <w:rPr>
          <w:rFonts w:asciiTheme="minorHAnsi" w:hAnsiTheme="minorHAnsi" w:cstheme="minorHAnsi"/>
          <w:color w:val="000000"/>
          <w:sz w:val="20"/>
          <w:szCs w:val="20"/>
          <w:shd w:val="clear" w:color="auto" w:fill="FFFFFF"/>
        </w:rPr>
        <w:t xml:space="preserve">La differenza nel numero di casi segnalati per genere aumenta progressivamente a favore dei soggetti maschi fino alla fascia di età ≥60–69 (66,6%) e≥70–79 (66,1%), ad eccezione dei 20-29 anni e il gruppo di 30–39 anni in cui il numero di soggetti femminili è leggermente più alto. </w:t>
      </w:r>
    </w:p>
    <w:p w:rsidR="00187C57" w:rsidRDefault="00187C57" w:rsidP="00B648DA">
      <w:pPr>
        <w:jc w:val="both"/>
        <w:rPr>
          <w:rFonts w:asciiTheme="minorHAnsi" w:hAnsiTheme="minorHAnsi" w:cstheme="minorHAnsi"/>
          <w:color w:val="000000"/>
          <w:sz w:val="20"/>
          <w:szCs w:val="20"/>
          <w:shd w:val="clear" w:color="auto" w:fill="FFFFFF"/>
        </w:rPr>
      </w:pPr>
    </w:p>
    <w:p w:rsidR="008D4E15" w:rsidRDefault="008D4E15" w:rsidP="00B648DA">
      <w:pPr>
        <w:jc w:val="both"/>
        <w:rPr>
          <w:rFonts w:asciiTheme="minorHAnsi" w:hAnsiTheme="minorHAnsi" w:cstheme="minorHAnsi"/>
          <w:color w:val="000000"/>
          <w:sz w:val="20"/>
          <w:szCs w:val="20"/>
          <w:shd w:val="clear" w:color="auto" w:fill="FFFFFF"/>
        </w:rPr>
      </w:pPr>
      <w:r w:rsidRPr="00187C57">
        <w:rPr>
          <w:rFonts w:asciiTheme="minorHAnsi" w:hAnsiTheme="minorHAnsi" w:cstheme="minorHAnsi"/>
          <w:b/>
          <w:bCs/>
          <w:color w:val="000000"/>
          <w:sz w:val="20"/>
          <w:szCs w:val="20"/>
          <w:shd w:val="clear" w:color="auto" w:fill="FFFFFF"/>
        </w:rPr>
        <w:t>Una maggiore letalità è a favore dei soggetti maschi</w:t>
      </w:r>
      <w:r w:rsidR="009246ED">
        <w:rPr>
          <w:rFonts w:asciiTheme="minorHAnsi" w:hAnsiTheme="minorHAnsi" w:cstheme="minorHAnsi"/>
          <w:b/>
          <w:bCs/>
          <w:color w:val="000000"/>
          <w:sz w:val="20"/>
          <w:szCs w:val="20"/>
          <w:shd w:val="clear" w:color="auto" w:fill="FFFFFF"/>
        </w:rPr>
        <w:t>li</w:t>
      </w:r>
      <w:r w:rsidRPr="00187C57">
        <w:rPr>
          <w:rFonts w:asciiTheme="minorHAnsi" w:hAnsiTheme="minorHAnsi" w:cstheme="minorHAnsi"/>
          <w:b/>
          <w:bCs/>
          <w:color w:val="000000"/>
          <w:sz w:val="20"/>
          <w:szCs w:val="20"/>
          <w:shd w:val="clear" w:color="auto" w:fill="FFFFFF"/>
        </w:rPr>
        <w:t xml:space="preserve"> in tutte le fasce d'età</w:t>
      </w:r>
      <w:r w:rsidRPr="00187C57">
        <w:rPr>
          <w:rFonts w:asciiTheme="minorHAnsi" w:hAnsiTheme="minorHAnsi" w:cstheme="minorHAnsi"/>
          <w:color w:val="000000"/>
          <w:sz w:val="20"/>
          <w:szCs w:val="20"/>
          <w:shd w:val="clear" w:color="auto" w:fill="FFFFFF"/>
        </w:rPr>
        <w:t>. I decessi tra 30-39 anni sono 82,4% maschi</w:t>
      </w:r>
      <w:r w:rsidRPr="006F0CC0">
        <w:rPr>
          <w:rFonts w:asciiTheme="minorHAnsi" w:hAnsiTheme="minorHAnsi" w:cstheme="minorHAnsi"/>
          <w:color w:val="000000"/>
          <w:sz w:val="20"/>
          <w:szCs w:val="20"/>
          <w:shd w:val="clear" w:color="auto" w:fill="FFFFFF"/>
        </w:rPr>
        <w:t>; tra i 40 e i 49 anni vi sono il 73,1% di maschi; tra i 50-59 anni vi sono il 78,5% di maschi; tra i 60-69 anni vi sono il 79,7% di maschi; tra i 70-79 anni vi sono il 79,6% maschi; tra 80-89 anni sono il 66,9% maschi</w:t>
      </w:r>
      <w:r w:rsidR="00D321D7" w:rsidRPr="006F0CC0">
        <w:rPr>
          <w:rFonts w:asciiTheme="minorHAnsi" w:hAnsiTheme="minorHAnsi" w:cstheme="minorHAnsi"/>
          <w:color w:val="000000"/>
          <w:sz w:val="20"/>
          <w:szCs w:val="20"/>
          <w:shd w:val="clear" w:color="auto" w:fill="FFFFFF"/>
        </w:rPr>
        <w:t xml:space="preserve">. </w:t>
      </w:r>
      <w:r w:rsidRPr="006F0CC0">
        <w:rPr>
          <w:rStyle w:val="FootnoteReference"/>
          <w:rFonts w:asciiTheme="minorHAnsi" w:hAnsiTheme="minorHAnsi" w:cstheme="minorHAnsi"/>
          <w:color w:val="000000"/>
          <w:sz w:val="20"/>
          <w:szCs w:val="20"/>
          <w:shd w:val="clear" w:color="auto" w:fill="FFFFFF"/>
          <w:lang w:val="en-US"/>
        </w:rPr>
        <w:footnoteReference w:id="228"/>
      </w:r>
    </w:p>
    <w:p w:rsidR="00187C57" w:rsidRPr="006F0CC0" w:rsidRDefault="00187C57" w:rsidP="00B648DA">
      <w:pPr>
        <w:jc w:val="both"/>
        <w:rPr>
          <w:rFonts w:asciiTheme="minorHAnsi" w:hAnsiTheme="minorHAnsi" w:cstheme="minorHAnsi"/>
          <w:color w:val="000000"/>
          <w:sz w:val="20"/>
          <w:szCs w:val="20"/>
          <w:shd w:val="clear" w:color="auto" w:fill="FFFFFF"/>
        </w:rPr>
      </w:pPr>
    </w:p>
    <w:p w:rsidR="00187C57" w:rsidRPr="009246ED" w:rsidRDefault="00187C57" w:rsidP="009246ED">
      <w:pPr>
        <w:pBdr>
          <w:top w:val="double" w:sz="4" w:space="1" w:color="2F5496" w:themeColor="accent1" w:themeShade="BF"/>
          <w:left w:val="double" w:sz="4" w:space="5"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rPr>
          <w:rFonts w:asciiTheme="minorHAnsi" w:hAnsiTheme="minorHAnsi" w:cstheme="minorHAnsi"/>
          <w:i/>
          <w:iCs/>
          <w:color w:val="1C1E21"/>
          <w:sz w:val="20"/>
          <w:szCs w:val="20"/>
        </w:rPr>
      </w:pPr>
    </w:p>
    <w:p w:rsidR="0030438F" w:rsidRPr="009246ED" w:rsidRDefault="00D321D7" w:rsidP="009246ED">
      <w:pPr>
        <w:pBdr>
          <w:top w:val="double" w:sz="4" w:space="1" w:color="2F5496" w:themeColor="accent1" w:themeShade="BF"/>
          <w:left w:val="double" w:sz="4" w:space="5"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rPr>
          <w:rFonts w:asciiTheme="minorHAnsi" w:hAnsiTheme="minorHAnsi" w:cstheme="minorHAnsi"/>
          <w:i/>
          <w:iCs/>
          <w:color w:val="1C1E21"/>
          <w:sz w:val="20"/>
          <w:szCs w:val="20"/>
        </w:rPr>
      </w:pPr>
      <w:r w:rsidRPr="009246ED">
        <w:rPr>
          <w:rFonts w:asciiTheme="minorHAnsi" w:hAnsiTheme="minorHAnsi" w:cstheme="minorHAnsi"/>
          <w:i/>
          <w:iCs/>
          <w:color w:val="1C1E21"/>
          <w:sz w:val="20"/>
          <w:szCs w:val="20"/>
        </w:rPr>
        <w:t>U</w:t>
      </w:r>
      <w:r w:rsidR="00E5713A" w:rsidRPr="009246ED">
        <w:rPr>
          <w:rFonts w:asciiTheme="minorHAnsi" w:hAnsiTheme="minorHAnsi" w:cstheme="minorHAnsi"/>
          <w:i/>
          <w:iCs/>
          <w:color w:val="1C1E21"/>
          <w:sz w:val="20"/>
          <w:szCs w:val="20"/>
        </w:rPr>
        <w:t xml:space="preserve">na </w:t>
      </w:r>
      <w:r w:rsidR="00E5713A" w:rsidRPr="009246ED">
        <w:rPr>
          <w:rFonts w:asciiTheme="minorHAnsi" w:hAnsiTheme="minorHAnsi" w:cstheme="minorHAnsi"/>
          <w:b/>
          <w:bCs/>
          <w:i/>
          <w:iCs/>
          <w:color w:val="1C1E21"/>
          <w:sz w:val="20"/>
          <w:szCs w:val="20"/>
        </w:rPr>
        <w:t>predisposizione maggiore di rischio per il</w:t>
      </w:r>
      <w:r w:rsidR="00E5713A" w:rsidRPr="009246ED">
        <w:rPr>
          <w:rFonts w:asciiTheme="minorHAnsi" w:hAnsiTheme="minorHAnsi" w:cstheme="minorHAnsi"/>
          <w:i/>
          <w:iCs/>
          <w:color w:val="1C1E21"/>
          <w:sz w:val="20"/>
          <w:szCs w:val="20"/>
        </w:rPr>
        <w:t xml:space="preserve"> </w:t>
      </w:r>
      <w:r w:rsidR="00E5713A" w:rsidRPr="009246ED">
        <w:rPr>
          <w:rFonts w:asciiTheme="minorHAnsi" w:hAnsiTheme="minorHAnsi" w:cstheme="minorHAnsi"/>
          <w:b/>
          <w:bCs/>
          <w:i/>
          <w:iCs/>
          <w:color w:val="1C1E21"/>
          <w:sz w:val="20"/>
          <w:szCs w:val="20"/>
        </w:rPr>
        <w:t>genere maschile</w:t>
      </w:r>
      <w:r w:rsidR="00E5713A" w:rsidRPr="009246ED">
        <w:rPr>
          <w:rFonts w:asciiTheme="minorHAnsi" w:hAnsiTheme="minorHAnsi" w:cstheme="minorHAnsi"/>
          <w:i/>
          <w:iCs/>
          <w:color w:val="1C1E21"/>
          <w:sz w:val="20"/>
          <w:szCs w:val="20"/>
        </w:rPr>
        <w:t xml:space="preserve"> si verifica quando </w:t>
      </w:r>
      <w:r w:rsidR="0030438F" w:rsidRPr="009246ED">
        <w:rPr>
          <w:rFonts w:asciiTheme="minorHAnsi" w:hAnsiTheme="minorHAnsi" w:cstheme="minorHAnsi"/>
          <w:i/>
          <w:iCs/>
          <w:color w:val="1C1E21"/>
          <w:sz w:val="20"/>
          <w:szCs w:val="20"/>
        </w:rPr>
        <w:t xml:space="preserve">le </w:t>
      </w:r>
      <w:r w:rsidR="00E5713A" w:rsidRPr="009246ED">
        <w:rPr>
          <w:rFonts w:asciiTheme="minorHAnsi" w:hAnsiTheme="minorHAnsi" w:cstheme="minorHAnsi"/>
          <w:i/>
          <w:iCs/>
          <w:color w:val="1C1E21"/>
          <w:sz w:val="20"/>
          <w:szCs w:val="20"/>
        </w:rPr>
        <w:t>risposte immunitarie deboli sono alla base di un danno significativo ai tessuti</w:t>
      </w:r>
      <w:r w:rsidR="0030438F" w:rsidRPr="009246ED">
        <w:rPr>
          <w:rFonts w:asciiTheme="minorHAnsi" w:hAnsiTheme="minorHAnsi" w:cstheme="minorHAnsi"/>
          <w:i/>
          <w:iCs/>
          <w:color w:val="1C1E21"/>
          <w:sz w:val="20"/>
          <w:szCs w:val="20"/>
        </w:rPr>
        <w:t xml:space="preserve"> da parte dell’infezione virale</w:t>
      </w:r>
      <w:r w:rsidR="00E5713A" w:rsidRPr="009246ED">
        <w:rPr>
          <w:rFonts w:asciiTheme="minorHAnsi" w:hAnsiTheme="minorHAnsi" w:cstheme="minorHAnsi"/>
          <w:i/>
          <w:iCs/>
          <w:color w:val="1C1E21"/>
          <w:sz w:val="20"/>
          <w:szCs w:val="20"/>
        </w:rPr>
        <w:t xml:space="preserve">, mentre una </w:t>
      </w:r>
      <w:r w:rsidR="00E5713A" w:rsidRPr="009246ED">
        <w:rPr>
          <w:rFonts w:asciiTheme="minorHAnsi" w:hAnsiTheme="minorHAnsi" w:cstheme="minorHAnsi"/>
          <w:b/>
          <w:bCs/>
          <w:i/>
          <w:iCs/>
          <w:color w:val="1C1E21"/>
          <w:sz w:val="20"/>
          <w:szCs w:val="20"/>
        </w:rPr>
        <w:t>predisposizione maggiore di rischio femminile</w:t>
      </w:r>
      <w:r w:rsidR="00E5713A" w:rsidRPr="009246ED">
        <w:rPr>
          <w:rFonts w:asciiTheme="minorHAnsi" w:hAnsiTheme="minorHAnsi" w:cstheme="minorHAnsi"/>
          <w:i/>
          <w:iCs/>
          <w:color w:val="1C1E21"/>
          <w:sz w:val="20"/>
          <w:szCs w:val="20"/>
        </w:rPr>
        <w:t xml:space="preserve"> si verifica quando </w:t>
      </w:r>
      <w:r w:rsidR="0030438F" w:rsidRPr="009246ED">
        <w:rPr>
          <w:rFonts w:asciiTheme="minorHAnsi" w:hAnsiTheme="minorHAnsi" w:cstheme="minorHAnsi"/>
          <w:i/>
          <w:iCs/>
          <w:color w:val="1C1E21"/>
          <w:sz w:val="20"/>
          <w:szCs w:val="20"/>
        </w:rPr>
        <w:t xml:space="preserve">le </w:t>
      </w:r>
      <w:r w:rsidR="00E5713A" w:rsidRPr="009246ED">
        <w:rPr>
          <w:rFonts w:asciiTheme="minorHAnsi" w:hAnsiTheme="minorHAnsi" w:cstheme="minorHAnsi"/>
          <w:i/>
          <w:iCs/>
          <w:color w:val="1C1E21"/>
          <w:sz w:val="20"/>
          <w:szCs w:val="20"/>
        </w:rPr>
        <w:t xml:space="preserve">risposte immunitarie forti promuovono il danno dei tessuti. </w:t>
      </w:r>
    </w:p>
    <w:p w:rsidR="00187C57" w:rsidRPr="009246ED" w:rsidRDefault="00187C57" w:rsidP="009246ED">
      <w:pPr>
        <w:pBdr>
          <w:top w:val="double" w:sz="4" w:space="1" w:color="2F5496" w:themeColor="accent1" w:themeShade="BF"/>
          <w:left w:val="double" w:sz="4" w:space="5"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rPr>
          <w:rFonts w:asciiTheme="minorHAnsi" w:hAnsiTheme="minorHAnsi" w:cstheme="minorHAnsi"/>
          <w:i/>
          <w:iCs/>
          <w:color w:val="1C1E21"/>
          <w:sz w:val="20"/>
          <w:szCs w:val="20"/>
        </w:rPr>
      </w:pPr>
    </w:p>
    <w:p w:rsidR="00D321D7" w:rsidRPr="006F0CC0" w:rsidRDefault="00D321D7" w:rsidP="00B648DA">
      <w:pPr>
        <w:jc w:val="both"/>
        <w:rPr>
          <w:rFonts w:asciiTheme="minorHAnsi" w:hAnsiTheme="minorHAnsi" w:cstheme="minorHAnsi"/>
          <w:color w:val="1C1E21"/>
          <w:sz w:val="20"/>
          <w:szCs w:val="20"/>
        </w:rPr>
      </w:pPr>
    </w:p>
    <w:p w:rsidR="00D321D7" w:rsidRDefault="00E5713A" w:rsidP="00B648DA">
      <w:pPr>
        <w:jc w:val="both"/>
        <w:rPr>
          <w:rFonts w:asciiTheme="minorHAnsi" w:hAnsiTheme="minorHAnsi" w:cstheme="minorHAnsi"/>
          <w:color w:val="1C1E21"/>
          <w:sz w:val="20"/>
          <w:szCs w:val="20"/>
        </w:rPr>
      </w:pPr>
      <w:r w:rsidRPr="006F0CC0">
        <w:rPr>
          <w:rFonts w:asciiTheme="minorHAnsi" w:hAnsiTheme="minorHAnsi" w:cstheme="minorHAnsi"/>
          <w:color w:val="1C1E21"/>
          <w:sz w:val="20"/>
          <w:szCs w:val="20"/>
        </w:rPr>
        <w:t xml:space="preserve">Si è visto che nel caso di infezioni da coronavirus </w:t>
      </w:r>
      <w:r w:rsidRPr="009246ED">
        <w:rPr>
          <w:rFonts w:asciiTheme="minorHAnsi" w:hAnsiTheme="minorHAnsi" w:cstheme="minorHAnsi"/>
          <w:b/>
          <w:bCs/>
          <w:color w:val="1C1E21"/>
          <w:sz w:val="20"/>
          <w:szCs w:val="20"/>
          <w:shd w:val="clear" w:color="auto" w:fill="FBF9E1"/>
        </w:rPr>
        <w:t>gli estrogeni hanno un effetto protettivo</w:t>
      </w:r>
      <w:r w:rsidR="0030438F" w:rsidRPr="006F0CC0">
        <w:rPr>
          <w:rFonts w:asciiTheme="minorHAnsi" w:hAnsiTheme="minorHAnsi" w:cstheme="minorHAnsi"/>
          <w:color w:val="1C1E21"/>
          <w:sz w:val="20"/>
          <w:szCs w:val="20"/>
        </w:rPr>
        <w:t>,</w:t>
      </w:r>
      <w:r w:rsidRPr="006F0CC0">
        <w:rPr>
          <w:rFonts w:asciiTheme="minorHAnsi" w:hAnsiTheme="minorHAnsi" w:cstheme="minorHAnsi"/>
          <w:color w:val="1C1E21"/>
          <w:sz w:val="20"/>
          <w:szCs w:val="20"/>
        </w:rPr>
        <w:t xml:space="preserve"> in quanto aumentano la produzione iniziale di interferoni di tipo I ad attività antivirale necessaria per bloccare la replicazione del virus, e stimolano l’attività di riparo mediata dalla risposta di tipo 2, mentre </w:t>
      </w:r>
      <w:r w:rsidRPr="00187C57">
        <w:rPr>
          <w:rFonts w:asciiTheme="minorHAnsi" w:hAnsiTheme="minorHAnsi" w:cstheme="minorHAnsi"/>
          <w:b/>
          <w:bCs/>
          <w:color w:val="1C1E21"/>
          <w:sz w:val="20"/>
          <w:szCs w:val="20"/>
        </w:rPr>
        <w:t>gli androgeni hanno effetti immunosoppressivi</w:t>
      </w:r>
      <w:r w:rsidRPr="006F0CC0">
        <w:rPr>
          <w:rFonts w:asciiTheme="minorHAnsi" w:hAnsiTheme="minorHAnsi" w:cstheme="minorHAnsi"/>
          <w:color w:val="1C1E21"/>
          <w:sz w:val="20"/>
          <w:szCs w:val="20"/>
        </w:rPr>
        <w:t xml:space="preserve">. </w:t>
      </w:r>
    </w:p>
    <w:p w:rsidR="009246ED" w:rsidRPr="006F0CC0" w:rsidRDefault="009246ED" w:rsidP="00B648DA">
      <w:pPr>
        <w:jc w:val="both"/>
        <w:rPr>
          <w:rFonts w:asciiTheme="minorHAnsi" w:hAnsiTheme="minorHAnsi" w:cstheme="minorHAnsi"/>
          <w:color w:val="1C1E21"/>
          <w:sz w:val="20"/>
          <w:szCs w:val="20"/>
        </w:rPr>
      </w:pPr>
    </w:p>
    <w:p w:rsidR="00E5713A" w:rsidRPr="00187C57" w:rsidRDefault="00E5713A" w:rsidP="009246ED">
      <w:pPr>
        <w:shd w:val="clear" w:color="auto" w:fill="FBF9E1"/>
        <w:jc w:val="both"/>
        <w:rPr>
          <w:rFonts w:asciiTheme="minorHAnsi" w:hAnsiTheme="minorHAnsi" w:cstheme="minorHAnsi"/>
          <w:b/>
          <w:bCs/>
          <w:color w:val="1C1E21"/>
          <w:sz w:val="20"/>
          <w:szCs w:val="20"/>
        </w:rPr>
      </w:pPr>
      <w:r w:rsidRPr="00187C57">
        <w:rPr>
          <w:rFonts w:asciiTheme="minorHAnsi" w:hAnsiTheme="minorHAnsi" w:cstheme="minorHAnsi"/>
          <w:b/>
          <w:bCs/>
          <w:color w:val="1C1E21"/>
          <w:sz w:val="20"/>
          <w:szCs w:val="20"/>
        </w:rPr>
        <w:t>Ne segue che negli uomini la scarsa risposta immunitaria comporta un maggiore danno tissutale grave.</w:t>
      </w:r>
    </w:p>
    <w:p w:rsidR="00187C57" w:rsidRPr="006F0CC0" w:rsidRDefault="00187C57" w:rsidP="00B648DA">
      <w:pPr>
        <w:jc w:val="both"/>
        <w:rPr>
          <w:rFonts w:asciiTheme="minorHAnsi" w:hAnsiTheme="minorHAnsi" w:cstheme="minorHAnsi"/>
          <w:color w:val="1C1E21"/>
          <w:sz w:val="20"/>
          <w:szCs w:val="20"/>
        </w:rPr>
      </w:pPr>
    </w:p>
    <w:p w:rsidR="0030438F" w:rsidRPr="006F0CC0" w:rsidRDefault="00E5713A" w:rsidP="00B648DA">
      <w:pPr>
        <w:jc w:val="both"/>
        <w:rPr>
          <w:rFonts w:asciiTheme="minorHAnsi" w:hAnsiTheme="minorHAnsi" w:cstheme="minorHAnsi"/>
          <w:color w:val="1C1E21"/>
          <w:sz w:val="20"/>
          <w:szCs w:val="20"/>
        </w:rPr>
      </w:pPr>
      <w:r w:rsidRPr="006F0CC0">
        <w:rPr>
          <w:rFonts w:asciiTheme="minorHAnsi" w:hAnsiTheme="minorHAnsi" w:cstheme="minorHAnsi"/>
          <w:color w:val="1C1E21"/>
          <w:sz w:val="20"/>
          <w:szCs w:val="20"/>
        </w:rPr>
        <w:t>I geni regolatori immunitari codificati dal cromosoma X nel genere femminile causano livelli di carica virale più bassi e meno infiammazione rispetto all'uomo, mentre le cellule T CD4</w:t>
      </w:r>
      <w:r w:rsidRPr="006F0CC0">
        <w:rPr>
          <w:rFonts w:asciiTheme="minorHAnsi" w:hAnsiTheme="minorHAnsi" w:cstheme="minorHAnsi"/>
          <w:color w:val="1C1E21"/>
          <w:sz w:val="20"/>
          <w:szCs w:val="20"/>
          <w:vertAlign w:val="superscript"/>
        </w:rPr>
        <w:t>+</w:t>
      </w:r>
      <w:r w:rsidRPr="006F0CC0">
        <w:rPr>
          <w:rFonts w:asciiTheme="minorHAnsi" w:hAnsiTheme="minorHAnsi" w:cstheme="minorHAnsi"/>
          <w:color w:val="1C1E21"/>
          <w:sz w:val="20"/>
          <w:szCs w:val="20"/>
        </w:rPr>
        <w:t xml:space="preserve"> sono più alte con una migliore risposta immunitaria. </w:t>
      </w:r>
    </w:p>
    <w:p w:rsidR="00187C57" w:rsidRDefault="00E5713A" w:rsidP="00B648DA">
      <w:pPr>
        <w:jc w:val="both"/>
        <w:rPr>
          <w:rFonts w:asciiTheme="minorHAnsi" w:hAnsiTheme="minorHAnsi" w:cstheme="minorHAnsi"/>
          <w:color w:val="1C1E21"/>
          <w:sz w:val="20"/>
          <w:szCs w:val="20"/>
        </w:rPr>
      </w:pPr>
      <w:r w:rsidRPr="006F0CC0">
        <w:rPr>
          <w:rFonts w:asciiTheme="minorHAnsi" w:hAnsiTheme="minorHAnsi" w:cstheme="minorHAnsi"/>
          <w:color w:val="1C1E21"/>
          <w:sz w:val="20"/>
          <w:szCs w:val="20"/>
        </w:rPr>
        <w:t xml:space="preserve">Inoltre, le donne generalmente producono livelli più elevati di anticorpi che rimangono più a lungo in circolo. </w:t>
      </w:r>
    </w:p>
    <w:p w:rsidR="00187C57" w:rsidRDefault="00187C57" w:rsidP="00B648DA">
      <w:pPr>
        <w:jc w:val="both"/>
        <w:rPr>
          <w:rFonts w:asciiTheme="minorHAnsi" w:hAnsiTheme="minorHAnsi" w:cstheme="minorHAnsi"/>
          <w:color w:val="1C1E21"/>
          <w:sz w:val="20"/>
          <w:szCs w:val="20"/>
        </w:rPr>
      </w:pPr>
    </w:p>
    <w:p w:rsidR="0030438F" w:rsidRDefault="00E5713A" w:rsidP="00B648DA">
      <w:pPr>
        <w:jc w:val="both"/>
        <w:rPr>
          <w:rFonts w:asciiTheme="minorHAnsi" w:hAnsiTheme="minorHAnsi" w:cstheme="minorHAnsi"/>
          <w:color w:val="1C1E21"/>
          <w:sz w:val="20"/>
          <w:szCs w:val="20"/>
        </w:rPr>
      </w:pPr>
      <w:r w:rsidRPr="006F0CC0">
        <w:rPr>
          <w:rFonts w:asciiTheme="minorHAnsi" w:hAnsiTheme="minorHAnsi" w:cstheme="minorHAnsi"/>
          <w:color w:val="1C1E21"/>
          <w:sz w:val="20"/>
          <w:szCs w:val="20"/>
        </w:rPr>
        <w:t>I livelli di attivazione delle cellule immunitarie sono più alti nelle donne che negli uomini, e</w:t>
      </w:r>
      <w:r w:rsidR="0030438F" w:rsidRPr="006F0CC0">
        <w:rPr>
          <w:rFonts w:asciiTheme="minorHAnsi" w:hAnsiTheme="minorHAnsi" w:cstheme="minorHAnsi"/>
          <w:color w:val="1C1E21"/>
          <w:sz w:val="20"/>
          <w:szCs w:val="20"/>
        </w:rPr>
        <w:t xml:space="preserve"> ciò</w:t>
      </w:r>
      <w:r w:rsidRPr="006F0CC0">
        <w:rPr>
          <w:rFonts w:asciiTheme="minorHAnsi" w:hAnsiTheme="minorHAnsi" w:cstheme="minorHAnsi"/>
          <w:color w:val="1C1E21"/>
          <w:sz w:val="20"/>
          <w:szCs w:val="20"/>
        </w:rPr>
        <w:t xml:space="preserve"> è correlato alla stimolazione d</w:t>
      </w:r>
      <w:r w:rsidR="0030438F" w:rsidRPr="006F0CC0">
        <w:rPr>
          <w:rFonts w:asciiTheme="minorHAnsi" w:hAnsiTheme="minorHAnsi" w:cstheme="minorHAnsi"/>
          <w:color w:val="1C1E21"/>
          <w:sz w:val="20"/>
          <w:szCs w:val="20"/>
        </w:rPr>
        <w:t>e</w:t>
      </w:r>
      <w:r w:rsidRPr="006F0CC0">
        <w:rPr>
          <w:rFonts w:asciiTheme="minorHAnsi" w:hAnsiTheme="minorHAnsi" w:cstheme="minorHAnsi"/>
          <w:color w:val="1C1E21"/>
          <w:sz w:val="20"/>
          <w:szCs w:val="20"/>
        </w:rPr>
        <w:t xml:space="preserve">i TLR7 </w:t>
      </w:r>
      <w:r w:rsidR="00187C57">
        <w:rPr>
          <w:rFonts w:asciiTheme="minorHAnsi" w:hAnsiTheme="minorHAnsi" w:cstheme="minorHAnsi"/>
          <w:color w:val="1C1E21"/>
          <w:sz w:val="20"/>
          <w:szCs w:val="20"/>
        </w:rPr>
        <w:t xml:space="preserve">* </w:t>
      </w:r>
      <w:r w:rsidRPr="006F0CC0">
        <w:rPr>
          <w:rFonts w:asciiTheme="minorHAnsi" w:hAnsiTheme="minorHAnsi" w:cstheme="minorHAnsi"/>
          <w:color w:val="1C1E21"/>
          <w:sz w:val="20"/>
          <w:szCs w:val="20"/>
        </w:rPr>
        <w:t xml:space="preserve">e alla produzione di IFN. </w:t>
      </w:r>
    </w:p>
    <w:p w:rsidR="00187C57" w:rsidRDefault="00187C57" w:rsidP="00B648DA">
      <w:pPr>
        <w:jc w:val="both"/>
        <w:rPr>
          <w:rFonts w:asciiTheme="minorHAnsi" w:hAnsiTheme="minorHAnsi" w:cstheme="minorHAnsi"/>
          <w:color w:val="1C1E21"/>
          <w:sz w:val="20"/>
          <w:szCs w:val="20"/>
        </w:rPr>
      </w:pPr>
    </w:p>
    <w:p w:rsidR="00187C57" w:rsidRPr="009246ED" w:rsidRDefault="00187C57" w:rsidP="009246ED">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709" w:right="1127"/>
        <w:jc w:val="both"/>
        <w:rPr>
          <w:rFonts w:asciiTheme="minorHAnsi" w:hAnsiTheme="minorHAnsi" w:cstheme="minorHAnsi"/>
          <w:i/>
          <w:iCs/>
          <w:color w:val="1C1E21"/>
          <w:sz w:val="20"/>
          <w:szCs w:val="20"/>
        </w:rPr>
      </w:pPr>
    </w:p>
    <w:p w:rsidR="00187C57" w:rsidRDefault="00187C57" w:rsidP="009246ED">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709" w:right="1127"/>
        <w:jc w:val="both"/>
        <w:rPr>
          <w:rFonts w:asciiTheme="minorHAnsi" w:hAnsiTheme="minorHAnsi" w:cstheme="minorHAnsi"/>
          <w:color w:val="1C1E21"/>
          <w:sz w:val="20"/>
          <w:szCs w:val="20"/>
        </w:rPr>
      </w:pPr>
      <w:r w:rsidRPr="009246ED">
        <w:rPr>
          <w:rFonts w:asciiTheme="minorHAnsi" w:hAnsiTheme="minorHAnsi" w:cstheme="minorHAnsi"/>
          <w:i/>
          <w:iCs/>
          <w:color w:val="1C1E21"/>
          <w:sz w:val="20"/>
          <w:szCs w:val="20"/>
        </w:rPr>
        <w:t xml:space="preserve">* </w:t>
      </w:r>
      <w:r w:rsidR="0030438F" w:rsidRPr="009246ED">
        <w:rPr>
          <w:rFonts w:asciiTheme="minorHAnsi" w:hAnsiTheme="minorHAnsi" w:cstheme="minorHAnsi"/>
          <w:i/>
          <w:iCs/>
          <w:color w:val="1C1E21"/>
          <w:sz w:val="20"/>
          <w:szCs w:val="20"/>
        </w:rPr>
        <w:t>Il TLR7 è espresso nelle cellule immunitarie innate che riconoscono i virus a RNA a singolo filamento</w:t>
      </w:r>
      <w:r w:rsidR="008F2B78">
        <w:rPr>
          <w:rFonts w:asciiTheme="minorHAnsi" w:hAnsiTheme="minorHAnsi" w:cstheme="minorHAnsi"/>
          <w:i/>
          <w:iCs/>
          <w:color w:val="1C1E21"/>
          <w:sz w:val="20"/>
          <w:szCs w:val="20"/>
        </w:rPr>
        <w:t xml:space="preserve"> e </w:t>
      </w:r>
      <w:r w:rsidR="0030438F" w:rsidRPr="009246ED">
        <w:rPr>
          <w:rFonts w:asciiTheme="minorHAnsi" w:hAnsiTheme="minorHAnsi" w:cstheme="minorHAnsi"/>
          <w:i/>
          <w:iCs/>
          <w:color w:val="1C1E21"/>
          <w:sz w:val="20"/>
          <w:szCs w:val="20"/>
        </w:rPr>
        <w:t>promuov</w:t>
      </w:r>
      <w:r w:rsidR="008F2B78">
        <w:rPr>
          <w:rFonts w:asciiTheme="minorHAnsi" w:hAnsiTheme="minorHAnsi" w:cstheme="minorHAnsi"/>
          <w:i/>
          <w:iCs/>
          <w:color w:val="1C1E21"/>
          <w:sz w:val="20"/>
          <w:szCs w:val="20"/>
        </w:rPr>
        <w:t>ono</w:t>
      </w:r>
      <w:r w:rsidR="0030438F" w:rsidRPr="009246ED">
        <w:rPr>
          <w:rFonts w:asciiTheme="minorHAnsi" w:hAnsiTheme="minorHAnsi" w:cstheme="minorHAnsi"/>
          <w:i/>
          <w:iCs/>
          <w:color w:val="1C1E21"/>
          <w:sz w:val="20"/>
          <w:szCs w:val="20"/>
        </w:rPr>
        <w:t xml:space="preserve"> la produzione di anticorpi contro il virus e la generazione di citochine pro-infiammatorie tra cui membri dell’IL-6 e IL-1.</w:t>
      </w:r>
      <w:r w:rsidR="0030438F" w:rsidRPr="009246ED">
        <w:rPr>
          <w:rFonts w:asciiTheme="minorHAnsi" w:hAnsiTheme="minorHAnsi" w:cstheme="minorHAnsi"/>
          <w:color w:val="1C1E21"/>
          <w:sz w:val="20"/>
          <w:szCs w:val="20"/>
        </w:rPr>
        <w:t xml:space="preserve"> </w:t>
      </w:r>
    </w:p>
    <w:p w:rsidR="009246ED" w:rsidRDefault="009246ED" w:rsidP="009246ED">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ind w:left="709" w:right="1127"/>
        <w:jc w:val="both"/>
        <w:rPr>
          <w:rFonts w:asciiTheme="minorHAnsi" w:hAnsiTheme="minorHAnsi" w:cstheme="minorHAnsi"/>
          <w:color w:val="1C1E21"/>
          <w:sz w:val="20"/>
          <w:szCs w:val="20"/>
        </w:rPr>
      </w:pPr>
    </w:p>
    <w:p w:rsidR="0030438F" w:rsidRDefault="0030438F" w:rsidP="00187C57">
      <w:pPr>
        <w:jc w:val="both"/>
        <w:rPr>
          <w:rFonts w:asciiTheme="minorHAnsi" w:hAnsiTheme="minorHAnsi" w:cstheme="minorHAnsi"/>
          <w:color w:val="1C1E21"/>
          <w:sz w:val="20"/>
          <w:szCs w:val="20"/>
        </w:rPr>
      </w:pPr>
      <w:r w:rsidRPr="006F0CC0">
        <w:rPr>
          <w:rFonts w:asciiTheme="minorHAnsi" w:hAnsiTheme="minorHAnsi" w:cstheme="minorHAnsi"/>
          <w:color w:val="1C1E21"/>
          <w:sz w:val="20"/>
          <w:szCs w:val="20"/>
        </w:rPr>
        <w:lastRenderedPageBreak/>
        <w:t xml:space="preserve">Nelle donne la produzione di </w:t>
      </w:r>
      <w:r w:rsidRPr="009246ED">
        <w:rPr>
          <w:rFonts w:asciiTheme="minorHAnsi" w:hAnsiTheme="minorHAnsi" w:cstheme="minorHAnsi"/>
          <w:b/>
          <w:bCs/>
          <w:color w:val="1C1E21"/>
          <w:sz w:val="20"/>
          <w:szCs w:val="20"/>
        </w:rPr>
        <w:t>IL-6</w:t>
      </w:r>
      <w:r w:rsidRPr="006F0CC0">
        <w:rPr>
          <w:rFonts w:asciiTheme="minorHAnsi" w:hAnsiTheme="minorHAnsi" w:cstheme="minorHAnsi"/>
          <w:color w:val="1C1E21"/>
          <w:sz w:val="20"/>
          <w:szCs w:val="20"/>
        </w:rPr>
        <w:t xml:space="preserve"> infiammatoria dopo l’infezione virale è inferiore rispetto agli uomini ed è spesso correlata a una migliore longevità.</w:t>
      </w:r>
    </w:p>
    <w:p w:rsidR="0030438F" w:rsidRDefault="0030438F" w:rsidP="00B648DA">
      <w:pPr>
        <w:jc w:val="both"/>
        <w:rPr>
          <w:rFonts w:asciiTheme="minorHAnsi" w:hAnsiTheme="minorHAnsi" w:cstheme="minorHAnsi"/>
          <w:color w:val="1C1E21"/>
          <w:sz w:val="20"/>
          <w:szCs w:val="20"/>
        </w:rPr>
      </w:pPr>
      <w:r w:rsidRPr="006F0CC0">
        <w:rPr>
          <w:rFonts w:asciiTheme="minorHAnsi" w:hAnsiTheme="minorHAnsi" w:cstheme="minorHAnsi"/>
          <w:color w:val="1C1E21"/>
          <w:sz w:val="20"/>
          <w:szCs w:val="20"/>
        </w:rPr>
        <w:t xml:space="preserve">Il </w:t>
      </w:r>
      <w:r w:rsidR="00E5713A" w:rsidRPr="009246ED">
        <w:rPr>
          <w:rFonts w:asciiTheme="minorHAnsi" w:hAnsiTheme="minorHAnsi" w:cstheme="minorHAnsi"/>
          <w:b/>
          <w:bCs/>
          <w:color w:val="1C1E21"/>
          <w:sz w:val="20"/>
          <w:szCs w:val="20"/>
        </w:rPr>
        <w:t>TLR7</w:t>
      </w:r>
      <w:r w:rsidR="00E5713A" w:rsidRPr="006F0CC0">
        <w:rPr>
          <w:rFonts w:asciiTheme="minorHAnsi" w:hAnsiTheme="minorHAnsi" w:cstheme="minorHAnsi"/>
          <w:color w:val="1C1E21"/>
          <w:sz w:val="20"/>
          <w:szCs w:val="20"/>
        </w:rPr>
        <w:t xml:space="preserve"> è più alto nelle donne che negli uomini e la sua espressione biallelica (cioè dovuta ad entrambi i cromosomi X) porta a risposte immunitarie più elevate e aumenta la resistenza alle infezioni virali. </w:t>
      </w:r>
    </w:p>
    <w:p w:rsidR="00187C57" w:rsidRPr="006F0CC0" w:rsidRDefault="00187C57" w:rsidP="00B648DA">
      <w:pPr>
        <w:jc w:val="both"/>
        <w:rPr>
          <w:rFonts w:asciiTheme="minorHAnsi" w:hAnsiTheme="minorHAnsi" w:cstheme="minorHAnsi"/>
          <w:color w:val="1C1E21"/>
          <w:sz w:val="20"/>
          <w:szCs w:val="20"/>
        </w:rPr>
      </w:pPr>
    </w:p>
    <w:p w:rsidR="00187C57" w:rsidRDefault="00E5713A" w:rsidP="00B648DA">
      <w:pPr>
        <w:jc w:val="both"/>
        <w:rPr>
          <w:rFonts w:asciiTheme="minorHAnsi" w:hAnsiTheme="minorHAnsi" w:cstheme="minorHAnsi"/>
          <w:color w:val="1C1E21"/>
          <w:sz w:val="20"/>
          <w:szCs w:val="20"/>
        </w:rPr>
      </w:pPr>
      <w:r w:rsidRPr="006F0CC0">
        <w:rPr>
          <w:rFonts w:asciiTheme="minorHAnsi" w:hAnsiTheme="minorHAnsi" w:cstheme="minorHAnsi"/>
          <w:color w:val="1C1E21"/>
          <w:sz w:val="20"/>
          <w:szCs w:val="20"/>
        </w:rPr>
        <w:t xml:space="preserve">Inoltre, sul cromosoma X ci sono loci che codificano per i geni coinvolti nella regolazione delle cellule immunitarie come FOXP3 e fattori di trascrizione per Treg coinvolti nella patogenesi del virus. </w:t>
      </w:r>
    </w:p>
    <w:p w:rsidR="0030438F" w:rsidRDefault="00E5713A" w:rsidP="00B648DA">
      <w:pPr>
        <w:jc w:val="both"/>
        <w:rPr>
          <w:rFonts w:asciiTheme="minorHAnsi" w:hAnsiTheme="minorHAnsi" w:cstheme="minorHAnsi"/>
          <w:color w:val="1C1E21"/>
          <w:sz w:val="20"/>
          <w:szCs w:val="20"/>
        </w:rPr>
      </w:pPr>
      <w:r w:rsidRPr="006F0CC0">
        <w:rPr>
          <w:rFonts w:asciiTheme="minorHAnsi" w:hAnsiTheme="minorHAnsi" w:cstheme="minorHAnsi"/>
          <w:color w:val="1C1E21"/>
          <w:sz w:val="20"/>
          <w:szCs w:val="20"/>
        </w:rPr>
        <w:t xml:space="preserve">Il </w:t>
      </w:r>
      <w:r w:rsidRPr="009246ED">
        <w:rPr>
          <w:rFonts w:asciiTheme="minorHAnsi" w:hAnsiTheme="minorHAnsi" w:cstheme="minorHAnsi"/>
          <w:b/>
          <w:bCs/>
          <w:color w:val="1C1E21"/>
          <w:sz w:val="20"/>
          <w:szCs w:val="20"/>
        </w:rPr>
        <w:t>cromosoma X</w:t>
      </w:r>
      <w:r w:rsidRPr="006F0CC0">
        <w:rPr>
          <w:rFonts w:asciiTheme="minorHAnsi" w:hAnsiTheme="minorHAnsi" w:cstheme="minorHAnsi"/>
          <w:color w:val="1C1E21"/>
          <w:sz w:val="20"/>
          <w:szCs w:val="20"/>
        </w:rPr>
        <w:t xml:space="preserve"> influenza il sistema immunitario agendo su molte altre proteine, tra cui TLR8, CD40L e CXCR3 che possono essere sovraespresse nelle donne e influenzano la risposta alle infezioni virali e alle vaccinazioni. </w:t>
      </w:r>
    </w:p>
    <w:p w:rsidR="00187C57" w:rsidRPr="006F0CC0" w:rsidRDefault="00187C57" w:rsidP="00B648DA">
      <w:pPr>
        <w:jc w:val="both"/>
        <w:rPr>
          <w:rFonts w:asciiTheme="minorHAnsi" w:hAnsiTheme="minorHAnsi" w:cstheme="minorHAnsi"/>
          <w:color w:val="1C1E21"/>
          <w:sz w:val="20"/>
          <w:szCs w:val="20"/>
        </w:rPr>
      </w:pPr>
    </w:p>
    <w:p w:rsidR="00E5713A" w:rsidRPr="006F0CC0" w:rsidRDefault="00E5713A" w:rsidP="00B648DA">
      <w:pPr>
        <w:jc w:val="both"/>
        <w:rPr>
          <w:rFonts w:asciiTheme="minorHAnsi" w:hAnsiTheme="minorHAnsi" w:cstheme="minorHAnsi"/>
          <w:color w:val="1C1E21"/>
          <w:sz w:val="20"/>
          <w:szCs w:val="20"/>
        </w:rPr>
      </w:pPr>
      <w:r w:rsidRPr="006F0CC0">
        <w:rPr>
          <w:rFonts w:asciiTheme="minorHAnsi" w:hAnsiTheme="minorHAnsi" w:cstheme="minorHAnsi"/>
          <w:color w:val="1C1E21"/>
          <w:sz w:val="20"/>
          <w:szCs w:val="20"/>
        </w:rPr>
        <w:t xml:space="preserve">Tuttavia, l'espressione biallelica dei geni collegati all'X può promuovere </w:t>
      </w:r>
      <w:r w:rsidR="00D321D7" w:rsidRPr="006F0CC0">
        <w:rPr>
          <w:rFonts w:asciiTheme="minorHAnsi" w:hAnsiTheme="minorHAnsi" w:cstheme="minorHAnsi"/>
          <w:color w:val="1C1E21"/>
          <w:sz w:val="20"/>
          <w:szCs w:val="20"/>
        </w:rPr>
        <w:t xml:space="preserve">anche </w:t>
      </w:r>
      <w:r w:rsidRPr="006F0CC0">
        <w:rPr>
          <w:rFonts w:asciiTheme="minorHAnsi" w:hAnsiTheme="minorHAnsi" w:cstheme="minorHAnsi"/>
          <w:color w:val="1C1E21"/>
          <w:sz w:val="20"/>
          <w:szCs w:val="20"/>
        </w:rPr>
        <w:t>risposte autoimmuni e infiammatorie dannose.</w:t>
      </w:r>
      <w:r w:rsidRPr="006F0CC0">
        <w:rPr>
          <w:rStyle w:val="FootnoteReference"/>
          <w:rFonts w:asciiTheme="minorHAnsi" w:hAnsiTheme="minorHAnsi" w:cstheme="minorHAnsi"/>
          <w:color w:val="1C1E21"/>
          <w:sz w:val="20"/>
          <w:szCs w:val="20"/>
        </w:rPr>
        <w:footnoteReference w:id="229"/>
      </w:r>
    </w:p>
    <w:p w:rsidR="00E05E41" w:rsidRPr="006F0CC0" w:rsidRDefault="00E05E41" w:rsidP="00B648DA">
      <w:pPr>
        <w:jc w:val="both"/>
        <w:rPr>
          <w:rFonts w:asciiTheme="minorHAnsi" w:hAnsiTheme="minorHAnsi" w:cstheme="minorHAnsi"/>
          <w:color w:val="1C1E21"/>
          <w:sz w:val="20"/>
          <w:szCs w:val="20"/>
        </w:rPr>
      </w:pPr>
    </w:p>
    <w:p w:rsidR="009246ED" w:rsidRDefault="009246ED" w:rsidP="009246ED">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1C1E21"/>
          <w:sz w:val="20"/>
          <w:szCs w:val="20"/>
        </w:rPr>
      </w:pPr>
    </w:p>
    <w:p w:rsidR="009246ED" w:rsidRDefault="005A6AAA" w:rsidP="009246ED">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1C1E21"/>
          <w:sz w:val="20"/>
          <w:szCs w:val="20"/>
        </w:rPr>
      </w:pPr>
      <w:r w:rsidRPr="009246ED">
        <w:rPr>
          <w:rFonts w:asciiTheme="minorHAnsi" w:hAnsiTheme="minorHAnsi" w:cstheme="minorHAnsi"/>
          <w:i/>
          <w:iCs/>
          <w:color w:val="1C1E21"/>
          <w:sz w:val="20"/>
          <w:szCs w:val="20"/>
        </w:rPr>
        <w:t xml:space="preserve">La differenza sessuale o il dimorfismo sessuale nell'immunità (in particolare l'autoimmunità) è influenzata dal microbiota intestinale. </w:t>
      </w:r>
    </w:p>
    <w:p w:rsidR="005A6AAA" w:rsidRPr="009246ED" w:rsidRDefault="005A6AAA" w:rsidP="009246ED">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1C1E21"/>
          <w:sz w:val="20"/>
          <w:szCs w:val="20"/>
        </w:rPr>
      </w:pPr>
      <w:r w:rsidRPr="009246ED">
        <w:rPr>
          <w:rFonts w:asciiTheme="minorHAnsi" w:hAnsiTheme="minorHAnsi" w:cstheme="minorHAnsi"/>
          <w:i/>
          <w:iCs/>
          <w:color w:val="1C1E21"/>
          <w:sz w:val="20"/>
          <w:szCs w:val="20"/>
        </w:rPr>
        <w:t xml:space="preserve">Le differenze sessuali nel microbioma intestinale sono parzialmente guidate dagli ormoni sessuali, che a loro volta contribuiscono alle differenze sessuali nell'immunità e nella suscettibilità a una moltitudine di infezioni e malattie croniche. </w:t>
      </w:r>
      <w:r w:rsidR="00134D69" w:rsidRPr="009246ED">
        <w:rPr>
          <w:rStyle w:val="FootnoteReference"/>
          <w:rFonts w:asciiTheme="minorHAnsi" w:hAnsiTheme="minorHAnsi" w:cstheme="minorHAnsi"/>
          <w:i/>
          <w:iCs/>
          <w:sz w:val="20"/>
          <w:szCs w:val="20"/>
        </w:rPr>
        <w:footnoteReference w:id="230"/>
      </w:r>
    </w:p>
    <w:p w:rsidR="00187C57" w:rsidRPr="009246ED" w:rsidRDefault="00187C57" w:rsidP="009246ED">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1C1E21"/>
          <w:sz w:val="20"/>
          <w:szCs w:val="20"/>
        </w:rPr>
      </w:pPr>
    </w:p>
    <w:p w:rsidR="005A6AAA" w:rsidRPr="009246ED" w:rsidRDefault="005A6AAA" w:rsidP="009246ED">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1C1E21"/>
          <w:sz w:val="20"/>
          <w:szCs w:val="20"/>
        </w:rPr>
      </w:pPr>
      <w:r w:rsidRPr="009246ED">
        <w:rPr>
          <w:rFonts w:asciiTheme="minorHAnsi" w:hAnsiTheme="minorHAnsi" w:cstheme="minorHAnsi"/>
          <w:i/>
          <w:iCs/>
          <w:color w:val="1C1E21"/>
          <w:sz w:val="20"/>
          <w:szCs w:val="20"/>
        </w:rPr>
        <w:t xml:space="preserve">Il </w:t>
      </w:r>
      <w:r w:rsidRPr="009246ED">
        <w:rPr>
          <w:rFonts w:asciiTheme="minorHAnsi" w:hAnsiTheme="minorHAnsi" w:cstheme="minorHAnsi"/>
          <w:b/>
          <w:bCs/>
          <w:i/>
          <w:iCs/>
          <w:color w:val="1C1E21"/>
          <w:sz w:val="20"/>
          <w:szCs w:val="20"/>
          <w:u w:val="single"/>
        </w:rPr>
        <w:t>microgenderom</w:t>
      </w:r>
      <w:r w:rsidR="00D321D7" w:rsidRPr="009246ED">
        <w:rPr>
          <w:rFonts w:asciiTheme="minorHAnsi" w:hAnsiTheme="minorHAnsi" w:cstheme="minorHAnsi"/>
          <w:b/>
          <w:bCs/>
          <w:i/>
          <w:iCs/>
          <w:color w:val="1C1E21"/>
          <w:sz w:val="20"/>
          <w:szCs w:val="20"/>
          <w:u w:val="single"/>
        </w:rPr>
        <w:t>a</w:t>
      </w:r>
      <w:r w:rsidRPr="009246ED">
        <w:rPr>
          <w:rFonts w:asciiTheme="minorHAnsi" w:hAnsiTheme="minorHAnsi" w:cstheme="minorHAnsi"/>
          <w:i/>
          <w:iCs/>
          <w:color w:val="1C1E21"/>
          <w:sz w:val="20"/>
          <w:szCs w:val="20"/>
        </w:rPr>
        <w:t xml:space="preserve"> definisce l'interazione tra microbiota, ormoni sessuali e sistema immunitario e comporta interazioni bidirezionali tra microbiota, ormoni, immunità e suscettibilità alla malattia. </w:t>
      </w:r>
      <w:r w:rsidRPr="009246ED">
        <w:rPr>
          <w:rStyle w:val="FootnoteReference"/>
          <w:rFonts w:asciiTheme="minorHAnsi" w:hAnsiTheme="minorHAnsi" w:cstheme="minorHAnsi"/>
          <w:i/>
          <w:iCs/>
          <w:color w:val="1C1E21"/>
          <w:sz w:val="20"/>
          <w:szCs w:val="20"/>
        </w:rPr>
        <w:footnoteReference w:id="231"/>
      </w:r>
    </w:p>
    <w:p w:rsidR="00187C57" w:rsidRDefault="009F220F" w:rsidP="009246ED">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1C1E21"/>
          <w:sz w:val="20"/>
          <w:szCs w:val="20"/>
        </w:rPr>
      </w:pPr>
      <w:r w:rsidRPr="009246ED">
        <w:rPr>
          <w:rFonts w:asciiTheme="minorHAnsi" w:hAnsiTheme="minorHAnsi" w:cstheme="minorHAnsi"/>
          <w:i/>
          <w:iCs/>
          <w:color w:val="1C1E21"/>
          <w:sz w:val="20"/>
          <w:szCs w:val="20"/>
        </w:rPr>
        <w:t xml:space="preserve">Il numero crescente di studi sul microbioma sta rivelando un’attività bidirezionale tra microbiota e sistema endocrino in cui i batteri sono in grado di produrre ormoni (ad es. serotonina, dopamina e somatostatina), rispondere agli ormoni dell’ospite (ad es. </w:t>
      </w:r>
      <w:r w:rsidR="00D321D7" w:rsidRPr="009246ED">
        <w:rPr>
          <w:rFonts w:asciiTheme="minorHAnsi" w:hAnsiTheme="minorHAnsi" w:cstheme="minorHAnsi"/>
          <w:i/>
          <w:iCs/>
          <w:color w:val="1C1E21"/>
          <w:sz w:val="20"/>
          <w:szCs w:val="20"/>
        </w:rPr>
        <w:t xml:space="preserve">gli </w:t>
      </w:r>
      <w:r w:rsidRPr="009246ED">
        <w:rPr>
          <w:rFonts w:asciiTheme="minorHAnsi" w:hAnsiTheme="minorHAnsi" w:cstheme="minorHAnsi"/>
          <w:i/>
          <w:iCs/>
          <w:color w:val="1C1E21"/>
          <w:sz w:val="20"/>
          <w:szCs w:val="20"/>
        </w:rPr>
        <w:t xml:space="preserve">estrogeni) e regolare l'omeostasi degli ormoni dell’ospite inibendone la trascrizione genica (ad es. </w:t>
      </w:r>
      <w:r w:rsidR="00D321D7" w:rsidRPr="009246ED">
        <w:rPr>
          <w:rFonts w:asciiTheme="minorHAnsi" w:hAnsiTheme="minorHAnsi" w:cstheme="minorHAnsi"/>
          <w:i/>
          <w:iCs/>
          <w:color w:val="1C1E21"/>
          <w:sz w:val="20"/>
          <w:szCs w:val="20"/>
        </w:rPr>
        <w:t xml:space="preserve">la </w:t>
      </w:r>
      <w:r w:rsidRPr="009246ED">
        <w:rPr>
          <w:rFonts w:asciiTheme="minorHAnsi" w:hAnsiTheme="minorHAnsi" w:cstheme="minorHAnsi"/>
          <w:i/>
          <w:iCs/>
          <w:color w:val="1C1E21"/>
          <w:sz w:val="20"/>
          <w:szCs w:val="20"/>
        </w:rPr>
        <w:t>prolattina) o convertendoli (ad es.</w:t>
      </w:r>
      <w:r w:rsidR="00D321D7" w:rsidRPr="009246ED">
        <w:rPr>
          <w:rFonts w:asciiTheme="minorHAnsi" w:hAnsiTheme="minorHAnsi" w:cstheme="minorHAnsi"/>
          <w:i/>
          <w:iCs/>
          <w:color w:val="1C1E21"/>
          <w:sz w:val="20"/>
          <w:szCs w:val="20"/>
        </w:rPr>
        <w:t xml:space="preserve"> dei </w:t>
      </w:r>
      <w:r w:rsidRPr="009246ED">
        <w:rPr>
          <w:rFonts w:asciiTheme="minorHAnsi" w:hAnsiTheme="minorHAnsi" w:cstheme="minorHAnsi"/>
          <w:i/>
          <w:iCs/>
          <w:color w:val="1C1E21"/>
          <w:sz w:val="20"/>
          <w:szCs w:val="20"/>
        </w:rPr>
        <w:t xml:space="preserve">glucocorticoidi in androgeni) </w:t>
      </w:r>
      <w:r w:rsidRPr="009246ED">
        <w:rPr>
          <w:rStyle w:val="FootnoteReference"/>
          <w:rFonts w:asciiTheme="minorHAnsi" w:hAnsiTheme="minorHAnsi" w:cstheme="minorHAnsi"/>
          <w:i/>
          <w:iCs/>
          <w:color w:val="1C1E21"/>
          <w:sz w:val="20"/>
          <w:szCs w:val="20"/>
        </w:rPr>
        <w:footnoteReference w:id="232"/>
      </w:r>
      <w:r w:rsidR="00D321D7" w:rsidRPr="009246ED">
        <w:rPr>
          <w:rFonts w:asciiTheme="minorHAnsi" w:hAnsiTheme="minorHAnsi" w:cstheme="minorHAnsi"/>
          <w:i/>
          <w:iCs/>
          <w:color w:val="1C1E21"/>
          <w:sz w:val="20"/>
          <w:szCs w:val="20"/>
        </w:rPr>
        <w:t xml:space="preserve">. </w:t>
      </w:r>
    </w:p>
    <w:p w:rsidR="009246ED" w:rsidRPr="009246ED" w:rsidRDefault="009246ED" w:rsidP="009246ED">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709" w:right="843"/>
        <w:jc w:val="both"/>
        <w:rPr>
          <w:rFonts w:asciiTheme="minorHAnsi" w:hAnsiTheme="minorHAnsi" w:cstheme="minorHAnsi"/>
          <w:i/>
          <w:iCs/>
          <w:color w:val="1C1E21"/>
          <w:sz w:val="20"/>
          <w:szCs w:val="20"/>
        </w:rPr>
      </w:pPr>
    </w:p>
    <w:p w:rsidR="00187C57" w:rsidRDefault="00187C57" w:rsidP="00B648DA">
      <w:pPr>
        <w:jc w:val="both"/>
        <w:rPr>
          <w:rFonts w:asciiTheme="minorHAnsi" w:hAnsiTheme="minorHAnsi" w:cstheme="minorHAnsi"/>
          <w:color w:val="1C1E21"/>
          <w:sz w:val="20"/>
          <w:szCs w:val="20"/>
        </w:rPr>
      </w:pPr>
    </w:p>
    <w:p w:rsidR="00E5713A" w:rsidRPr="006F0CC0" w:rsidRDefault="00F973FD" w:rsidP="00B648DA">
      <w:pPr>
        <w:jc w:val="both"/>
        <w:rPr>
          <w:rFonts w:asciiTheme="minorHAnsi" w:hAnsiTheme="minorHAnsi" w:cstheme="minorHAnsi"/>
          <w:color w:val="1C1E21"/>
          <w:sz w:val="20"/>
          <w:szCs w:val="20"/>
        </w:rPr>
      </w:pPr>
      <w:r w:rsidRPr="006F0CC0">
        <w:rPr>
          <w:rFonts w:asciiTheme="minorHAnsi" w:hAnsiTheme="minorHAnsi" w:cstheme="minorHAnsi"/>
          <w:color w:val="1C1E21"/>
          <w:sz w:val="20"/>
          <w:szCs w:val="20"/>
        </w:rPr>
        <w:t>In particolare</w:t>
      </w:r>
      <w:r w:rsidRPr="00C76860">
        <w:rPr>
          <w:rFonts w:asciiTheme="minorHAnsi" w:hAnsiTheme="minorHAnsi" w:cstheme="minorHAnsi"/>
          <w:b/>
          <w:bCs/>
          <w:color w:val="1C1E21"/>
          <w:sz w:val="20"/>
          <w:szCs w:val="20"/>
        </w:rPr>
        <w:t>, i</w:t>
      </w:r>
      <w:r w:rsidR="007313D6" w:rsidRPr="00C76860">
        <w:rPr>
          <w:rFonts w:asciiTheme="minorHAnsi" w:hAnsiTheme="minorHAnsi" w:cstheme="minorHAnsi"/>
          <w:b/>
          <w:bCs/>
          <w:color w:val="1C1E21"/>
          <w:sz w:val="20"/>
          <w:szCs w:val="20"/>
        </w:rPr>
        <w:t xml:space="preserve"> batteri metabolizzano gli steroidi sessuali</w:t>
      </w:r>
      <w:r w:rsidRPr="00C76860">
        <w:rPr>
          <w:rFonts w:asciiTheme="minorHAnsi" w:hAnsiTheme="minorHAnsi" w:cstheme="minorHAnsi"/>
          <w:b/>
          <w:bCs/>
          <w:color w:val="1C1E21"/>
          <w:sz w:val="20"/>
          <w:szCs w:val="20"/>
        </w:rPr>
        <w:t xml:space="preserve"> attraverso la</w:t>
      </w:r>
      <w:r w:rsidR="007313D6" w:rsidRPr="00C76860">
        <w:rPr>
          <w:rFonts w:asciiTheme="minorHAnsi" w:hAnsiTheme="minorHAnsi" w:cstheme="minorHAnsi"/>
          <w:b/>
          <w:bCs/>
          <w:color w:val="1C1E21"/>
          <w:sz w:val="20"/>
          <w:szCs w:val="20"/>
        </w:rPr>
        <w:t xml:space="preserve"> idrossisteroide deidrogenasi</w:t>
      </w:r>
      <w:r w:rsidR="007313D6" w:rsidRPr="006F0CC0">
        <w:rPr>
          <w:rFonts w:asciiTheme="minorHAnsi" w:hAnsiTheme="minorHAnsi" w:cstheme="minorHAnsi"/>
          <w:color w:val="1C1E21"/>
          <w:sz w:val="20"/>
          <w:szCs w:val="20"/>
        </w:rPr>
        <w:t xml:space="preserve"> (HSD), </w:t>
      </w:r>
      <w:r w:rsidR="00D321D7" w:rsidRPr="006F0CC0">
        <w:rPr>
          <w:rFonts w:asciiTheme="minorHAnsi" w:hAnsiTheme="minorHAnsi" w:cstheme="minorHAnsi"/>
          <w:color w:val="1C1E21"/>
          <w:sz w:val="20"/>
          <w:szCs w:val="20"/>
        </w:rPr>
        <w:t>c</w:t>
      </w:r>
      <w:r w:rsidR="007313D6" w:rsidRPr="006F0CC0">
        <w:rPr>
          <w:rFonts w:asciiTheme="minorHAnsi" w:hAnsiTheme="minorHAnsi" w:cstheme="minorHAnsi"/>
          <w:color w:val="1C1E21"/>
          <w:sz w:val="20"/>
          <w:szCs w:val="20"/>
        </w:rPr>
        <w:t>he influenza l'equilibrio tra steroidi attivi e inattivi. I geni per HSD sono codificati nei genomi di Actinobacteria, Proteobacteria e Firmicutes, che colonizzano il tratto gastrointestinale umano</w:t>
      </w:r>
      <w:r w:rsidR="007313D6" w:rsidRPr="006F0CC0">
        <w:rPr>
          <w:rStyle w:val="FootnoteReference"/>
          <w:rFonts w:asciiTheme="minorHAnsi" w:hAnsiTheme="minorHAnsi" w:cstheme="minorHAnsi"/>
          <w:color w:val="1C1E21"/>
          <w:sz w:val="20"/>
          <w:szCs w:val="20"/>
        </w:rPr>
        <w:footnoteReference w:id="233"/>
      </w:r>
      <w:r w:rsidR="007313D6" w:rsidRPr="006F0CC0">
        <w:rPr>
          <w:rFonts w:asciiTheme="minorHAnsi" w:hAnsiTheme="minorHAnsi" w:cstheme="minorHAnsi"/>
          <w:color w:val="1C1E21"/>
          <w:sz w:val="20"/>
          <w:szCs w:val="20"/>
        </w:rPr>
        <w:t>.</w:t>
      </w:r>
    </w:p>
    <w:p w:rsidR="00E05E41" w:rsidRPr="006F0CC0" w:rsidRDefault="00E05E41" w:rsidP="00B648DA">
      <w:pPr>
        <w:jc w:val="both"/>
        <w:rPr>
          <w:rFonts w:asciiTheme="minorHAnsi" w:hAnsiTheme="minorHAnsi" w:cstheme="minorHAnsi"/>
          <w:color w:val="1C1E21"/>
          <w:sz w:val="20"/>
          <w:szCs w:val="20"/>
        </w:rPr>
      </w:pPr>
      <w:r w:rsidRPr="006F0CC0">
        <w:rPr>
          <w:rFonts w:asciiTheme="minorHAnsi" w:hAnsiTheme="minorHAnsi" w:cstheme="minorHAnsi"/>
          <w:sz w:val="20"/>
          <w:szCs w:val="20"/>
        </w:rPr>
        <w:lastRenderedPageBreak/>
        <w:t xml:space="preserve">Va ricordato che da studi in vivo </w:t>
      </w:r>
      <w:r w:rsidR="00D321D7" w:rsidRPr="006F0CC0">
        <w:rPr>
          <w:rFonts w:asciiTheme="minorHAnsi" w:hAnsiTheme="minorHAnsi" w:cstheme="minorHAnsi"/>
          <w:color w:val="1C1E21"/>
          <w:sz w:val="20"/>
          <w:szCs w:val="20"/>
        </w:rPr>
        <w:t>nei topi</w:t>
      </w:r>
      <w:r w:rsidR="00D321D7" w:rsidRPr="006F0CC0">
        <w:rPr>
          <w:rFonts w:asciiTheme="minorHAnsi" w:hAnsiTheme="minorHAnsi" w:cstheme="minorHAnsi"/>
          <w:sz w:val="20"/>
          <w:szCs w:val="20"/>
        </w:rPr>
        <w:t xml:space="preserve"> </w:t>
      </w:r>
      <w:r w:rsidRPr="006F0CC0">
        <w:rPr>
          <w:rFonts w:asciiTheme="minorHAnsi" w:hAnsiTheme="minorHAnsi" w:cstheme="minorHAnsi"/>
          <w:sz w:val="20"/>
          <w:szCs w:val="20"/>
        </w:rPr>
        <w:t>è stato dimostra</w:t>
      </w:r>
      <w:r w:rsidR="008D4E15" w:rsidRPr="006F0CC0">
        <w:rPr>
          <w:rFonts w:asciiTheme="minorHAnsi" w:hAnsiTheme="minorHAnsi" w:cstheme="minorHAnsi"/>
          <w:sz w:val="20"/>
          <w:szCs w:val="20"/>
        </w:rPr>
        <w:t>to</w:t>
      </w:r>
      <w:r w:rsidRPr="006F0CC0">
        <w:rPr>
          <w:rFonts w:asciiTheme="minorHAnsi" w:hAnsiTheme="minorHAnsi" w:cstheme="minorHAnsi"/>
          <w:sz w:val="20"/>
          <w:szCs w:val="20"/>
        </w:rPr>
        <w:t xml:space="preserve"> che </w:t>
      </w:r>
      <w:r w:rsidRPr="006F0CC0">
        <w:rPr>
          <w:rFonts w:asciiTheme="minorHAnsi" w:hAnsiTheme="minorHAnsi" w:cstheme="minorHAnsi"/>
          <w:color w:val="1C1E21"/>
          <w:sz w:val="20"/>
          <w:szCs w:val="20"/>
        </w:rPr>
        <w:t xml:space="preserve">la composizione del microbiota prima e dopo la pubertà non era diversa </w:t>
      </w:r>
      <w:r w:rsidR="00D321D7" w:rsidRPr="006F0CC0">
        <w:rPr>
          <w:rFonts w:asciiTheme="minorHAnsi" w:hAnsiTheme="minorHAnsi" w:cstheme="minorHAnsi"/>
          <w:color w:val="1C1E21"/>
          <w:sz w:val="20"/>
          <w:szCs w:val="20"/>
        </w:rPr>
        <w:t>nelle</w:t>
      </w:r>
      <w:r w:rsidRPr="006F0CC0">
        <w:rPr>
          <w:rFonts w:asciiTheme="minorHAnsi" w:hAnsiTheme="minorHAnsi" w:cstheme="minorHAnsi"/>
          <w:color w:val="1C1E21"/>
          <w:sz w:val="20"/>
          <w:szCs w:val="20"/>
        </w:rPr>
        <w:t xml:space="preserve"> femmine, mentre la composizione deviava dopo la pubertà nei maschi, suggerendo che </w:t>
      </w:r>
      <w:r w:rsidRPr="00C76860">
        <w:rPr>
          <w:rFonts w:asciiTheme="minorHAnsi" w:hAnsiTheme="minorHAnsi" w:cstheme="minorHAnsi"/>
          <w:b/>
          <w:bCs/>
          <w:color w:val="1C1E21"/>
          <w:sz w:val="20"/>
          <w:szCs w:val="20"/>
        </w:rPr>
        <w:t>gli ormoni sessuali maschili possono svolgere un ruolo importante nelle differenze sessuali del microbiota intestinale</w:t>
      </w:r>
      <w:r w:rsidRPr="006F0CC0">
        <w:rPr>
          <w:rFonts w:asciiTheme="minorHAnsi" w:hAnsiTheme="minorHAnsi" w:cstheme="minorHAnsi"/>
          <w:color w:val="1C1E21"/>
          <w:sz w:val="20"/>
          <w:szCs w:val="20"/>
        </w:rPr>
        <w:t xml:space="preserve">. </w:t>
      </w:r>
      <w:r w:rsidR="008D4E15" w:rsidRPr="006F0CC0">
        <w:rPr>
          <w:rStyle w:val="FootnoteReference"/>
          <w:rFonts w:asciiTheme="minorHAnsi" w:hAnsiTheme="minorHAnsi" w:cstheme="minorHAnsi"/>
          <w:color w:val="1C1E21"/>
          <w:sz w:val="20"/>
          <w:szCs w:val="20"/>
        </w:rPr>
        <w:footnoteReference w:id="234"/>
      </w:r>
    </w:p>
    <w:p w:rsidR="008140D6" w:rsidRPr="006F0CC0" w:rsidRDefault="008140D6" w:rsidP="00B648DA">
      <w:pPr>
        <w:jc w:val="both"/>
        <w:rPr>
          <w:rFonts w:asciiTheme="minorHAnsi" w:hAnsiTheme="minorHAnsi" w:cstheme="minorHAnsi"/>
          <w:color w:val="1C1E21"/>
          <w:sz w:val="20"/>
          <w:szCs w:val="20"/>
        </w:rPr>
      </w:pPr>
    </w:p>
    <w:p w:rsidR="007313D6" w:rsidRPr="00E82A6A" w:rsidRDefault="007313D6" w:rsidP="00134D69">
      <w:pPr>
        <w:jc w:val="center"/>
        <w:rPr>
          <w:rFonts w:asciiTheme="minorHAnsi" w:hAnsiTheme="minorHAnsi" w:cstheme="minorHAnsi"/>
          <w:sz w:val="22"/>
          <w:szCs w:val="22"/>
        </w:rPr>
      </w:pPr>
      <w:r w:rsidRPr="00E82A6A">
        <w:rPr>
          <w:rFonts w:asciiTheme="minorHAnsi" w:hAnsiTheme="minorHAnsi" w:cstheme="minorHAnsi"/>
          <w:sz w:val="22"/>
          <w:szCs w:val="22"/>
        </w:rPr>
        <w:fldChar w:fldCharType="begin"/>
      </w:r>
      <w:r w:rsidRPr="00E82A6A">
        <w:rPr>
          <w:rFonts w:asciiTheme="minorHAnsi" w:hAnsiTheme="minorHAnsi" w:cstheme="minorHAnsi"/>
          <w:sz w:val="22"/>
          <w:szCs w:val="22"/>
        </w:rPr>
        <w:instrText xml:space="preserve"> INCLUDEPICTURE "https://media.springernature.com/lw785/springer-static/image/chp%3A10.1007%2F978-3-319-16438-0_1/MediaObjects/316994_1_En_1_Fig1_HTML.gif" \* MERGEFORMATINET </w:instrText>
      </w:r>
      <w:r w:rsidRPr="00E82A6A">
        <w:rPr>
          <w:rFonts w:asciiTheme="minorHAnsi" w:hAnsiTheme="minorHAnsi" w:cstheme="minorHAnsi"/>
          <w:sz w:val="22"/>
          <w:szCs w:val="22"/>
        </w:rPr>
        <w:fldChar w:fldCharType="separate"/>
      </w:r>
      <w:r w:rsidRPr="00E82A6A">
        <w:rPr>
          <w:rFonts w:asciiTheme="minorHAnsi" w:hAnsiTheme="minorHAnsi" w:cstheme="minorHAnsi"/>
          <w:noProof/>
          <w:sz w:val="22"/>
          <w:szCs w:val="22"/>
        </w:rPr>
        <w:drawing>
          <wp:inline distT="0" distB="0" distL="0" distR="0">
            <wp:extent cx="4552334" cy="5179982"/>
            <wp:effectExtent l="0" t="0" r="0" b="1905"/>
            <wp:docPr id="8" name="Immagine 8" descr="Sex Differences in the Immune Respons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 Differences in the Immune Response | SpringerLink"/>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92896" cy="5226137"/>
                    </a:xfrm>
                    <a:prstGeom prst="rect">
                      <a:avLst/>
                    </a:prstGeom>
                    <a:noFill/>
                    <a:ln>
                      <a:noFill/>
                    </a:ln>
                  </pic:spPr>
                </pic:pic>
              </a:graphicData>
            </a:graphic>
          </wp:inline>
        </w:drawing>
      </w:r>
      <w:r w:rsidRPr="00E82A6A">
        <w:rPr>
          <w:rFonts w:asciiTheme="minorHAnsi" w:hAnsiTheme="minorHAnsi" w:cstheme="minorHAnsi"/>
          <w:sz w:val="22"/>
          <w:szCs w:val="22"/>
        </w:rPr>
        <w:fldChar w:fldCharType="end"/>
      </w:r>
    </w:p>
    <w:p w:rsidR="00E5713A" w:rsidRPr="00E82A6A" w:rsidRDefault="00E5713A" w:rsidP="00B648DA">
      <w:pPr>
        <w:jc w:val="both"/>
        <w:rPr>
          <w:rFonts w:asciiTheme="minorHAnsi" w:hAnsiTheme="minorHAnsi" w:cstheme="minorHAnsi"/>
          <w:color w:val="1C1E21"/>
          <w:sz w:val="22"/>
          <w:szCs w:val="22"/>
        </w:rPr>
      </w:pPr>
    </w:p>
    <w:p w:rsidR="00E5713A" w:rsidRPr="009246ED" w:rsidRDefault="007313D6" w:rsidP="009246ED">
      <w:pPr>
        <w:shd w:val="clear" w:color="auto" w:fill="F2F2F2" w:themeFill="background1" w:themeFillShade="F2"/>
        <w:jc w:val="both"/>
        <w:rPr>
          <w:rFonts w:asciiTheme="minorHAnsi" w:hAnsiTheme="minorHAnsi" w:cstheme="minorHAnsi"/>
          <w:color w:val="000000" w:themeColor="text1"/>
          <w:sz w:val="18"/>
          <w:szCs w:val="18"/>
        </w:rPr>
      </w:pPr>
      <w:r w:rsidRPr="009246ED">
        <w:rPr>
          <w:rFonts w:asciiTheme="minorHAnsi" w:hAnsiTheme="minorHAnsi" w:cstheme="minorHAnsi"/>
          <w:color w:val="000000" w:themeColor="text1"/>
          <w:sz w:val="18"/>
          <w:szCs w:val="18"/>
        </w:rPr>
        <w:t xml:space="preserve">Tratto da  </w:t>
      </w:r>
      <w:hyperlink r:id="rId182" w:history="1">
        <w:r w:rsidRPr="009246ED">
          <w:rPr>
            <w:rStyle w:val="Hyperlink"/>
            <w:rFonts w:asciiTheme="minorHAnsi" w:eastAsiaTheme="majorEastAsia" w:hAnsiTheme="minorHAnsi" w:cstheme="minorHAnsi"/>
            <w:color w:val="000000" w:themeColor="text1"/>
            <w:sz w:val="18"/>
            <w:szCs w:val="18"/>
            <w:u w:val="none"/>
          </w:rPr>
          <w:t>https://link.springer.com/chapter/10.1007/978-3-319-16438-0_1</w:t>
        </w:r>
      </w:hyperlink>
      <w:r w:rsidRPr="009246ED">
        <w:rPr>
          <w:rFonts w:asciiTheme="minorHAnsi" w:hAnsiTheme="minorHAnsi" w:cstheme="minorHAnsi"/>
          <w:color w:val="000000" w:themeColor="text1"/>
          <w:sz w:val="18"/>
          <w:szCs w:val="18"/>
        </w:rPr>
        <w:t xml:space="preserve"> </w:t>
      </w:r>
    </w:p>
    <w:p w:rsidR="00E5713A" w:rsidRPr="009246ED" w:rsidRDefault="007313D6" w:rsidP="009246ED">
      <w:pPr>
        <w:shd w:val="clear" w:color="auto" w:fill="F2F2F2" w:themeFill="background1" w:themeFillShade="F2"/>
        <w:jc w:val="both"/>
        <w:rPr>
          <w:rFonts w:asciiTheme="minorHAnsi" w:hAnsiTheme="minorHAnsi" w:cstheme="minorHAnsi"/>
          <w:sz w:val="18"/>
          <w:szCs w:val="18"/>
        </w:rPr>
      </w:pPr>
      <w:r w:rsidRPr="009246ED">
        <w:rPr>
          <w:rFonts w:asciiTheme="minorHAnsi" w:hAnsiTheme="minorHAnsi" w:cstheme="minorHAnsi"/>
          <w:sz w:val="18"/>
          <w:szCs w:val="18"/>
        </w:rPr>
        <w:t>Le differenze sessuali specifiche influenzano la risposta immunitaria. Ormoni, geni e il microbioma influenzano tutti la risposta immunitaria. Gli estrogeni hanno effetti diretti sulle cellule immunitarie.</w:t>
      </w:r>
      <w:r w:rsidR="00C76860" w:rsidRPr="009246ED">
        <w:rPr>
          <w:rFonts w:asciiTheme="minorHAnsi" w:hAnsiTheme="minorHAnsi" w:cstheme="minorHAnsi"/>
          <w:sz w:val="18"/>
          <w:szCs w:val="18"/>
        </w:rPr>
        <w:t xml:space="preserve"> I</w:t>
      </w:r>
      <w:r w:rsidRPr="009246ED">
        <w:rPr>
          <w:rFonts w:asciiTheme="minorHAnsi" w:hAnsiTheme="minorHAnsi" w:cstheme="minorHAnsi"/>
          <w:sz w:val="18"/>
          <w:szCs w:val="18"/>
        </w:rPr>
        <w:t>drossisteroide deidrogenasi batterica (HSD), microRNA (miRNA)</w:t>
      </w:r>
    </w:p>
    <w:p w:rsidR="009246ED" w:rsidRPr="00134D69" w:rsidRDefault="009246ED" w:rsidP="00B648DA">
      <w:pPr>
        <w:jc w:val="both"/>
        <w:rPr>
          <w:rFonts w:asciiTheme="minorHAnsi" w:hAnsiTheme="minorHAnsi" w:cstheme="minorHAnsi"/>
          <w:sz w:val="16"/>
          <w:szCs w:val="16"/>
        </w:rPr>
      </w:pPr>
    </w:p>
    <w:p w:rsidR="009246ED" w:rsidRDefault="009246ED" w:rsidP="009246ED">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276" w:right="985"/>
        <w:jc w:val="both"/>
        <w:rPr>
          <w:rFonts w:asciiTheme="minorHAnsi" w:hAnsiTheme="minorHAnsi" w:cstheme="minorHAnsi"/>
          <w:i/>
          <w:iCs/>
          <w:color w:val="000000" w:themeColor="text1"/>
          <w:sz w:val="20"/>
          <w:szCs w:val="20"/>
        </w:rPr>
      </w:pPr>
    </w:p>
    <w:p w:rsidR="00C76860" w:rsidRDefault="00E5713A" w:rsidP="009246ED">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276" w:right="985"/>
        <w:jc w:val="both"/>
        <w:rPr>
          <w:rFonts w:asciiTheme="minorHAnsi" w:hAnsiTheme="minorHAnsi" w:cstheme="minorHAnsi"/>
          <w:i/>
          <w:iCs/>
          <w:color w:val="000000" w:themeColor="text1"/>
          <w:sz w:val="20"/>
          <w:szCs w:val="20"/>
        </w:rPr>
      </w:pPr>
      <w:r w:rsidRPr="009246ED">
        <w:rPr>
          <w:rFonts w:asciiTheme="minorHAnsi" w:hAnsiTheme="minorHAnsi" w:cstheme="minorHAnsi"/>
          <w:i/>
          <w:iCs/>
          <w:color w:val="000000" w:themeColor="text1"/>
          <w:sz w:val="20"/>
          <w:szCs w:val="20"/>
        </w:rPr>
        <w:t>E’ importante ri</w:t>
      </w:r>
      <w:r w:rsidR="00C76860" w:rsidRPr="009246ED">
        <w:rPr>
          <w:rFonts w:asciiTheme="minorHAnsi" w:hAnsiTheme="minorHAnsi" w:cstheme="minorHAnsi"/>
          <w:i/>
          <w:iCs/>
          <w:color w:val="000000" w:themeColor="text1"/>
          <w:sz w:val="20"/>
          <w:szCs w:val="20"/>
        </w:rPr>
        <w:t>cordare</w:t>
      </w:r>
      <w:r w:rsidRPr="009246ED">
        <w:rPr>
          <w:rFonts w:asciiTheme="minorHAnsi" w:hAnsiTheme="minorHAnsi" w:cstheme="minorHAnsi"/>
          <w:i/>
          <w:iCs/>
          <w:color w:val="000000" w:themeColor="text1"/>
          <w:sz w:val="20"/>
          <w:szCs w:val="20"/>
        </w:rPr>
        <w:t xml:space="preserve"> che i recettori ACE2 (angiotensin-converting enzyme 2) TMPRSS2 (transmembrane serine protease 2) a cui si lega il </w:t>
      </w:r>
      <w:r w:rsidR="00134D69" w:rsidRPr="009246ED">
        <w:rPr>
          <w:rFonts w:asciiTheme="minorHAnsi" w:hAnsiTheme="minorHAnsi" w:cstheme="minorHAnsi"/>
          <w:i/>
          <w:iCs/>
          <w:color w:val="000000" w:themeColor="text1"/>
          <w:sz w:val="20"/>
          <w:szCs w:val="20"/>
        </w:rPr>
        <w:t>SARS-Cov-2</w:t>
      </w:r>
      <w:r w:rsidRPr="009246ED">
        <w:rPr>
          <w:rFonts w:asciiTheme="minorHAnsi" w:hAnsiTheme="minorHAnsi" w:cstheme="minorHAnsi"/>
          <w:i/>
          <w:iCs/>
          <w:color w:val="000000" w:themeColor="text1"/>
          <w:sz w:val="20"/>
          <w:szCs w:val="20"/>
        </w:rPr>
        <w:t xml:space="preserve"> per poter entrare nelle cellule</w:t>
      </w:r>
      <w:r w:rsidR="00134D69" w:rsidRPr="009246ED">
        <w:rPr>
          <w:rFonts w:asciiTheme="minorHAnsi" w:hAnsiTheme="minorHAnsi" w:cstheme="minorHAnsi"/>
          <w:i/>
          <w:iCs/>
          <w:color w:val="000000" w:themeColor="text1"/>
          <w:sz w:val="20"/>
          <w:szCs w:val="20"/>
        </w:rPr>
        <w:t>,</w:t>
      </w:r>
      <w:r w:rsidRPr="009246ED">
        <w:rPr>
          <w:rFonts w:asciiTheme="minorHAnsi" w:hAnsiTheme="minorHAnsi" w:cstheme="minorHAnsi"/>
          <w:i/>
          <w:iCs/>
          <w:color w:val="000000" w:themeColor="text1"/>
          <w:sz w:val="20"/>
          <w:szCs w:val="20"/>
        </w:rPr>
        <w:t xml:space="preserve"> sono entrambi distribuiti prevalentemente nei tessuti intestinali </w:t>
      </w:r>
      <w:r w:rsidRPr="009246ED">
        <w:rPr>
          <w:rStyle w:val="FootnoteReference"/>
          <w:rFonts w:asciiTheme="minorHAnsi" w:hAnsiTheme="minorHAnsi" w:cstheme="minorHAnsi"/>
          <w:i/>
          <w:iCs/>
          <w:color w:val="000000" w:themeColor="text1"/>
          <w:sz w:val="20"/>
          <w:szCs w:val="20"/>
        </w:rPr>
        <w:footnoteReference w:id="235"/>
      </w:r>
      <w:r w:rsidRPr="009246ED">
        <w:rPr>
          <w:rFonts w:asciiTheme="minorHAnsi" w:hAnsiTheme="minorHAnsi" w:cstheme="minorHAnsi"/>
          <w:i/>
          <w:iCs/>
          <w:color w:val="000000" w:themeColor="text1"/>
          <w:sz w:val="20"/>
          <w:szCs w:val="20"/>
        </w:rPr>
        <w:t xml:space="preserve"> e </w:t>
      </w:r>
      <w:r w:rsidRPr="009246ED">
        <w:rPr>
          <w:rFonts w:asciiTheme="minorHAnsi" w:hAnsiTheme="minorHAnsi" w:cstheme="minorHAnsi"/>
          <w:b/>
          <w:bCs/>
          <w:i/>
          <w:iCs/>
          <w:color w:val="000000" w:themeColor="text1"/>
          <w:sz w:val="20"/>
          <w:szCs w:val="20"/>
        </w:rPr>
        <w:t>il TMPRSS2 presenta un tropismo particolare per il tessuto prostatico</w:t>
      </w:r>
      <w:r w:rsidRPr="009246ED">
        <w:rPr>
          <w:rFonts w:asciiTheme="minorHAnsi" w:hAnsiTheme="minorHAnsi" w:cstheme="minorHAnsi"/>
          <w:i/>
          <w:iCs/>
          <w:color w:val="000000" w:themeColor="text1"/>
          <w:sz w:val="20"/>
          <w:szCs w:val="20"/>
        </w:rPr>
        <w:t xml:space="preserve">, caratteristica che potrebbe spiegare la </w:t>
      </w:r>
      <w:r w:rsidRPr="009246ED">
        <w:rPr>
          <w:rFonts w:asciiTheme="minorHAnsi" w:hAnsiTheme="minorHAnsi" w:cstheme="minorHAnsi"/>
          <w:b/>
          <w:bCs/>
          <w:i/>
          <w:iCs/>
          <w:color w:val="000000" w:themeColor="text1"/>
          <w:sz w:val="20"/>
          <w:szCs w:val="20"/>
        </w:rPr>
        <w:t>maggiore incidenza delle forme gravi di COVID-19 per il genere maschile</w:t>
      </w:r>
      <w:r w:rsidR="00134D69" w:rsidRPr="009246ED">
        <w:rPr>
          <w:rFonts w:asciiTheme="minorHAnsi" w:hAnsiTheme="minorHAnsi" w:cstheme="minorHAnsi"/>
          <w:b/>
          <w:bCs/>
          <w:i/>
          <w:iCs/>
          <w:color w:val="000000" w:themeColor="text1"/>
          <w:sz w:val="20"/>
          <w:szCs w:val="20"/>
        </w:rPr>
        <w:t>,</w:t>
      </w:r>
      <w:r w:rsidRPr="009246ED">
        <w:rPr>
          <w:rFonts w:asciiTheme="minorHAnsi" w:hAnsiTheme="minorHAnsi" w:cstheme="minorHAnsi"/>
          <w:b/>
          <w:bCs/>
          <w:i/>
          <w:iCs/>
          <w:color w:val="000000" w:themeColor="text1"/>
          <w:sz w:val="20"/>
          <w:szCs w:val="20"/>
        </w:rPr>
        <w:t xml:space="preserve"> con la regolazione da parte degli ormoni sessuali della tempesta di citochine</w:t>
      </w:r>
      <w:r w:rsidRPr="009246ED">
        <w:rPr>
          <w:rFonts w:asciiTheme="minorHAnsi" w:hAnsiTheme="minorHAnsi" w:cstheme="minorHAnsi"/>
          <w:i/>
          <w:iCs/>
          <w:color w:val="000000" w:themeColor="text1"/>
          <w:sz w:val="20"/>
          <w:szCs w:val="20"/>
        </w:rPr>
        <w:t xml:space="preserve"> </w:t>
      </w:r>
      <w:r w:rsidRPr="009246ED">
        <w:rPr>
          <w:rStyle w:val="FootnoteReference"/>
          <w:rFonts w:asciiTheme="minorHAnsi" w:hAnsiTheme="minorHAnsi" w:cstheme="minorHAnsi"/>
          <w:i/>
          <w:iCs/>
          <w:color w:val="000000" w:themeColor="text1"/>
          <w:sz w:val="20"/>
          <w:szCs w:val="20"/>
        </w:rPr>
        <w:footnoteReference w:id="236"/>
      </w:r>
      <w:r w:rsidRPr="009246ED">
        <w:rPr>
          <w:rFonts w:asciiTheme="minorHAnsi" w:hAnsiTheme="minorHAnsi" w:cstheme="minorHAnsi"/>
          <w:i/>
          <w:iCs/>
          <w:color w:val="000000" w:themeColor="text1"/>
          <w:sz w:val="20"/>
          <w:szCs w:val="20"/>
        </w:rPr>
        <w:t xml:space="preserve">. </w:t>
      </w:r>
    </w:p>
    <w:p w:rsidR="009246ED" w:rsidRPr="009246ED" w:rsidRDefault="009246ED" w:rsidP="009246ED">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276" w:right="985"/>
        <w:jc w:val="both"/>
        <w:rPr>
          <w:rFonts w:asciiTheme="minorHAnsi" w:hAnsiTheme="minorHAnsi" w:cstheme="minorHAnsi"/>
          <w:i/>
          <w:iCs/>
          <w:color w:val="000000" w:themeColor="text1"/>
          <w:sz w:val="20"/>
          <w:szCs w:val="20"/>
        </w:rPr>
      </w:pPr>
    </w:p>
    <w:p w:rsidR="00C76860" w:rsidRDefault="00E5713A" w:rsidP="00B648DA">
      <w:pPr>
        <w:jc w:val="both"/>
        <w:rPr>
          <w:rFonts w:asciiTheme="minorHAnsi" w:hAnsiTheme="minorHAnsi" w:cstheme="minorHAnsi"/>
          <w:iCs/>
          <w:color w:val="000000" w:themeColor="text1"/>
          <w:sz w:val="20"/>
          <w:szCs w:val="20"/>
        </w:rPr>
      </w:pPr>
      <w:r w:rsidRPr="006F0CC0">
        <w:rPr>
          <w:rFonts w:asciiTheme="minorHAnsi" w:hAnsiTheme="minorHAnsi" w:cstheme="minorHAnsi"/>
          <w:iCs/>
          <w:color w:val="000000" w:themeColor="text1"/>
          <w:sz w:val="20"/>
          <w:szCs w:val="20"/>
        </w:rPr>
        <w:lastRenderedPageBreak/>
        <w:t>Negli uomini è stata notata una iperstimolazione androgenica dovuta all’attivazione del recettore TMPRSS2</w:t>
      </w:r>
      <w:r w:rsidR="00C76860">
        <w:rPr>
          <w:rFonts w:asciiTheme="minorHAnsi" w:hAnsiTheme="minorHAnsi" w:cstheme="minorHAnsi"/>
          <w:iCs/>
          <w:color w:val="000000" w:themeColor="text1"/>
          <w:sz w:val="20"/>
          <w:szCs w:val="20"/>
        </w:rPr>
        <w:t>,</w:t>
      </w:r>
      <w:r w:rsidRPr="006F0CC0">
        <w:rPr>
          <w:rFonts w:asciiTheme="minorHAnsi" w:hAnsiTheme="minorHAnsi" w:cstheme="minorHAnsi"/>
          <w:iCs/>
          <w:color w:val="000000" w:themeColor="text1"/>
          <w:sz w:val="20"/>
          <w:szCs w:val="20"/>
        </w:rPr>
        <w:t xml:space="preserve"> che porta a </w:t>
      </w:r>
      <w:r w:rsidR="0030438F" w:rsidRPr="006F0CC0">
        <w:rPr>
          <w:rFonts w:asciiTheme="minorHAnsi" w:hAnsiTheme="minorHAnsi" w:cstheme="minorHAnsi"/>
          <w:iCs/>
          <w:color w:val="000000" w:themeColor="text1"/>
          <w:sz w:val="20"/>
          <w:szCs w:val="20"/>
        </w:rPr>
        <w:t>diradamento</w:t>
      </w:r>
      <w:r w:rsidRPr="006F0CC0">
        <w:rPr>
          <w:rFonts w:asciiTheme="minorHAnsi" w:hAnsiTheme="minorHAnsi" w:cstheme="minorHAnsi"/>
          <w:iCs/>
          <w:color w:val="000000" w:themeColor="text1"/>
          <w:sz w:val="20"/>
          <w:szCs w:val="20"/>
        </w:rPr>
        <w:t xml:space="preserve"> dei capelli, aumento dei peli corporei e acne. </w:t>
      </w:r>
      <w:r w:rsidRPr="006F0CC0">
        <w:rPr>
          <w:rStyle w:val="FootnoteReference"/>
          <w:rFonts w:asciiTheme="minorHAnsi" w:hAnsiTheme="minorHAnsi" w:cstheme="minorHAnsi"/>
          <w:iCs/>
          <w:color w:val="000000" w:themeColor="text1"/>
          <w:sz w:val="20"/>
          <w:szCs w:val="20"/>
        </w:rPr>
        <w:footnoteReference w:id="237"/>
      </w:r>
      <w:r w:rsidRPr="006F0CC0">
        <w:rPr>
          <w:rFonts w:asciiTheme="minorHAnsi" w:hAnsiTheme="minorHAnsi" w:cstheme="minorHAnsi"/>
          <w:iCs/>
          <w:color w:val="000000" w:themeColor="text1"/>
          <w:sz w:val="20"/>
          <w:szCs w:val="20"/>
        </w:rPr>
        <w:t xml:space="preserve"> </w:t>
      </w:r>
    </w:p>
    <w:p w:rsidR="00E5713A" w:rsidRPr="006F0CC0" w:rsidRDefault="00E5713A" w:rsidP="00B648DA">
      <w:pPr>
        <w:jc w:val="both"/>
        <w:rPr>
          <w:rFonts w:asciiTheme="minorHAnsi" w:hAnsiTheme="minorHAnsi" w:cstheme="minorHAnsi"/>
          <w:iCs/>
          <w:color w:val="000000" w:themeColor="text1"/>
          <w:sz w:val="20"/>
          <w:szCs w:val="20"/>
          <w:shd w:val="clear" w:color="auto" w:fill="FFFFFF"/>
        </w:rPr>
      </w:pPr>
      <w:r w:rsidRPr="006F0CC0">
        <w:rPr>
          <w:rFonts w:asciiTheme="minorHAnsi" w:hAnsiTheme="minorHAnsi" w:cstheme="minorHAnsi"/>
          <w:iCs/>
          <w:color w:val="000000" w:themeColor="text1"/>
          <w:sz w:val="20"/>
          <w:szCs w:val="20"/>
        </w:rPr>
        <w:t xml:space="preserve">L’infezione virale nei tessuti </w:t>
      </w:r>
      <w:r w:rsidR="00134D69" w:rsidRPr="006F0CC0">
        <w:rPr>
          <w:rFonts w:asciiTheme="minorHAnsi" w:hAnsiTheme="minorHAnsi" w:cstheme="minorHAnsi"/>
          <w:iCs/>
          <w:color w:val="000000" w:themeColor="text1"/>
          <w:sz w:val="20"/>
          <w:szCs w:val="20"/>
        </w:rPr>
        <w:t>d</w:t>
      </w:r>
      <w:r w:rsidRPr="006F0CC0">
        <w:rPr>
          <w:rFonts w:asciiTheme="minorHAnsi" w:hAnsiTheme="minorHAnsi" w:cstheme="minorHAnsi"/>
          <w:iCs/>
          <w:color w:val="000000" w:themeColor="text1"/>
          <w:sz w:val="20"/>
          <w:szCs w:val="20"/>
        </w:rPr>
        <w:t xml:space="preserve">egli organi riproduttivi maschili dovuta alla presenza del recettore ACE2 è stata in via preliminare associata ad </w:t>
      </w:r>
      <w:r w:rsidRPr="009246ED">
        <w:rPr>
          <w:rFonts w:asciiTheme="minorHAnsi" w:hAnsiTheme="minorHAnsi" w:cstheme="minorHAnsi"/>
          <w:b/>
          <w:bCs/>
          <w:iCs/>
          <w:color w:val="000000" w:themeColor="text1"/>
          <w:sz w:val="20"/>
          <w:szCs w:val="20"/>
          <w:shd w:val="clear" w:color="auto" w:fill="FBF9E1"/>
        </w:rPr>
        <w:t>ipogonadismo</w:t>
      </w:r>
      <w:r w:rsidRPr="006F0CC0">
        <w:rPr>
          <w:rFonts w:asciiTheme="minorHAnsi" w:hAnsiTheme="minorHAnsi" w:cstheme="minorHAnsi"/>
          <w:iCs/>
          <w:color w:val="000000" w:themeColor="text1"/>
          <w:sz w:val="20"/>
          <w:szCs w:val="20"/>
        </w:rPr>
        <w:t xml:space="preserve"> </w:t>
      </w:r>
      <w:r w:rsidRPr="009246ED">
        <w:rPr>
          <w:rFonts w:asciiTheme="minorHAnsi" w:hAnsiTheme="minorHAnsi" w:cstheme="minorHAnsi"/>
          <w:b/>
          <w:bCs/>
          <w:iCs/>
          <w:color w:val="000000" w:themeColor="text1"/>
          <w:sz w:val="20"/>
          <w:szCs w:val="20"/>
        </w:rPr>
        <w:t>per aumento dell’ormone luteinizzante</w:t>
      </w:r>
      <w:r w:rsidRPr="006F0CC0">
        <w:rPr>
          <w:rFonts w:asciiTheme="minorHAnsi" w:hAnsiTheme="minorHAnsi" w:cstheme="minorHAnsi"/>
          <w:iCs/>
          <w:color w:val="000000" w:themeColor="text1"/>
          <w:sz w:val="20"/>
          <w:szCs w:val="20"/>
        </w:rPr>
        <w:t xml:space="preserve">. </w:t>
      </w:r>
      <w:r w:rsidRPr="006F0CC0">
        <w:rPr>
          <w:rStyle w:val="FootnoteReference"/>
          <w:rFonts w:asciiTheme="minorHAnsi" w:hAnsiTheme="minorHAnsi" w:cstheme="minorHAnsi"/>
          <w:iCs/>
          <w:color w:val="000000" w:themeColor="text1"/>
          <w:sz w:val="20"/>
          <w:szCs w:val="20"/>
        </w:rPr>
        <w:footnoteReference w:id="238"/>
      </w:r>
    </w:p>
    <w:p w:rsidR="00E05E41" w:rsidRPr="006F0CC0" w:rsidRDefault="00E05E41" w:rsidP="00B648DA">
      <w:pPr>
        <w:jc w:val="both"/>
        <w:rPr>
          <w:rFonts w:asciiTheme="minorHAnsi" w:hAnsiTheme="minorHAnsi" w:cstheme="minorHAnsi"/>
          <w:sz w:val="20"/>
          <w:szCs w:val="20"/>
        </w:rPr>
      </w:pPr>
    </w:p>
    <w:p w:rsidR="00C76860" w:rsidRDefault="000D016C" w:rsidP="00B648DA">
      <w:pPr>
        <w:jc w:val="both"/>
        <w:rPr>
          <w:rFonts w:asciiTheme="minorHAnsi" w:hAnsiTheme="minorHAnsi" w:cstheme="minorHAnsi"/>
          <w:sz w:val="20"/>
          <w:szCs w:val="20"/>
        </w:rPr>
      </w:pPr>
      <w:r w:rsidRPr="00C76860">
        <w:rPr>
          <w:rFonts w:asciiTheme="minorHAnsi" w:hAnsiTheme="minorHAnsi" w:cstheme="minorHAnsi"/>
          <w:b/>
          <w:bCs/>
          <w:sz w:val="20"/>
          <w:szCs w:val="20"/>
        </w:rPr>
        <w:t>La sensibilità agli androgeni può essere un fattore importante per la gravità della malattia</w:t>
      </w:r>
      <w:r w:rsidRPr="006F0CC0">
        <w:rPr>
          <w:rFonts w:asciiTheme="minorHAnsi" w:hAnsiTheme="minorHAnsi" w:cstheme="minorHAnsi"/>
          <w:sz w:val="20"/>
          <w:szCs w:val="20"/>
        </w:rPr>
        <w:t xml:space="preserve">, </w:t>
      </w:r>
      <w:r w:rsidR="004C5C83" w:rsidRPr="006F0CC0">
        <w:rPr>
          <w:rFonts w:asciiTheme="minorHAnsi" w:hAnsiTheme="minorHAnsi" w:cstheme="minorHAnsi"/>
          <w:sz w:val="20"/>
          <w:szCs w:val="20"/>
        </w:rPr>
        <w:t>e</w:t>
      </w:r>
      <w:r w:rsidRPr="006F0CC0">
        <w:rPr>
          <w:rFonts w:asciiTheme="minorHAnsi" w:hAnsiTheme="minorHAnsi" w:cstheme="minorHAnsi"/>
          <w:sz w:val="20"/>
          <w:szCs w:val="20"/>
        </w:rPr>
        <w:t xml:space="preserve"> spiegherebbe anche casi gravi in ​​pazienti di sesso femminile che presentano sindrome metabolica o utilizzano metodi anticoncezionali con ormoni progestinici che si legano al recettore degli androgeni. </w:t>
      </w:r>
    </w:p>
    <w:p w:rsidR="00C76860" w:rsidRDefault="00C76860" w:rsidP="00B648DA">
      <w:pPr>
        <w:jc w:val="both"/>
        <w:rPr>
          <w:rFonts w:asciiTheme="minorHAnsi" w:hAnsiTheme="minorHAnsi" w:cstheme="minorHAnsi"/>
          <w:sz w:val="20"/>
          <w:szCs w:val="20"/>
        </w:rPr>
      </w:pPr>
    </w:p>
    <w:p w:rsidR="00C76860" w:rsidRDefault="000D016C" w:rsidP="00B648DA">
      <w:pPr>
        <w:jc w:val="both"/>
        <w:rPr>
          <w:rFonts w:asciiTheme="minorHAnsi" w:hAnsiTheme="minorHAnsi" w:cstheme="minorHAnsi"/>
          <w:sz w:val="20"/>
          <w:szCs w:val="20"/>
        </w:rPr>
      </w:pPr>
      <w:r w:rsidRPr="006F0CC0">
        <w:rPr>
          <w:rFonts w:asciiTheme="minorHAnsi" w:hAnsiTheme="minorHAnsi" w:cstheme="minorHAnsi"/>
          <w:sz w:val="20"/>
          <w:szCs w:val="20"/>
        </w:rPr>
        <w:t xml:space="preserve">Diversi studi hanno dimostrato che la sensibilità androgenica è associata con la ripetizione della </w:t>
      </w:r>
      <w:r w:rsidR="00BD4F6B" w:rsidRPr="006F0CC0">
        <w:rPr>
          <w:rFonts w:asciiTheme="minorHAnsi" w:hAnsiTheme="minorHAnsi" w:cstheme="minorHAnsi"/>
          <w:sz w:val="20"/>
          <w:szCs w:val="20"/>
        </w:rPr>
        <w:t xml:space="preserve">tripletta </w:t>
      </w:r>
      <w:r w:rsidRPr="006F0CC0">
        <w:rPr>
          <w:rFonts w:asciiTheme="minorHAnsi" w:hAnsiTheme="minorHAnsi" w:cstheme="minorHAnsi"/>
          <w:sz w:val="20"/>
          <w:szCs w:val="20"/>
        </w:rPr>
        <w:t xml:space="preserve">CAG nel primo esone del gene del recettore degli androgeni (AR). </w:t>
      </w:r>
    </w:p>
    <w:p w:rsidR="00C76860" w:rsidRDefault="00BD4F6B" w:rsidP="00B648DA">
      <w:pPr>
        <w:jc w:val="both"/>
        <w:rPr>
          <w:rFonts w:asciiTheme="minorHAnsi" w:hAnsiTheme="minorHAnsi" w:cstheme="minorHAnsi"/>
          <w:sz w:val="20"/>
          <w:szCs w:val="20"/>
        </w:rPr>
      </w:pPr>
      <w:r w:rsidRPr="006F0CC0">
        <w:rPr>
          <w:rFonts w:asciiTheme="minorHAnsi" w:hAnsiTheme="minorHAnsi" w:cstheme="minorHAnsi"/>
          <w:sz w:val="20"/>
          <w:szCs w:val="20"/>
        </w:rPr>
        <w:t>Una</w:t>
      </w:r>
      <w:r w:rsidR="000D016C" w:rsidRPr="006F0CC0">
        <w:rPr>
          <w:rFonts w:asciiTheme="minorHAnsi" w:hAnsiTheme="minorHAnsi" w:cstheme="minorHAnsi"/>
          <w:sz w:val="20"/>
          <w:szCs w:val="20"/>
        </w:rPr>
        <w:t xml:space="preserve"> </w:t>
      </w:r>
      <w:r w:rsidRPr="006F0CC0">
        <w:rPr>
          <w:rFonts w:asciiTheme="minorHAnsi" w:hAnsiTheme="minorHAnsi" w:cstheme="minorHAnsi"/>
          <w:sz w:val="20"/>
          <w:szCs w:val="20"/>
        </w:rPr>
        <w:t>ripetizione</w:t>
      </w:r>
      <w:r w:rsidR="000D016C" w:rsidRPr="006F0CC0">
        <w:rPr>
          <w:rFonts w:asciiTheme="minorHAnsi" w:hAnsiTheme="minorHAnsi" w:cstheme="minorHAnsi"/>
          <w:sz w:val="20"/>
          <w:szCs w:val="20"/>
        </w:rPr>
        <w:t xml:space="preserve"> </w:t>
      </w:r>
      <w:r w:rsidRPr="006F0CC0">
        <w:rPr>
          <w:rFonts w:asciiTheme="minorHAnsi" w:hAnsiTheme="minorHAnsi" w:cstheme="minorHAnsi"/>
          <w:sz w:val="20"/>
          <w:szCs w:val="20"/>
        </w:rPr>
        <w:t xml:space="preserve">più corta </w:t>
      </w:r>
      <w:r w:rsidR="000D016C" w:rsidRPr="006F0CC0">
        <w:rPr>
          <w:rFonts w:asciiTheme="minorHAnsi" w:hAnsiTheme="minorHAnsi" w:cstheme="minorHAnsi"/>
          <w:sz w:val="20"/>
          <w:szCs w:val="20"/>
        </w:rPr>
        <w:t xml:space="preserve">della </w:t>
      </w:r>
      <w:r w:rsidRPr="006F0CC0">
        <w:rPr>
          <w:rFonts w:asciiTheme="minorHAnsi" w:hAnsiTheme="minorHAnsi" w:cstheme="minorHAnsi"/>
          <w:sz w:val="20"/>
          <w:szCs w:val="20"/>
        </w:rPr>
        <w:t xml:space="preserve">tripletta </w:t>
      </w:r>
      <w:r w:rsidR="000D016C" w:rsidRPr="006F0CC0">
        <w:rPr>
          <w:rFonts w:asciiTheme="minorHAnsi" w:hAnsiTheme="minorHAnsi" w:cstheme="minorHAnsi"/>
          <w:sz w:val="20"/>
          <w:szCs w:val="20"/>
        </w:rPr>
        <w:t>CAG predispone gli uomini a sviluppare alopecia androgenetica, acne e pelle grassa</w:t>
      </w:r>
      <w:r w:rsidRPr="006F0CC0">
        <w:rPr>
          <w:rFonts w:asciiTheme="minorHAnsi" w:hAnsiTheme="minorHAnsi" w:cstheme="minorHAnsi"/>
          <w:sz w:val="20"/>
          <w:szCs w:val="20"/>
        </w:rPr>
        <w:t xml:space="preserve"> e questo</w:t>
      </w:r>
      <w:r w:rsidR="000D016C" w:rsidRPr="006F0CC0">
        <w:rPr>
          <w:rFonts w:asciiTheme="minorHAnsi" w:hAnsiTheme="minorHAnsi" w:cstheme="minorHAnsi"/>
          <w:sz w:val="20"/>
          <w:szCs w:val="20"/>
        </w:rPr>
        <w:t xml:space="preserve"> po</w:t>
      </w:r>
      <w:r w:rsidRPr="006F0CC0">
        <w:rPr>
          <w:rFonts w:asciiTheme="minorHAnsi" w:hAnsiTheme="minorHAnsi" w:cstheme="minorHAnsi"/>
          <w:sz w:val="20"/>
          <w:szCs w:val="20"/>
        </w:rPr>
        <w:t>trebbe</w:t>
      </w:r>
      <w:r w:rsidR="000D016C" w:rsidRPr="006F0CC0">
        <w:rPr>
          <w:rFonts w:asciiTheme="minorHAnsi" w:hAnsiTheme="minorHAnsi" w:cstheme="minorHAnsi"/>
          <w:sz w:val="20"/>
          <w:szCs w:val="20"/>
        </w:rPr>
        <w:t xml:space="preserve"> essere associat</w:t>
      </w:r>
      <w:r w:rsidRPr="006F0CC0">
        <w:rPr>
          <w:rFonts w:asciiTheme="minorHAnsi" w:hAnsiTheme="minorHAnsi" w:cstheme="minorHAnsi"/>
          <w:sz w:val="20"/>
          <w:szCs w:val="20"/>
        </w:rPr>
        <w:t xml:space="preserve">o </w:t>
      </w:r>
      <w:r w:rsidR="000D016C" w:rsidRPr="006F0CC0">
        <w:rPr>
          <w:rFonts w:asciiTheme="minorHAnsi" w:hAnsiTheme="minorHAnsi" w:cstheme="minorHAnsi"/>
          <w:sz w:val="20"/>
          <w:szCs w:val="20"/>
        </w:rPr>
        <w:t>ad un aumento della gravità e della mortalità della malattia COVID-19.</w:t>
      </w:r>
    </w:p>
    <w:p w:rsidR="00C76860" w:rsidRDefault="00C76860" w:rsidP="00B648DA">
      <w:pPr>
        <w:jc w:val="both"/>
        <w:rPr>
          <w:rFonts w:asciiTheme="minorHAnsi" w:hAnsiTheme="minorHAnsi" w:cstheme="minorHAnsi"/>
          <w:sz w:val="20"/>
          <w:szCs w:val="20"/>
        </w:rPr>
      </w:pPr>
    </w:p>
    <w:p w:rsidR="00C76860" w:rsidRDefault="000D016C" w:rsidP="00B648DA">
      <w:pPr>
        <w:jc w:val="both"/>
        <w:rPr>
          <w:rFonts w:asciiTheme="minorHAnsi" w:hAnsiTheme="minorHAnsi" w:cstheme="minorHAnsi"/>
          <w:sz w:val="20"/>
          <w:szCs w:val="20"/>
        </w:rPr>
      </w:pPr>
      <w:r w:rsidRPr="006F0CC0">
        <w:rPr>
          <w:rFonts w:asciiTheme="minorHAnsi" w:hAnsiTheme="minorHAnsi" w:cstheme="minorHAnsi"/>
          <w:sz w:val="20"/>
          <w:szCs w:val="20"/>
        </w:rPr>
        <w:t>Un'osservazione interessante a supporto</w:t>
      </w:r>
      <w:r w:rsidR="00BD4F6B" w:rsidRPr="006F0CC0">
        <w:rPr>
          <w:rFonts w:asciiTheme="minorHAnsi" w:hAnsiTheme="minorHAnsi" w:cstheme="minorHAnsi"/>
          <w:sz w:val="20"/>
          <w:szCs w:val="20"/>
        </w:rPr>
        <w:t xml:space="preserve"> di questa ipotesi </w:t>
      </w:r>
      <w:r w:rsidRPr="006F0CC0">
        <w:rPr>
          <w:rFonts w:asciiTheme="minorHAnsi" w:hAnsiTheme="minorHAnsi" w:cstheme="minorHAnsi"/>
          <w:sz w:val="20"/>
          <w:szCs w:val="20"/>
        </w:rPr>
        <w:t xml:space="preserve">è il </w:t>
      </w:r>
      <w:r w:rsidRPr="00C76860">
        <w:rPr>
          <w:rFonts w:asciiTheme="minorHAnsi" w:hAnsiTheme="minorHAnsi" w:cstheme="minorHAnsi"/>
          <w:b/>
          <w:bCs/>
          <w:sz w:val="20"/>
          <w:szCs w:val="20"/>
        </w:rPr>
        <w:t xml:space="preserve">tasso di mortalità </w:t>
      </w:r>
      <w:r w:rsidR="00525585" w:rsidRPr="00C76860">
        <w:rPr>
          <w:rFonts w:asciiTheme="minorHAnsi" w:hAnsiTheme="minorHAnsi" w:cstheme="minorHAnsi"/>
          <w:b/>
          <w:bCs/>
          <w:sz w:val="20"/>
          <w:szCs w:val="20"/>
        </w:rPr>
        <w:t xml:space="preserve">particolarmente elevato </w:t>
      </w:r>
      <w:r w:rsidRPr="00C76860">
        <w:rPr>
          <w:rFonts w:asciiTheme="minorHAnsi" w:hAnsiTheme="minorHAnsi" w:cstheme="minorHAnsi"/>
          <w:b/>
          <w:bCs/>
          <w:sz w:val="20"/>
          <w:szCs w:val="20"/>
        </w:rPr>
        <w:t>osservato nei pazienti COVID-19 afroamericani</w:t>
      </w:r>
      <w:r w:rsidR="00134D69" w:rsidRPr="006F0CC0">
        <w:rPr>
          <w:rFonts w:asciiTheme="minorHAnsi" w:hAnsiTheme="minorHAnsi" w:cstheme="minorHAnsi"/>
          <w:sz w:val="20"/>
          <w:szCs w:val="20"/>
        </w:rPr>
        <w:t xml:space="preserve">, i quali </w:t>
      </w:r>
      <w:r w:rsidRPr="006F0CC0">
        <w:rPr>
          <w:rFonts w:asciiTheme="minorHAnsi" w:hAnsiTheme="minorHAnsi" w:cstheme="minorHAnsi"/>
          <w:sz w:val="20"/>
          <w:szCs w:val="20"/>
        </w:rPr>
        <w:t>come gruppo etnico tendono a</w:t>
      </w:r>
      <w:r w:rsidR="00BD4F6B" w:rsidRPr="006F0CC0">
        <w:rPr>
          <w:rFonts w:asciiTheme="minorHAnsi" w:hAnsiTheme="minorHAnsi" w:cstheme="minorHAnsi"/>
          <w:sz w:val="20"/>
          <w:szCs w:val="20"/>
        </w:rPr>
        <w:t>d essere portatori di</w:t>
      </w:r>
      <w:r w:rsidRPr="006F0CC0">
        <w:rPr>
          <w:rFonts w:asciiTheme="minorHAnsi" w:hAnsiTheme="minorHAnsi" w:cstheme="minorHAnsi"/>
          <w:sz w:val="20"/>
          <w:szCs w:val="20"/>
        </w:rPr>
        <w:t xml:space="preserve"> una versione più </w:t>
      </w:r>
      <w:r w:rsidR="00BD4F6B" w:rsidRPr="006F0CC0">
        <w:rPr>
          <w:rFonts w:asciiTheme="minorHAnsi" w:hAnsiTheme="minorHAnsi" w:cstheme="minorHAnsi"/>
          <w:sz w:val="20"/>
          <w:szCs w:val="20"/>
        </w:rPr>
        <w:t>corta</w:t>
      </w:r>
      <w:r w:rsidRPr="006F0CC0">
        <w:rPr>
          <w:rFonts w:asciiTheme="minorHAnsi" w:hAnsiTheme="minorHAnsi" w:cstheme="minorHAnsi"/>
          <w:sz w:val="20"/>
          <w:szCs w:val="20"/>
        </w:rPr>
        <w:t xml:space="preserve"> della ripetizione CAG nel gene del recettore degli androgeni</w:t>
      </w:r>
      <w:r w:rsidR="00FC4BE9" w:rsidRPr="006F0CC0">
        <w:rPr>
          <w:rFonts w:asciiTheme="minorHAnsi" w:hAnsiTheme="minorHAnsi" w:cstheme="minorHAnsi"/>
          <w:sz w:val="20"/>
          <w:szCs w:val="20"/>
        </w:rPr>
        <w:t xml:space="preserve">. </w:t>
      </w:r>
      <w:r w:rsidR="00FC4BE9" w:rsidRPr="006F0CC0">
        <w:rPr>
          <w:rStyle w:val="FootnoteReference"/>
          <w:rFonts w:asciiTheme="minorHAnsi" w:hAnsiTheme="minorHAnsi" w:cstheme="minorHAnsi"/>
          <w:sz w:val="20"/>
          <w:szCs w:val="20"/>
        </w:rPr>
        <w:footnoteReference w:id="239"/>
      </w:r>
      <w:r w:rsidR="00FC4BE9" w:rsidRPr="006F0CC0">
        <w:rPr>
          <w:rFonts w:asciiTheme="minorHAnsi" w:hAnsiTheme="minorHAnsi" w:cstheme="minorHAnsi"/>
          <w:sz w:val="20"/>
          <w:szCs w:val="20"/>
        </w:rPr>
        <w:t xml:space="preserve"> </w:t>
      </w:r>
    </w:p>
    <w:p w:rsidR="00C76860" w:rsidRDefault="00C76860" w:rsidP="00B648DA">
      <w:pPr>
        <w:jc w:val="both"/>
        <w:rPr>
          <w:rFonts w:asciiTheme="minorHAnsi" w:hAnsiTheme="minorHAnsi" w:cstheme="minorHAnsi"/>
          <w:sz w:val="20"/>
          <w:szCs w:val="20"/>
        </w:rPr>
      </w:pPr>
    </w:p>
    <w:p w:rsidR="00E05E41" w:rsidRPr="006F0CC0" w:rsidRDefault="00FC4BE9" w:rsidP="00B648DA">
      <w:pPr>
        <w:jc w:val="both"/>
        <w:rPr>
          <w:rFonts w:asciiTheme="minorHAnsi" w:hAnsiTheme="minorHAnsi" w:cstheme="minorHAnsi"/>
          <w:color w:val="1C1E21"/>
          <w:sz w:val="20"/>
          <w:szCs w:val="20"/>
        </w:rPr>
      </w:pPr>
      <w:r w:rsidRPr="006F0CC0">
        <w:rPr>
          <w:rFonts w:asciiTheme="minorHAnsi" w:hAnsiTheme="minorHAnsi" w:cstheme="minorHAnsi"/>
          <w:sz w:val="20"/>
          <w:szCs w:val="20"/>
        </w:rPr>
        <w:t xml:space="preserve">Questa teoria supporta anche la bassa incidenza della malattia nei </w:t>
      </w:r>
      <w:r w:rsidR="00E05E41" w:rsidRPr="006F0CC0">
        <w:rPr>
          <w:rFonts w:asciiTheme="minorHAnsi" w:hAnsiTheme="minorHAnsi" w:cstheme="minorHAnsi"/>
          <w:sz w:val="20"/>
          <w:szCs w:val="20"/>
        </w:rPr>
        <w:t>maschi</w:t>
      </w:r>
      <w:r w:rsidRPr="006F0CC0">
        <w:rPr>
          <w:rFonts w:asciiTheme="minorHAnsi" w:hAnsiTheme="minorHAnsi" w:cstheme="minorHAnsi"/>
          <w:sz w:val="20"/>
          <w:szCs w:val="20"/>
        </w:rPr>
        <w:t xml:space="preserve"> fino alla pubertà, in cui il livello di testosterone è molto basso.</w:t>
      </w:r>
      <w:r w:rsidR="00E05E41" w:rsidRPr="006F0CC0">
        <w:rPr>
          <w:rFonts w:asciiTheme="minorHAnsi" w:hAnsiTheme="minorHAnsi" w:cstheme="minorHAnsi"/>
          <w:sz w:val="20"/>
          <w:szCs w:val="20"/>
        </w:rPr>
        <w:t xml:space="preserve"> </w:t>
      </w:r>
      <w:r w:rsidR="00134D69" w:rsidRPr="006F0CC0">
        <w:rPr>
          <w:rStyle w:val="FootnoteReference"/>
          <w:rFonts w:asciiTheme="minorHAnsi" w:eastAsiaTheme="majorEastAsia" w:hAnsiTheme="minorHAnsi" w:cstheme="minorHAnsi"/>
          <w:sz w:val="20"/>
          <w:szCs w:val="20"/>
        </w:rPr>
        <w:footnoteReference w:id="240"/>
      </w:r>
    </w:p>
    <w:p w:rsidR="00525585" w:rsidRPr="006F0CC0" w:rsidRDefault="00525585" w:rsidP="00B648DA">
      <w:pPr>
        <w:jc w:val="both"/>
        <w:rPr>
          <w:rFonts w:asciiTheme="minorHAnsi" w:hAnsiTheme="minorHAnsi" w:cstheme="minorHAnsi"/>
          <w:sz w:val="20"/>
          <w:szCs w:val="20"/>
        </w:rPr>
      </w:pPr>
      <w:r w:rsidRPr="006F0CC0">
        <w:rPr>
          <w:rFonts w:asciiTheme="minorHAnsi" w:hAnsiTheme="minorHAnsi" w:cstheme="minorHAnsi"/>
          <w:sz w:val="20"/>
          <w:szCs w:val="20"/>
        </w:rPr>
        <w:t xml:space="preserve">Tuttavia, va ricordato che il COVID-19 è una sindrome multifattoriale e che la mortalità è legata a numerosi fattori individuali, ambientali e sociali. </w:t>
      </w:r>
    </w:p>
    <w:p w:rsidR="008140D6" w:rsidRPr="006F0CC0" w:rsidRDefault="008140D6" w:rsidP="00B648DA">
      <w:pPr>
        <w:jc w:val="both"/>
        <w:rPr>
          <w:rFonts w:asciiTheme="minorHAnsi" w:hAnsiTheme="minorHAnsi" w:cstheme="minorHAnsi"/>
          <w:sz w:val="20"/>
          <w:szCs w:val="20"/>
        </w:rPr>
      </w:pPr>
    </w:p>
    <w:p w:rsidR="008140D6" w:rsidRPr="00E82A6A" w:rsidRDefault="008140D6" w:rsidP="00134D69">
      <w:pPr>
        <w:jc w:val="center"/>
        <w:rPr>
          <w:rFonts w:asciiTheme="minorHAnsi" w:hAnsiTheme="minorHAnsi" w:cstheme="minorHAnsi"/>
          <w:sz w:val="22"/>
          <w:szCs w:val="22"/>
        </w:rPr>
      </w:pPr>
      <w:r w:rsidRPr="00E82A6A">
        <w:rPr>
          <w:rFonts w:asciiTheme="minorHAnsi" w:hAnsiTheme="minorHAnsi" w:cstheme="minorHAnsi"/>
          <w:noProof/>
          <w:sz w:val="22"/>
          <w:szCs w:val="22"/>
        </w:rPr>
        <w:lastRenderedPageBreak/>
        <w:drawing>
          <wp:inline distT="0" distB="0" distL="0" distR="0" wp14:anchorId="3EA76E16" wp14:editId="3837232D">
            <wp:extent cx="4767943" cy="2283979"/>
            <wp:effectExtent l="0" t="0" r="0"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802272" cy="2300424"/>
                    </a:xfrm>
                    <a:prstGeom prst="rect">
                      <a:avLst/>
                    </a:prstGeom>
                  </pic:spPr>
                </pic:pic>
              </a:graphicData>
            </a:graphic>
          </wp:inline>
        </w:drawing>
      </w:r>
    </w:p>
    <w:p w:rsidR="009246ED" w:rsidRDefault="009246ED" w:rsidP="00B648DA">
      <w:pPr>
        <w:jc w:val="both"/>
        <w:rPr>
          <w:rFonts w:asciiTheme="minorHAnsi" w:hAnsiTheme="minorHAnsi" w:cstheme="minorHAnsi"/>
          <w:color w:val="000000" w:themeColor="text1"/>
          <w:sz w:val="16"/>
          <w:szCs w:val="16"/>
        </w:rPr>
      </w:pPr>
    </w:p>
    <w:p w:rsidR="00E061C7" w:rsidRPr="009246ED" w:rsidRDefault="00134D69" w:rsidP="009246ED">
      <w:pPr>
        <w:shd w:val="clear" w:color="auto" w:fill="F2F2F2" w:themeFill="background1" w:themeFillShade="F2"/>
        <w:jc w:val="both"/>
        <w:rPr>
          <w:rStyle w:val="Hyperlink"/>
          <w:rFonts w:asciiTheme="minorHAnsi" w:eastAsiaTheme="majorEastAsia" w:hAnsiTheme="minorHAnsi" w:cstheme="minorHAnsi"/>
          <w:color w:val="000000" w:themeColor="text1"/>
          <w:sz w:val="18"/>
          <w:szCs w:val="18"/>
          <w:u w:val="none"/>
        </w:rPr>
      </w:pPr>
      <w:r w:rsidRPr="009246ED">
        <w:rPr>
          <w:rFonts w:asciiTheme="minorHAnsi" w:hAnsiTheme="minorHAnsi" w:cstheme="minorHAnsi"/>
          <w:color w:val="000000" w:themeColor="text1"/>
          <w:sz w:val="18"/>
          <w:szCs w:val="18"/>
        </w:rPr>
        <w:t xml:space="preserve">Tratta da </w:t>
      </w:r>
      <w:hyperlink r:id="rId184" w:history="1">
        <w:r w:rsidR="008140D6" w:rsidRPr="009246ED">
          <w:rPr>
            <w:rStyle w:val="Hyperlink"/>
            <w:rFonts w:asciiTheme="minorHAnsi" w:eastAsiaTheme="majorEastAsia" w:hAnsiTheme="minorHAnsi" w:cstheme="minorHAnsi"/>
            <w:color w:val="000000" w:themeColor="text1"/>
            <w:sz w:val="18"/>
            <w:szCs w:val="18"/>
            <w:u w:val="none"/>
          </w:rPr>
          <w:t>https://www.researchgate.net/publication/340548509_Androgen-driven_COVID-19_pandemic_theory</w:t>
        </w:r>
      </w:hyperlink>
    </w:p>
    <w:p w:rsidR="00E5713A" w:rsidRPr="009246ED" w:rsidRDefault="000D016C" w:rsidP="009246ED">
      <w:pPr>
        <w:shd w:val="clear" w:color="auto" w:fill="F2F2F2" w:themeFill="background1" w:themeFillShade="F2"/>
        <w:jc w:val="both"/>
        <w:rPr>
          <w:rFonts w:asciiTheme="minorHAnsi" w:hAnsiTheme="minorHAnsi" w:cstheme="minorHAnsi"/>
          <w:sz w:val="18"/>
          <w:szCs w:val="18"/>
        </w:rPr>
      </w:pPr>
      <w:r w:rsidRPr="009246ED">
        <w:rPr>
          <w:rFonts w:asciiTheme="minorHAnsi" w:hAnsiTheme="minorHAnsi" w:cstheme="minorHAnsi"/>
          <w:b/>
          <w:bCs/>
          <w:sz w:val="18"/>
          <w:szCs w:val="18"/>
        </w:rPr>
        <w:t>Ruolo teorico limitante degli androgeni nell'infezione da COVID-19.</w:t>
      </w:r>
      <w:r w:rsidRPr="009246ED">
        <w:rPr>
          <w:rFonts w:asciiTheme="minorHAnsi" w:hAnsiTheme="minorHAnsi" w:cstheme="minorHAnsi"/>
          <w:sz w:val="18"/>
          <w:szCs w:val="18"/>
        </w:rPr>
        <w:t xml:space="preserve"> Le frecce rosse mostrano il percorso dell'infezione da virus SARS-CoV-2 mediata dall'attività androgenica. Il diidrotestosterone (DHT) è l'ormone androgenico più potente e richiede l’attività della 5-alfa-reduttasi intracellulare. Il testosterone è considerato il principale ormone androgenico, che attiva il recettore degli androgeni con meno affinità rispetto al DHT nelle cellule non esprimono la 5-alfa-reduttasi.</w:t>
      </w:r>
    </w:p>
    <w:p w:rsidR="00E061C7" w:rsidRDefault="0052743C" w:rsidP="00B648DA">
      <w:pPr>
        <w:pStyle w:val="Heading1"/>
        <w:jc w:val="both"/>
        <w:rPr>
          <w:rStyle w:val="Heading2Char"/>
          <w:rFonts w:asciiTheme="minorHAnsi" w:hAnsiTheme="minorHAnsi" w:cstheme="minorHAnsi"/>
          <w:b/>
          <w:bCs/>
          <w:color w:val="000000" w:themeColor="text1"/>
          <w:sz w:val="22"/>
          <w:szCs w:val="22"/>
        </w:rPr>
      </w:pPr>
      <w:r w:rsidRPr="0052743C">
        <w:rPr>
          <w:rStyle w:val="Heading2Char"/>
          <w:rFonts w:asciiTheme="minorHAnsi" w:hAnsiTheme="minorHAnsi" w:cstheme="minorHAnsi"/>
          <w:b/>
          <w:bCs/>
          <w:noProof/>
          <w:color w:val="000000" w:themeColor="text1"/>
          <w:sz w:val="22"/>
          <w:szCs w:val="22"/>
        </w:rPr>
        <w:pict>
          <v:rect id="_x0000_i1025" alt="" style="width:451.3pt;height:.05pt;mso-width-percent:0;mso-height-percent:0;mso-width-percent:0;mso-height-percent:0" o:hralign="center" o:hrstd="t" o:hr="t" fillcolor="#a0a0a0" stroked="f"/>
        </w:pict>
      </w:r>
    </w:p>
    <w:p w:rsidR="009246ED" w:rsidRDefault="009246ED" w:rsidP="006F0CC0">
      <w:pPr>
        <w:pStyle w:val="Heading1"/>
        <w:jc w:val="center"/>
        <w:rPr>
          <w:rStyle w:val="Heading2Char"/>
          <w:rFonts w:asciiTheme="minorHAnsi" w:hAnsiTheme="minorHAnsi" w:cstheme="minorHAnsi"/>
          <w:b/>
          <w:bCs/>
          <w:color w:val="000000" w:themeColor="text1"/>
          <w:sz w:val="22"/>
          <w:szCs w:val="22"/>
        </w:rPr>
      </w:pPr>
      <w:bookmarkStart w:id="80" w:name="_Toc43342409"/>
    </w:p>
    <w:p w:rsidR="00E5713A" w:rsidRPr="00E82A6A" w:rsidRDefault="00181F2D" w:rsidP="006F0CC0">
      <w:pPr>
        <w:pStyle w:val="Heading1"/>
        <w:jc w:val="center"/>
        <w:rPr>
          <w:rFonts w:asciiTheme="minorHAnsi" w:hAnsiTheme="minorHAnsi" w:cstheme="minorHAnsi"/>
          <w:b/>
          <w:color w:val="FF0000"/>
          <w:sz w:val="22"/>
          <w:szCs w:val="22"/>
        </w:rPr>
      </w:pPr>
      <w:r w:rsidRPr="00E82A6A">
        <w:rPr>
          <w:rStyle w:val="Heading2Char"/>
          <w:rFonts w:asciiTheme="minorHAnsi" w:hAnsiTheme="minorHAnsi" w:cstheme="minorHAnsi"/>
          <w:b/>
          <w:bCs/>
          <w:color w:val="000000" w:themeColor="text1"/>
          <w:sz w:val="22"/>
          <w:szCs w:val="22"/>
        </w:rPr>
        <w:t>LA SINDROME AUTOIMMUNE/INFIAMMATORIA</w:t>
      </w:r>
      <w:bookmarkEnd w:id="80"/>
    </w:p>
    <w:p w:rsidR="00E5713A" w:rsidRPr="00E82A6A" w:rsidRDefault="00E5713A" w:rsidP="00B648DA">
      <w:pPr>
        <w:jc w:val="both"/>
        <w:rPr>
          <w:rFonts w:asciiTheme="minorHAnsi" w:hAnsiTheme="minorHAnsi" w:cstheme="minorHAnsi"/>
          <w:b/>
          <w:sz w:val="22"/>
          <w:szCs w:val="22"/>
        </w:rPr>
      </w:pPr>
    </w:p>
    <w:p w:rsidR="00C76860" w:rsidRDefault="00E5713A" w:rsidP="00B648DA">
      <w:pPr>
        <w:jc w:val="both"/>
        <w:rPr>
          <w:rFonts w:asciiTheme="minorHAnsi" w:hAnsiTheme="minorHAnsi" w:cstheme="minorHAnsi"/>
          <w:sz w:val="20"/>
          <w:szCs w:val="20"/>
        </w:rPr>
      </w:pPr>
      <w:r w:rsidRPr="006F0CC0">
        <w:rPr>
          <w:rFonts w:asciiTheme="minorHAnsi" w:hAnsiTheme="minorHAnsi" w:cstheme="minorHAnsi"/>
          <w:sz w:val="20"/>
          <w:szCs w:val="20"/>
        </w:rPr>
        <w:t xml:space="preserve">Un sistema immunitario può essere considerato efficace solo quando può identificare e distruggere le cellule infettate dagli agenti patogeni, pur distinguendo tali cellule da quelle sane. In caso di rottura della tolleranza immunitaria, il sistema immunitario non riesce a discriminare tra auto-antigeni e antigeni estranei, </w:t>
      </w:r>
      <w:r w:rsidR="008D4E15" w:rsidRPr="006F0CC0">
        <w:rPr>
          <w:rFonts w:asciiTheme="minorHAnsi" w:hAnsiTheme="minorHAnsi" w:cstheme="minorHAnsi"/>
          <w:sz w:val="20"/>
          <w:szCs w:val="20"/>
        </w:rPr>
        <w:t>e si ha la</w:t>
      </w:r>
      <w:r w:rsidR="00FE6326" w:rsidRPr="006F0CC0">
        <w:rPr>
          <w:rFonts w:asciiTheme="minorHAnsi" w:hAnsiTheme="minorHAnsi" w:cstheme="minorHAnsi"/>
          <w:sz w:val="20"/>
          <w:szCs w:val="20"/>
        </w:rPr>
        <w:t xml:space="preserve"> manifestazione della</w:t>
      </w:r>
      <w:r w:rsidRPr="006F0CC0">
        <w:rPr>
          <w:rFonts w:asciiTheme="minorHAnsi" w:hAnsiTheme="minorHAnsi" w:cstheme="minorHAnsi"/>
          <w:sz w:val="20"/>
          <w:szCs w:val="20"/>
        </w:rPr>
        <w:t xml:space="preserve"> </w:t>
      </w:r>
      <w:r w:rsidRPr="009246ED">
        <w:rPr>
          <w:rFonts w:asciiTheme="minorHAnsi" w:hAnsiTheme="minorHAnsi" w:cstheme="minorHAnsi"/>
          <w:b/>
          <w:bCs/>
          <w:sz w:val="20"/>
          <w:szCs w:val="20"/>
        </w:rPr>
        <w:t>malattia autoimmune</w:t>
      </w:r>
      <w:r w:rsidRPr="009246ED">
        <w:rPr>
          <w:rFonts w:asciiTheme="minorHAnsi" w:hAnsiTheme="minorHAnsi" w:cstheme="minorHAnsi"/>
          <w:sz w:val="20"/>
          <w:szCs w:val="20"/>
        </w:rPr>
        <w:t xml:space="preserve">, cioè </w:t>
      </w:r>
      <w:r w:rsidR="00FE6326" w:rsidRPr="009246ED">
        <w:rPr>
          <w:rFonts w:asciiTheme="minorHAnsi" w:hAnsiTheme="minorHAnsi" w:cstheme="minorHAnsi"/>
          <w:sz w:val="20"/>
          <w:szCs w:val="20"/>
        </w:rPr>
        <w:t>una</w:t>
      </w:r>
      <w:r w:rsidR="00FE6326" w:rsidRPr="009246ED">
        <w:rPr>
          <w:rFonts w:asciiTheme="minorHAnsi" w:hAnsiTheme="minorHAnsi" w:cstheme="minorHAnsi"/>
          <w:b/>
          <w:bCs/>
          <w:sz w:val="20"/>
          <w:szCs w:val="20"/>
        </w:rPr>
        <w:t xml:space="preserve"> </w:t>
      </w:r>
      <w:r w:rsidRPr="009246ED">
        <w:rPr>
          <w:rFonts w:asciiTheme="minorHAnsi" w:hAnsiTheme="minorHAnsi" w:cstheme="minorHAnsi"/>
          <w:b/>
          <w:bCs/>
          <w:sz w:val="20"/>
          <w:szCs w:val="20"/>
        </w:rPr>
        <w:t>distruzione indesiderata delle cellule sane</w:t>
      </w:r>
      <w:r w:rsidRPr="006F0CC0">
        <w:rPr>
          <w:rFonts w:asciiTheme="minorHAnsi" w:hAnsiTheme="minorHAnsi" w:cstheme="minorHAnsi"/>
          <w:sz w:val="20"/>
          <w:szCs w:val="20"/>
        </w:rPr>
        <w:t xml:space="preserve">. </w:t>
      </w:r>
    </w:p>
    <w:p w:rsidR="00C76860" w:rsidRDefault="00C76860" w:rsidP="00B648DA">
      <w:pPr>
        <w:jc w:val="both"/>
        <w:rPr>
          <w:rFonts w:asciiTheme="minorHAnsi" w:hAnsiTheme="minorHAnsi" w:cstheme="minorHAnsi"/>
          <w:sz w:val="20"/>
          <w:szCs w:val="20"/>
        </w:rPr>
      </w:pPr>
    </w:p>
    <w:p w:rsidR="003A3C6F" w:rsidRDefault="003A3C6F" w:rsidP="00B648DA">
      <w:pPr>
        <w:jc w:val="both"/>
        <w:rPr>
          <w:rFonts w:asciiTheme="minorHAnsi" w:hAnsiTheme="minorHAnsi" w:cstheme="minorHAnsi"/>
          <w:sz w:val="20"/>
          <w:szCs w:val="20"/>
        </w:rPr>
      </w:pPr>
    </w:p>
    <w:p w:rsidR="003A3C6F" w:rsidRPr="003A3C6F" w:rsidRDefault="003A3C6F"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p>
    <w:p w:rsidR="00E5713A" w:rsidRPr="003A3C6F" w:rsidRDefault="00E5713A"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r w:rsidRPr="003A3C6F">
        <w:rPr>
          <w:rFonts w:asciiTheme="minorHAnsi" w:hAnsiTheme="minorHAnsi" w:cstheme="minorHAnsi"/>
          <w:i/>
          <w:iCs/>
          <w:sz w:val="20"/>
          <w:szCs w:val="20"/>
        </w:rPr>
        <w:t>In condizioni normali, gli epitopi estranei sono presentati sulle cellule presentanti l'antigene (APC) alle cellule T e ciò si traduce nella proliferazione delle cellule T e nell'induzione della loro funzione effettrice.</w:t>
      </w:r>
    </w:p>
    <w:p w:rsidR="00C76860" w:rsidRPr="003A3C6F" w:rsidRDefault="00C76860"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p>
    <w:p w:rsidR="003A3C6F" w:rsidRPr="003A3C6F" w:rsidRDefault="00E5713A"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r w:rsidRPr="003A3C6F">
        <w:rPr>
          <w:rFonts w:asciiTheme="minorHAnsi" w:hAnsiTheme="minorHAnsi" w:cstheme="minorHAnsi"/>
          <w:i/>
          <w:iCs/>
          <w:sz w:val="20"/>
          <w:szCs w:val="20"/>
        </w:rPr>
        <w:t xml:space="preserve">Mentre questo meccanismo è responsabile della corretta eliminazione dell'infezione, la </w:t>
      </w:r>
      <w:r w:rsidRPr="003A3C6F">
        <w:rPr>
          <w:rFonts w:asciiTheme="minorHAnsi" w:hAnsiTheme="minorHAnsi" w:cstheme="minorHAnsi"/>
          <w:b/>
          <w:bCs/>
          <w:i/>
          <w:iCs/>
          <w:sz w:val="20"/>
          <w:szCs w:val="20"/>
        </w:rPr>
        <w:t>cross-reattività tra gli epitopi associati ad antigeni estranei e del self possono portare a una risposta delle cellule T contro le cellule sane dell'ospite</w:t>
      </w:r>
      <w:r w:rsidRPr="003A3C6F">
        <w:rPr>
          <w:rFonts w:asciiTheme="minorHAnsi" w:hAnsiTheme="minorHAnsi" w:cstheme="minorHAnsi"/>
          <w:i/>
          <w:iCs/>
          <w:sz w:val="20"/>
          <w:szCs w:val="20"/>
        </w:rPr>
        <w:t xml:space="preserve">. </w:t>
      </w:r>
    </w:p>
    <w:p w:rsidR="003A3C6F" w:rsidRPr="003A3C6F" w:rsidRDefault="003A3C6F"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p>
    <w:p w:rsidR="00E5713A" w:rsidRPr="003A3C6F" w:rsidRDefault="00E5713A"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r w:rsidRPr="003A3C6F">
        <w:rPr>
          <w:rFonts w:asciiTheme="minorHAnsi" w:hAnsiTheme="minorHAnsi" w:cstheme="minorHAnsi"/>
          <w:i/>
          <w:iCs/>
          <w:sz w:val="20"/>
          <w:szCs w:val="20"/>
        </w:rPr>
        <w:t xml:space="preserve">Anche se è noto che </w:t>
      </w:r>
      <w:r w:rsidRPr="003A3C6F">
        <w:rPr>
          <w:rFonts w:asciiTheme="minorHAnsi" w:hAnsiTheme="minorHAnsi" w:cstheme="minorHAnsi"/>
          <w:b/>
          <w:bCs/>
          <w:i/>
          <w:iCs/>
          <w:sz w:val="20"/>
          <w:szCs w:val="20"/>
        </w:rPr>
        <w:t>la predisposizione genetica</w:t>
      </w:r>
      <w:r w:rsidRPr="003A3C6F">
        <w:rPr>
          <w:rFonts w:asciiTheme="minorHAnsi" w:hAnsiTheme="minorHAnsi" w:cstheme="minorHAnsi"/>
          <w:i/>
          <w:iCs/>
          <w:sz w:val="20"/>
          <w:szCs w:val="20"/>
        </w:rPr>
        <w:t xml:space="preserve"> svolge un ruolo molto significativo, si ritiene che alcuni </w:t>
      </w:r>
      <w:r w:rsidRPr="003A3C6F">
        <w:rPr>
          <w:rFonts w:asciiTheme="minorHAnsi" w:hAnsiTheme="minorHAnsi" w:cstheme="minorHAnsi"/>
          <w:b/>
          <w:bCs/>
          <w:i/>
          <w:iCs/>
          <w:sz w:val="20"/>
          <w:szCs w:val="20"/>
        </w:rPr>
        <w:t>trigger ambientali</w:t>
      </w:r>
      <w:r w:rsidRPr="003A3C6F">
        <w:rPr>
          <w:rFonts w:asciiTheme="minorHAnsi" w:hAnsiTheme="minorHAnsi" w:cstheme="minorHAnsi"/>
          <w:i/>
          <w:iCs/>
          <w:sz w:val="20"/>
          <w:szCs w:val="20"/>
        </w:rPr>
        <w:t xml:space="preserve"> aggiuntivi s</w:t>
      </w:r>
      <w:r w:rsidR="00FE6326" w:rsidRPr="003A3C6F">
        <w:rPr>
          <w:rFonts w:asciiTheme="minorHAnsi" w:hAnsiTheme="minorHAnsi" w:cstheme="minorHAnsi"/>
          <w:i/>
          <w:iCs/>
          <w:sz w:val="20"/>
          <w:szCs w:val="20"/>
        </w:rPr>
        <w:t>ia</w:t>
      </w:r>
      <w:r w:rsidRPr="003A3C6F">
        <w:rPr>
          <w:rFonts w:asciiTheme="minorHAnsi" w:hAnsiTheme="minorHAnsi" w:cstheme="minorHAnsi"/>
          <w:i/>
          <w:iCs/>
          <w:sz w:val="20"/>
          <w:szCs w:val="20"/>
        </w:rPr>
        <w:t xml:space="preserve">no necessari per l'insorgenza dell'autoimmunità, e questi sono di solito rappresentati dalle </w:t>
      </w:r>
      <w:r w:rsidRPr="003A3C6F">
        <w:rPr>
          <w:rFonts w:asciiTheme="minorHAnsi" w:hAnsiTheme="minorHAnsi" w:cstheme="minorHAnsi"/>
          <w:b/>
          <w:bCs/>
          <w:i/>
          <w:iCs/>
          <w:sz w:val="20"/>
          <w:szCs w:val="20"/>
        </w:rPr>
        <w:t>infezioni</w:t>
      </w:r>
      <w:r w:rsidRPr="003A3C6F">
        <w:rPr>
          <w:rFonts w:asciiTheme="minorHAnsi" w:hAnsiTheme="minorHAnsi" w:cstheme="minorHAnsi"/>
          <w:i/>
          <w:iCs/>
          <w:sz w:val="20"/>
          <w:szCs w:val="20"/>
        </w:rPr>
        <w:t xml:space="preserve">. </w:t>
      </w:r>
      <w:r w:rsidR="00E061C7" w:rsidRPr="003A3C6F">
        <w:rPr>
          <w:rStyle w:val="FootnoteReference"/>
          <w:rFonts w:asciiTheme="minorHAnsi" w:hAnsiTheme="minorHAnsi" w:cstheme="minorHAnsi"/>
          <w:i/>
          <w:iCs/>
          <w:sz w:val="20"/>
          <w:szCs w:val="20"/>
        </w:rPr>
        <w:footnoteReference w:id="241"/>
      </w:r>
    </w:p>
    <w:p w:rsidR="003A3C6F" w:rsidRPr="003A3C6F" w:rsidRDefault="003A3C6F"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567" w:right="701"/>
        <w:jc w:val="both"/>
        <w:rPr>
          <w:rFonts w:asciiTheme="minorHAnsi" w:hAnsiTheme="minorHAnsi" w:cstheme="minorHAnsi"/>
          <w:i/>
          <w:iCs/>
          <w:sz w:val="20"/>
          <w:szCs w:val="20"/>
        </w:rPr>
      </w:pPr>
    </w:p>
    <w:p w:rsidR="00C76860" w:rsidRPr="003A3C6F" w:rsidRDefault="00C76860" w:rsidP="003A3C6F">
      <w:pPr>
        <w:ind w:right="-7"/>
        <w:jc w:val="both"/>
        <w:rPr>
          <w:rFonts w:asciiTheme="minorHAnsi" w:hAnsiTheme="minorHAnsi" w:cstheme="minorHAnsi"/>
          <w:sz w:val="20"/>
          <w:szCs w:val="20"/>
        </w:rPr>
      </w:pPr>
    </w:p>
    <w:p w:rsidR="00C76860" w:rsidRPr="003A3C6F" w:rsidRDefault="00C76860" w:rsidP="003A3C6F">
      <w:pPr>
        <w:ind w:right="-7"/>
        <w:jc w:val="both"/>
        <w:rPr>
          <w:rFonts w:asciiTheme="minorHAnsi" w:hAnsiTheme="minorHAnsi" w:cstheme="minorHAnsi"/>
          <w:color w:val="000000" w:themeColor="text1"/>
          <w:sz w:val="20"/>
          <w:szCs w:val="20"/>
        </w:rPr>
      </w:pPr>
    </w:p>
    <w:p w:rsidR="00C76860" w:rsidRDefault="00C76860" w:rsidP="00C76860">
      <w:pPr>
        <w:jc w:val="both"/>
        <w:rPr>
          <w:rFonts w:asciiTheme="minorHAnsi" w:hAnsiTheme="minorHAnsi" w:cstheme="minorHAnsi"/>
          <w:color w:val="000000" w:themeColor="text1"/>
          <w:sz w:val="16"/>
          <w:szCs w:val="16"/>
        </w:rPr>
      </w:pPr>
    </w:p>
    <w:p w:rsidR="00BD21C9" w:rsidRDefault="00BD21C9" w:rsidP="00BD21C9">
      <w:pPr>
        <w:jc w:val="center"/>
        <w:rPr>
          <w:rFonts w:asciiTheme="minorHAnsi" w:hAnsiTheme="minorHAnsi" w:cstheme="minorHAnsi"/>
          <w:sz w:val="22"/>
          <w:szCs w:val="22"/>
        </w:rPr>
      </w:pPr>
      <w:r w:rsidRPr="00E82A6A">
        <w:rPr>
          <w:rFonts w:asciiTheme="minorHAnsi" w:hAnsiTheme="minorHAnsi" w:cstheme="minorHAnsi"/>
          <w:sz w:val="22"/>
          <w:szCs w:val="22"/>
        </w:rPr>
        <w:lastRenderedPageBreak/>
        <w:fldChar w:fldCharType="begin"/>
      </w:r>
      <w:r w:rsidRPr="00E82A6A">
        <w:rPr>
          <w:rFonts w:asciiTheme="minorHAnsi" w:hAnsiTheme="minorHAnsi" w:cstheme="minorHAnsi"/>
          <w:sz w:val="22"/>
          <w:szCs w:val="22"/>
        </w:rPr>
        <w:instrText xml:space="preserve"> INCLUDEPICTURE "https://www.mdpi.com/viruses/viruses-11-00762/article_deploy/html/images/viruses-11-00762-g001.png" \* MERGEFORMATINET </w:instrText>
      </w:r>
      <w:r w:rsidRPr="00E82A6A">
        <w:rPr>
          <w:rFonts w:asciiTheme="minorHAnsi" w:hAnsiTheme="minorHAnsi" w:cstheme="minorHAnsi"/>
          <w:sz w:val="22"/>
          <w:szCs w:val="22"/>
        </w:rPr>
        <w:fldChar w:fldCharType="separate"/>
      </w:r>
      <w:r w:rsidRPr="00E82A6A">
        <w:rPr>
          <w:rFonts w:asciiTheme="minorHAnsi" w:hAnsiTheme="minorHAnsi" w:cstheme="minorHAnsi"/>
          <w:noProof/>
          <w:sz w:val="22"/>
          <w:szCs w:val="22"/>
        </w:rPr>
        <w:drawing>
          <wp:inline distT="0" distB="0" distL="0" distR="0" wp14:anchorId="474A6B65" wp14:editId="0D06EABF">
            <wp:extent cx="6142740" cy="3426594"/>
            <wp:effectExtent l="0" t="0" r="4445" b="2540"/>
            <wp:docPr id="6" name="Immagine 6" descr="https://www.mdpi.com/viruses/viruses-11-00762/article_deploy/html/images/viruses-11-0076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dpi.com/viruses/viruses-11-00762/article_deploy/html/images/viruses-11-00762-g001.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248180" cy="3485411"/>
                    </a:xfrm>
                    <a:prstGeom prst="rect">
                      <a:avLst/>
                    </a:prstGeom>
                    <a:noFill/>
                    <a:ln>
                      <a:noFill/>
                    </a:ln>
                  </pic:spPr>
                </pic:pic>
              </a:graphicData>
            </a:graphic>
          </wp:inline>
        </w:drawing>
      </w:r>
      <w:r w:rsidRPr="00E82A6A">
        <w:rPr>
          <w:rFonts w:asciiTheme="minorHAnsi" w:hAnsiTheme="minorHAnsi" w:cstheme="minorHAnsi"/>
          <w:sz w:val="22"/>
          <w:szCs w:val="22"/>
        </w:rPr>
        <w:fldChar w:fldCharType="end"/>
      </w:r>
    </w:p>
    <w:p w:rsidR="003A3C6F" w:rsidRDefault="003A3C6F" w:rsidP="003A3C6F">
      <w:pPr>
        <w:jc w:val="both"/>
        <w:rPr>
          <w:rFonts w:asciiTheme="minorHAnsi" w:hAnsiTheme="minorHAnsi" w:cstheme="minorHAnsi"/>
          <w:color w:val="000000" w:themeColor="text1"/>
          <w:sz w:val="16"/>
          <w:szCs w:val="16"/>
        </w:rPr>
      </w:pPr>
    </w:p>
    <w:p w:rsidR="003A3C6F" w:rsidRPr="003A3C6F" w:rsidRDefault="003A3C6F" w:rsidP="003A3C6F">
      <w:pPr>
        <w:shd w:val="clear" w:color="auto" w:fill="F2F2F2" w:themeFill="background1" w:themeFillShade="F2"/>
        <w:jc w:val="both"/>
        <w:rPr>
          <w:rFonts w:asciiTheme="minorHAnsi" w:hAnsiTheme="minorHAnsi" w:cstheme="minorHAnsi"/>
          <w:color w:val="000000" w:themeColor="text1"/>
          <w:sz w:val="18"/>
          <w:szCs w:val="18"/>
        </w:rPr>
      </w:pPr>
      <w:r w:rsidRPr="003A3C6F">
        <w:rPr>
          <w:rFonts w:asciiTheme="minorHAnsi" w:hAnsiTheme="minorHAnsi" w:cstheme="minorHAnsi"/>
          <w:color w:val="000000" w:themeColor="text1"/>
          <w:sz w:val="18"/>
          <w:szCs w:val="18"/>
        </w:rPr>
        <w:t xml:space="preserve">Tratta da </w:t>
      </w:r>
      <w:hyperlink r:id="rId186" w:history="1">
        <w:r w:rsidRPr="003A3C6F">
          <w:rPr>
            <w:rStyle w:val="Hyperlink"/>
            <w:rFonts w:asciiTheme="minorHAnsi" w:eastAsiaTheme="majorEastAsia" w:hAnsiTheme="minorHAnsi" w:cstheme="minorHAnsi"/>
            <w:color w:val="000000" w:themeColor="text1"/>
            <w:sz w:val="18"/>
            <w:szCs w:val="18"/>
            <w:u w:val="none"/>
          </w:rPr>
          <w:t>https://www.mdpi.com/1999-4915/11/8/762/htm</w:t>
        </w:r>
      </w:hyperlink>
    </w:p>
    <w:p w:rsidR="003A3C6F" w:rsidRDefault="003A3C6F" w:rsidP="003A3C6F">
      <w:pPr>
        <w:shd w:val="clear" w:color="auto" w:fill="F2F2F2" w:themeFill="background1" w:themeFillShade="F2"/>
        <w:jc w:val="both"/>
        <w:rPr>
          <w:rFonts w:asciiTheme="minorHAnsi" w:hAnsiTheme="minorHAnsi" w:cstheme="minorHAnsi"/>
          <w:sz w:val="18"/>
          <w:szCs w:val="18"/>
        </w:rPr>
      </w:pPr>
      <w:r w:rsidRPr="003A3C6F">
        <w:rPr>
          <w:rFonts w:asciiTheme="minorHAnsi" w:hAnsiTheme="minorHAnsi" w:cstheme="minorHAnsi"/>
          <w:b/>
          <w:bCs/>
          <w:sz w:val="18"/>
          <w:szCs w:val="18"/>
        </w:rPr>
        <w:t>meccanismi di autoimmunità indotta da virus</w:t>
      </w:r>
      <w:r w:rsidRPr="003A3C6F">
        <w:rPr>
          <w:rFonts w:asciiTheme="minorHAnsi" w:hAnsiTheme="minorHAnsi" w:cstheme="minorHAnsi"/>
          <w:sz w:val="18"/>
          <w:szCs w:val="18"/>
        </w:rPr>
        <w:t xml:space="preserve">. </w:t>
      </w:r>
    </w:p>
    <w:p w:rsidR="003A3C6F" w:rsidRDefault="003A3C6F" w:rsidP="003A3C6F">
      <w:pPr>
        <w:shd w:val="clear" w:color="auto" w:fill="F2F2F2" w:themeFill="background1" w:themeFillShade="F2"/>
        <w:jc w:val="both"/>
        <w:rPr>
          <w:rFonts w:asciiTheme="minorHAnsi" w:hAnsiTheme="minorHAnsi" w:cstheme="minorHAnsi"/>
          <w:sz w:val="18"/>
          <w:szCs w:val="18"/>
        </w:rPr>
      </w:pPr>
      <w:r w:rsidRPr="003A3C6F">
        <w:rPr>
          <w:rFonts w:asciiTheme="minorHAnsi" w:hAnsiTheme="minorHAnsi" w:cstheme="minorHAnsi"/>
          <w:b/>
          <w:bCs/>
          <w:sz w:val="18"/>
          <w:szCs w:val="18"/>
        </w:rPr>
        <w:t>(A)</w:t>
      </w:r>
      <w:r w:rsidRPr="003A3C6F">
        <w:rPr>
          <w:rFonts w:asciiTheme="minorHAnsi" w:hAnsiTheme="minorHAnsi" w:cstheme="minorHAnsi"/>
          <w:sz w:val="18"/>
          <w:szCs w:val="18"/>
        </w:rPr>
        <w:t xml:space="preserve"> Modello di mimetismo molecolare: (1) I virus trasportano epitopi strutturalmente simili agli autoepitopi. (2) La presentazione di epitopi virali da parte delle cellule presentanti l'antigene (APC) attiva le cellule T autoreattive che si legano sia al self che al non-self antigene e inducono danni ai tessuti. </w:t>
      </w:r>
    </w:p>
    <w:p w:rsidR="003A3C6F" w:rsidRDefault="003A3C6F" w:rsidP="003A3C6F">
      <w:pPr>
        <w:shd w:val="clear" w:color="auto" w:fill="F2F2F2" w:themeFill="background1" w:themeFillShade="F2"/>
        <w:jc w:val="both"/>
        <w:rPr>
          <w:rFonts w:asciiTheme="minorHAnsi" w:hAnsiTheme="minorHAnsi" w:cstheme="minorHAnsi"/>
          <w:sz w:val="18"/>
          <w:szCs w:val="18"/>
        </w:rPr>
      </w:pPr>
      <w:r w:rsidRPr="003A3C6F">
        <w:rPr>
          <w:rFonts w:asciiTheme="minorHAnsi" w:hAnsiTheme="minorHAnsi" w:cstheme="minorHAnsi"/>
          <w:b/>
          <w:bCs/>
          <w:sz w:val="18"/>
          <w:szCs w:val="18"/>
        </w:rPr>
        <w:t>(B)</w:t>
      </w:r>
      <w:r w:rsidRPr="003A3C6F">
        <w:rPr>
          <w:rFonts w:asciiTheme="minorHAnsi" w:hAnsiTheme="minorHAnsi" w:cstheme="minorHAnsi"/>
          <w:sz w:val="18"/>
          <w:szCs w:val="18"/>
        </w:rPr>
        <w:t xml:space="preserve"> Modello di attivazione dello “spettatore”: (1) Le risposte immunitarie antivirali non specifiche e iper-reattive portano alla liberazione di auto-antigeni e al rilascio di citochine infiammatorie dal tessuto danneggiato. (2) L'antigene del self viene catturato e presentato dagli APC. (3) Cellule T autoreattive attivate dagli APC, portano alla distruzione dei tessuti. </w:t>
      </w:r>
    </w:p>
    <w:p w:rsidR="003A3C6F" w:rsidRPr="003A3C6F" w:rsidRDefault="003A3C6F" w:rsidP="003A3C6F">
      <w:pPr>
        <w:shd w:val="clear" w:color="auto" w:fill="F2F2F2" w:themeFill="background1" w:themeFillShade="F2"/>
        <w:jc w:val="both"/>
        <w:rPr>
          <w:rFonts w:asciiTheme="minorHAnsi" w:hAnsiTheme="minorHAnsi" w:cstheme="minorHAnsi"/>
          <w:sz w:val="18"/>
          <w:szCs w:val="18"/>
        </w:rPr>
      </w:pPr>
      <w:r w:rsidRPr="003A3C6F">
        <w:rPr>
          <w:rFonts w:asciiTheme="minorHAnsi" w:hAnsiTheme="minorHAnsi" w:cstheme="minorHAnsi"/>
          <w:b/>
          <w:bCs/>
          <w:sz w:val="18"/>
          <w:szCs w:val="18"/>
        </w:rPr>
        <w:t>(C)</w:t>
      </w:r>
      <w:r w:rsidRPr="003A3C6F">
        <w:rPr>
          <w:rFonts w:asciiTheme="minorHAnsi" w:hAnsiTheme="minorHAnsi" w:cstheme="minorHAnsi"/>
          <w:sz w:val="18"/>
          <w:szCs w:val="18"/>
        </w:rPr>
        <w:t xml:space="preserve"> Modello di diffusione dell'epitopo: (1) Infezione virale persistente. (2) Continuo danno tissutale e rilascio di nuovi antigeni. (3) Gli autoantigeni vengono rilevati e presentati dagli APC. (4) Attivazione non specifica di cellule T più autoreattive che porta all'autoimmunità.</w:t>
      </w:r>
    </w:p>
    <w:p w:rsidR="003A3C6F" w:rsidRDefault="003A3C6F" w:rsidP="003A3C6F">
      <w:pPr>
        <w:jc w:val="both"/>
        <w:rPr>
          <w:rFonts w:asciiTheme="minorHAnsi" w:hAnsiTheme="minorHAnsi" w:cstheme="minorHAnsi"/>
          <w:sz w:val="22"/>
          <w:szCs w:val="22"/>
        </w:rPr>
      </w:pPr>
    </w:p>
    <w:p w:rsidR="00E5713A" w:rsidRPr="003A3C6F" w:rsidRDefault="00E5713A" w:rsidP="003A3C6F">
      <w:pPr>
        <w:ind w:right="-7"/>
        <w:jc w:val="both"/>
        <w:rPr>
          <w:rFonts w:asciiTheme="minorHAnsi" w:hAnsiTheme="minorHAnsi" w:cstheme="minorHAnsi"/>
          <w:sz w:val="20"/>
          <w:szCs w:val="20"/>
        </w:rPr>
      </w:pPr>
      <w:r w:rsidRPr="003A3C6F">
        <w:rPr>
          <w:rFonts w:asciiTheme="minorHAnsi" w:hAnsiTheme="minorHAnsi" w:cstheme="minorHAnsi"/>
          <w:sz w:val="20"/>
          <w:szCs w:val="20"/>
        </w:rPr>
        <w:t xml:space="preserve">La </w:t>
      </w:r>
      <w:r w:rsidRPr="003A3C6F">
        <w:rPr>
          <w:rFonts w:asciiTheme="minorHAnsi" w:hAnsiTheme="minorHAnsi" w:cstheme="minorHAnsi"/>
          <w:b/>
          <w:bCs/>
          <w:sz w:val="20"/>
          <w:szCs w:val="20"/>
        </w:rPr>
        <w:t>presenza di autoanticorpi</w:t>
      </w:r>
      <w:r w:rsidRPr="003A3C6F">
        <w:rPr>
          <w:rFonts w:asciiTheme="minorHAnsi" w:hAnsiTheme="minorHAnsi" w:cstheme="minorHAnsi"/>
          <w:sz w:val="20"/>
          <w:szCs w:val="20"/>
        </w:rPr>
        <w:t xml:space="preserve"> in pazienti che hanno sviluppato il </w:t>
      </w:r>
      <w:r w:rsidR="00FE6326" w:rsidRPr="003A3C6F">
        <w:rPr>
          <w:rFonts w:asciiTheme="minorHAnsi" w:hAnsiTheme="minorHAnsi" w:cstheme="minorHAnsi"/>
          <w:sz w:val="20"/>
          <w:szCs w:val="20"/>
        </w:rPr>
        <w:t xml:space="preserve">Covid-19 causata dal mimetismo molecolare tra autoantigeni e le proteine del SARS-CoV-2 </w:t>
      </w:r>
      <w:r w:rsidRPr="003A3C6F">
        <w:rPr>
          <w:rFonts w:asciiTheme="minorHAnsi" w:hAnsiTheme="minorHAnsi" w:cstheme="minorHAnsi"/>
          <w:sz w:val="20"/>
          <w:szCs w:val="20"/>
        </w:rPr>
        <w:t xml:space="preserve">può suggerire che un </w:t>
      </w:r>
      <w:r w:rsidRPr="003A3C6F">
        <w:rPr>
          <w:rFonts w:asciiTheme="minorHAnsi" w:hAnsiTheme="minorHAnsi" w:cstheme="minorHAnsi"/>
          <w:b/>
          <w:bCs/>
          <w:sz w:val="20"/>
          <w:szCs w:val="20"/>
          <w:shd w:val="clear" w:color="auto" w:fill="FBF9E1"/>
        </w:rPr>
        <w:t>meccanismo autoimmune/infiammatorio</w:t>
      </w:r>
      <w:r w:rsidRPr="003A3C6F">
        <w:rPr>
          <w:rFonts w:asciiTheme="minorHAnsi" w:hAnsiTheme="minorHAnsi" w:cstheme="minorHAnsi"/>
          <w:sz w:val="20"/>
          <w:szCs w:val="20"/>
        </w:rPr>
        <w:t xml:space="preserve"> possa essere un ulteriore evento che determina la severità della malattia. </w:t>
      </w:r>
      <w:r w:rsidRPr="003A3C6F">
        <w:rPr>
          <w:rStyle w:val="FootnoteReference"/>
          <w:rFonts w:asciiTheme="minorHAnsi" w:hAnsiTheme="minorHAnsi" w:cstheme="minorHAnsi"/>
          <w:sz w:val="20"/>
          <w:szCs w:val="20"/>
        </w:rPr>
        <w:footnoteReference w:id="242"/>
      </w:r>
    </w:p>
    <w:p w:rsidR="00C76860" w:rsidRDefault="00BD21C9" w:rsidP="00B648DA">
      <w:pPr>
        <w:jc w:val="both"/>
        <w:rPr>
          <w:rFonts w:asciiTheme="minorHAnsi" w:hAnsiTheme="minorHAnsi" w:cstheme="minorHAnsi"/>
          <w:sz w:val="20"/>
          <w:szCs w:val="20"/>
        </w:rPr>
      </w:pPr>
      <w:r w:rsidRPr="006F0CC0">
        <w:rPr>
          <w:rFonts w:asciiTheme="minorHAnsi" w:hAnsiTheme="minorHAnsi" w:cstheme="minorHAnsi"/>
          <w:sz w:val="20"/>
          <w:szCs w:val="20"/>
        </w:rPr>
        <w:lastRenderedPageBreak/>
        <w:t xml:space="preserve">In uno studio retrospettivo sono state analizzate le caratteristiche cliniche, autoimmuni e di laboratorio di 21 pazienti che avevano avuto casi gravi e critici confermati in laboratorio di malattia coronavirus 2019 (COVID-19) dall'unità di terapia intensiva dell'ospedale centrale di Huangshi, provincia di Hubei, Cina. </w:t>
      </w:r>
      <w:r w:rsidRPr="006F0CC0">
        <w:rPr>
          <w:rStyle w:val="FootnoteReference"/>
          <w:rFonts w:asciiTheme="minorHAnsi" w:hAnsiTheme="minorHAnsi" w:cstheme="minorHAnsi"/>
          <w:sz w:val="20"/>
          <w:szCs w:val="20"/>
        </w:rPr>
        <w:footnoteReference w:id="243"/>
      </w:r>
    </w:p>
    <w:p w:rsidR="00C76860" w:rsidRDefault="00C76860" w:rsidP="00B648DA">
      <w:pPr>
        <w:jc w:val="both"/>
        <w:rPr>
          <w:rFonts w:asciiTheme="minorHAnsi" w:hAnsiTheme="minorHAnsi" w:cstheme="minorHAnsi"/>
          <w:sz w:val="20"/>
          <w:szCs w:val="20"/>
        </w:rPr>
      </w:pPr>
    </w:p>
    <w:p w:rsidR="00E5713A" w:rsidRDefault="00BD21C9" w:rsidP="00B648DA">
      <w:pPr>
        <w:jc w:val="both"/>
        <w:rPr>
          <w:rFonts w:asciiTheme="minorHAnsi" w:hAnsiTheme="minorHAnsi" w:cstheme="minorHAnsi"/>
          <w:sz w:val="20"/>
          <w:szCs w:val="20"/>
        </w:rPr>
      </w:pPr>
      <w:r w:rsidRPr="006F0CC0">
        <w:rPr>
          <w:rFonts w:asciiTheme="minorHAnsi" w:hAnsiTheme="minorHAnsi" w:cstheme="minorHAnsi"/>
          <w:sz w:val="20"/>
          <w:szCs w:val="20"/>
        </w:rPr>
        <w:t xml:space="preserve">La prevalenza dell'anticorpo anti ‒ 52 kDa SSA / Ro, dell'anticorpo anti ‒ 60 kDa SSA / Ro e dell'anticorpo antinucleare era rispettivamente del 20%, 25% e 50% e ciò conferma che </w:t>
      </w:r>
      <w:r w:rsidRPr="00C76860">
        <w:rPr>
          <w:rFonts w:asciiTheme="minorHAnsi" w:hAnsiTheme="minorHAnsi" w:cstheme="minorHAnsi"/>
          <w:b/>
          <w:bCs/>
          <w:sz w:val="20"/>
          <w:szCs w:val="20"/>
        </w:rPr>
        <w:t>esistono fenomeni autoimmuni nei soggetti COVID ‐ 19</w:t>
      </w:r>
      <w:r w:rsidRPr="006F0CC0">
        <w:rPr>
          <w:rFonts w:asciiTheme="minorHAnsi" w:hAnsiTheme="minorHAnsi" w:cstheme="minorHAnsi"/>
          <w:sz w:val="20"/>
          <w:szCs w:val="20"/>
        </w:rPr>
        <w:t xml:space="preserve"> e che i risultati attuali richiedono una strategia di prevenzione delle disfunzioni immunitarie e una terapia immunosoppressiva ottimale.</w:t>
      </w:r>
    </w:p>
    <w:p w:rsidR="00C76860" w:rsidRPr="006F0CC0" w:rsidRDefault="00C76860" w:rsidP="00B648DA">
      <w:pPr>
        <w:jc w:val="both"/>
        <w:rPr>
          <w:rFonts w:asciiTheme="minorHAnsi" w:hAnsiTheme="minorHAnsi" w:cstheme="minorHAnsi"/>
          <w:sz w:val="20"/>
          <w:szCs w:val="20"/>
        </w:rPr>
      </w:pPr>
    </w:p>
    <w:p w:rsidR="00C76860" w:rsidRDefault="006C3BCB" w:rsidP="006C3BCB">
      <w:pPr>
        <w:jc w:val="both"/>
        <w:rPr>
          <w:rFonts w:asciiTheme="minorHAnsi" w:hAnsiTheme="minorHAnsi" w:cstheme="minorHAnsi"/>
          <w:sz w:val="20"/>
          <w:szCs w:val="20"/>
        </w:rPr>
      </w:pPr>
      <w:r w:rsidRPr="006F0CC0">
        <w:rPr>
          <w:rFonts w:asciiTheme="minorHAnsi" w:hAnsiTheme="minorHAnsi" w:cstheme="minorHAnsi"/>
          <w:sz w:val="20"/>
          <w:szCs w:val="20"/>
        </w:rPr>
        <w:t>Altri ricercatori hanno testato nel siero di dieci pazienti COVID-19 anche il fattore reumatoide (RF), il peptide anticiclico contenente anticorpi anti-citrullina (anticorpo anti-CCP) e anticorpi anti-neutrofili citoplasmatici (ANCA), che sono indici di malattia reumatica immunitaria.</w:t>
      </w:r>
    </w:p>
    <w:p w:rsidR="006C3BCB" w:rsidRDefault="006C3BCB" w:rsidP="006C3BCB">
      <w:pPr>
        <w:jc w:val="both"/>
        <w:rPr>
          <w:rFonts w:asciiTheme="minorHAnsi" w:hAnsiTheme="minorHAnsi" w:cstheme="minorHAnsi"/>
          <w:sz w:val="20"/>
          <w:szCs w:val="20"/>
        </w:rPr>
      </w:pPr>
      <w:r w:rsidRPr="006F0CC0">
        <w:rPr>
          <w:rFonts w:asciiTheme="minorHAnsi" w:hAnsiTheme="minorHAnsi" w:cstheme="minorHAnsi"/>
          <w:sz w:val="20"/>
          <w:szCs w:val="20"/>
        </w:rPr>
        <w:t xml:space="preserve">I risultati hanno mostrato che l'anticorpo anti-CCP era aumentato in due pazienti, mentre RF e ANCA erano negativi in tutti i soggetti. </w:t>
      </w:r>
      <w:r w:rsidRPr="006F0CC0">
        <w:rPr>
          <w:rStyle w:val="FootnoteReference"/>
          <w:rFonts w:asciiTheme="minorHAnsi" w:hAnsiTheme="minorHAnsi" w:cstheme="minorHAnsi"/>
          <w:sz w:val="20"/>
          <w:szCs w:val="20"/>
        </w:rPr>
        <w:footnoteReference w:id="244"/>
      </w:r>
    </w:p>
    <w:p w:rsidR="00C76860" w:rsidRPr="006F0CC0" w:rsidRDefault="00C76860" w:rsidP="006C3BCB">
      <w:pPr>
        <w:jc w:val="both"/>
        <w:rPr>
          <w:rFonts w:asciiTheme="minorHAnsi" w:hAnsiTheme="minorHAnsi" w:cstheme="minorHAnsi"/>
          <w:sz w:val="20"/>
          <w:szCs w:val="20"/>
        </w:rPr>
      </w:pPr>
    </w:p>
    <w:p w:rsidR="006C3BCB" w:rsidRDefault="006C3BCB" w:rsidP="006C3BCB">
      <w:pPr>
        <w:jc w:val="both"/>
        <w:rPr>
          <w:rFonts w:asciiTheme="minorHAnsi" w:hAnsiTheme="minorHAnsi" w:cstheme="minorHAnsi"/>
          <w:sz w:val="20"/>
          <w:szCs w:val="20"/>
        </w:rPr>
      </w:pPr>
      <w:r w:rsidRPr="006F0CC0">
        <w:rPr>
          <w:rFonts w:asciiTheme="minorHAnsi" w:hAnsiTheme="minorHAnsi" w:cstheme="minorHAnsi"/>
          <w:sz w:val="20"/>
          <w:szCs w:val="20"/>
        </w:rPr>
        <w:t xml:space="preserve">Degno di nota, il gruppo di ricerca di Caso F. et al. ha </w:t>
      </w:r>
      <w:r w:rsidR="00A70A74" w:rsidRPr="006F0CC0">
        <w:rPr>
          <w:rFonts w:asciiTheme="minorHAnsi" w:hAnsiTheme="minorHAnsi" w:cstheme="minorHAnsi"/>
          <w:sz w:val="20"/>
          <w:szCs w:val="20"/>
        </w:rPr>
        <w:t>evidenziato</w:t>
      </w:r>
      <w:r w:rsidRPr="006F0CC0">
        <w:rPr>
          <w:rFonts w:asciiTheme="minorHAnsi" w:hAnsiTheme="minorHAnsi" w:cstheme="minorHAnsi"/>
          <w:sz w:val="20"/>
          <w:szCs w:val="20"/>
        </w:rPr>
        <w:t xml:space="preserve"> che </w:t>
      </w:r>
      <w:r w:rsidRPr="00C76860">
        <w:rPr>
          <w:rFonts w:asciiTheme="minorHAnsi" w:hAnsiTheme="minorHAnsi" w:cstheme="minorHAnsi"/>
          <w:b/>
          <w:bCs/>
          <w:sz w:val="20"/>
          <w:szCs w:val="20"/>
        </w:rPr>
        <w:t>gli aspetti radiologici del coinvolgimento polmonare nel COVID-19, assomigliano alla caratterizzazione della polmonite da malattie autoimmuni</w:t>
      </w:r>
      <w:r w:rsidRPr="006F0CC0">
        <w:rPr>
          <w:rFonts w:asciiTheme="minorHAnsi" w:hAnsiTheme="minorHAnsi" w:cstheme="minorHAnsi"/>
          <w:sz w:val="20"/>
          <w:szCs w:val="20"/>
        </w:rPr>
        <w:t xml:space="preserve">, come l'artrite reumatoide (AR), la sclerosi sistemica e la granulomatosi eosinofila con poliangioite </w:t>
      </w:r>
      <w:r w:rsidRPr="006F0CC0">
        <w:rPr>
          <w:rStyle w:val="FootnoteReference"/>
          <w:rFonts w:asciiTheme="minorHAnsi" w:hAnsiTheme="minorHAnsi" w:cstheme="minorHAnsi"/>
          <w:sz w:val="20"/>
          <w:szCs w:val="20"/>
        </w:rPr>
        <w:footnoteReference w:id="245"/>
      </w:r>
      <w:r w:rsidRPr="006F0CC0">
        <w:rPr>
          <w:rFonts w:asciiTheme="minorHAnsi" w:hAnsiTheme="minorHAnsi" w:cstheme="minorHAnsi"/>
          <w:sz w:val="20"/>
          <w:szCs w:val="20"/>
        </w:rPr>
        <w:t>.</w:t>
      </w:r>
    </w:p>
    <w:p w:rsidR="00C76860" w:rsidRPr="006F0CC0" w:rsidRDefault="00C76860" w:rsidP="006C3BCB">
      <w:pPr>
        <w:jc w:val="both"/>
        <w:rPr>
          <w:rFonts w:asciiTheme="minorHAnsi" w:hAnsiTheme="minorHAnsi" w:cstheme="minorHAnsi"/>
          <w:sz w:val="20"/>
          <w:szCs w:val="20"/>
        </w:rPr>
      </w:pPr>
    </w:p>
    <w:p w:rsidR="006C3BCB" w:rsidRPr="006F0CC0" w:rsidRDefault="006C3BCB" w:rsidP="006C3BCB">
      <w:pPr>
        <w:jc w:val="both"/>
        <w:rPr>
          <w:rFonts w:asciiTheme="minorHAnsi" w:hAnsiTheme="minorHAnsi" w:cstheme="minorHAnsi"/>
          <w:sz w:val="20"/>
          <w:szCs w:val="20"/>
        </w:rPr>
      </w:pPr>
      <w:r w:rsidRPr="006F0CC0">
        <w:rPr>
          <w:rFonts w:asciiTheme="minorHAnsi" w:hAnsiTheme="minorHAnsi" w:cstheme="minorHAnsi"/>
          <w:sz w:val="20"/>
          <w:szCs w:val="20"/>
        </w:rPr>
        <w:t xml:space="preserve">La similarità delle manifestazioni cliniche del CODIV-19 con le sindromi autoimmuni rilevata dai reumatologi, va a sostegno di questo meccanismo, come riportato nella tabella seguente: </w:t>
      </w:r>
      <w:r w:rsidRPr="006F0CC0">
        <w:rPr>
          <w:rStyle w:val="FootnoteReference"/>
          <w:rFonts w:asciiTheme="minorHAnsi" w:hAnsiTheme="minorHAnsi" w:cstheme="minorHAnsi"/>
          <w:sz w:val="20"/>
          <w:szCs w:val="20"/>
        </w:rPr>
        <w:footnoteReference w:id="246"/>
      </w:r>
    </w:p>
    <w:p w:rsidR="006F0CC0" w:rsidRPr="006F0CC0" w:rsidRDefault="006F0CC0" w:rsidP="006C3BCB">
      <w:pPr>
        <w:jc w:val="both"/>
        <w:rPr>
          <w:rFonts w:asciiTheme="minorHAnsi" w:hAnsiTheme="minorHAnsi" w:cstheme="minorHAnsi"/>
          <w:sz w:val="20"/>
          <w:szCs w:val="20"/>
        </w:rPr>
      </w:pPr>
    </w:p>
    <w:p w:rsidR="006C3BCB" w:rsidRPr="00E82A6A" w:rsidRDefault="006C3BCB" w:rsidP="006C3BCB">
      <w:pPr>
        <w:pStyle w:val="Default"/>
        <w:jc w:val="center"/>
        <w:rPr>
          <w:rFonts w:asciiTheme="minorHAnsi" w:hAnsiTheme="minorHAnsi" w:cstheme="minorHAnsi"/>
          <w:sz w:val="22"/>
          <w:szCs w:val="22"/>
        </w:rPr>
      </w:pPr>
      <w:r w:rsidRPr="00E82A6A">
        <w:rPr>
          <w:rFonts w:asciiTheme="minorHAnsi" w:hAnsiTheme="minorHAnsi" w:cstheme="minorHAnsi"/>
          <w:noProof/>
          <w:sz w:val="22"/>
          <w:szCs w:val="22"/>
        </w:rPr>
        <w:drawing>
          <wp:inline distT="0" distB="0" distL="0" distR="0" wp14:anchorId="0412BD20" wp14:editId="5DEE172A">
            <wp:extent cx="3810189" cy="196166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ta 2020-04-19 alle 16.22.14.png"/>
                    <pic:cNvPicPr/>
                  </pic:nvPicPr>
                  <pic:blipFill>
                    <a:blip r:embed="rId187">
                      <a:extLst>
                        <a:ext uri="{28A0092B-C50C-407E-A947-70E740481C1C}">
                          <a14:useLocalDpi xmlns:a14="http://schemas.microsoft.com/office/drawing/2010/main" val="0"/>
                        </a:ext>
                      </a:extLst>
                    </a:blip>
                    <a:stretch>
                      <a:fillRect/>
                    </a:stretch>
                  </pic:blipFill>
                  <pic:spPr>
                    <a:xfrm>
                      <a:off x="0" y="0"/>
                      <a:ext cx="3903243" cy="2009571"/>
                    </a:xfrm>
                    <a:prstGeom prst="rect">
                      <a:avLst/>
                    </a:prstGeom>
                  </pic:spPr>
                </pic:pic>
              </a:graphicData>
            </a:graphic>
          </wp:inline>
        </w:drawing>
      </w:r>
    </w:p>
    <w:p w:rsidR="006C3BCB" w:rsidRPr="003A3C6F" w:rsidRDefault="006C3BCB" w:rsidP="003A3C6F">
      <w:pPr>
        <w:shd w:val="clear" w:color="auto" w:fill="F2F2F2" w:themeFill="background1" w:themeFillShade="F2"/>
        <w:jc w:val="both"/>
        <w:rPr>
          <w:rFonts w:asciiTheme="minorHAnsi" w:hAnsiTheme="minorHAnsi" w:cstheme="minorHAnsi"/>
          <w:color w:val="000000" w:themeColor="text1"/>
          <w:sz w:val="18"/>
          <w:szCs w:val="18"/>
        </w:rPr>
      </w:pPr>
      <w:r w:rsidRPr="003A3C6F">
        <w:rPr>
          <w:rFonts w:asciiTheme="minorHAnsi" w:hAnsiTheme="minorHAnsi" w:cstheme="minorHAnsi"/>
          <w:color w:val="000000" w:themeColor="text1"/>
          <w:sz w:val="18"/>
          <w:szCs w:val="18"/>
        </w:rPr>
        <w:t xml:space="preserve">Tratta da </w:t>
      </w:r>
      <w:hyperlink r:id="rId188" w:history="1">
        <w:r w:rsidRPr="003A3C6F">
          <w:rPr>
            <w:rStyle w:val="Hyperlink"/>
            <w:rFonts w:asciiTheme="minorHAnsi" w:eastAsiaTheme="majorEastAsia" w:hAnsiTheme="minorHAnsi" w:cstheme="minorHAnsi"/>
            <w:color w:val="000000" w:themeColor="text1"/>
            <w:sz w:val="18"/>
            <w:szCs w:val="18"/>
            <w:u w:val="none"/>
          </w:rPr>
          <w:t>https://link.springer.com/content/pdf/10.1007/s10067-020-05073-9.pdf</w:t>
        </w:r>
      </w:hyperlink>
    </w:p>
    <w:p w:rsidR="00C76860" w:rsidRPr="003A3C6F" w:rsidRDefault="00C76860"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1127"/>
        <w:jc w:val="both"/>
        <w:rPr>
          <w:rFonts w:asciiTheme="minorHAnsi" w:hAnsiTheme="minorHAnsi" w:cstheme="minorHAnsi"/>
          <w:i/>
          <w:iCs/>
          <w:sz w:val="20"/>
          <w:szCs w:val="20"/>
        </w:rPr>
      </w:pPr>
    </w:p>
    <w:p w:rsidR="006C3BCB" w:rsidRPr="003A3C6F" w:rsidRDefault="00DD4FBB"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1127"/>
        <w:jc w:val="both"/>
        <w:rPr>
          <w:rFonts w:asciiTheme="minorHAnsi" w:hAnsiTheme="minorHAnsi" w:cstheme="minorHAnsi"/>
          <w:i/>
          <w:iCs/>
          <w:sz w:val="20"/>
          <w:szCs w:val="20"/>
        </w:rPr>
      </w:pPr>
      <w:r>
        <w:rPr>
          <w:rFonts w:asciiTheme="minorHAnsi" w:hAnsiTheme="minorHAnsi" w:cstheme="minorHAnsi"/>
          <w:i/>
          <w:iCs/>
          <w:sz w:val="20"/>
          <w:szCs w:val="20"/>
        </w:rPr>
        <w:t>L’</w:t>
      </w:r>
      <w:r w:rsidR="006C3BCB" w:rsidRPr="003A3C6F">
        <w:rPr>
          <w:rFonts w:asciiTheme="minorHAnsi" w:hAnsiTheme="minorHAnsi" w:cstheme="minorHAnsi"/>
          <w:i/>
          <w:iCs/>
          <w:sz w:val="20"/>
          <w:szCs w:val="20"/>
        </w:rPr>
        <w:t xml:space="preserve">'esistenza di autoanticorpi suggerisce </w:t>
      </w:r>
      <w:r w:rsidR="006C3BCB" w:rsidRPr="003A3C6F">
        <w:rPr>
          <w:rFonts w:asciiTheme="minorHAnsi" w:hAnsiTheme="minorHAnsi" w:cstheme="minorHAnsi"/>
          <w:b/>
          <w:bCs/>
          <w:i/>
          <w:iCs/>
          <w:sz w:val="20"/>
          <w:szCs w:val="20"/>
        </w:rPr>
        <w:t>un aumento del rischio di malattie autoimmuni</w:t>
      </w:r>
      <w:r w:rsidR="006C3BCB" w:rsidRPr="003A3C6F">
        <w:rPr>
          <w:rFonts w:asciiTheme="minorHAnsi" w:hAnsiTheme="minorHAnsi" w:cstheme="minorHAnsi"/>
          <w:i/>
          <w:iCs/>
          <w:sz w:val="20"/>
          <w:szCs w:val="20"/>
        </w:rPr>
        <w:t xml:space="preserve"> in alcuni pazienti con COVID-19</w:t>
      </w:r>
      <w:r w:rsidR="00A70A74" w:rsidRPr="003A3C6F">
        <w:rPr>
          <w:rFonts w:asciiTheme="minorHAnsi" w:hAnsiTheme="minorHAnsi" w:cstheme="minorHAnsi"/>
          <w:i/>
          <w:iCs/>
          <w:sz w:val="20"/>
          <w:szCs w:val="20"/>
        </w:rPr>
        <w:t xml:space="preserve"> e </w:t>
      </w:r>
      <w:r w:rsidR="00A70A74" w:rsidRPr="003A3C6F">
        <w:rPr>
          <w:rFonts w:asciiTheme="minorHAnsi" w:hAnsiTheme="minorHAnsi" w:cstheme="minorHAnsi"/>
          <w:b/>
          <w:bCs/>
          <w:i/>
          <w:iCs/>
          <w:sz w:val="20"/>
          <w:szCs w:val="20"/>
        </w:rPr>
        <w:t>sono senz’altro raccomandati ulteriori studi</w:t>
      </w:r>
      <w:r w:rsidR="00A70A74" w:rsidRPr="003A3C6F">
        <w:rPr>
          <w:rFonts w:asciiTheme="minorHAnsi" w:hAnsiTheme="minorHAnsi" w:cstheme="minorHAnsi"/>
          <w:i/>
          <w:iCs/>
          <w:sz w:val="20"/>
          <w:szCs w:val="20"/>
        </w:rPr>
        <w:t xml:space="preserve"> in gruppi più ampi di pazienti e a lungo termine per chiarire queste osservazioni</w:t>
      </w:r>
      <w:r w:rsidR="006C3BCB" w:rsidRPr="003A3C6F">
        <w:rPr>
          <w:rFonts w:asciiTheme="minorHAnsi" w:hAnsiTheme="minorHAnsi" w:cstheme="minorHAnsi"/>
          <w:i/>
          <w:iCs/>
          <w:sz w:val="20"/>
          <w:szCs w:val="20"/>
        </w:rPr>
        <w:t>.</w:t>
      </w:r>
    </w:p>
    <w:p w:rsidR="00C76860" w:rsidRPr="003A3C6F" w:rsidRDefault="00C76860"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1127"/>
        <w:jc w:val="both"/>
        <w:rPr>
          <w:rFonts w:asciiTheme="minorHAnsi" w:hAnsiTheme="minorHAnsi" w:cstheme="minorHAnsi"/>
          <w:i/>
          <w:iCs/>
          <w:sz w:val="20"/>
          <w:szCs w:val="20"/>
        </w:rPr>
      </w:pPr>
    </w:p>
    <w:p w:rsidR="00502194" w:rsidRPr="006F0CC0" w:rsidRDefault="00502194" w:rsidP="00C76860">
      <w:pPr>
        <w:ind w:left="993" w:right="1127"/>
        <w:jc w:val="both"/>
        <w:rPr>
          <w:rFonts w:asciiTheme="minorHAnsi" w:hAnsiTheme="minorHAnsi" w:cstheme="minorHAnsi"/>
          <w:sz w:val="20"/>
          <w:szCs w:val="20"/>
        </w:rPr>
      </w:pPr>
    </w:p>
    <w:p w:rsidR="00C76860" w:rsidRDefault="00C76860" w:rsidP="00B648DA">
      <w:pPr>
        <w:jc w:val="both"/>
        <w:rPr>
          <w:rFonts w:asciiTheme="minorHAnsi" w:hAnsiTheme="minorHAnsi" w:cstheme="minorHAnsi"/>
          <w:sz w:val="20"/>
          <w:szCs w:val="20"/>
        </w:rPr>
      </w:pPr>
      <w:r w:rsidRPr="006F0CC0">
        <w:rPr>
          <w:rFonts w:asciiTheme="minorHAnsi" w:hAnsiTheme="minorHAnsi" w:cstheme="minorHAnsi"/>
          <w:sz w:val="20"/>
          <w:szCs w:val="20"/>
        </w:rPr>
        <w:t>È</w:t>
      </w:r>
      <w:r w:rsidR="00E061C7" w:rsidRPr="006F0CC0">
        <w:rPr>
          <w:rFonts w:asciiTheme="minorHAnsi" w:hAnsiTheme="minorHAnsi" w:cstheme="minorHAnsi"/>
          <w:sz w:val="20"/>
          <w:szCs w:val="20"/>
        </w:rPr>
        <w:t xml:space="preserve"> </w:t>
      </w:r>
      <w:r w:rsidR="00E5713A" w:rsidRPr="006F0CC0">
        <w:rPr>
          <w:rFonts w:asciiTheme="minorHAnsi" w:hAnsiTheme="minorHAnsi" w:cstheme="minorHAnsi"/>
          <w:sz w:val="20"/>
          <w:szCs w:val="20"/>
        </w:rPr>
        <w:t xml:space="preserve">stato suggerito </w:t>
      </w:r>
      <w:r w:rsidR="00A70A74" w:rsidRPr="006F0CC0">
        <w:rPr>
          <w:rFonts w:asciiTheme="minorHAnsi" w:hAnsiTheme="minorHAnsi" w:cstheme="minorHAnsi"/>
          <w:sz w:val="20"/>
          <w:szCs w:val="20"/>
        </w:rPr>
        <w:t xml:space="preserve">inoltre </w:t>
      </w:r>
      <w:r w:rsidR="00E5713A" w:rsidRPr="006F0CC0">
        <w:rPr>
          <w:rFonts w:asciiTheme="minorHAnsi" w:hAnsiTheme="minorHAnsi" w:cstheme="minorHAnsi"/>
          <w:sz w:val="20"/>
          <w:szCs w:val="20"/>
        </w:rPr>
        <w:t xml:space="preserve">che il </w:t>
      </w:r>
      <w:r w:rsidR="00E5713A" w:rsidRPr="00C76860">
        <w:rPr>
          <w:rFonts w:asciiTheme="minorHAnsi" w:hAnsiTheme="minorHAnsi" w:cstheme="minorHAnsi"/>
          <w:b/>
          <w:bCs/>
          <w:sz w:val="20"/>
          <w:szCs w:val="20"/>
        </w:rPr>
        <w:t xml:space="preserve">mimetismo molecolare tra </w:t>
      </w:r>
      <w:r w:rsidR="0071435C" w:rsidRPr="00C76860">
        <w:rPr>
          <w:rFonts w:asciiTheme="minorHAnsi" w:hAnsiTheme="minorHAnsi" w:cstheme="minorHAnsi"/>
          <w:b/>
          <w:bCs/>
          <w:sz w:val="20"/>
          <w:szCs w:val="20"/>
        </w:rPr>
        <w:t>il</w:t>
      </w:r>
      <w:r w:rsidR="00E5713A" w:rsidRPr="00C76860">
        <w:rPr>
          <w:rFonts w:asciiTheme="minorHAnsi" w:hAnsiTheme="minorHAnsi" w:cstheme="minorHAnsi"/>
          <w:b/>
          <w:bCs/>
          <w:sz w:val="20"/>
          <w:szCs w:val="20"/>
        </w:rPr>
        <w:t xml:space="preserve"> coronavirus umano (HCV) 229E e la proteina basica della mielina</w:t>
      </w:r>
      <w:r w:rsidR="00E5713A" w:rsidRPr="006F0CC0">
        <w:rPr>
          <w:rFonts w:asciiTheme="minorHAnsi" w:hAnsiTheme="minorHAnsi" w:cstheme="minorHAnsi"/>
          <w:sz w:val="20"/>
          <w:szCs w:val="20"/>
        </w:rPr>
        <w:t xml:space="preserve"> del sistema nervoso centrale potrebbe contribuire alla </w:t>
      </w:r>
      <w:r w:rsidR="00E5713A" w:rsidRPr="00C76860">
        <w:rPr>
          <w:rFonts w:asciiTheme="minorHAnsi" w:hAnsiTheme="minorHAnsi" w:cstheme="minorHAnsi"/>
          <w:b/>
          <w:bCs/>
          <w:sz w:val="20"/>
          <w:szCs w:val="20"/>
        </w:rPr>
        <w:t>patogenesi della sclerosi multipla</w:t>
      </w:r>
      <w:r w:rsidR="00A70A74" w:rsidRPr="006F0CC0">
        <w:rPr>
          <w:rFonts w:asciiTheme="minorHAnsi" w:hAnsiTheme="minorHAnsi" w:cstheme="minorHAnsi"/>
          <w:sz w:val="20"/>
          <w:szCs w:val="20"/>
        </w:rPr>
        <w:t>, in quando sono state isolate c</w:t>
      </w:r>
      <w:r w:rsidR="00E5713A" w:rsidRPr="006F0CC0">
        <w:rPr>
          <w:rFonts w:asciiTheme="minorHAnsi" w:hAnsiTheme="minorHAnsi" w:cstheme="minorHAnsi"/>
          <w:sz w:val="20"/>
          <w:szCs w:val="20"/>
        </w:rPr>
        <w:t xml:space="preserve">ellule T autoreattive specifiche per i componenti della mielina </w:t>
      </w:r>
      <w:r w:rsidR="00A70A74" w:rsidRPr="006F0CC0">
        <w:rPr>
          <w:rFonts w:asciiTheme="minorHAnsi" w:hAnsiTheme="minorHAnsi" w:cstheme="minorHAnsi"/>
          <w:sz w:val="20"/>
          <w:szCs w:val="20"/>
        </w:rPr>
        <w:t xml:space="preserve">in grado di </w:t>
      </w:r>
      <w:r w:rsidR="00E5713A" w:rsidRPr="006F0CC0">
        <w:rPr>
          <w:rFonts w:asciiTheme="minorHAnsi" w:hAnsiTheme="minorHAnsi" w:cstheme="minorHAnsi"/>
          <w:sz w:val="20"/>
          <w:szCs w:val="20"/>
        </w:rPr>
        <w:t>cross-rea</w:t>
      </w:r>
      <w:r w:rsidR="00A70A74" w:rsidRPr="006F0CC0">
        <w:rPr>
          <w:rFonts w:asciiTheme="minorHAnsi" w:hAnsiTheme="minorHAnsi" w:cstheme="minorHAnsi"/>
          <w:sz w:val="20"/>
          <w:szCs w:val="20"/>
        </w:rPr>
        <w:t>gire</w:t>
      </w:r>
      <w:r w:rsidR="00E5713A" w:rsidRPr="006F0CC0">
        <w:rPr>
          <w:rFonts w:asciiTheme="minorHAnsi" w:hAnsiTheme="minorHAnsi" w:cstheme="minorHAnsi"/>
          <w:sz w:val="20"/>
          <w:szCs w:val="20"/>
        </w:rPr>
        <w:t xml:space="preserve"> con HCV 229E e </w:t>
      </w:r>
      <w:r w:rsidR="00A70A74" w:rsidRPr="006F0CC0">
        <w:rPr>
          <w:rFonts w:asciiTheme="minorHAnsi" w:hAnsiTheme="minorHAnsi" w:cstheme="minorHAnsi"/>
          <w:sz w:val="20"/>
          <w:szCs w:val="20"/>
        </w:rPr>
        <w:t xml:space="preserve">sono state riscontrate </w:t>
      </w:r>
      <w:r w:rsidR="00E5713A" w:rsidRPr="006F0CC0">
        <w:rPr>
          <w:rFonts w:asciiTheme="minorHAnsi" w:hAnsiTheme="minorHAnsi" w:cstheme="minorHAnsi"/>
          <w:sz w:val="20"/>
          <w:szCs w:val="20"/>
        </w:rPr>
        <w:t xml:space="preserve">particelle </w:t>
      </w:r>
      <w:r w:rsidR="00A70A74" w:rsidRPr="006F0CC0">
        <w:rPr>
          <w:rFonts w:asciiTheme="minorHAnsi" w:hAnsiTheme="minorHAnsi" w:cstheme="minorHAnsi"/>
          <w:sz w:val="20"/>
          <w:szCs w:val="20"/>
        </w:rPr>
        <w:t>del</w:t>
      </w:r>
      <w:r w:rsidR="00E5713A" w:rsidRPr="006F0CC0">
        <w:rPr>
          <w:rFonts w:asciiTheme="minorHAnsi" w:hAnsiTheme="minorHAnsi" w:cstheme="minorHAnsi"/>
          <w:sz w:val="20"/>
          <w:szCs w:val="20"/>
        </w:rPr>
        <w:t xml:space="preserve"> coronavirus </w:t>
      </w:r>
      <w:r w:rsidR="00A70A74" w:rsidRPr="006F0CC0">
        <w:rPr>
          <w:rFonts w:asciiTheme="minorHAnsi" w:hAnsiTheme="minorHAnsi" w:cstheme="minorHAnsi"/>
          <w:sz w:val="20"/>
          <w:szCs w:val="20"/>
        </w:rPr>
        <w:t>in</w:t>
      </w:r>
      <w:r w:rsidR="00E5713A" w:rsidRPr="006F0CC0">
        <w:rPr>
          <w:rFonts w:asciiTheme="minorHAnsi" w:hAnsiTheme="minorHAnsi" w:cstheme="minorHAnsi"/>
          <w:sz w:val="20"/>
          <w:szCs w:val="20"/>
        </w:rPr>
        <w:t xml:space="preserve"> pazienti con sclerosi multipla</w:t>
      </w:r>
      <w:r w:rsidR="00A70A74" w:rsidRPr="006F0CC0">
        <w:rPr>
          <w:rFonts w:asciiTheme="minorHAnsi" w:hAnsiTheme="minorHAnsi" w:cstheme="minorHAnsi"/>
          <w:sz w:val="20"/>
          <w:szCs w:val="20"/>
        </w:rPr>
        <w:t>.</w:t>
      </w:r>
    </w:p>
    <w:p w:rsidR="00C76860" w:rsidRDefault="00C76860" w:rsidP="00B648DA">
      <w:pPr>
        <w:jc w:val="both"/>
        <w:rPr>
          <w:rFonts w:asciiTheme="minorHAnsi" w:hAnsiTheme="minorHAnsi" w:cstheme="minorHAnsi"/>
          <w:sz w:val="20"/>
          <w:szCs w:val="20"/>
        </w:rPr>
      </w:pPr>
    </w:p>
    <w:p w:rsidR="00E5713A" w:rsidRPr="006F0CC0" w:rsidRDefault="00A70A74" w:rsidP="00B648DA">
      <w:pPr>
        <w:jc w:val="both"/>
        <w:rPr>
          <w:rFonts w:asciiTheme="minorHAnsi" w:hAnsiTheme="minorHAnsi" w:cstheme="minorHAnsi"/>
          <w:sz w:val="20"/>
          <w:szCs w:val="20"/>
        </w:rPr>
      </w:pPr>
      <w:r w:rsidRPr="006F0CC0">
        <w:rPr>
          <w:rFonts w:asciiTheme="minorHAnsi" w:hAnsiTheme="minorHAnsi" w:cstheme="minorHAnsi"/>
          <w:sz w:val="20"/>
          <w:szCs w:val="20"/>
        </w:rPr>
        <w:t xml:space="preserve">Poiché </w:t>
      </w:r>
      <w:r w:rsidR="00E5713A" w:rsidRPr="006F0CC0">
        <w:rPr>
          <w:rFonts w:asciiTheme="minorHAnsi" w:hAnsiTheme="minorHAnsi" w:cstheme="minorHAnsi"/>
          <w:sz w:val="20"/>
          <w:szCs w:val="20"/>
        </w:rPr>
        <w:t xml:space="preserve">anche il virus SARS-Cov-2 (e il vaccino) </w:t>
      </w:r>
      <w:r w:rsidR="006C3BCB" w:rsidRPr="006F0CC0">
        <w:rPr>
          <w:rFonts w:asciiTheme="minorHAnsi" w:hAnsiTheme="minorHAnsi" w:cstheme="minorHAnsi"/>
          <w:sz w:val="20"/>
          <w:szCs w:val="20"/>
        </w:rPr>
        <w:t>present</w:t>
      </w:r>
      <w:r w:rsidRPr="006F0CC0">
        <w:rPr>
          <w:rFonts w:asciiTheme="minorHAnsi" w:hAnsiTheme="minorHAnsi" w:cstheme="minorHAnsi"/>
          <w:sz w:val="20"/>
          <w:szCs w:val="20"/>
        </w:rPr>
        <w:t>a</w:t>
      </w:r>
      <w:r w:rsidR="006C3BCB" w:rsidRPr="006F0CC0">
        <w:rPr>
          <w:rFonts w:asciiTheme="minorHAnsi" w:hAnsiTheme="minorHAnsi" w:cstheme="minorHAnsi"/>
          <w:sz w:val="20"/>
          <w:szCs w:val="20"/>
        </w:rPr>
        <w:t xml:space="preserve"> </w:t>
      </w:r>
      <w:r w:rsidR="00E5713A" w:rsidRPr="006F0CC0">
        <w:rPr>
          <w:rFonts w:asciiTheme="minorHAnsi" w:hAnsiTheme="minorHAnsi" w:cstheme="minorHAnsi"/>
          <w:sz w:val="20"/>
          <w:szCs w:val="20"/>
        </w:rPr>
        <w:t>tale mimetismo</w:t>
      </w:r>
      <w:r w:rsidRPr="006F0CC0">
        <w:rPr>
          <w:rFonts w:asciiTheme="minorHAnsi" w:hAnsiTheme="minorHAnsi" w:cstheme="minorHAnsi"/>
          <w:sz w:val="20"/>
          <w:szCs w:val="20"/>
        </w:rPr>
        <w:t xml:space="preserve">, per l’alta omologia di sequenza con HCV 229E, è importante valutarne le conseguenze sia in seguito all’infezione che alla vaccinazione quale potenziale reazione avversa. </w:t>
      </w:r>
      <w:r w:rsidR="00E5713A" w:rsidRPr="006F0CC0">
        <w:rPr>
          <w:rStyle w:val="FootnoteReference"/>
          <w:rFonts w:asciiTheme="minorHAnsi" w:hAnsiTheme="minorHAnsi" w:cstheme="minorHAnsi"/>
          <w:sz w:val="20"/>
          <w:szCs w:val="20"/>
        </w:rPr>
        <w:footnoteReference w:id="247"/>
      </w:r>
    </w:p>
    <w:p w:rsidR="00FE6326" w:rsidRPr="006F0CC0" w:rsidRDefault="00FE6326" w:rsidP="00B648DA">
      <w:pPr>
        <w:shd w:val="clear" w:color="auto" w:fill="FFFFFF"/>
        <w:jc w:val="both"/>
        <w:textAlignment w:val="top"/>
        <w:rPr>
          <w:rFonts w:asciiTheme="minorHAnsi" w:hAnsiTheme="minorHAnsi" w:cstheme="minorHAnsi"/>
          <w:color w:val="000000" w:themeColor="text1"/>
          <w:sz w:val="20"/>
          <w:szCs w:val="20"/>
        </w:rPr>
      </w:pPr>
    </w:p>
    <w:p w:rsidR="00C76860" w:rsidRDefault="00FE6326" w:rsidP="00B648DA">
      <w:pPr>
        <w:shd w:val="clear" w:color="auto" w:fill="FFFFFF"/>
        <w:jc w:val="both"/>
        <w:textAlignment w:val="top"/>
        <w:rPr>
          <w:rFonts w:asciiTheme="minorHAnsi" w:hAnsiTheme="minorHAnsi" w:cstheme="minorHAnsi"/>
          <w:color w:val="000000" w:themeColor="text1"/>
          <w:sz w:val="20"/>
          <w:szCs w:val="20"/>
        </w:rPr>
      </w:pPr>
      <w:r w:rsidRPr="006F0CC0">
        <w:rPr>
          <w:rFonts w:asciiTheme="minorHAnsi" w:hAnsiTheme="minorHAnsi" w:cstheme="minorHAnsi"/>
          <w:color w:val="000000" w:themeColor="text1"/>
          <w:sz w:val="20"/>
          <w:szCs w:val="20"/>
        </w:rPr>
        <w:t>In</w:t>
      </w:r>
      <w:r w:rsidR="00B802AF" w:rsidRPr="006F0CC0">
        <w:rPr>
          <w:rFonts w:asciiTheme="minorHAnsi" w:hAnsiTheme="minorHAnsi" w:cstheme="minorHAnsi"/>
          <w:color w:val="000000" w:themeColor="text1"/>
          <w:sz w:val="20"/>
          <w:szCs w:val="20"/>
        </w:rPr>
        <w:t xml:space="preserve"> un recente studio  la prof.ssa Kanduc e il prof. Shoenfeld hanno </w:t>
      </w:r>
      <w:r w:rsidR="00553BD0" w:rsidRPr="006F0CC0">
        <w:rPr>
          <w:rFonts w:asciiTheme="minorHAnsi" w:hAnsiTheme="minorHAnsi" w:cstheme="minorHAnsi"/>
          <w:color w:val="000000" w:themeColor="text1"/>
          <w:sz w:val="20"/>
          <w:szCs w:val="20"/>
        </w:rPr>
        <w:t>cercato di rispondere,</w:t>
      </w:r>
      <w:r w:rsidR="00B802AF" w:rsidRPr="006F0CC0">
        <w:rPr>
          <w:rFonts w:asciiTheme="minorHAnsi" w:hAnsiTheme="minorHAnsi" w:cstheme="minorHAnsi"/>
          <w:color w:val="000000" w:themeColor="text1"/>
          <w:sz w:val="20"/>
          <w:szCs w:val="20"/>
        </w:rPr>
        <w:t xml:space="preserve"> </w:t>
      </w:r>
      <w:r w:rsidR="00553BD0" w:rsidRPr="006F0CC0">
        <w:rPr>
          <w:rFonts w:asciiTheme="minorHAnsi" w:hAnsiTheme="minorHAnsi" w:cstheme="minorHAnsi"/>
          <w:color w:val="000000" w:themeColor="text1"/>
          <w:sz w:val="20"/>
          <w:szCs w:val="20"/>
        </w:rPr>
        <w:t>mediante uno studio bioinformatico di proteomica, all</w:t>
      </w:r>
      <w:r w:rsidR="005F0474" w:rsidRPr="006F0CC0">
        <w:rPr>
          <w:rFonts w:asciiTheme="minorHAnsi" w:hAnsiTheme="minorHAnsi" w:cstheme="minorHAnsi"/>
          <w:color w:val="000000" w:themeColor="text1"/>
          <w:sz w:val="20"/>
          <w:szCs w:val="20"/>
        </w:rPr>
        <w:t>a questione</w:t>
      </w:r>
      <w:r w:rsidR="00B802AF" w:rsidRPr="006F0CC0">
        <w:rPr>
          <w:rFonts w:asciiTheme="minorHAnsi" w:hAnsiTheme="minorHAnsi" w:cstheme="minorHAnsi"/>
          <w:color w:val="000000" w:themeColor="text1"/>
          <w:sz w:val="20"/>
          <w:szCs w:val="20"/>
        </w:rPr>
        <w:t xml:space="preserve"> del perché il SARS-CoV-2 attacca </w:t>
      </w:r>
      <w:r w:rsidR="005F0474" w:rsidRPr="006F0CC0">
        <w:rPr>
          <w:rFonts w:asciiTheme="minorHAnsi" w:hAnsiTheme="minorHAnsi" w:cstheme="minorHAnsi"/>
          <w:color w:val="000000" w:themeColor="text1"/>
          <w:sz w:val="20"/>
          <w:szCs w:val="20"/>
        </w:rPr>
        <w:t>in maniera così aggressiva l’apparato</w:t>
      </w:r>
      <w:r w:rsidR="00B802AF" w:rsidRPr="006F0CC0">
        <w:rPr>
          <w:rFonts w:asciiTheme="minorHAnsi" w:hAnsiTheme="minorHAnsi" w:cstheme="minorHAnsi"/>
          <w:color w:val="000000" w:themeColor="text1"/>
          <w:sz w:val="20"/>
          <w:szCs w:val="20"/>
        </w:rPr>
        <w:t xml:space="preserve"> respiratorio</w:t>
      </w:r>
      <w:r w:rsidR="00553BD0" w:rsidRPr="006F0CC0">
        <w:rPr>
          <w:rFonts w:asciiTheme="minorHAnsi" w:hAnsiTheme="minorHAnsi" w:cstheme="minorHAnsi"/>
          <w:color w:val="000000" w:themeColor="text1"/>
          <w:sz w:val="20"/>
          <w:szCs w:val="20"/>
        </w:rPr>
        <w:t xml:space="preserve">. </w:t>
      </w:r>
    </w:p>
    <w:p w:rsidR="00D05861" w:rsidRDefault="00D05861" w:rsidP="00B648DA">
      <w:pPr>
        <w:shd w:val="clear" w:color="auto" w:fill="FFFFFF"/>
        <w:jc w:val="both"/>
        <w:textAlignment w:val="top"/>
        <w:rPr>
          <w:rFonts w:asciiTheme="minorHAnsi" w:hAnsiTheme="minorHAnsi" w:cstheme="minorHAnsi"/>
          <w:color w:val="000000" w:themeColor="text1"/>
          <w:sz w:val="20"/>
          <w:szCs w:val="20"/>
        </w:rPr>
      </w:pPr>
    </w:p>
    <w:p w:rsidR="00C76860" w:rsidRDefault="00553BD0" w:rsidP="00B648DA">
      <w:pPr>
        <w:shd w:val="clear" w:color="auto" w:fill="FFFFFF"/>
        <w:jc w:val="both"/>
        <w:textAlignment w:val="top"/>
        <w:rPr>
          <w:rFonts w:asciiTheme="minorHAnsi" w:hAnsiTheme="minorHAnsi" w:cstheme="minorHAnsi"/>
          <w:color w:val="000000" w:themeColor="text1"/>
          <w:sz w:val="20"/>
          <w:szCs w:val="20"/>
        </w:rPr>
      </w:pPr>
      <w:r w:rsidRPr="006F0CC0">
        <w:rPr>
          <w:rFonts w:asciiTheme="minorHAnsi" w:hAnsiTheme="minorHAnsi" w:cstheme="minorHAnsi"/>
          <w:color w:val="000000" w:themeColor="text1"/>
          <w:sz w:val="20"/>
          <w:szCs w:val="20"/>
        </w:rPr>
        <w:t>I loro risultati riportano</w:t>
      </w:r>
      <w:r w:rsidR="00B802AF" w:rsidRPr="006F0CC0">
        <w:rPr>
          <w:rFonts w:asciiTheme="minorHAnsi" w:hAnsiTheme="minorHAnsi" w:cstheme="minorHAnsi"/>
          <w:color w:val="000000" w:themeColor="text1"/>
          <w:sz w:val="20"/>
          <w:szCs w:val="20"/>
        </w:rPr>
        <w:t xml:space="preserve"> una </w:t>
      </w:r>
      <w:r w:rsidR="00B802AF" w:rsidRPr="00C76860">
        <w:rPr>
          <w:rFonts w:asciiTheme="minorHAnsi" w:hAnsiTheme="minorHAnsi" w:cstheme="minorHAnsi"/>
          <w:b/>
          <w:bCs/>
          <w:color w:val="000000" w:themeColor="text1"/>
          <w:sz w:val="20"/>
          <w:szCs w:val="20"/>
        </w:rPr>
        <w:t xml:space="preserve">vasta condivisione di peptidi tra </w:t>
      </w:r>
      <w:r w:rsidR="0071435C" w:rsidRPr="00C76860">
        <w:rPr>
          <w:rFonts w:asciiTheme="minorHAnsi" w:hAnsiTheme="minorHAnsi" w:cstheme="minorHAnsi"/>
          <w:b/>
          <w:bCs/>
          <w:color w:val="000000" w:themeColor="text1"/>
          <w:sz w:val="20"/>
          <w:szCs w:val="20"/>
        </w:rPr>
        <w:t xml:space="preserve">la </w:t>
      </w:r>
      <w:r w:rsidR="00B802AF" w:rsidRPr="00C76860">
        <w:rPr>
          <w:rFonts w:asciiTheme="minorHAnsi" w:hAnsiTheme="minorHAnsi" w:cstheme="minorHAnsi"/>
          <w:b/>
          <w:bCs/>
          <w:color w:val="000000" w:themeColor="text1"/>
          <w:sz w:val="20"/>
          <w:szCs w:val="20"/>
        </w:rPr>
        <w:t>glicoproteina spike del SARS-CoV-2 e le proteine correlate al surfattante polmonare</w:t>
      </w:r>
      <w:r w:rsidR="00F23BA6" w:rsidRPr="006F0CC0">
        <w:rPr>
          <w:rFonts w:asciiTheme="minorHAnsi" w:hAnsiTheme="minorHAnsi" w:cstheme="minorHAnsi"/>
          <w:color w:val="000000" w:themeColor="text1"/>
          <w:sz w:val="20"/>
          <w:szCs w:val="20"/>
        </w:rPr>
        <w:t xml:space="preserve"> (13 su 24 peptidi)</w:t>
      </w:r>
      <w:r w:rsidR="00B802AF" w:rsidRPr="006F0CC0">
        <w:rPr>
          <w:rFonts w:asciiTheme="minorHAnsi" w:hAnsiTheme="minorHAnsi" w:cstheme="minorHAnsi"/>
          <w:color w:val="000000" w:themeColor="text1"/>
          <w:sz w:val="20"/>
          <w:szCs w:val="20"/>
        </w:rPr>
        <w:t xml:space="preserve">. </w:t>
      </w:r>
    </w:p>
    <w:p w:rsidR="00D05861" w:rsidRDefault="00D05861" w:rsidP="00B648DA">
      <w:pPr>
        <w:shd w:val="clear" w:color="auto" w:fill="FFFFFF"/>
        <w:jc w:val="both"/>
        <w:textAlignment w:val="top"/>
        <w:rPr>
          <w:rFonts w:asciiTheme="minorHAnsi" w:hAnsiTheme="minorHAnsi" w:cstheme="minorHAnsi"/>
          <w:color w:val="000000" w:themeColor="text1"/>
          <w:sz w:val="20"/>
          <w:szCs w:val="20"/>
        </w:rPr>
      </w:pPr>
    </w:p>
    <w:p w:rsidR="00C76860" w:rsidRDefault="00B802AF" w:rsidP="00B648DA">
      <w:pPr>
        <w:shd w:val="clear" w:color="auto" w:fill="FFFFFF"/>
        <w:jc w:val="both"/>
        <w:textAlignment w:val="top"/>
        <w:rPr>
          <w:rFonts w:asciiTheme="minorHAnsi" w:hAnsiTheme="minorHAnsi" w:cstheme="minorHAnsi"/>
          <w:color w:val="000000" w:themeColor="text1"/>
          <w:sz w:val="20"/>
          <w:szCs w:val="20"/>
        </w:rPr>
      </w:pPr>
      <w:r w:rsidRPr="006F0CC0">
        <w:rPr>
          <w:rFonts w:asciiTheme="minorHAnsi" w:hAnsiTheme="minorHAnsi" w:cstheme="minorHAnsi"/>
          <w:color w:val="000000" w:themeColor="text1"/>
          <w:sz w:val="20"/>
          <w:szCs w:val="20"/>
        </w:rPr>
        <w:t>Le analisi che utilizzano la risorsa IEDB (Immune Epitope DataBase) mostrano che molti peptidi condivisi sono dotati di potenziale immunologico</w:t>
      </w:r>
      <w:r w:rsidR="0071435C" w:rsidRPr="006F0CC0">
        <w:rPr>
          <w:rFonts w:asciiTheme="minorHAnsi" w:hAnsiTheme="minorHAnsi" w:cstheme="minorHAnsi"/>
          <w:color w:val="000000" w:themeColor="text1"/>
          <w:sz w:val="20"/>
          <w:szCs w:val="20"/>
        </w:rPr>
        <w:t xml:space="preserve"> e ciò suggerisce</w:t>
      </w:r>
      <w:r w:rsidRPr="006F0CC0">
        <w:rPr>
          <w:rFonts w:asciiTheme="minorHAnsi" w:hAnsiTheme="minorHAnsi" w:cstheme="minorHAnsi"/>
          <w:color w:val="000000" w:themeColor="text1"/>
          <w:sz w:val="20"/>
          <w:szCs w:val="20"/>
        </w:rPr>
        <w:t xml:space="preserve"> che</w:t>
      </w:r>
      <w:r w:rsidRPr="00C76860">
        <w:rPr>
          <w:rFonts w:asciiTheme="minorHAnsi" w:hAnsiTheme="minorHAnsi" w:cstheme="minorHAnsi"/>
          <w:b/>
          <w:bCs/>
          <w:color w:val="000000" w:themeColor="text1"/>
          <w:sz w:val="20"/>
          <w:szCs w:val="20"/>
        </w:rPr>
        <w:t xml:space="preserve"> le risposte immunitarie a seguito dell'infezione SARS-CoV-2 potrebbero </w:t>
      </w:r>
      <w:r w:rsidRPr="00C76860">
        <w:rPr>
          <w:rFonts w:asciiTheme="minorHAnsi" w:hAnsiTheme="minorHAnsi" w:cstheme="minorHAnsi"/>
          <w:b/>
          <w:bCs/>
          <w:color w:val="000000" w:themeColor="text1"/>
          <w:sz w:val="20"/>
          <w:szCs w:val="20"/>
        </w:rPr>
        <w:lastRenderedPageBreak/>
        <w:t>portare a reazioni crociate</w:t>
      </w:r>
      <w:r w:rsidRPr="006F0CC0">
        <w:rPr>
          <w:rFonts w:asciiTheme="minorHAnsi" w:hAnsiTheme="minorHAnsi" w:cstheme="minorHAnsi"/>
          <w:color w:val="000000" w:themeColor="text1"/>
          <w:sz w:val="20"/>
          <w:szCs w:val="20"/>
        </w:rPr>
        <w:t xml:space="preserve"> con il surfattante polmonare e proteine correlate</w:t>
      </w:r>
      <w:r w:rsidR="0071435C" w:rsidRPr="006F0CC0">
        <w:rPr>
          <w:rFonts w:asciiTheme="minorHAnsi" w:hAnsiTheme="minorHAnsi" w:cstheme="minorHAnsi"/>
          <w:color w:val="000000" w:themeColor="text1"/>
          <w:sz w:val="20"/>
          <w:szCs w:val="20"/>
        </w:rPr>
        <w:t>,</w:t>
      </w:r>
      <w:r w:rsidRPr="006F0CC0">
        <w:rPr>
          <w:rFonts w:asciiTheme="minorHAnsi" w:hAnsiTheme="minorHAnsi" w:cstheme="minorHAnsi"/>
          <w:color w:val="000000" w:themeColor="text1"/>
          <w:sz w:val="20"/>
          <w:szCs w:val="20"/>
        </w:rPr>
        <w:t xml:space="preserve"> contribu</w:t>
      </w:r>
      <w:r w:rsidR="0071435C" w:rsidRPr="006F0CC0">
        <w:rPr>
          <w:rFonts w:asciiTheme="minorHAnsi" w:hAnsiTheme="minorHAnsi" w:cstheme="minorHAnsi"/>
          <w:color w:val="000000" w:themeColor="text1"/>
          <w:sz w:val="20"/>
          <w:szCs w:val="20"/>
        </w:rPr>
        <w:t>endo</w:t>
      </w:r>
      <w:r w:rsidRPr="006F0CC0">
        <w:rPr>
          <w:rFonts w:asciiTheme="minorHAnsi" w:hAnsiTheme="minorHAnsi" w:cstheme="minorHAnsi"/>
          <w:color w:val="000000" w:themeColor="text1"/>
          <w:sz w:val="20"/>
          <w:szCs w:val="20"/>
        </w:rPr>
        <w:t xml:space="preserve"> alle malattie polmonari associate al SARS-CoV-2. </w:t>
      </w:r>
    </w:p>
    <w:p w:rsidR="00D05861" w:rsidRDefault="00D05861" w:rsidP="00B648DA">
      <w:pPr>
        <w:shd w:val="clear" w:color="auto" w:fill="FFFFFF"/>
        <w:jc w:val="both"/>
        <w:textAlignment w:val="top"/>
        <w:rPr>
          <w:rFonts w:asciiTheme="minorHAnsi" w:hAnsiTheme="minorHAnsi" w:cstheme="minorHAnsi"/>
          <w:color w:val="000000" w:themeColor="text1"/>
          <w:sz w:val="20"/>
          <w:szCs w:val="20"/>
        </w:rPr>
      </w:pPr>
    </w:p>
    <w:p w:rsidR="00D05861" w:rsidRPr="003A3C6F" w:rsidRDefault="00D05861"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985"/>
        <w:jc w:val="both"/>
        <w:textAlignment w:val="top"/>
        <w:rPr>
          <w:rFonts w:asciiTheme="minorHAnsi" w:hAnsiTheme="minorHAnsi" w:cstheme="minorHAnsi"/>
          <w:i/>
          <w:iCs/>
          <w:color w:val="000000" w:themeColor="text1"/>
          <w:sz w:val="20"/>
          <w:szCs w:val="20"/>
        </w:rPr>
      </w:pPr>
    </w:p>
    <w:p w:rsidR="00FE6326" w:rsidRPr="003A3C6F" w:rsidRDefault="00B40821"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985"/>
        <w:jc w:val="both"/>
        <w:textAlignment w:val="top"/>
        <w:rPr>
          <w:rFonts w:asciiTheme="minorHAnsi" w:hAnsiTheme="minorHAnsi" w:cstheme="minorHAnsi"/>
          <w:i/>
          <w:iCs/>
          <w:color w:val="000000" w:themeColor="text1"/>
          <w:sz w:val="20"/>
          <w:szCs w:val="20"/>
        </w:rPr>
      </w:pPr>
      <w:r w:rsidRPr="003A3C6F">
        <w:rPr>
          <w:rFonts w:asciiTheme="minorHAnsi" w:hAnsiTheme="minorHAnsi" w:cstheme="minorHAnsi"/>
          <w:i/>
          <w:iCs/>
          <w:color w:val="000000" w:themeColor="text1"/>
          <w:sz w:val="20"/>
          <w:szCs w:val="20"/>
        </w:rPr>
        <w:t xml:space="preserve">Sulla base di questi risultati </w:t>
      </w:r>
      <w:r w:rsidR="003A3C6F">
        <w:rPr>
          <w:rFonts w:asciiTheme="minorHAnsi" w:hAnsiTheme="minorHAnsi" w:cstheme="minorHAnsi"/>
          <w:i/>
          <w:iCs/>
          <w:color w:val="000000" w:themeColor="text1"/>
          <w:sz w:val="20"/>
          <w:szCs w:val="20"/>
        </w:rPr>
        <w:t xml:space="preserve">gli autori </w:t>
      </w:r>
      <w:r w:rsidRPr="003A3C6F">
        <w:rPr>
          <w:rFonts w:asciiTheme="minorHAnsi" w:hAnsiTheme="minorHAnsi" w:cstheme="minorHAnsi"/>
          <w:i/>
          <w:iCs/>
          <w:color w:val="000000" w:themeColor="text1"/>
          <w:sz w:val="20"/>
          <w:szCs w:val="20"/>
        </w:rPr>
        <w:t>segnalano il</w:t>
      </w:r>
      <w:r w:rsidRPr="003A3C6F">
        <w:rPr>
          <w:rFonts w:asciiTheme="minorHAnsi" w:hAnsiTheme="minorHAnsi" w:cstheme="minorHAnsi"/>
          <w:b/>
          <w:bCs/>
          <w:i/>
          <w:iCs/>
          <w:color w:val="000000" w:themeColor="text1"/>
          <w:sz w:val="20"/>
          <w:szCs w:val="20"/>
        </w:rPr>
        <w:t xml:space="preserve"> rischio dell’uso di vaccini contenenti l’intero antigene del virus SARS-Cov-2</w:t>
      </w:r>
      <w:r w:rsidRPr="003A3C6F">
        <w:rPr>
          <w:rFonts w:asciiTheme="minorHAnsi" w:hAnsiTheme="minorHAnsi" w:cstheme="minorHAnsi"/>
          <w:i/>
          <w:iCs/>
          <w:color w:val="000000" w:themeColor="text1"/>
          <w:sz w:val="20"/>
          <w:szCs w:val="20"/>
        </w:rPr>
        <w:t xml:space="preserve"> e suggeriscono la selezione di peptidi uni</w:t>
      </w:r>
      <w:r w:rsidR="0071435C" w:rsidRPr="003A3C6F">
        <w:rPr>
          <w:rFonts w:asciiTheme="minorHAnsi" w:hAnsiTheme="minorHAnsi" w:cstheme="minorHAnsi"/>
          <w:i/>
          <w:iCs/>
          <w:color w:val="000000" w:themeColor="text1"/>
          <w:sz w:val="20"/>
          <w:szCs w:val="20"/>
        </w:rPr>
        <w:t>vo</w:t>
      </w:r>
      <w:r w:rsidRPr="003A3C6F">
        <w:rPr>
          <w:rFonts w:asciiTheme="minorHAnsi" w:hAnsiTheme="minorHAnsi" w:cstheme="minorHAnsi"/>
          <w:i/>
          <w:iCs/>
          <w:color w:val="000000" w:themeColor="text1"/>
          <w:sz w:val="20"/>
          <w:szCs w:val="20"/>
        </w:rPr>
        <w:t>ci, non cross-reattivi per l’immunoterapia</w:t>
      </w:r>
      <w:r w:rsidR="0071435C" w:rsidRPr="003A3C6F">
        <w:rPr>
          <w:rFonts w:asciiTheme="minorHAnsi" w:hAnsiTheme="minorHAnsi" w:cstheme="minorHAnsi"/>
          <w:i/>
          <w:iCs/>
          <w:color w:val="000000" w:themeColor="text1"/>
          <w:sz w:val="20"/>
          <w:szCs w:val="20"/>
        </w:rPr>
        <w:t xml:space="preserve"> con IVIG.</w:t>
      </w:r>
      <w:r w:rsidRPr="003A3C6F">
        <w:rPr>
          <w:rFonts w:asciiTheme="minorHAnsi" w:hAnsiTheme="minorHAnsi" w:cstheme="minorHAnsi"/>
          <w:i/>
          <w:iCs/>
          <w:color w:val="000000" w:themeColor="text1"/>
          <w:sz w:val="20"/>
          <w:szCs w:val="20"/>
        </w:rPr>
        <w:t xml:space="preserve"> </w:t>
      </w:r>
      <w:r w:rsidR="00553BD0" w:rsidRPr="003A3C6F">
        <w:rPr>
          <w:rStyle w:val="FootnoteReference"/>
          <w:rFonts w:asciiTheme="minorHAnsi" w:hAnsiTheme="minorHAnsi" w:cstheme="minorHAnsi"/>
          <w:i/>
          <w:iCs/>
          <w:color w:val="000000" w:themeColor="text1"/>
          <w:sz w:val="20"/>
          <w:szCs w:val="20"/>
        </w:rPr>
        <w:footnoteReference w:id="248"/>
      </w:r>
    </w:p>
    <w:p w:rsidR="00D05861" w:rsidRPr="003A3C6F" w:rsidRDefault="00D05861"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1134" w:right="985"/>
        <w:jc w:val="both"/>
        <w:textAlignment w:val="top"/>
        <w:rPr>
          <w:rFonts w:asciiTheme="minorHAnsi" w:hAnsiTheme="minorHAnsi" w:cstheme="minorHAnsi"/>
          <w:i/>
          <w:iCs/>
          <w:color w:val="000000" w:themeColor="text1"/>
          <w:sz w:val="20"/>
          <w:szCs w:val="20"/>
        </w:rPr>
      </w:pPr>
    </w:p>
    <w:p w:rsidR="00FB400D" w:rsidRPr="00E82A6A" w:rsidRDefault="00FB400D" w:rsidP="00B648DA">
      <w:pPr>
        <w:shd w:val="clear" w:color="auto" w:fill="FFFFFF"/>
        <w:jc w:val="both"/>
        <w:textAlignment w:val="top"/>
        <w:rPr>
          <w:rFonts w:asciiTheme="minorHAnsi" w:hAnsiTheme="minorHAnsi" w:cstheme="minorHAnsi"/>
          <w:color w:val="000000" w:themeColor="text1"/>
          <w:sz w:val="22"/>
          <w:szCs w:val="22"/>
        </w:rPr>
      </w:pPr>
    </w:p>
    <w:p w:rsidR="00D05861" w:rsidRDefault="00FB400D" w:rsidP="00B648DA">
      <w:pPr>
        <w:shd w:val="clear" w:color="auto" w:fill="FFFFFF"/>
        <w:jc w:val="both"/>
        <w:textAlignment w:val="top"/>
        <w:rPr>
          <w:rFonts w:asciiTheme="minorHAnsi" w:hAnsiTheme="minorHAnsi" w:cstheme="minorHAnsi"/>
          <w:color w:val="000000" w:themeColor="text1"/>
          <w:sz w:val="20"/>
          <w:szCs w:val="20"/>
        </w:rPr>
      </w:pPr>
      <w:r w:rsidRPr="006F0CC0">
        <w:rPr>
          <w:rFonts w:asciiTheme="minorHAnsi" w:hAnsiTheme="minorHAnsi" w:cstheme="minorHAnsi"/>
          <w:color w:val="000000" w:themeColor="text1"/>
          <w:sz w:val="20"/>
          <w:szCs w:val="20"/>
        </w:rPr>
        <w:t xml:space="preserve">Ugualmente, il dott. </w:t>
      </w:r>
      <w:r w:rsidR="008C1BB2" w:rsidRPr="006F0CC0">
        <w:rPr>
          <w:rFonts w:asciiTheme="minorHAnsi" w:hAnsiTheme="minorHAnsi" w:cstheme="minorHAnsi"/>
          <w:color w:val="000000" w:themeColor="text1"/>
          <w:sz w:val="20"/>
          <w:szCs w:val="20"/>
        </w:rPr>
        <w:t>JL Wyler, ha studiato l’omologia di sequenza tra le proteine del SARS-Cov-2 e le proteine umane e ha confermato l’</w:t>
      </w:r>
      <w:r w:rsidR="008C1BB2" w:rsidRPr="00D05861">
        <w:rPr>
          <w:rFonts w:asciiTheme="minorHAnsi" w:hAnsiTheme="minorHAnsi" w:cstheme="minorHAnsi"/>
          <w:b/>
          <w:bCs/>
          <w:color w:val="000000" w:themeColor="text1"/>
          <w:sz w:val="20"/>
          <w:szCs w:val="20"/>
        </w:rPr>
        <w:t>alta omologia di sequenza e il potenziale rischio di autoimmunità</w:t>
      </w:r>
      <w:r w:rsidR="008C1BB2" w:rsidRPr="006F0CC0">
        <w:rPr>
          <w:rFonts w:asciiTheme="minorHAnsi" w:hAnsiTheme="minorHAnsi" w:cstheme="minorHAnsi"/>
          <w:color w:val="000000" w:themeColor="text1"/>
          <w:sz w:val="20"/>
          <w:szCs w:val="20"/>
        </w:rPr>
        <w:t>.</w:t>
      </w:r>
    </w:p>
    <w:p w:rsidR="00D05861" w:rsidRDefault="00D05861" w:rsidP="00B648DA">
      <w:pPr>
        <w:shd w:val="clear" w:color="auto" w:fill="FFFFFF"/>
        <w:jc w:val="both"/>
        <w:textAlignment w:val="top"/>
        <w:rPr>
          <w:rFonts w:asciiTheme="minorHAnsi" w:hAnsiTheme="minorHAnsi" w:cstheme="minorHAnsi"/>
          <w:color w:val="000000" w:themeColor="text1"/>
          <w:sz w:val="20"/>
          <w:szCs w:val="20"/>
        </w:rPr>
      </w:pPr>
    </w:p>
    <w:p w:rsidR="00FB400D" w:rsidRPr="006F0CC0" w:rsidRDefault="008C1BB2" w:rsidP="00B648DA">
      <w:pPr>
        <w:shd w:val="clear" w:color="auto" w:fill="FFFFFF"/>
        <w:jc w:val="both"/>
        <w:textAlignment w:val="top"/>
        <w:rPr>
          <w:rFonts w:asciiTheme="minorHAnsi" w:hAnsiTheme="minorHAnsi" w:cstheme="minorHAnsi"/>
          <w:color w:val="000000" w:themeColor="text1"/>
          <w:sz w:val="20"/>
          <w:szCs w:val="20"/>
        </w:rPr>
      </w:pPr>
      <w:r w:rsidRPr="006F0CC0">
        <w:rPr>
          <w:rFonts w:asciiTheme="minorHAnsi" w:hAnsiTheme="minorHAnsi" w:cstheme="minorHAnsi"/>
          <w:color w:val="000000" w:themeColor="text1"/>
          <w:sz w:val="20"/>
          <w:szCs w:val="20"/>
        </w:rPr>
        <w:t>Ipotizza inoltre che l'esposizione a questi peptidi specifici</w:t>
      </w:r>
      <w:r w:rsidR="0071435C" w:rsidRPr="006F0CC0">
        <w:rPr>
          <w:rFonts w:asciiTheme="minorHAnsi" w:hAnsiTheme="minorHAnsi" w:cstheme="minorHAnsi"/>
          <w:color w:val="000000" w:themeColor="text1"/>
          <w:sz w:val="20"/>
          <w:szCs w:val="20"/>
        </w:rPr>
        <w:t>,</w:t>
      </w:r>
      <w:r w:rsidRPr="006F0CC0">
        <w:rPr>
          <w:rFonts w:asciiTheme="minorHAnsi" w:hAnsiTheme="minorHAnsi" w:cstheme="minorHAnsi"/>
          <w:color w:val="000000" w:themeColor="text1"/>
          <w:sz w:val="20"/>
          <w:szCs w:val="20"/>
        </w:rPr>
        <w:t xml:space="preserve"> attraverso l'infezione o la vaccinazione</w:t>
      </w:r>
      <w:r w:rsidR="0071435C" w:rsidRPr="006F0CC0">
        <w:rPr>
          <w:rFonts w:asciiTheme="minorHAnsi" w:hAnsiTheme="minorHAnsi" w:cstheme="minorHAnsi"/>
          <w:color w:val="000000" w:themeColor="text1"/>
          <w:sz w:val="20"/>
          <w:szCs w:val="20"/>
        </w:rPr>
        <w:t xml:space="preserve">, </w:t>
      </w:r>
      <w:r w:rsidRPr="006F0CC0">
        <w:rPr>
          <w:rFonts w:asciiTheme="minorHAnsi" w:hAnsiTheme="minorHAnsi" w:cstheme="minorHAnsi"/>
          <w:color w:val="000000" w:themeColor="text1"/>
          <w:sz w:val="20"/>
          <w:szCs w:val="20"/>
        </w:rPr>
        <w:t xml:space="preserve">potrebbe causare un </w:t>
      </w:r>
      <w:r w:rsidRPr="00D05861">
        <w:rPr>
          <w:rFonts w:asciiTheme="minorHAnsi" w:hAnsiTheme="minorHAnsi" w:cstheme="minorHAnsi"/>
          <w:b/>
          <w:bCs/>
          <w:color w:val="000000" w:themeColor="text1"/>
          <w:sz w:val="20"/>
          <w:szCs w:val="20"/>
        </w:rPr>
        <w:t>potenziamento della patogenicità</w:t>
      </w:r>
      <w:r w:rsidRPr="006F0CC0">
        <w:rPr>
          <w:rFonts w:asciiTheme="minorHAnsi" w:hAnsiTheme="minorHAnsi" w:cstheme="minorHAnsi"/>
          <w:color w:val="000000" w:themeColor="text1"/>
          <w:sz w:val="20"/>
          <w:szCs w:val="20"/>
        </w:rPr>
        <w:t xml:space="preserve"> </w:t>
      </w:r>
      <w:r w:rsidRPr="003A3C6F">
        <w:rPr>
          <w:rFonts w:asciiTheme="minorHAnsi" w:hAnsiTheme="minorHAnsi" w:cstheme="minorHAnsi"/>
          <w:b/>
          <w:bCs/>
          <w:color w:val="000000" w:themeColor="text1"/>
          <w:sz w:val="20"/>
          <w:szCs w:val="20"/>
        </w:rPr>
        <w:t>in seguito all'esposizione futura dovuta a nuove pandemie</w:t>
      </w:r>
      <w:r w:rsidR="0071435C" w:rsidRPr="003A3C6F">
        <w:rPr>
          <w:rFonts w:asciiTheme="minorHAnsi" w:hAnsiTheme="minorHAnsi" w:cstheme="minorHAnsi"/>
          <w:b/>
          <w:bCs/>
          <w:color w:val="000000" w:themeColor="text1"/>
          <w:sz w:val="20"/>
          <w:szCs w:val="20"/>
        </w:rPr>
        <w:t>,</w:t>
      </w:r>
      <w:r w:rsidRPr="003A3C6F">
        <w:rPr>
          <w:rFonts w:asciiTheme="minorHAnsi" w:hAnsiTheme="minorHAnsi" w:cstheme="minorHAnsi"/>
          <w:b/>
          <w:bCs/>
          <w:color w:val="000000" w:themeColor="text1"/>
          <w:sz w:val="20"/>
          <w:szCs w:val="20"/>
        </w:rPr>
        <w:t xml:space="preserve"> o focolai</w:t>
      </w:r>
      <w:r w:rsidR="0071435C" w:rsidRPr="003A3C6F">
        <w:rPr>
          <w:rFonts w:asciiTheme="minorHAnsi" w:hAnsiTheme="minorHAnsi" w:cstheme="minorHAnsi"/>
          <w:b/>
          <w:bCs/>
          <w:color w:val="000000" w:themeColor="text1"/>
          <w:sz w:val="20"/>
          <w:szCs w:val="20"/>
        </w:rPr>
        <w:t xml:space="preserve"> d’infezione,</w:t>
      </w:r>
      <w:r w:rsidRPr="003A3C6F">
        <w:rPr>
          <w:rFonts w:asciiTheme="minorHAnsi" w:hAnsiTheme="minorHAnsi" w:cstheme="minorHAnsi"/>
          <w:b/>
          <w:bCs/>
          <w:color w:val="000000" w:themeColor="text1"/>
          <w:sz w:val="20"/>
          <w:szCs w:val="20"/>
        </w:rPr>
        <w:t xml:space="preserve"> o attraverso programmi di vaccinazione </w:t>
      </w:r>
      <w:r w:rsidR="0071435C" w:rsidRPr="003A3C6F">
        <w:rPr>
          <w:rFonts w:asciiTheme="minorHAnsi" w:hAnsiTheme="minorHAnsi" w:cstheme="minorHAnsi"/>
          <w:b/>
          <w:bCs/>
          <w:color w:val="000000" w:themeColor="text1"/>
          <w:sz w:val="20"/>
          <w:szCs w:val="20"/>
        </w:rPr>
        <w:t>di massa su scala mondiale</w:t>
      </w:r>
      <w:r w:rsidR="0071435C" w:rsidRPr="006F0CC0">
        <w:rPr>
          <w:rFonts w:asciiTheme="minorHAnsi" w:hAnsiTheme="minorHAnsi" w:cstheme="minorHAnsi"/>
          <w:color w:val="000000" w:themeColor="text1"/>
          <w:sz w:val="20"/>
          <w:szCs w:val="20"/>
        </w:rPr>
        <w:t>,</w:t>
      </w:r>
      <w:r w:rsidR="00FD23BA" w:rsidRPr="006F0CC0">
        <w:rPr>
          <w:rFonts w:asciiTheme="minorHAnsi" w:hAnsiTheme="minorHAnsi" w:cstheme="minorHAnsi"/>
          <w:color w:val="000000" w:themeColor="text1"/>
          <w:sz w:val="20"/>
          <w:szCs w:val="20"/>
        </w:rPr>
        <w:t xml:space="preserve"> e poiché questo fenomeno è p</w:t>
      </w:r>
      <w:r w:rsidR="00553BD0" w:rsidRPr="006F0CC0">
        <w:rPr>
          <w:rFonts w:asciiTheme="minorHAnsi" w:hAnsiTheme="minorHAnsi" w:cstheme="minorHAnsi"/>
          <w:color w:val="000000" w:themeColor="text1"/>
          <w:sz w:val="20"/>
          <w:szCs w:val="20"/>
        </w:rPr>
        <w:t>lausibile</w:t>
      </w:r>
      <w:r w:rsidR="00FD23BA" w:rsidRPr="006F0CC0">
        <w:rPr>
          <w:rFonts w:asciiTheme="minorHAnsi" w:hAnsiTheme="minorHAnsi" w:cstheme="minorHAnsi"/>
          <w:color w:val="000000" w:themeColor="text1"/>
          <w:sz w:val="20"/>
          <w:szCs w:val="20"/>
        </w:rPr>
        <w:t xml:space="preserve"> </w:t>
      </w:r>
      <w:r w:rsidR="003A3C6F">
        <w:rPr>
          <w:rFonts w:asciiTheme="minorHAnsi" w:hAnsiTheme="minorHAnsi" w:cstheme="minorHAnsi"/>
          <w:color w:val="000000" w:themeColor="text1"/>
          <w:sz w:val="20"/>
          <w:szCs w:val="20"/>
        </w:rPr>
        <w:t xml:space="preserve">ritiene </w:t>
      </w:r>
      <w:r w:rsidR="00FD23BA" w:rsidRPr="006F0CC0">
        <w:rPr>
          <w:rFonts w:asciiTheme="minorHAnsi" w:hAnsiTheme="minorHAnsi" w:cstheme="minorHAnsi"/>
          <w:color w:val="000000" w:themeColor="text1"/>
          <w:sz w:val="20"/>
          <w:szCs w:val="20"/>
        </w:rPr>
        <w:t xml:space="preserve"> indispensabile valutarlo prima di procedere con l’impiego di vaccini sull’uomo contro il SARS-Cov2. </w:t>
      </w:r>
      <w:r w:rsidR="00FD23BA" w:rsidRPr="006F0CC0">
        <w:rPr>
          <w:rStyle w:val="FootnoteReference"/>
          <w:rFonts w:asciiTheme="minorHAnsi" w:hAnsiTheme="minorHAnsi" w:cstheme="minorHAnsi"/>
          <w:color w:val="000000" w:themeColor="text1"/>
          <w:sz w:val="20"/>
          <w:szCs w:val="20"/>
        </w:rPr>
        <w:footnoteReference w:id="249"/>
      </w:r>
    </w:p>
    <w:p w:rsidR="00B40821" w:rsidRPr="006F0CC0" w:rsidRDefault="00B40821" w:rsidP="00B648DA">
      <w:pPr>
        <w:shd w:val="clear" w:color="auto" w:fill="FFFFFF"/>
        <w:jc w:val="both"/>
        <w:textAlignment w:val="top"/>
        <w:rPr>
          <w:rFonts w:asciiTheme="minorHAnsi" w:hAnsiTheme="minorHAnsi" w:cstheme="minorHAnsi"/>
          <w:color w:val="000000" w:themeColor="text1"/>
          <w:sz w:val="20"/>
          <w:szCs w:val="20"/>
        </w:rPr>
      </w:pPr>
    </w:p>
    <w:p w:rsidR="0071435C" w:rsidRDefault="00553BD0" w:rsidP="00B648DA">
      <w:pPr>
        <w:shd w:val="clear" w:color="auto" w:fill="FFFFFF"/>
        <w:jc w:val="both"/>
        <w:textAlignment w:val="top"/>
        <w:rPr>
          <w:rFonts w:asciiTheme="minorHAnsi" w:hAnsiTheme="minorHAnsi" w:cstheme="minorHAnsi"/>
          <w:color w:val="000000" w:themeColor="text1"/>
          <w:sz w:val="20"/>
          <w:szCs w:val="20"/>
        </w:rPr>
      </w:pPr>
      <w:r w:rsidRPr="006F0CC0">
        <w:rPr>
          <w:rFonts w:asciiTheme="minorHAnsi" w:hAnsiTheme="minorHAnsi" w:cstheme="minorHAnsi"/>
          <w:color w:val="000000" w:themeColor="text1"/>
          <w:sz w:val="20"/>
          <w:szCs w:val="20"/>
        </w:rPr>
        <w:t>Infine, u</w:t>
      </w:r>
      <w:r w:rsidR="00F23BA6" w:rsidRPr="006F0CC0">
        <w:rPr>
          <w:rFonts w:asciiTheme="minorHAnsi" w:hAnsiTheme="minorHAnsi" w:cstheme="minorHAnsi"/>
          <w:color w:val="000000" w:themeColor="text1"/>
          <w:sz w:val="20"/>
          <w:szCs w:val="20"/>
        </w:rPr>
        <w:t>n altro gruppo di ricerca</w:t>
      </w:r>
      <w:r w:rsidR="00FD23BA" w:rsidRPr="006F0CC0">
        <w:rPr>
          <w:rFonts w:asciiTheme="minorHAnsi" w:hAnsiTheme="minorHAnsi" w:cstheme="minorHAnsi"/>
          <w:sz w:val="20"/>
          <w:szCs w:val="20"/>
        </w:rPr>
        <w:t xml:space="preserve"> </w:t>
      </w:r>
      <w:r w:rsidR="0071435C" w:rsidRPr="006F0CC0">
        <w:rPr>
          <w:rStyle w:val="FootnoteReference"/>
          <w:rFonts w:asciiTheme="minorHAnsi" w:hAnsiTheme="minorHAnsi" w:cstheme="minorHAnsi"/>
          <w:sz w:val="20"/>
          <w:szCs w:val="20"/>
        </w:rPr>
        <w:footnoteReference w:id="250"/>
      </w:r>
      <w:r w:rsidR="0071435C" w:rsidRPr="006F0CC0">
        <w:rPr>
          <w:rFonts w:asciiTheme="minorHAnsi" w:hAnsiTheme="minorHAnsi" w:cstheme="minorHAnsi"/>
          <w:sz w:val="20"/>
          <w:szCs w:val="20"/>
        </w:rPr>
        <w:t xml:space="preserve"> </w:t>
      </w:r>
      <w:r w:rsidR="00FD23BA" w:rsidRPr="006F0CC0">
        <w:rPr>
          <w:rFonts w:asciiTheme="minorHAnsi" w:hAnsiTheme="minorHAnsi" w:cstheme="minorHAnsi"/>
          <w:color w:val="000000" w:themeColor="text1"/>
          <w:sz w:val="20"/>
          <w:szCs w:val="20"/>
        </w:rPr>
        <w:t xml:space="preserve">ha testato 5 diversi campioni di sangue positivi per gli anticorpi IgG e IgM di SARS-CoV-2 </w:t>
      </w:r>
      <w:r w:rsidR="0071435C" w:rsidRPr="006F0CC0">
        <w:rPr>
          <w:rFonts w:asciiTheme="minorHAnsi" w:hAnsiTheme="minorHAnsi" w:cstheme="minorHAnsi"/>
          <w:color w:val="000000" w:themeColor="text1"/>
          <w:sz w:val="20"/>
          <w:szCs w:val="20"/>
        </w:rPr>
        <w:t xml:space="preserve"> </w:t>
      </w:r>
      <w:r w:rsidR="0071435C" w:rsidRPr="006F0CC0">
        <w:rPr>
          <w:rStyle w:val="FootnoteReference"/>
          <w:rFonts w:asciiTheme="minorHAnsi" w:hAnsiTheme="minorHAnsi" w:cstheme="minorHAnsi"/>
          <w:color w:val="000000" w:themeColor="text1"/>
          <w:sz w:val="20"/>
          <w:szCs w:val="20"/>
        </w:rPr>
        <w:footnoteReference w:id="251"/>
      </w:r>
      <w:r w:rsidR="00FD23BA" w:rsidRPr="006F0CC0">
        <w:rPr>
          <w:rFonts w:asciiTheme="minorHAnsi" w:hAnsiTheme="minorHAnsi" w:cstheme="minorHAnsi"/>
          <w:color w:val="000000" w:themeColor="text1"/>
          <w:sz w:val="20"/>
          <w:szCs w:val="20"/>
        </w:rPr>
        <w:t xml:space="preserve">. Le misurazioni riguardavano l'anticorpo anti-nucleare (ANA), l'antigene nucleare anti-estraibile (ENA), il DNA a doppio filamento (dsDNA), l'anticorpo actina, l'anticorpo mitocondriale, il fattore reumatoide (RF) e i complessi immunitari C1q. </w:t>
      </w:r>
    </w:p>
    <w:p w:rsidR="00D05861" w:rsidRPr="006F0CC0" w:rsidRDefault="00D05861" w:rsidP="00B648DA">
      <w:pPr>
        <w:shd w:val="clear" w:color="auto" w:fill="FFFFFF"/>
        <w:jc w:val="both"/>
        <w:textAlignment w:val="top"/>
        <w:rPr>
          <w:rFonts w:asciiTheme="minorHAnsi" w:hAnsiTheme="minorHAnsi" w:cstheme="minorHAnsi"/>
          <w:color w:val="000000" w:themeColor="text1"/>
          <w:sz w:val="20"/>
          <w:szCs w:val="20"/>
        </w:rPr>
      </w:pPr>
    </w:p>
    <w:p w:rsidR="00D05861" w:rsidRDefault="00FD23BA" w:rsidP="00B648DA">
      <w:pPr>
        <w:shd w:val="clear" w:color="auto" w:fill="FFFFFF"/>
        <w:jc w:val="both"/>
        <w:textAlignment w:val="top"/>
        <w:rPr>
          <w:rFonts w:asciiTheme="minorHAnsi" w:hAnsiTheme="minorHAnsi" w:cstheme="minorHAnsi"/>
          <w:color w:val="000000" w:themeColor="text1"/>
          <w:sz w:val="20"/>
          <w:szCs w:val="20"/>
        </w:rPr>
      </w:pPr>
      <w:r w:rsidRPr="006F0CC0">
        <w:rPr>
          <w:rFonts w:asciiTheme="minorHAnsi" w:hAnsiTheme="minorHAnsi" w:cstheme="minorHAnsi"/>
          <w:color w:val="000000" w:themeColor="text1"/>
          <w:sz w:val="20"/>
          <w:szCs w:val="20"/>
        </w:rPr>
        <w:t xml:space="preserve">3 dei 5 campioni presentavano aumenti significativi di ANA, ENA, actina e anticorpi mitocondriali, ma non contro il dsDNA o RF. </w:t>
      </w:r>
    </w:p>
    <w:p w:rsidR="00D05861" w:rsidRDefault="00FD23BA" w:rsidP="00B648DA">
      <w:pPr>
        <w:shd w:val="clear" w:color="auto" w:fill="FFFFFF"/>
        <w:jc w:val="both"/>
        <w:textAlignment w:val="top"/>
        <w:rPr>
          <w:rFonts w:asciiTheme="minorHAnsi" w:hAnsiTheme="minorHAnsi" w:cstheme="minorHAnsi"/>
          <w:color w:val="000000" w:themeColor="text1"/>
          <w:sz w:val="20"/>
          <w:szCs w:val="20"/>
        </w:rPr>
      </w:pPr>
      <w:r w:rsidRPr="006F0CC0">
        <w:rPr>
          <w:rFonts w:asciiTheme="minorHAnsi" w:hAnsiTheme="minorHAnsi" w:cstheme="minorHAnsi"/>
          <w:color w:val="000000" w:themeColor="text1"/>
          <w:sz w:val="20"/>
          <w:szCs w:val="20"/>
        </w:rPr>
        <w:t>Questo ha spinto i ricercatori a studiare la reattività crociata tra SARS-CoV-2 e le proteine target autoimmuni tissutali.</w:t>
      </w:r>
    </w:p>
    <w:p w:rsidR="00D05861" w:rsidRDefault="00D05861" w:rsidP="00B648DA">
      <w:pPr>
        <w:shd w:val="clear" w:color="auto" w:fill="FFFFFF"/>
        <w:jc w:val="both"/>
        <w:textAlignment w:val="top"/>
        <w:rPr>
          <w:rFonts w:asciiTheme="minorHAnsi" w:hAnsiTheme="minorHAnsi" w:cstheme="minorHAnsi"/>
          <w:color w:val="000000" w:themeColor="text1"/>
          <w:sz w:val="20"/>
          <w:szCs w:val="20"/>
        </w:rPr>
      </w:pPr>
    </w:p>
    <w:p w:rsidR="00F22D6D" w:rsidRPr="006F0CC0" w:rsidRDefault="00FD23BA" w:rsidP="00B648DA">
      <w:pPr>
        <w:shd w:val="clear" w:color="auto" w:fill="FFFFFF"/>
        <w:jc w:val="both"/>
        <w:textAlignment w:val="top"/>
        <w:rPr>
          <w:rFonts w:asciiTheme="minorHAnsi" w:hAnsiTheme="minorHAnsi" w:cstheme="minorHAnsi"/>
          <w:color w:val="000000" w:themeColor="text1"/>
          <w:sz w:val="20"/>
          <w:szCs w:val="20"/>
        </w:rPr>
      </w:pPr>
      <w:r w:rsidRPr="006F0CC0">
        <w:rPr>
          <w:rFonts w:asciiTheme="minorHAnsi" w:hAnsiTheme="minorHAnsi" w:cstheme="minorHAnsi"/>
          <w:color w:val="000000" w:themeColor="text1"/>
          <w:sz w:val="20"/>
          <w:szCs w:val="20"/>
        </w:rPr>
        <w:t xml:space="preserve">Da questo studio è emerso che </w:t>
      </w:r>
      <w:r w:rsidR="00B40821" w:rsidRPr="006F0CC0">
        <w:rPr>
          <w:rFonts w:asciiTheme="minorHAnsi" w:hAnsiTheme="minorHAnsi" w:cstheme="minorHAnsi"/>
          <w:color w:val="000000" w:themeColor="text1"/>
          <w:sz w:val="20"/>
          <w:szCs w:val="20"/>
        </w:rPr>
        <w:t xml:space="preserve">21 su 50 antigeni tissutali hanno avuto reazioni da moderate a forti con gli anticorpi contro il SARS-CoV-2. Tale dato è un'indicazione sufficientemente robusta della </w:t>
      </w:r>
      <w:r w:rsidR="00B40821" w:rsidRPr="00D05861">
        <w:rPr>
          <w:rFonts w:asciiTheme="minorHAnsi" w:hAnsiTheme="minorHAnsi" w:cstheme="minorHAnsi"/>
          <w:b/>
          <w:bCs/>
          <w:color w:val="000000" w:themeColor="text1"/>
          <w:sz w:val="20"/>
          <w:szCs w:val="20"/>
        </w:rPr>
        <w:t>reazione crociata tra le proteine del SARS-CoV-2 e una varietà di antigeni tissutali</w:t>
      </w:r>
      <w:r w:rsidR="0071435C" w:rsidRPr="006F0CC0">
        <w:rPr>
          <w:rFonts w:asciiTheme="minorHAnsi" w:hAnsiTheme="minorHAnsi" w:cstheme="minorHAnsi"/>
          <w:color w:val="000000" w:themeColor="text1"/>
          <w:sz w:val="20"/>
          <w:szCs w:val="20"/>
        </w:rPr>
        <w:t>,</w:t>
      </w:r>
      <w:r w:rsidR="00B40821" w:rsidRPr="006F0CC0">
        <w:rPr>
          <w:rFonts w:asciiTheme="minorHAnsi" w:hAnsiTheme="minorHAnsi" w:cstheme="minorHAnsi"/>
          <w:color w:val="000000" w:themeColor="text1"/>
          <w:sz w:val="20"/>
          <w:szCs w:val="20"/>
        </w:rPr>
        <w:t xml:space="preserve"> oltre al tessuto polmonare, che potrebbe portare all'autoimmunità contro il tessuto connettivo, il sistema cardiovascolare, gastrointestinale e nervoso, anche nel medio </w:t>
      </w:r>
      <w:r w:rsidR="00F22D6D" w:rsidRPr="006F0CC0">
        <w:rPr>
          <w:rFonts w:asciiTheme="minorHAnsi" w:hAnsiTheme="minorHAnsi" w:cstheme="minorHAnsi"/>
          <w:color w:val="000000" w:themeColor="text1"/>
          <w:sz w:val="20"/>
          <w:szCs w:val="20"/>
        </w:rPr>
        <w:t xml:space="preserve">e </w:t>
      </w:r>
      <w:r w:rsidR="00B40821" w:rsidRPr="006F0CC0">
        <w:rPr>
          <w:rFonts w:asciiTheme="minorHAnsi" w:hAnsiTheme="minorHAnsi" w:cstheme="minorHAnsi"/>
          <w:color w:val="000000" w:themeColor="text1"/>
          <w:sz w:val="20"/>
          <w:szCs w:val="20"/>
        </w:rPr>
        <w:t xml:space="preserve">lungo termine, dopo la risoluzione della malattia acuta. </w:t>
      </w:r>
      <w:r w:rsidR="00F22D6D" w:rsidRPr="006F0CC0">
        <w:rPr>
          <w:rStyle w:val="FootnoteReference"/>
          <w:rFonts w:asciiTheme="minorHAnsi" w:hAnsiTheme="minorHAnsi" w:cstheme="minorHAnsi"/>
          <w:color w:val="000000" w:themeColor="text1"/>
          <w:sz w:val="20"/>
          <w:szCs w:val="20"/>
        </w:rPr>
        <w:footnoteReference w:id="252"/>
      </w:r>
    </w:p>
    <w:p w:rsidR="00553BD0" w:rsidRPr="006F0CC0" w:rsidRDefault="00553BD0" w:rsidP="00B648DA">
      <w:pPr>
        <w:shd w:val="clear" w:color="auto" w:fill="FFFFFF"/>
        <w:jc w:val="both"/>
        <w:textAlignment w:val="top"/>
        <w:rPr>
          <w:rFonts w:asciiTheme="minorHAnsi" w:hAnsiTheme="minorHAnsi" w:cstheme="minorHAnsi"/>
          <w:color w:val="000000" w:themeColor="text1"/>
          <w:sz w:val="20"/>
          <w:szCs w:val="20"/>
        </w:rPr>
      </w:pPr>
    </w:p>
    <w:p w:rsidR="003A3C6F" w:rsidRDefault="003A3C6F"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textAlignment w:val="top"/>
        <w:rPr>
          <w:rFonts w:asciiTheme="minorHAnsi" w:hAnsiTheme="minorHAnsi" w:cstheme="minorHAnsi"/>
          <w:b/>
          <w:bCs/>
          <w:i/>
          <w:iCs/>
          <w:color w:val="000000" w:themeColor="text1"/>
          <w:sz w:val="20"/>
          <w:szCs w:val="20"/>
        </w:rPr>
      </w:pPr>
    </w:p>
    <w:p w:rsidR="003A3C6F" w:rsidRPr="003A3C6F" w:rsidRDefault="00B40821"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textAlignment w:val="top"/>
        <w:rPr>
          <w:rFonts w:asciiTheme="minorHAnsi" w:hAnsiTheme="minorHAnsi" w:cstheme="minorHAnsi"/>
          <w:b/>
          <w:bCs/>
          <w:i/>
          <w:iCs/>
          <w:color w:val="000000" w:themeColor="text1"/>
          <w:sz w:val="20"/>
          <w:szCs w:val="20"/>
        </w:rPr>
      </w:pPr>
      <w:r w:rsidRPr="00A85CE7">
        <w:rPr>
          <w:rFonts w:asciiTheme="minorHAnsi" w:hAnsiTheme="minorHAnsi" w:cstheme="minorHAnsi"/>
          <w:b/>
          <w:bCs/>
          <w:i/>
          <w:iCs/>
          <w:color w:val="C00000"/>
          <w:sz w:val="20"/>
          <w:szCs w:val="20"/>
        </w:rPr>
        <w:t>Gli autori concludono con un’importante riflessione:</w:t>
      </w:r>
      <w:r w:rsidRPr="003A3C6F">
        <w:rPr>
          <w:rFonts w:asciiTheme="minorHAnsi" w:hAnsiTheme="minorHAnsi" w:cstheme="minorHAnsi"/>
          <w:b/>
          <w:bCs/>
          <w:i/>
          <w:iCs/>
          <w:color w:val="000000" w:themeColor="text1"/>
          <w:sz w:val="20"/>
          <w:szCs w:val="20"/>
        </w:rPr>
        <w:t xml:space="preserve"> </w:t>
      </w:r>
    </w:p>
    <w:p w:rsidR="003A3C6F" w:rsidRDefault="003A3C6F"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textAlignment w:val="top"/>
        <w:rPr>
          <w:rFonts w:asciiTheme="minorHAnsi" w:hAnsiTheme="minorHAnsi" w:cstheme="minorHAnsi"/>
          <w:i/>
          <w:iCs/>
          <w:color w:val="000000" w:themeColor="text1"/>
          <w:sz w:val="20"/>
          <w:szCs w:val="20"/>
        </w:rPr>
      </w:pPr>
    </w:p>
    <w:p w:rsidR="003A3C6F" w:rsidRDefault="00B40821"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textAlignment w:val="top"/>
        <w:rPr>
          <w:rFonts w:asciiTheme="minorHAnsi" w:hAnsiTheme="minorHAnsi" w:cstheme="minorHAnsi"/>
          <w:i/>
          <w:iCs/>
          <w:color w:val="000000" w:themeColor="text1"/>
          <w:sz w:val="20"/>
          <w:szCs w:val="20"/>
        </w:rPr>
      </w:pPr>
      <w:r w:rsidRPr="003A3C6F">
        <w:rPr>
          <w:rFonts w:asciiTheme="minorHAnsi" w:hAnsiTheme="minorHAnsi" w:cstheme="minorHAnsi"/>
          <w:i/>
          <w:iCs/>
          <w:color w:val="000000" w:themeColor="text1"/>
          <w:sz w:val="20"/>
          <w:szCs w:val="20"/>
        </w:rPr>
        <w:t xml:space="preserve">“Alla luce delle informazioni sopra discusse sulla reattività crociata delle proteine SARS-CoV-2 con i tessuti umani e sulla possibilità di indurre autoimmunità, esacerbando condizioni già </w:t>
      </w:r>
      <w:r w:rsidR="00FB400D" w:rsidRPr="003A3C6F">
        <w:rPr>
          <w:rFonts w:asciiTheme="minorHAnsi" w:hAnsiTheme="minorHAnsi" w:cstheme="minorHAnsi"/>
          <w:i/>
          <w:iCs/>
          <w:color w:val="000000" w:themeColor="text1"/>
          <w:sz w:val="20"/>
          <w:szCs w:val="20"/>
        </w:rPr>
        <w:t>esistenti di salute</w:t>
      </w:r>
      <w:r w:rsidRPr="003A3C6F">
        <w:rPr>
          <w:rFonts w:asciiTheme="minorHAnsi" w:hAnsiTheme="minorHAnsi" w:cstheme="minorHAnsi"/>
          <w:i/>
          <w:iCs/>
          <w:color w:val="000000" w:themeColor="text1"/>
          <w:sz w:val="20"/>
          <w:szCs w:val="20"/>
        </w:rPr>
        <w:t xml:space="preserve"> </w:t>
      </w:r>
      <w:r w:rsidR="00FB400D" w:rsidRPr="003A3C6F">
        <w:rPr>
          <w:rFonts w:asciiTheme="minorHAnsi" w:hAnsiTheme="minorHAnsi" w:cstheme="minorHAnsi"/>
          <w:i/>
          <w:iCs/>
          <w:color w:val="000000" w:themeColor="text1"/>
          <w:sz w:val="20"/>
          <w:szCs w:val="20"/>
        </w:rPr>
        <w:t xml:space="preserve">precaria </w:t>
      </w:r>
      <w:r w:rsidRPr="003A3C6F">
        <w:rPr>
          <w:rFonts w:asciiTheme="minorHAnsi" w:hAnsiTheme="minorHAnsi" w:cstheme="minorHAnsi"/>
          <w:i/>
          <w:iCs/>
          <w:color w:val="000000" w:themeColor="text1"/>
          <w:sz w:val="20"/>
          <w:szCs w:val="20"/>
        </w:rPr>
        <w:t>o</w:t>
      </w:r>
      <w:r w:rsidR="00FB400D" w:rsidRPr="003A3C6F">
        <w:rPr>
          <w:rFonts w:asciiTheme="minorHAnsi" w:hAnsiTheme="minorHAnsi" w:cstheme="minorHAnsi"/>
          <w:i/>
          <w:iCs/>
          <w:color w:val="000000" w:themeColor="text1"/>
          <w:sz w:val="20"/>
          <w:szCs w:val="20"/>
        </w:rPr>
        <w:t>ppure</w:t>
      </w:r>
      <w:r w:rsidRPr="003A3C6F">
        <w:rPr>
          <w:rFonts w:asciiTheme="minorHAnsi" w:hAnsiTheme="minorHAnsi" w:cstheme="minorHAnsi"/>
          <w:i/>
          <w:iCs/>
          <w:color w:val="000000" w:themeColor="text1"/>
          <w:sz w:val="20"/>
          <w:szCs w:val="20"/>
        </w:rPr>
        <w:t xml:space="preserve"> determinando conseguenze impreviste, sarebbe </w:t>
      </w:r>
      <w:r w:rsidR="00FB400D" w:rsidRPr="003A3C6F">
        <w:rPr>
          <w:rFonts w:asciiTheme="minorHAnsi" w:hAnsiTheme="minorHAnsi" w:cstheme="minorHAnsi"/>
          <w:i/>
          <w:iCs/>
          <w:color w:val="000000" w:themeColor="text1"/>
          <w:sz w:val="20"/>
          <w:szCs w:val="20"/>
        </w:rPr>
        <w:t>molto</w:t>
      </w:r>
      <w:r w:rsidRPr="003A3C6F">
        <w:rPr>
          <w:rFonts w:asciiTheme="minorHAnsi" w:hAnsiTheme="minorHAnsi" w:cstheme="minorHAnsi"/>
          <w:i/>
          <w:iCs/>
          <w:color w:val="000000" w:themeColor="text1"/>
          <w:sz w:val="20"/>
          <w:szCs w:val="20"/>
        </w:rPr>
        <w:t xml:space="preserve"> prudente fare ricerche più approfondite sulla capacità </w:t>
      </w:r>
      <w:r w:rsidR="00FB400D" w:rsidRPr="003A3C6F">
        <w:rPr>
          <w:rFonts w:asciiTheme="minorHAnsi" w:hAnsiTheme="minorHAnsi" w:cstheme="minorHAnsi"/>
          <w:i/>
          <w:iCs/>
          <w:color w:val="000000" w:themeColor="text1"/>
          <w:sz w:val="20"/>
          <w:szCs w:val="20"/>
        </w:rPr>
        <w:t xml:space="preserve">degli antigeni del SARS-CoV-2 </w:t>
      </w:r>
      <w:r w:rsidRPr="003A3C6F">
        <w:rPr>
          <w:rFonts w:asciiTheme="minorHAnsi" w:hAnsiTheme="minorHAnsi" w:cstheme="minorHAnsi"/>
          <w:i/>
          <w:iCs/>
          <w:color w:val="000000" w:themeColor="text1"/>
          <w:sz w:val="20"/>
          <w:szCs w:val="20"/>
        </w:rPr>
        <w:t xml:space="preserve">di indurre </w:t>
      </w:r>
      <w:r w:rsidR="00FB400D" w:rsidRPr="003A3C6F">
        <w:rPr>
          <w:rFonts w:asciiTheme="minorHAnsi" w:hAnsiTheme="minorHAnsi" w:cstheme="minorHAnsi"/>
          <w:i/>
          <w:iCs/>
          <w:color w:val="000000" w:themeColor="text1"/>
          <w:sz w:val="20"/>
          <w:szCs w:val="20"/>
        </w:rPr>
        <w:t xml:space="preserve">reazioni </w:t>
      </w:r>
      <w:r w:rsidRPr="003A3C6F">
        <w:rPr>
          <w:rFonts w:asciiTheme="minorHAnsi" w:hAnsiTheme="minorHAnsi" w:cstheme="minorHAnsi"/>
          <w:i/>
          <w:iCs/>
          <w:color w:val="000000" w:themeColor="text1"/>
          <w:sz w:val="20"/>
          <w:szCs w:val="20"/>
        </w:rPr>
        <w:t>autoimmun</w:t>
      </w:r>
      <w:r w:rsidR="00FB400D" w:rsidRPr="003A3C6F">
        <w:rPr>
          <w:rFonts w:asciiTheme="minorHAnsi" w:hAnsiTheme="minorHAnsi" w:cstheme="minorHAnsi"/>
          <w:i/>
          <w:iCs/>
          <w:color w:val="000000" w:themeColor="text1"/>
          <w:sz w:val="20"/>
          <w:szCs w:val="20"/>
        </w:rPr>
        <w:t>i</w:t>
      </w:r>
      <w:r w:rsidRPr="003A3C6F">
        <w:rPr>
          <w:rFonts w:asciiTheme="minorHAnsi" w:hAnsiTheme="minorHAnsi" w:cstheme="minorHAnsi"/>
          <w:i/>
          <w:iCs/>
          <w:color w:val="000000" w:themeColor="text1"/>
          <w:sz w:val="20"/>
          <w:szCs w:val="20"/>
        </w:rPr>
        <w:t>.</w:t>
      </w:r>
    </w:p>
    <w:p w:rsidR="003A3C6F" w:rsidRDefault="003A3C6F"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textAlignment w:val="top"/>
        <w:rPr>
          <w:rFonts w:asciiTheme="minorHAnsi" w:hAnsiTheme="minorHAnsi" w:cstheme="minorHAnsi"/>
          <w:i/>
          <w:iCs/>
          <w:color w:val="000000" w:themeColor="text1"/>
          <w:sz w:val="20"/>
          <w:szCs w:val="20"/>
        </w:rPr>
      </w:pPr>
    </w:p>
    <w:p w:rsidR="00B802AF" w:rsidRDefault="00B40821"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textAlignment w:val="top"/>
        <w:rPr>
          <w:rFonts w:asciiTheme="minorHAnsi" w:hAnsiTheme="minorHAnsi" w:cstheme="minorHAnsi"/>
          <w:i/>
          <w:iCs/>
          <w:color w:val="000000" w:themeColor="text1"/>
          <w:sz w:val="20"/>
          <w:szCs w:val="20"/>
        </w:rPr>
      </w:pPr>
      <w:r w:rsidRPr="003A3C6F">
        <w:rPr>
          <w:rFonts w:asciiTheme="minorHAnsi" w:hAnsiTheme="minorHAnsi" w:cstheme="minorHAnsi"/>
          <w:i/>
          <w:iCs/>
          <w:color w:val="000000" w:themeColor="text1"/>
          <w:sz w:val="20"/>
          <w:szCs w:val="20"/>
        </w:rPr>
        <w:t xml:space="preserve">La promozione e l'implementazione di un programma di </w:t>
      </w:r>
      <w:r w:rsidRPr="00A85CE7">
        <w:rPr>
          <w:rFonts w:asciiTheme="minorHAnsi" w:hAnsiTheme="minorHAnsi" w:cstheme="minorHAnsi"/>
          <w:b/>
          <w:bCs/>
          <w:i/>
          <w:iCs/>
          <w:color w:val="000000" w:themeColor="text1"/>
          <w:sz w:val="20"/>
          <w:szCs w:val="20"/>
        </w:rPr>
        <w:t xml:space="preserve">"passaporto immunitario" </w:t>
      </w:r>
      <w:r w:rsidRPr="003A3C6F">
        <w:rPr>
          <w:rFonts w:asciiTheme="minorHAnsi" w:hAnsiTheme="minorHAnsi" w:cstheme="minorHAnsi"/>
          <w:i/>
          <w:iCs/>
          <w:color w:val="000000" w:themeColor="text1"/>
          <w:sz w:val="20"/>
          <w:szCs w:val="20"/>
        </w:rPr>
        <w:t xml:space="preserve">così aggressivo in tutto il mondo in assenza di studi di sicurezza approfonditi e meticolosi può comportare un costo monumentale per l'umanità sotto forma di un'altra epidemia, questa volta </w:t>
      </w:r>
      <w:r w:rsidR="00FB400D" w:rsidRPr="003A3C6F">
        <w:rPr>
          <w:rFonts w:asciiTheme="minorHAnsi" w:hAnsiTheme="minorHAnsi" w:cstheme="minorHAnsi"/>
          <w:i/>
          <w:iCs/>
          <w:color w:val="000000" w:themeColor="text1"/>
          <w:sz w:val="20"/>
          <w:szCs w:val="20"/>
        </w:rPr>
        <w:t xml:space="preserve">di </w:t>
      </w:r>
      <w:r w:rsidRPr="003A3C6F">
        <w:rPr>
          <w:rFonts w:asciiTheme="minorHAnsi" w:hAnsiTheme="minorHAnsi" w:cstheme="minorHAnsi"/>
          <w:i/>
          <w:iCs/>
          <w:color w:val="000000" w:themeColor="text1"/>
          <w:sz w:val="20"/>
          <w:szCs w:val="20"/>
        </w:rPr>
        <w:t xml:space="preserve">una marea crescente di malattie autoimmuni e </w:t>
      </w:r>
      <w:r w:rsidR="00FB400D" w:rsidRPr="003A3C6F">
        <w:rPr>
          <w:rFonts w:asciiTheme="minorHAnsi" w:hAnsiTheme="minorHAnsi" w:cstheme="minorHAnsi"/>
          <w:i/>
          <w:iCs/>
          <w:color w:val="000000" w:themeColor="text1"/>
          <w:sz w:val="20"/>
          <w:szCs w:val="20"/>
        </w:rPr>
        <w:t>de</w:t>
      </w:r>
      <w:r w:rsidR="003A3C6F">
        <w:rPr>
          <w:rFonts w:asciiTheme="minorHAnsi" w:hAnsiTheme="minorHAnsi" w:cstheme="minorHAnsi"/>
          <w:i/>
          <w:iCs/>
          <w:color w:val="000000" w:themeColor="text1"/>
          <w:sz w:val="20"/>
          <w:szCs w:val="20"/>
        </w:rPr>
        <w:t>ll’aumento degli</w:t>
      </w:r>
      <w:r w:rsidRPr="003A3C6F">
        <w:rPr>
          <w:rFonts w:asciiTheme="minorHAnsi" w:hAnsiTheme="minorHAnsi" w:cstheme="minorHAnsi"/>
          <w:i/>
          <w:iCs/>
          <w:color w:val="000000" w:themeColor="text1"/>
          <w:sz w:val="20"/>
          <w:szCs w:val="20"/>
        </w:rPr>
        <w:t xml:space="preserve"> anni di sofferenza che </w:t>
      </w:r>
      <w:r w:rsidR="00FB400D" w:rsidRPr="003A3C6F">
        <w:rPr>
          <w:rFonts w:asciiTheme="minorHAnsi" w:hAnsiTheme="minorHAnsi" w:cstheme="minorHAnsi"/>
          <w:i/>
          <w:iCs/>
          <w:color w:val="000000" w:themeColor="text1"/>
          <w:sz w:val="20"/>
          <w:szCs w:val="20"/>
        </w:rPr>
        <w:t>le accompagneranno</w:t>
      </w:r>
      <w:r w:rsidRPr="003A3C6F">
        <w:rPr>
          <w:rFonts w:asciiTheme="minorHAnsi" w:hAnsiTheme="minorHAnsi" w:cstheme="minorHAnsi"/>
          <w:i/>
          <w:iCs/>
          <w:color w:val="000000" w:themeColor="text1"/>
          <w:sz w:val="20"/>
          <w:szCs w:val="20"/>
        </w:rPr>
        <w:t>.”</w:t>
      </w:r>
    </w:p>
    <w:p w:rsidR="003A3C6F" w:rsidRPr="003A3C6F" w:rsidRDefault="003A3C6F" w:rsidP="003A3C6F">
      <w:pPr>
        <w:pBdr>
          <w:top w:val="double" w:sz="4" w:space="1" w:color="2F5496" w:themeColor="accent1" w:themeShade="BF"/>
          <w:left w:val="double" w:sz="4" w:space="4" w:color="2F5496" w:themeColor="accent1" w:themeShade="BF"/>
          <w:bottom w:val="double" w:sz="4" w:space="1" w:color="2F5496" w:themeColor="accent1" w:themeShade="BF"/>
          <w:right w:val="double" w:sz="4" w:space="4" w:color="2F5496" w:themeColor="accent1" w:themeShade="BF"/>
        </w:pBdr>
        <w:shd w:val="clear" w:color="auto" w:fill="FBF9E1"/>
        <w:ind w:left="993" w:right="843"/>
        <w:jc w:val="both"/>
        <w:textAlignment w:val="top"/>
        <w:rPr>
          <w:rFonts w:asciiTheme="minorHAnsi" w:hAnsiTheme="minorHAnsi" w:cstheme="minorHAnsi"/>
          <w:i/>
          <w:iCs/>
          <w:color w:val="000000" w:themeColor="text1"/>
          <w:sz w:val="20"/>
          <w:szCs w:val="20"/>
        </w:rPr>
      </w:pPr>
    </w:p>
    <w:p w:rsidR="00FE6326" w:rsidRDefault="00FE6326" w:rsidP="00B648DA">
      <w:pPr>
        <w:shd w:val="clear" w:color="auto" w:fill="FFFFFF"/>
        <w:jc w:val="both"/>
        <w:textAlignment w:val="top"/>
        <w:rPr>
          <w:rFonts w:asciiTheme="minorHAnsi" w:hAnsiTheme="minorHAnsi" w:cstheme="minorHAnsi"/>
          <w:color w:val="000000" w:themeColor="text1"/>
          <w:sz w:val="22"/>
          <w:szCs w:val="22"/>
        </w:rPr>
      </w:pPr>
    </w:p>
    <w:p w:rsidR="00D05861" w:rsidRPr="00E82A6A" w:rsidRDefault="00D05861" w:rsidP="00B648DA">
      <w:pPr>
        <w:shd w:val="clear" w:color="auto" w:fill="FFFFFF"/>
        <w:jc w:val="both"/>
        <w:textAlignment w:val="top"/>
        <w:rPr>
          <w:rFonts w:asciiTheme="minorHAnsi" w:hAnsiTheme="minorHAnsi" w:cstheme="minorHAnsi"/>
          <w:color w:val="000000" w:themeColor="text1"/>
          <w:sz w:val="22"/>
          <w:szCs w:val="22"/>
        </w:rPr>
      </w:pPr>
    </w:p>
    <w:p w:rsidR="00FE6326" w:rsidRPr="00E82A6A" w:rsidRDefault="00FE6326" w:rsidP="00B648DA">
      <w:pPr>
        <w:shd w:val="clear" w:color="auto" w:fill="FFFFFF"/>
        <w:jc w:val="both"/>
        <w:textAlignment w:val="top"/>
        <w:rPr>
          <w:rFonts w:asciiTheme="minorHAnsi" w:hAnsiTheme="minorHAnsi" w:cstheme="minorHAnsi"/>
          <w:color w:val="000000" w:themeColor="text1"/>
          <w:sz w:val="22"/>
          <w:szCs w:val="22"/>
        </w:rPr>
      </w:pPr>
    </w:p>
    <w:p w:rsidR="00FE6326" w:rsidRPr="00E82A6A" w:rsidRDefault="00FE6326" w:rsidP="00B648DA">
      <w:pPr>
        <w:shd w:val="clear" w:color="auto" w:fill="FFFFFF"/>
        <w:jc w:val="both"/>
        <w:textAlignment w:val="top"/>
        <w:rPr>
          <w:rFonts w:asciiTheme="minorHAnsi" w:hAnsiTheme="minorHAnsi" w:cstheme="minorHAnsi"/>
          <w:color w:val="000000" w:themeColor="text1"/>
          <w:sz w:val="22"/>
          <w:szCs w:val="22"/>
        </w:rPr>
      </w:pPr>
    </w:p>
    <w:p w:rsidR="00FE6326" w:rsidRPr="00E82A6A" w:rsidRDefault="00FE6326" w:rsidP="00B648DA">
      <w:pPr>
        <w:shd w:val="clear" w:color="auto" w:fill="FFFFFF"/>
        <w:jc w:val="both"/>
        <w:textAlignment w:val="top"/>
        <w:rPr>
          <w:rFonts w:asciiTheme="minorHAnsi" w:hAnsiTheme="minorHAnsi" w:cstheme="minorHAnsi"/>
          <w:color w:val="000000" w:themeColor="text1"/>
          <w:sz w:val="22"/>
          <w:szCs w:val="22"/>
        </w:rPr>
      </w:pPr>
    </w:p>
    <w:p w:rsidR="00FE6326" w:rsidRPr="00E82A6A" w:rsidRDefault="00FE6326" w:rsidP="00B648DA">
      <w:pPr>
        <w:shd w:val="clear" w:color="auto" w:fill="FFFFFF"/>
        <w:jc w:val="both"/>
        <w:textAlignment w:val="top"/>
        <w:rPr>
          <w:rFonts w:asciiTheme="minorHAnsi" w:hAnsiTheme="minorHAnsi" w:cstheme="minorHAnsi"/>
          <w:color w:val="000000" w:themeColor="text1"/>
          <w:sz w:val="22"/>
          <w:szCs w:val="22"/>
        </w:rPr>
      </w:pPr>
    </w:p>
    <w:p w:rsidR="00FE6326" w:rsidRPr="00E82A6A" w:rsidRDefault="00FE6326" w:rsidP="00B648DA">
      <w:pPr>
        <w:shd w:val="clear" w:color="auto" w:fill="FFFFFF"/>
        <w:jc w:val="both"/>
        <w:textAlignment w:val="top"/>
        <w:rPr>
          <w:rFonts w:asciiTheme="minorHAnsi" w:hAnsiTheme="minorHAnsi" w:cstheme="minorHAnsi"/>
          <w:color w:val="000000" w:themeColor="text1"/>
          <w:sz w:val="22"/>
          <w:szCs w:val="22"/>
        </w:rPr>
      </w:pPr>
    </w:p>
    <w:p w:rsidR="00FE6326" w:rsidRPr="00E82A6A" w:rsidRDefault="00FE6326" w:rsidP="00B648DA">
      <w:pPr>
        <w:shd w:val="clear" w:color="auto" w:fill="FFFFFF"/>
        <w:jc w:val="both"/>
        <w:textAlignment w:val="top"/>
        <w:rPr>
          <w:rFonts w:asciiTheme="minorHAnsi" w:hAnsiTheme="minorHAnsi" w:cstheme="minorHAnsi"/>
          <w:color w:val="000000" w:themeColor="text1"/>
          <w:sz w:val="22"/>
          <w:szCs w:val="22"/>
        </w:rPr>
      </w:pPr>
    </w:p>
    <w:p w:rsidR="00FE6326" w:rsidRPr="00E82A6A" w:rsidRDefault="00FE6326" w:rsidP="00B648DA">
      <w:pPr>
        <w:shd w:val="clear" w:color="auto" w:fill="FFFFFF"/>
        <w:jc w:val="both"/>
        <w:textAlignment w:val="top"/>
        <w:rPr>
          <w:rFonts w:asciiTheme="minorHAnsi" w:hAnsiTheme="minorHAnsi" w:cstheme="minorHAnsi"/>
          <w:color w:val="000000" w:themeColor="text1"/>
          <w:sz w:val="22"/>
          <w:szCs w:val="22"/>
        </w:rPr>
      </w:pPr>
    </w:p>
    <w:p w:rsidR="00FE6326" w:rsidRPr="00E82A6A" w:rsidRDefault="00FE6326" w:rsidP="00B648DA">
      <w:pPr>
        <w:shd w:val="clear" w:color="auto" w:fill="FFFFFF"/>
        <w:jc w:val="both"/>
        <w:textAlignment w:val="top"/>
        <w:rPr>
          <w:rFonts w:asciiTheme="minorHAnsi" w:hAnsiTheme="minorHAnsi" w:cstheme="minorHAnsi"/>
          <w:color w:val="000000" w:themeColor="text1"/>
          <w:sz w:val="22"/>
          <w:szCs w:val="22"/>
        </w:rPr>
      </w:pPr>
    </w:p>
    <w:sectPr w:rsidR="00FE6326" w:rsidRPr="00E82A6A" w:rsidSect="00325D89">
      <w:type w:val="continuous"/>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2743C" w:rsidRDefault="0052743C" w:rsidP="002B7F58">
      <w:r>
        <w:separator/>
      </w:r>
    </w:p>
  </w:endnote>
  <w:endnote w:type="continuationSeparator" w:id="0">
    <w:p w:rsidR="0052743C" w:rsidRDefault="0052743C" w:rsidP="002B7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7535509"/>
      <w:docPartObj>
        <w:docPartGallery w:val="Page Numbers (Bottom of Page)"/>
        <w:docPartUnique/>
      </w:docPartObj>
    </w:sdtPr>
    <w:sdtEndPr>
      <w:rPr>
        <w:rStyle w:val="PageNumber"/>
      </w:rPr>
    </w:sdtEndPr>
    <w:sdtContent>
      <w:p w:rsidR="008F6FFE" w:rsidRDefault="008F6FFE" w:rsidP="00C82B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91911179"/>
      <w:docPartObj>
        <w:docPartGallery w:val="Page Numbers (Bottom of Page)"/>
        <w:docPartUnique/>
      </w:docPartObj>
    </w:sdtPr>
    <w:sdtEndPr>
      <w:rPr>
        <w:rStyle w:val="PageNumber"/>
      </w:rPr>
    </w:sdtEndPr>
    <w:sdtContent>
      <w:p w:rsidR="008F6FFE" w:rsidRDefault="008F6FFE" w:rsidP="003D0FB9">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F6FFE" w:rsidRDefault="008F6FFE" w:rsidP="003D0F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inorHAnsi" w:hAnsiTheme="minorHAnsi" w:cstheme="minorHAnsi"/>
        <w:sz w:val="18"/>
        <w:szCs w:val="18"/>
      </w:rPr>
      <w:id w:val="652959817"/>
      <w:docPartObj>
        <w:docPartGallery w:val="Page Numbers (Bottom of Page)"/>
        <w:docPartUnique/>
      </w:docPartObj>
    </w:sdtPr>
    <w:sdtEndPr>
      <w:rPr>
        <w:rStyle w:val="PageNumber"/>
      </w:rPr>
    </w:sdtEndPr>
    <w:sdtContent>
      <w:p w:rsidR="008F6FFE" w:rsidRPr="00F37F04" w:rsidRDefault="008F6FFE" w:rsidP="00C82B60">
        <w:pPr>
          <w:pStyle w:val="Footer"/>
          <w:framePr w:wrap="none" w:vAnchor="text" w:hAnchor="margin" w:xAlign="right" w:y="1"/>
          <w:rPr>
            <w:rStyle w:val="PageNumber"/>
            <w:rFonts w:asciiTheme="minorHAnsi" w:hAnsiTheme="minorHAnsi" w:cstheme="minorHAnsi"/>
            <w:sz w:val="18"/>
            <w:szCs w:val="18"/>
          </w:rPr>
        </w:pPr>
        <w:r w:rsidRPr="00F37F04">
          <w:rPr>
            <w:rStyle w:val="PageNumber"/>
            <w:rFonts w:asciiTheme="minorHAnsi" w:hAnsiTheme="minorHAnsi" w:cstheme="minorHAnsi"/>
            <w:sz w:val="18"/>
            <w:szCs w:val="18"/>
          </w:rPr>
          <w:fldChar w:fldCharType="begin"/>
        </w:r>
        <w:r w:rsidRPr="00F37F04">
          <w:rPr>
            <w:rStyle w:val="PageNumber"/>
            <w:rFonts w:asciiTheme="minorHAnsi" w:hAnsiTheme="minorHAnsi" w:cstheme="minorHAnsi"/>
            <w:sz w:val="18"/>
            <w:szCs w:val="18"/>
          </w:rPr>
          <w:instrText xml:space="preserve"> PAGE </w:instrText>
        </w:r>
        <w:r w:rsidRPr="00F37F04">
          <w:rPr>
            <w:rStyle w:val="PageNumber"/>
            <w:rFonts w:asciiTheme="minorHAnsi" w:hAnsiTheme="minorHAnsi" w:cstheme="minorHAnsi"/>
            <w:sz w:val="18"/>
            <w:szCs w:val="18"/>
          </w:rPr>
          <w:fldChar w:fldCharType="separate"/>
        </w:r>
        <w:r w:rsidRPr="00F37F04">
          <w:rPr>
            <w:rStyle w:val="PageNumber"/>
            <w:rFonts w:asciiTheme="minorHAnsi" w:hAnsiTheme="minorHAnsi" w:cstheme="minorHAnsi"/>
            <w:noProof/>
            <w:sz w:val="18"/>
            <w:szCs w:val="18"/>
          </w:rPr>
          <w:t>6</w:t>
        </w:r>
        <w:r w:rsidRPr="00F37F04">
          <w:rPr>
            <w:rStyle w:val="PageNumber"/>
            <w:rFonts w:asciiTheme="minorHAnsi" w:hAnsiTheme="minorHAnsi" w:cstheme="minorHAnsi"/>
            <w:sz w:val="18"/>
            <w:szCs w:val="18"/>
          </w:rPr>
          <w:fldChar w:fldCharType="end"/>
        </w:r>
      </w:p>
    </w:sdtContent>
  </w:sdt>
  <w:p w:rsidR="008F6FFE" w:rsidRPr="00FB1A0B" w:rsidRDefault="008F6FFE" w:rsidP="003D0FB9">
    <w:pPr>
      <w:pStyle w:val="Footer"/>
      <w:ind w:right="360"/>
      <w:rPr>
        <w:rFonts w:asciiTheme="minorHAnsi" w:hAnsiTheme="minorHAnsi" w:cstheme="minorHAnsi"/>
        <w:sz w:val="18"/>
        <w:szCs w:val="18"/>
      </w:rPr>
    </w:pPr>
    <w:r w:rsidRPr="00FB1A0B">
      <w:rPr>
        <w:rFonts w:asciiTheme="minorHAnsi" w:hAnsiTheme="minorHAnsi" w:cstheme="minorHAnsi"/>
        <w:sz w:val="18"/>
        <w:szCs w:val="18"/>
      </w:rPr>
      <w:t xml:space="preserve">Dr.ssa Loretta  Bolgan Rev_3                 </w:t>
    </w:r>
    <w:r w:rsidR="00235A16">
      <w:rPr>
        <w:rFonts w:asciiTheme="minorHAnsi" w:hAnsiTheme="minorHAnsi" w:cstheme="minorHAnsi"/>
        <w:sz w:val="18"/>
        <w:szCs w:val="18"/>
      </w:rPr>
      <w:tab/>
    </w:r>
    <w:r w:rsidR="00235A16">
      <w:rPr>
        <w:rFonts w:asciiTheme="minorHAnsi" w:hAnsiTheme="minorHAnsi" w:cstheme="minorHAnsi"/>
        <w:sz w:val="18"/>
        <w:szCs w:val="18"/>
      </w:rPr>
      <w:tab/>
    </w:r>
    <w:r w:rsidRPr="00FB1A0B">
      <w:rPr>
        <w:rFonts w:asciiTheme="minorHAnsi" w:hAnsiTheme="minorHAnsi" w:cstheme="minorHAnsi"/>
        <w:sz w:val="18"/>
        <w:szCs w:val="18"/>
      </w:rPr>
      <w:t>15.06.2020</w:t>
    </w:r>
  </w:p>
  <w:p w:rsidR="008F6FFE" w:rsidRDefault="00235A16" w:rsidP="00235A16">
    <w:pPr>
      <w:pStyle w:val="Header"/>
      <w:jc w:val="center"/>
    </w:pPr>
    <w:hyperlink r:id="rId1" w:history="1">
      <w:r w:rsidRPr="00235A16">
        <w:rPr>
          <w:rStyle w:val="Hyperlink"/>
        </w:rPr>
        <w:t>FEDERAZIONE RINASCIMENTO ITALIA (FRI)</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2743C" w:rsidRDefault="0052743C" w:rsidP="002B7F58">
      <w:r>
        <w:separator/>
      </w:r>
    </w:p>
  </w:footnote>
  <w:footnote w:type="continuationSeparator" w:id="0">
    <w:p w:rsidR="0052743C" w:rsidRDefault="0052743C" w:rsidP="002B7F58">
      <w:r>
        <w:continuationSeparator/>
      </w:r>
    </w:p>
  </w:footnote>
  <w:footnote w:id="1">
    <w:p w:rsidR="008F6FFE" w:rsidRPr="00C26367" w:rsidRDefault="008F6FFE" w:rsidP="00C26367">
      <w:pPr>
        <w:rPr>
          <w:rFonts w:asciiTheme="minorHAnsi" w:hAnsiTheme="minorHAnsi" w:cstheme="minorHAnsi"/>
          <w:color w:val="000000" w:themeColor="text1"/>
          <w:sz w:val="16"/>
          <w:szCs w:val="16"/>
        </w:rPr>
      </w:pPr>
      <w:r w:rsidRPr="00C26367">
        <w:rPr>
          <w:rStyle w:val="FootnoteReference"/>
          <w:rFonts w:asciiTheme="minorHAnsi" w:hAnsiTheme="minorHAnsi" w:cstheme="minorHAnsi"/>
          <w:color w:val="000000" w:themeColor="text1"/>
          <w:sz w:val="16"/>
          <w:szCs w:val="16"/>
        </w:rPr>
        <w:footnoteRef/>
      </w:r>
      <w:r w:rsidRPr="00C26367">
        <w:rPr>
          <w:rFonts w:asciiTheme="minorHAnsi" w:hAnsiTheme="minorHAnsi" w:cstheme="minorHAnsi"/>
          <w:color w:val="000000" w:themeColor="text1"/>
          <w:sz w:val="16"/>
          <w:szCs w:val="16"/>
        </w:rPr>
        <w:t xml:space="preserve"> </w:t>
      </w:r>
      <w:hyperlink r:id="rId1" w:history="1">
        <w:r w:rsidRPr="00C26367">
          <w:rPr>
            <w:rStyle w:val="Hyperlink"/>
            <w:rFonts w:asciiTheme="minorHAnsi" w:eastAsiaTheme="majorEastAsia" w:hAnsiTheme="minorHAnsi" w:cstheme="minorHAnsi"/>
            <w:color w:val="000000" w:themeColor="text1"/>
            <w:sz w:val="16"/>
            <w:szCs w:val="16"/>
            <w:u w:val="none"/>
          </w:rPr>
          <w:t>https://covid19.who.int/</w:t>
        </w:r>
      </w:hyperlink>
    </w:p>
    <w:p w:rsidR="008F6FFE" w:rsidRPr="00C26367" w:rsidRDefault="008F6FFE" w:rsidP="00C26367">
      <w:pPr>
        <w:rPr>
          <w:rFonts w:asciiTheme="minorHAnsi" w:hAnsiTheme="minorHAnsi" w:cstheme="minorHAnsi"/>
          <w:color w:val="000000" w:themeColor="text1"/>
          <w:sz w:val="16"/>
          <w:szCs w:val="16"/>
        </w:rPr>
      </w:pPr>
    </w:p>
    <w:p w:rsidR="008F6FFE" w:rsidRDefault="0052743C" w:rsidP="00C26367">
      <w:pPr>
        <w:rPr>
          <w:rFonts w:asciiTheme="minorHAnsi" w:hAnsiTheme="minorHAnsi" w:cstheme="minorHAnsi"/>
          <w:color w:val="000000" w:themeColor="text1"/>
          <w:sz w:val="16"/>
          <w:szCs w:val="16"/>
        </w:rPr>
      </w:pPr>
      <w:hyperlink r:id="rId2" w:history="1">
        <w:r w:rsidR="008F6FFE" w:rsidRPr="00C26367">
          <w:rPr>
            <w:rStyle w:val="Hyperlink"/>
            <w:rFonts w:asciiTheme="minorHAnsi" w:eastAsiaTheme="majorEastAsia" w:hAnsiTheme="minorHAnsi" w:cstheme="minorHAnsi"/>
            <w:color w:val="000000" w:themeColor="text1"/>
            <w:sz w:val="16"/>
            <w:szCs w:val="16"/>
            <w:u w:val="none"/>
          </w:rPr>
          <w:t>http://www.salute.gov.it/portale/nuovocoronavirus/dettaglioContenutiNuovoCoronavirus.jsp?lingua=italiano&amp;id=5338&amp;area=nuovoCoronavirus&amp;menu=vuoto</w:t>
        </w:r>
      </w:hyperlink>
    </w:p>
    <w:p w:rsidR="008F6FFE" w:rsidRPr="00CA51D4" w:rsidRDefault="008F6FFE">
      <w:pPr>
        <w:pStyle w:val="FootnoteText"/>
        <w:rPr>
          <w:rFonts w:asciiTheme="minorHAnsi" w:hAnsiTheme="minorHAnsi" w:cstheme="minorHAnsi"/>
          <w:sz w:val="16"/>
          <w:szCs w:val="16"/>
        </w:rPr>
      </w:pPr>
    </w:p>
  </w:footnote>
  <w:footnote w:id="2">
    <w:p w:rsidR="008F6FFE" w:rsidRDefault="008F6FFE" w:rsidP="00CA51D4">
      <w:r w:rsidRPr="00912511">
        <w:rPr>
          <w:rStyle w:val="FootnoteReference"/>
          <w:rFonts w:asciiTheme="minorHAnsi" w:hAnsiTheme="minorHAnsi" w:cstheme="minorHAnsi"/>
          <w:color w:val="000000" w:themeColor="text1"/>
          <w:sz w:val="16"/>
          <w:szCs w:val="16"/>
        </w:rPr>
        <w:footnoteRef/>
      </w:r>
      <w:r w:rsidRPr="00912511">
        <w:rPr>
          <w:rFonts w:asciiTheme="minorHAnsi" w:hAnsiTheme="minorHAnsi" w:cstheme="minorHAnsi"/>
          <w:color w:val="000000" w:themeColor="text1"/>
          <w:sz w:val="16"/>
          <w:szCs w:val="16"/>
        </w:rPr>
        <w:t xml:space="preserve"> </w:t>
      </w:r>
      <w:r w:rsidRPr="00F77506">
        <w:rPr>
          <w:rFonts w:asciiTheme="minorHAnsi" w:hAnsiTheme="minorHAnsi" w:cstheme="minorHAnsi"/>
          <w:color w:val="000000" w:themeColor="text1"/>
          <w:sz w:val="16"/>
          <w:szCs w:val="16"/>
        </w:rPr>
        <w:t>https://www.epicentro.iss.it/coronavirus/sars-cov-2-sorveglianza-dati</w:t>
      </w:r>
      <w:r>
        <w:t xml:space="preserve"> </w:t>
      </w:r>
    </w:p>
    <w:p w:rsidR="008F6FFE" w:rsidRPr="00F77506" w:rsidRDefault="008F6FFE" w:rsidP="00CA51D4">
      <w:pPr>
        <w:rPr>
          <w:color w:val="000000" w:themeColor="text1"/>
          <w:sz w:val="16"/>
          <w:szCs w:val="16"/>
        </w:rPr>
      </w:pPr>
    </w:p>
    <w:p w:rsidR="008F6FFE" w:rsidRDefault="0052743C" w:rsidP="00F77506">
      <w:hyperlink r:id="rId3" w:history="1">
        <w:r w:rsidR="008F6FFE" w:rsidRPr="00F77506">
          <w:rPr>
            <w:rStyle w:val="Hyperlink"/>
            <w:rFonts w:asciiTheme="minorHAnsi" w:eastAsiaTheme="majorEastAsia" w:hAnsiTheme="minorHAnsi" w:cstheme="minorHAnsi"/>
            <w:color w:val="000000" w:themeColor="text1"/>
            <w:sz w:val="16"/>
            <w:szCs w:val="16"/>
            <w:u w:val="none"/>
          </w:rPr>
          <w:t>http://www.salute.gov.it/portale/nuovocoronavirus/dettaglioContenutiNuovoCoronavirus.jsp?lingua=italiano&amp;id=5351&amp;area=nuovoCoronavirus&amp;menu=vuoto</w:t>
        </w:r>
      </w:hyperlink>
    </w:p>
  </w:footnote>
  <w:footnote w:id="3">
    <w:p w:rsidR="008F6FFE" w:rsidRPr="00717D4D" w:rsidRDefault="008F6FFE" w:rsidP="001E7ACB">
      <w:pPr>
        <w:pStyle w:val="Heading2"/>
        <w:shd w:val="clear" w:color="auto" w:fill="FFFFFF"/>
        <w:spacing w:before="0"/>
        <w:jc w:val="both"/>
        <w:rPr>
          <w:rFonts w:asciiTheme="minorHAnsi" w:hAnsiTheme="minorHAnsi" w:cs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hyperlink r:id="rId4" w:tooltip="Pediatric allergy and immunology : official publication of the European Society of Pediatric Allergy and Immunology." w:history="1">
        <w:r w:rsidRPr="00717D4D">
          <w:rPr>
            <w:rFonts w:asciiTheme="minorHAnsi" w:hAnsiTheme="minorHAnsi" w:cstheme="minorHAnsi"/>
            <w:color w:val="000000" w:themeColor="text1"/>
            <w:sz w:val="16"/>
            <w:szCs w:val="16"/>
            <w:lang w:val="en-US"/>
          </w:rPr>
          <w:t>Pediatr Allergy Immunol.</w:t>
        </w:r>
      </w:hyperlink>
      <w:r w:rsidRPr="00717D4D">
        <w:rPr>
          <w:rFonts w:asciiTheme="minorHAnsi" w:hAnsiTheme="minorHAnsi" w:cstheme="minorHAnsi"/>
          <w:color w:val="000000" w:themeColor="text1"/>
          <w:sz w:val="16"/>
          <w:szCs w:val="16"/>
          <w:lang w:val="en-US"/>
        </w:rPr>
        <w:t xml:space="preserve"> 2020 May 2. doi: 10.1111/pai.13271. </w:t>
      </w:r>
    </w:p>
    <w:p w:rsidR="008F6FFE" w:rsidRPr="00717D4D" w:rsidRDefault="008F6FFE" w:rsidP="001E7ACB">
      <w:pPr>
        <w:shd w:val="clear" w:color="auto" w:fill="FFFFFF"/>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The first, holistic immunological model of COVID-19: implications for prevention, diagnosis, and public health measures.</w:t>
      </w:r>
    </w:p>
    <w:p w:rsidR="008F6FFE" w:rsidRPr="00717D4D" w:rsidRDefault="0052743C" w:rsidP="001E7ACB">
      <w:pPr>
        <w:shd w:val="clear" w:color="auto" w:fill="FFFFFF"/>
        <w:jc w:val="both"/>
        <w:rPr>
          <w:rFonts w:asciiTheme="minorHAnsi" w:hAnsiTheme="minorHAnsi" w:cstheme="minorHAnsi"/>
          <w:color w:val="000000" w:themeColor="text1"/>
          <w:sz w:val="16"/>
          <w:szCs w:val="16"/>
        </w:rPr>
      </w:pPr>
      <w:hyperlink r:id="rId5" w:history="1">
        <w:r w:rsidR="008F6FFE" w:rsidRPr="00717D4D">
          <w:rPr>
            <w:rFonts w:asciiTheme="minorHAnsi" w:hAnsiTheme="minorHAnsi" w:cstheme="minorHAnsi"/>
            <w:color w:val="000000" w:themeColor="text1"/>
            <w:sz w:val="16"/>
            <w:szCs w:val="16"/>
          </w:rPr>
          <w:t>Matricardi PM</w:t>
        </w:r>
      </w:hyperlink>
      <w:r w:rsidR="008F6FFE" w:rsidRPr="00717D4D">
        <w:rPr>
          <w:rFonts w:asciiTheme="minorHAnsi" w:hAnsiTheme="minorHAnsi" w:cstheme="minorHAnsi"/>
          <w:color w:val="000000" w:themeColor="text1"/>
          <w:sz w:val="16"/>
          <w:szCs w:val="16"/>
        </w:rPr>
        <w:t>1, </w:t>
      </w:r>
      <w:hyperlink r:id="rId6" w:history="1">
        <w:r w:rsidR="008F6FFE" w:rsidRPr="00717D4D">
          <w:rPr>
            <w:rFonts w:asciiTheme="minorHAnsi" w:hAnsiTheme="minorHAnsi" w:cstheme="minorHAnsi"/>
            <w:color w:val="000000" w:themeColor="text1"/>
            <w:sz w:val="16"/>
            <w:szCs w:val="16"/>
          </w:rPr>
          <w:t>Dal Negro RW</w:t>
        </w:r>
      </w:hyperlink>
      <w:r w:rsidR="008F6FFE" w:rsidRPr="00717D4D">
        <w:rPr>
          <w:rFonts w:asciiTheme="minorHAnsi" w:hAnsiTheme="minorHAnsi" w:cstheme="minorHAnsi"/>
          <w:color w:val="000000" w:themeColor="text1"/>
          <w:sz w:val="16"/>
          <w:szCs w:val="16"/>
        </w:rPr>
        <w:t>2, </w:t>
      </w:r>
      <w:hyperlink r:id="rId7" w:history="1">
        <w:r w:rsidR="008F6FFE" w:rsidRPr="00717D4D">
          <w:rPr>
            <w:rFonts w:asciiTheme="minorHAnsi" w:hAnsiTheme="minorHAnsi" w:cstheme="minorHAnsi"/>
            <w:color w:val="000000" w:themeColor="text1"/>
            <w:sz w:val="16"/>
            <w:szCs w:val="16"/>
          </w:rPr>
          <w:t>Nisini R</w:t>
        </w:r>
      </w:hyperlink>
      <w:r w:rsidR="008F6FFE" w:rsidRPr="00717D4D">
        <w:rPr>
          <w:rFonts w:asciiTheme="minorHAnsi" w:hAnsiTheme="minorHAnsi" w:cstheme="minorHAnsi"/>
          <w:color w:val="000000" w:themeColor="text1"/>
          <w:sz w:val="16"/>
          <w:szCs w:val="16"/>
        </w:rPr>
        <w:t>3.</w:t>
      </w:r>
    </w:p>
    <w:p w:rsidR="008F6FFE" w:rsidRPr="00717D4D" w:rsidRDefault="0052743C" w:rsidP="001E7ACB">
      <w:pPr>
        <w:shd w:val="clear" w:color="auto" w:fill="FFFFFF"/>
        <w:jc w:val="both"/>
        <w:rPr>
          <w:rFonts w:asciiTheme="minorHAnsi" w:hAnsiTheme="minorHAnsi" w:cstheme="minorHAnsi"/>
          <w:color w:val="000000" w:themeColor="text1"/>
          <w:sz w:val="16"/>
          <w:szCs w:val="16"/>
        </w:rPr>
      </w:pPr>
      <w:hyperlink r:id="rId8" w:history="1">
        <w:r w:rsidR="008F6FFE" w:rsidRPr="00717D4D">
          <w:rPr>
            <w:rFonts w:asciiTheme="minorHAnsi" w:hAnsiTheme="minorHAnsi" w:cstheme="minorHAnsi"/>
            <w:color w:val="000000" w:themeColor="text1"/>
            <w:sz w:val="16"/>
            <w:szCs w:val="16"/>
          </w:rPr>
          <w:t>https://onlinelibrary.wiley.com/doi/epdf/10.1111/pai.13271</w:t>
        </w:r>
      </w:hyperlink>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rPr>
      </w:pPr>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en-US"/>
        </w:rPr>
      </w:pPr>
      <w:r w:rsidRPr="00181F2D">
        <w:rPr>
          <w:rFonts w:asciiTheme="minorHAnsi" w:hAnsiTheme="minorHAnsi" w:cstheme="minorHAnsi"/>
          <w:color w:val="000000" w:themeColor="text1"/>
          <w:sz w:val="16"/>
          <w:szCs w:val="16"/>
          <w:lang w:val="en-US"/>
        </w:rPr>
        <w:t>Lancet  2020</w:t>
      </w:r>
      <w:r w:rsidRPr="00CF78B5">
        <w:rPr>
          <w:rFonts w:asciiTheme="minorHAnsi" w:hAnsiTheme="minorHAnsi" w:cstheme="minorHAnsi"/>
          <w:bCs/>
          <w:color w:val="000000" w:themeColor="text1"/>
          <w:sz w:val="16"/>
          <w:szCs w:val="16"/>
          <w:lang w:val="en-US"/>
        </w:rPr>
        <w:t xml:space="preserve"> </w:t>
      </w:r>
      <w:r w:rsidRPr="00717D4D">
        <w:rPr>
          <w:rFonts w:asciiTheme="minorHAnsi" w:hAnsiTheme="minorHAnsi" w:cstheme="minorHAnsi"/>
          <w:bCs/>
          <w:color w:val="000000" w:themeColor="text1"/>
          <w:sz w:val="16"/>
          <w:szCs w:val="16"/>
          <w:lang w:val="en-US"/>
        </w:rPr>
        <w:t>Mar 28;395(10229):1054-1062. doi: 10.1016/S0140-6736(20)30566-3.</w:t>
      </w:r>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Clinical Course and Risk Factors for Mortality of Adult Inpatients With COVID-19 in Wuhan, China: A Retrospective Cohort Study</w:t>
      </w:r>
    </w:p>
    <w:p w:rsidR="008F6FFE" w:rsidRPr="00235A16" w:rsidRDefault="0052743C" w:rsidP="001E7ACB">
      <w:pPr>
        <w:pStyle w:val="Heading2"/>
        <w:shd w:val="clear" w:color="auto" w:fill="FFFFFF"/>
        <w:spacing w:before="0"/>
        <w:jc w:val="both"/>
        <w:rPr>
          <w:rFonts w:asciiTheme="minorHAnsi" w:hAnsiTheme="minorHAnsi" w:cstheme="minorHAnsi"/>
          <w:bCs/>
          <w:color w:val="000000" w:themeColor="text1"/>
          <w:sz w:val="16"/>
          <w:szCs w:val="16"/>
          <w:lang w:val="de-DE"/>
        </w:rPr>
      </w:pPr>
      <w:hyperlink r:id="rId9" w:history="1">
        <w:r w:rsidR="008F6FFE" w:rsidRPr="00235A16">
          <w:rPr>
            <w:rFonts w:asciiTheme="minorHAnsi" w:hAnsiTheme="minorHAnsi" w:cstheme="minorHAnsi"/>
            <w:bCs/>
            <w:color w:val="000000" w:themeColor="text1"/>
            <w:sz w:val="16"/>
            <w:szCs w:val="16"/>
            <w:lang w:val="de-DE"/>
          </w:rPr>
          <w:t>Fei Zhou</w:t>
        </w:r>
      </w:hyperlink>
      <w:r w:rsidR="008F6FFE" w:rsidRPr="00235A16">
        <w:rPr>
          <w:rFonts w:asciiTheme="minorHAnsi" w:hAnsiTheme="minorHAnsi" w:cstheme="minorHAnsi"/>
          <w:bCs/>
          <w:color w:val="000000" w:themeColor="text1"/>
          <w:sz w:val="16"/>
          <w:szCs w:val="16"/>
          <w:lang w:val="de-DE"/>
        </w:rPr>
        <w:t> et al</w:t>
      </w:r>
    </w:p>
    <w:p w:rsidR="008F6FFE" w:rsidRPr="00235A16" w:rsidRDefault="0052743C" w:rsidP="0048011C">
      <w:pPr>
        <w:rPr>
          <w:rFonts w:asciiTheme="minorHAnsi" w:hAnsiTheme="minorHAnsi" w:cstheme="minorHAnsi"/>
          <w:color w:val="000000" w:themeColor="text1"/>
          <w:sz w:val="16"/>
          <w:szCs w:val="16"/>
          <w:lang w:val="de-DE"/>
        </w:rPr>
      </w:pPr>
      <w:hyperlink r:id="rId10" w:history="1">
        <w:r w:rsidR="008F6FFE" w:rsidRPr="00235A16">
          <w:rPr>
            <w:rFonts w:asciiTheme="minorHAnsi" w:hAnsiTheme="minorHAnsi" w:cstheme="minorHAnsi"/>
            <w:color w:val="000000" w:themeColor="text1"/>
            <w:sz w:val="16"/>
            <w:szCs w:val="16"/>
            <w:lang w:val="de-DE"/>
          </w:rPr>
          <w:t>https://www.ncbi.nlm.nih.gov/pmc/articles/PMC7270627/pdf/main.pdf</w:t>
        </w:r>
      </w:hyperlink>
    </w:p>
    <w:p w:rsidR="008F6FFE" w:rsidRPr="00235A16" w:rsidRDefault="008F6FFE" w:rsidP="001E7ACB">
      <w:pPr>
        <w:jc w:val="both"/>
        <w:rPr>
          <w:rFonts w:asciiTheme="minorHAnsi" w:hAnsiTheme="minorHAnsi"/>
          <w:sz w:val="16"/>
          <w:szCs w:val="16"/>
          <w:lang w:val="de-DE"/>
        </w:rPr>
      </w:pPr>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JAMA 2020 Mar 19;323(16):1612-1614. doi: 10.1001/jama.2020.4326. </w:t>
      </w:r>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Characteristics and Outcomes of 21 Critically Ill Patients With COVID-19 in Washington State</w:t>
      </w:r>
    </w:p>
    <w:p w:rsidR="008F6FFE" w:rsidRDefault="0052743C" w:rsidP="001E7ACB">
      <w:pPr>
        <w:pStyle w:val="Heading2"/>
        <w:shd w:val="clear" w:color="auto" w:fill="FFFFFF"/>
        <w:spacing w:before="0"/>
        <w:jc w:val="both"/>
        <w:rPr>
          <w:rFonts w:asciiTheme="minorHAnsi" w:hAnsiTheme="minorHAnsi" w:cstheme="minorHAnsi"/>
          <w:bCs/>
          <w:color w:val="000000" w:themeColor="text1"/>
          <w:sz w:val="16"/>
          <w:szCs w:val="16"/>
          <w:lang w:val="en-US"/>
        </w:rPr>
      </w:pPr>
      <w:hyperlink r:id="rId11" w:history="1">
        <w:r w:rsidR="008F6FFE" w:rsidRPr="00717D4D">
          <w:rPr>
            <w:rFonts w:asciiTheme="minorHAnsi" w:hAnsiTheme="minorHAnsi" w:cstheme="minorHAnsi"/>
            <w:bCs/>
            <w:color w:val="000000" w:themeColor="text1"/>
            <w:sz w:val="16"/>
            <w:szCs w:val="16"/>
            <w:lang w:val="en-US"/>
          </w:rPr>
          <w:t>Matt Arentz</w:t>
        </w:r>
      </w:hyperlink>
      <w:r w:rsidR="008F6FFE" w:rsidRPr="00717D4D">
        <w:rPr>
          <w:rFonts w:asciiTheme="minorHAnsi" w:hAnsiTheme="minorHAnsi" w:cstheme="minorHAnsi"/>
          <w:bCs/>
          <w:color w:val="000000" w:themeColor="text1"/>
          <w:sz w:val="16"/>
          <w:szCs w:val="16"/>
          <w:lang w:val="en-US"/>
        </w:rPr>
        <w:t> </w:t>
      </w:r>
      <w:hyperlink r:id="rId12" w:anchor="affiliation-1" w:history="1">
        <w:r w:rsidR="008F6FFE" w:rsidRPr="00717D4D">
          <w:rPr>
            <w:rFonts w:asciiTheme="minorHAnsi" w:hAnsiTheme="minorHAnsi" w:cstheme="minorHAnsi"/>
            <w:bCs/>
            <w:color w:val="000000" w:themeColor="text1"/>
            <w:sz w:val="16"/>
            <w:szCs w:val="16"/>
            <w:lang w:val="en-US"/>
          </w:rPr>
          <w:t>1</w:t>
        </w:r>
      </w:hyperlink>
      <w:r w:rsidR="008F6FFE" w:rsidRPr="00717D4D">
        <w:rPr>
          <w:rFonts w:asciiTheme="minorHAnsi" w:hAnsiTheme="minorHAnsi" w:cstheme="minorHAnsi"/>
          <w:bCs/>
          <w:color w:val="000000" w:themeColor="text1"/>
          <w:sz w:val="16"/>
          <w:szCs w:val="16"/>
          <w:lang w:val="en-US"/>
        </w:rPr>
        <w:t>, </w:t>
      </w:r>
      <w:hyperlink r:id="rId13" w:history="1">
        <w:r w:rsidR="008F6FFE" w:rsidRPr="00717D4D">
          <w:rPr>
            <w:rFonts w:asciiTheme="minorHAnsi" w:hAnsiTheme="minorHAnsi" w:cstheme="minorHAnsi"/>
            <w:bCs/>
            <w:color w:val="000000" w:themeColor="text1"/>
            <w:sz w:val="16"/>
            <w:szCs w:val="16"/>
            <w:lang w:val="en-US"/>
          </w:rPr>
          <w:t>Eric Yim</w:t>
        </w:r>
      </w:hyperlink>
      <w:r w:rsidR="008F6FFE" w:rsidRPr="00717D4D">
        <w:rPr>
          <w:rFonts w:asciiTheme="minorHAnsi" w:hAnsiTheme="minorHAnsi" w:cstheme="minorHAnsi"/>
          <w:bCs/>
          <w:color w:val="000000" w:themeColor="text1"/>
          <w:sz w:val="16"/>
          <w:szCs w:val="16"/>
          <w:lang w:val="en-US"/>
        </w:rPr>
        <w:t> </w:t>
      </w:r>
      <w:hyperlink r:id="rId14" w:anchor="affiliation-2" w:history="1">
        <w:r w:rsidR="008F6FFE" w:rsidRPr="00717D4D">
          <w:rPr>
            <w:rFonts w:asciiTheme="minorHAnsi" w:hAnsiTheme="minorHAnsi" w:cstheme="minorHAnsi"/>
            <w:bCs/>
            <w:color w:val="000000" w:themeColor="text1"/>
            <w:sz w:val="16"/>
            <w:szCs w:val="16"/>
            <w:lang w:val="en-US"/>
          </w:rPr>
          <w:t>2</w:t>
        </w:r>
      </w:hyperlink>
      <w:r w:rsidR="008F6FFE" w:rsidRPr="00717D4D">
        <w:rPr>
          <w:rFonts w:asciiTheme="minorHAnsi" w:hAnsiTheme="minorHAnsi" w:cstheme="minorHAnsi"/>
          <w:bCs/>
          <w:color w:val="000000" w:themeColor="text1"/>
          <w:sz w:val="16"/>
          <w:szCs w:val="16"/>
          <w:lang w:val="en-US"/>
        </w:rPr>
        <w:t>, </w:t>
      </w:r>
      <w:hyperlink r:id="rId15" w:history="1">
        <w:r w:rsidR="008F6FFE" w:rsidRPr="00717D4D">
          <w:rPr>
            <w:rFonts w:asciiTheme="minorHAnsi" w:hAnsiTheme="minorHAnsi" w:cstheme="minorHAnsi"/>
            <w:bCs/>
            <w:color w:val="000000" w:themeColor="text1"/>
            <w:sz w:val="16"/>
            <w:szCs w:val="16"/>
            <w:lang w:val="en-US"/>
          </w:rPr>
          <w:t>Lindy Klaff</w:t>
        </w:r>
      </w:hyperlink>
      <w:r w:rsidR="008F6FFE" w:rsidRPr="00717D4D">
        <w:rPr>
          <w:rFonts w:asciiTheme="minorHAnsi" w:hAnsiTheme="minorHAnsi" w:cstheme="minorHAnsi"/>
          <w:bCs/>
          <w:color w:val="000000" w:themeColor="text1"/>
          <w:sz w:val="16"/>
          <w:szCs w:val="16"/>
          <w:lang w:val="en-US"/>
        </w:rPr>
        <w:t> </w:t>
      </w:r>
      <w:hyperlink r:id="rId16" w:anchor="affiliation-2" w:history="1">
        <w:r w:rsidR="008F6FFE" w:rsidRPr="00717D4D">
          <w:rPr>
            <w:rFonts w:asciiTheme="minorHAnsi" w:hAnsiTheme="minorHAnsi" w:cstheme="minorHAnsi"/>
            <w:bCs/>
            <w:color w:val="000000" w:themeColor="text1"/>
            <w:sz w:val="16"/>
            <w:szCs w:val="16"/>
            <w:lang w:val="en-US"/>
          </w:rPr>
          <w:t>2</w:t>
        </w:r>
      </w:hyperlink>
      <w:r w:rsidR="008F6FFE" w:rsidRPr="00717D4D">
        <w:rPr>
          <w:rFonts w:asciiTheme="minorHAnsi" w:hAnsiTheme="minorHAnsi" w:cstheme="minorHAnsi"/>
          <w:bCs/>
          <w:color w:val="000000" w:themeColor="text1"/>
          <w:sz w:val="16"/>
          <w:szCs w:val="16"/>
          <w:lang w:val="en-US"/>
        </w:rPr>
        <w:t>, </w:t>
      </w:r>
      <w:hyperlink r:id="rId17" w:history="1">
        <w:r w:rsidR="008F6FFE" w:rsidRPr="00717D4D">
          <w:rPr>
            <w:rFonts w:asciiTheme="minorHAnsi" w:hAnsiTheme="minorHAnsi" w:cstheme="minorHAnsi"/>
            <w:bCs/>
            <w:color w:val="000000" w:themeColor="text1"/>
            <w:sz w:val="16"/>
            <w:szCs w:val="16"/>
            <w:lang w:val="en-US"/>
          </w:rPr>
          <w:t>Sharukh Lokhandwala</w:t>
        </w:r>
      </w:hyperlink>
      <w:r w:rsidR="008F6FFE" w:rsidRPr="00717D4D">
        <w:rPr>
          <w:rFonts w:asciiTheme="minorHAnsi" w:hAnsiTheme="minorHAnsi" w:cstheme="minorHAnsi"/>
          <w:bCs/>
          <w:color w:val="000000" w:themeColor="text1"/>
          <w:sz w:val="16"/>
          <w:szCs w:val="16"/>
          <w:lang w:val="en-US"/>
        </w:rPr>
        <w:t> </w:t>
      </w:r>
      <w:hyperlink r:id="rId18" w:anchor="affiliation-2" w:history="1">
        <w:r w:rsidR="008F6FFE" w:rsidRPr="00717D4D">
          <w:rPr>
            <w:rFonts w:asciiTheme="minorHAnsi" w:hAnsiTheme="minorHAnsi" w:cstheme="minorHAnsi"/>
            <w:bCs/>
            <w:color w:val="000000" w:themeColor="text1"/>
            <w:sz w:val="16"/>
            <w:szCs w:val="16"/>
            <w:lang w:val="en-US"/>
          </w:rPr>
          <w:t>2</w:t>
        </w:r>
      </w:hyperlink>
      <w:r w:rsidR="008F6FFE" w:rsidRPr="00717D4D">
        <w:rPr>
          <w:rFonts w:asciiTheme="minorHAnsi" w:hAnsiTheme="minorHAnsi" w:cstheme="minorHAnsi"/>
          <w:bCs/>
          <w:color w:val="000000" w:themeColor="text1"/>
          <w:sz w:val="16"/>
          <w:szCs w:val="16"/>
          <w:lang w:val="en-US"/>
        </w:rPr>
        <w:t>, </w:t>
      </w:r>
      <w:hyperlink r:id="rId19" w:history="1">
        <w:r w:rsidR="008F6FFE" w:rsidRPr="00717D4D">
          <w:rPr>
            <w:rFonts w:asciiTheme="minorHAnsi" w:hAnsiTheme="minorHAnsi" w:cstheme="minorHAnsi"/>
            <w:bCs/>
            <w:color w:val="000000" w:themeColor="text1"/>
            <w:sz w:val="16"/>
            <w:szCs w:val="16"/>
            <w:lang w:val="en-US"/>
          </w:rPr>
          <w:t>Francis X Riedo</w:t>
        </w:r>
      </w:hyperlink>
      <w:r w:rsidR="008F6FFE" w:rsidRPr="00717D4D">
        <w:rPr>
          <w:rFonts w:asciiTheme="minorHAnsi" w:hAnsiTheme="minorHAnsi" w:cstheme="minorHAnsi"/>
          <w:bCs/>
          <w:color w:val="000000" w:themeColor="text1"/>
          <w:sz w:val="16"/>
          <w:szCs w:val="16"/>
          <w:lang w:val="en-US"/>
        </w:rPr>
        <w:t> </w:t>
      </w:r>
      <w:hyperlink r:id="rId20" w:anchor="affiliation-2" w:history="1">
        <w:r w:rsidR="008F6FFE" w:rsidRPr="00717D4D">
          <w:rPr>
            <w:rFonts w:asciiTheme="minorHAnsi" w:hAnsiTheme="minorHAnsi" w:cstheme="minorHAnsi"/>
            <w:bCs/>
            <w:color w:val="000000" w:themeColor="text1"/>
            <w:sz w:val="16"/>
            <w:szCs w:val="16"/>
            <w:lang w:val="en-US"/>
          </w:rPr>
          <w:t>2</w:t>
        </w:r>
      </w:hyperlink>
      <w:r w:rsidR="008F6FFE" w:rsidRPr="00717D4D">
        <w:rPr>
          <w:rFonts w:asciiTheme="minorHAnsi" w:hAnsiTheme="minorHAnsi" w:cstheme="minorHAnsi"/>
          <w:bCs/>
          <w:color w:val="000000" w:themeColor="text1"/>
          <w:sz w:val="16"/>
          <w:szCs w:val="16"/>
          <w:lang w:val="en-US"/>
        </w:rPr>
        <w:t>, </w:t>
      </w:r>
      <w:hyperlink r:id="rId21" w:history="1">
        <w:r w:rsidR="008F6FFE" w:rsidRPr="00717D4D">
          <w:rPr>
            <w:rFonts w:asciiTheme="minorHAnsi" w:hAnsiTheme="minorHAnsi" w:cstheme="minorHAnsi"/>
            <w:bCs/>
            <w:color w:val="000000" w:themeColor="text1"/>
            <w:sz w:val="16"/>
            <w:szCs w:val="16"/>
            <w:lang w:val="en-US"/>
          </w:rPr>
          <w:t>Maria Chong</w:t>
        </w:r>
      </w:hyperlink>
      <w:r w:rsidR="008F6FFE" w:rsidRPr="00717D4D">
        <w:rPr>
          <w:rFonts w:asciiTheme="minorHAnsi" w:hAnsiTheme="minorHAnsi" w:cstheme="minorHAnsi"/>
          <w:bCs/>
          <w:color w:val="000000" w:themeColor="text1"/>
          <w:sz w:val="16"/>
          <w:szCs w:val="16"/>
          <w:lang w:val="en-US"/>
        </w:rPr>
        <w:t> </w:t>
      </w:r>
      <w:hyperlink r:id="rId22" w:anchor="affiliation-3" w:history="1">
        <w:r w:rsidR="008F6FFE" w:rsidRPr="00717D4D">
          <w:rPr>
            <w:rFonts w:asciiTheme="minorHAnsi" w:hAnsiTheme="minorHAnsi" w:cstheme="minorHAnsi"/>
            <w:bCs/>
            <w:color w:val="000000" w:themeColor="text1"/>
            <w:sz w:val="16"/>
            <w:szCs w:val="16"/>
            <w:lang w:val="en-US"/>
          </w:rPr>
          <w:t>3</w:t>
        </w:r>
      </w:hyperlink>
      <w:r w:rsidR="008F6FFE" w:rsidRPr="00717D4D">
        <w:rPr>
          <w:rFonts w:asciiTheme="minorHAnsi" w:hAnsiTheme="minorHAnsi" w:cstheme="minorHAnsi"/>
          <w:bCs/>
          <w:color w:val="000000" w:themeColor="text1"/>
          <w:sz w:val="16"/>
          <w:szCs w:val="16"/>
          <w:lang w:val="en-US"/>
        </w:rPr>
        <w:t>, </w:t>
      </w:r>
      <w:hyperlink r:id="rId23" w:history="1">
        <w:r w:rsidR="008F6FFE" w:rsidRPr="00717D4D">
          <w:rPr>
            <w:rFonts w:asciiTheme="minorHAnsi" w:hAnsiTheme="minorHAnsi" w:cstheme="minorHAnsi"/>
            <w:bCs/>
            <w:color w:val="000000" w:themeColor="text1"/>
            <w:sz w:val="16"/>
            <w:szCs w:val="16"/>
            <w:lang w:val="en-US"/>
          </w:rPr>
          <w:t>Melissa Lee</w:t>
        </w:r>
      </w:hyperlink>
    </w:p>
    <w:p w:rsidR="008F6FFE" w:rsidRPr="0048011C" w:rsidRDefault="0052743C" w:rsidP="0048011C">
      <w:pPr>
        <w:rPr>
          <w:rFonts w:asciiTheme="minorHAnsi" w:hAnsiTheme="minorHAnsi" w:cstheme="minorHAnsi"/>
          <w:color w:val="000000" w:themeColor="text1"/>
          <w:sz w:val="16"/>
          <w:szCs w:val="16"/>
          <w:lang w:val="en-US"/>
        </w:rPr>
      </w:pPr>
      <w:hyperlink r:id="rId24" w:history="1">
        <w:r w:rsidR="008F6FFE" w:rsidRPr="0048011C">
          <w:rPr>
            <w:rFonts w:asciiTheme="minorHAnsi" w:hAnsiTheme="minorHAnsi" w:cstheme="minorHAnsi"/>
            <w:color w:val="000000" w:themeColor="text1"/>
            <w:sz w:val="16"/>
            <w:szCs w:val="16"/>
            <w:lang w:val="en-US"/>
          </w:rPr>
          <w:t>https://www.ncbi.nlm.nih.gov/pmc/articles/PMC7082763/</w:t>
        </w:r>
      </w:hyperlink>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en-US"/>
        </w:rPr>
      </w:pPr>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N Engl J Med 2020 May 21;382(21):2012-2022. doi: 10.1056/NEJMoa2004500. </w:t>
      </w:r>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Covid-19 in Critically Ill Patients in the Seattle Region - Case Series</w:t>
      </w:r>
    </w:p>
    <w:p w:rsidR="008F6FFE" w:rsidRPr="00235A16" w:rsidRDefault="0052743C" w:rsidP="001E7ACB">
      <w:pPr>
        <w:pStyle w:val="Heading2"/>
        <w:shd w:val="clear" w:color="auto" w:fill="FFFFFF"/>
        <w:spacing w:before="0"/>
        <w:jc w:val="both"/>
        <w:rPr>
          <w:rFonts w:asciiTheme="minorHAnsi" w:hAnsiTheme="minorHAnsi" w:cstheme="minorHAnsi"/>
          <w:bCs/>
          <w:color w:val="000000" w:themeColor="text1"/>
          <w:sz w:val="16"/>
          <w:szCs w:val="16"/>
          <w:lang w:val="de-DE"/>
        </w:rPr>
      </w:pPr>
      <w:hyperlink r:id="rId25" w:history="1">
        <w:r w:rsidR="008F6FFE" w:rsidRPr="00235A16">
          <w:rPr>
            <w:rFonts w:asciiTheme="minorHAnsi" w:hAnsiTheme="minorHAnsi" w:cstheme="minorHAnsi"/>
            <w:bCs/>
            <w:color w:val="000000" w:themeColor="text1"/>
            <w:sz w:val="16"/>
            <w:szCs w:val="16"/>
            <w:lang w:val="de-DE"/>
          </w:rPr>
          <w:t>Pavan K Bhatraju</w:t>
        </w:r>
      </w:hyperlink>
      <w:r w:rsidR="008F6FFE" w:rsidRPr="00235A16">
        <w:rPr>
          <w:rFonts w:asciiTheme="minorHAnsi" w:hAnsiTheme="minorHAnsi" w:cstheme="minorHAnsi"/>
          <w:bCs/>
          <w:color w:val="000000" w:themeColor="text1"/>
          <w:sz w:val="16"/>
          <w:szCs w:val="16"/>
          <w:lang w:val="de-DE"/>
        </w:rPr>
        <w:t xml:space="preserve">  et al</w:t>
      </w:r>
    </w:p>
    <w:p w:rsidR="008F6FFE" w:rsidRPr="00235A16" w:rsidRDefault="0052743C" w:rsidP="0048011C">
      <w:pPr>
        <w:rPr>
          <w:rFonts w:asciiTheme="minorHAnsi" w:hAnsiTheme="minorHAnsi" w:cstheme="minorHAnsi"/>
          <w:color w:val="000000" w:themeColor="text1"/>
          <w:sz w:val="16"/>
          <w:szCs w:val="16"/>
          <w:lang w:val="de-DE"/>
        </w:rPr>
      </w:pPr>
      <w:hyperlink r:id="rId26" w:history="1">
        <w:r w:rsidR="008F6FFE" w:rsidRPr="00235A16">
          <w:rPr>
            <w:rFonts w:asciiTheme="minorHAnsi" w:hAnsiTheme="minorHAnsi" w:cstheme="minorHAnsi"/>
            <w:color w:val="000000" w:themeColor="text1"/>
            <w:sz w:val="16"/>
            <w:szCs w:val="16"/>
            <w:lang w:val="de-DE"/>
          </w:rPr>
          <w:t>https://www.ncbi.nlm.nih.gov/pmc/articles/PMC7143164/pdf/NEJMoa2004500.pdf</w:t>
        </w:r>
      </w:hyperlink>
    </w:p>
    <w:p w:rsidR="008F6FFE" w:rsidRPr="00235A16"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de-DE"/>
        </w:rPr>
      </w:pPr>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 xml:space="preserve">N Engl J Med 2020 Apr </w:t>
      </w:r>
      <w:r w:rsidRPr="00181F2D">
        <w:rPr>
          <w:rFonts w:asciiTheme="minorHAnsi" w:hAnsiTheme="minorHAnsi" w:cstheme="minorHAnsi"/>
          <w:color w:val="000000" w:themeColor="text1"/>
          <w:sz w:val="16"/>
          <w:szCs w:val="16"/>
          <w:lang w:val="en-US"/>
        </w:rPr>
        <w:t>17;NEJMc2010419</w:t>
      </w:r>
      <w:r w:rsidRPr="00CF78B5">
        <w:rPr>
          <w:rFonts w:asciiTheme="minorHAnsi" w:hAnsiTheme="minorHAnsi" w:cstheme="minorHAnsi"/>
          <w:bCs/>
          <w:color w:val="000000" w:themeColor="text1"/>
          <w:sz w:val="16"/>
          <w:szCs w:val="16"/>
          <w:lang w:val="en-US"/>
        </w:rPr>
        <w:t>.  </w:t>
      </w:r>
      <w:r w:rsidRPr="00717D4D">
        <w:rPr>
          <w:rFonts w:asciiTheme="minorHAnsi" w:hAnsiTheme="minorHAnsi" w:cstheme="minorHAnsi"/>
          <w:bCs/>
          <w:color w:val="000000" w:themeColor="text1"/>
          <w:sz w:val="16"/>
          <w:szCs w:val="16"/>
          <w:lang w:val="en-US"/>
        </w:rPr>
        <w:t>doi: 10.1056/NEJMc2010419. </w:t>
      </w:r>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Clinical Characteristics of Covid-19 in New York City</w:t>
      </w:r>
    </w:p>
    <w:p w:rsidR="008F6FFE" w:rsidRDefault="0052743C" w:rsidP="001E7ACB">
      <w:pPr>
        <w:pStyle w:val="Heading2"/>
        <w:shd w:val="clear" w:color="auto" w:fill="FFFFFF"/>
        <w:spacing w:before="0"/>
        <w:jc w:val="both"/>
        <w:rPr>
          <w:rFonts w:asciiTheme="minorHAnsi" w:hAnsiTheme="minorHAnsi" w:cstheme="minorHAnsi"/>
          <w:bCs/>
          <w:color w:val="000000" w:themeColor="text1"/>
          <w:sz w:val="16"/>
          <w:szCs w:val="16"/>
          <w:lang w:val="en-US"/>
        </w:rPr>
      </w:pPr>
      <w:hyperlink r:id="rId27" w:history="1">
        <w:r w:rsidR="008F6FFE" w:rsidRPr="00717D4D">
          <w:rPr>
            <w:rFonts w:asciiTheme="minorHAnsi" w:hAnsiTheme="minorHAnsi" w:cstheme="minorHAnsi"/>
            <w:bCs/>
            <w:color w:val="000000" w:themeColor="text1"/>
            <w:sz w:val="16"/>
            <w:szCs w:val="16"/>
            <w:lang w:val="en-US"/>
          </w:rPr>
          <w:t>Parag Goyal</w:t>
        </w:r>
      </w:hyperlink>
      <w:r w:rsidR="008F6FFE" w:rsidRPr="00717D4D">
        <w:rPr>
          <w:rFonts w:asciiTheme="minorHAnsi" w:hAnsiTheme="minorHAnsi" w:cstheme="minorHAnsi"/>
          <w:bCs/>
          <w:color w:val="000000" w:themeColor="text1"/>
          <w:sz w:val="16"/>
          <w:szCs w:val="16"/>
          <w:lang w:val="en-US"/>
        </w:rPr>
        <w:t> et al</w:t>
      </w:r>
    </w:p>
    <w:p w:rsidR="008F6FFE" w:rsidRPr="0048011C" w:rsidRDefault="0052743C" w:rsidP="0048011C">
      <w:pPr>
        <w:rPr>
          <w:rFonts w:asciiTheme="minorHAnsi" w:hAnsiTheme="minorHAnsi" w:cstheme="minorHAnsi"/>
          <w:color w:val="000000" w:themeColor="text1"/>
          <w:sz w:val="16"/>
          <w:szCs w:val="16"/>
          <w:lang w:val="en-US"/>
        </w:rPr>
      </w:pPr>
      <w:hyperlink r:id="rId28" w:history="1">
        <w:r w:rsidR="008F6FFE" w:rsidRPr="0048011C">
          <w:rPr>
            <w:rFonts w:asciiTheme="minorHAnsi" w:hAnsiTheme="minorHAnsi" w:cstheme="minorHAnsi"/>
            <w:color w:val="000000" w:themeColor="text1"/>
            <w:sz w:val="16"/>
            <w:szCs w:val="16"/>
            <w:lang w:val="en-US"/>
          </w:rPr>
          <w:t>https://www.ncbi.nlm.nih.gov/pmc/articles/PMC7182018/pdf/NEJMc2010419.pdf</w:t>
        </w:r>
      </w:hyperlink>
    </w:p>
    <w:p w:rsidR="008F6FFE" w:rsidRPr="00717D4D" w:rsidRDefault="008F6FFE" w:rsidP="001E7ACB">
      <w:pPr>
        <w:jc w:val="both"/>
        <w:rPr>
          <w:rFonts w:asciiTheme="minorHAnsi" w:hAnsiTheme="minorHAnsi"/>
          <w:sz w:val="16"/>
          <w:szCs w:val="16"/>
          <w:lang w:val="en-US"/>
        </w:rPr>
      </w:pPr>
    </w:p>
    <w:p w:rsidR="008F6FFE" w:rsidRPr="00DC48B4" w:rsidRDefault="008F6FFE" w:rsidP="001E7ACB">
      <w:pPr>
        <w:pStyle w:val="Heading2"/>
        <w:shd w:val="clear" w:color="auto" w:fill="FFFFFF"/>
        <w:spacing w:before="0"/>
        <w:jc w:val="both"/>
        <w:rPr>
          <w:rFonts w:asciiTheme="minorHAnsi" w:hAnsiTheme="minorHAnsi" w:cstheme="minorHAnsi"/>
          <w:bCs/>
          <w:color w:val="000000" w:themeColor="text1"/>
          <w:sz w:val="16"/>
          <w:szCs w:val="16"/>
        </w:rPr>
      </w:pPr>
      <w:r w:rsidRPr="00DC48B4">
        <w:rPr>
          <w:rFonts w:asciiTheme="minorHAnsi" w:hAnsiTheme="minorHAnsi" w:cstheme="minorHAnsi"/>
          <w:bCs/>
          <w:color w:val="000000" w:themeColor="text1"/>
          <w:sz w:val="16"/>
          <w:szCs w:val="16"/>
        </w:rPr>
        <w:t>JAMA 2020 Apr 22;e206775. doi: 10.1001/jama.2020.6775. </w:t>
      </w:r>
    </w:p>
    <w:p w:rsidR="008F6FFE" w:rsidRPr="00717D4D" w:rsidRDefault="008F6FFE" w:rsidP="001E7ACB">
      <w:pPr>
        <w:pStyle w:val="Heading2"/>
        <w:shd w:val="clear" w:color="auto" w:fill="FFFFFF"/>
        <w:spacing w:before="0"/>
        <w:jc w:val="both"/>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Presenting Characteristics, Comorbidities, and Outcomes Among 5700 Patients Hospitalized With COVID-19 in the New York City Area</w:t>
      </w:r>
    </w:p>
    <w:p w:rsidR="008F6FFE" w:rsidRDefault="0052743C" w:rsidP="001E7ACB">
      <w:pPr>
        <w:pStyle w:val="Heading2"/>
        <w:shd w:val="clear" w:color="auto" w:fill="FFFFFF"/>
        <w:spacing w:before="0"/>
        <w:jc w:val="both"/>
        <w:rPr>
          <w:rFonts w:asciiTheme="minorHAnsi" w:hAnsiTheme="minorHAnsi" w:cstheme="minorHAnsi"/>
          <w:bCs/>
          <w:color w:val="000000" w:themeColor="text1"/>
          <w:sz w:val="16"/>
          <w:szCs w:val="16"/>
          <w:lang w:val="en-US"/>
        </w:rPr>
      </w:pPr>
      <w:hyperlink r:id="rId29" w:history="1">
        <w:r w:rsidR="008F6FFE" w:rsidRPr="00717D4D">
          <w:rPr>
            <w:rFonts w:asciiTheme="minorHAnsi" w:hAnsiTheme="minorHAnsi" w:cstheme="minorHAnsi"/>
            <w:bCs/>
            <w:color w:val="000000" w:themeColor="text1"/>
            <w:sz w:val="16"/>
            <w:szCs w:val="16"/>
            <w:lang w:val="en-US"/>
          </w:rPr>
          <w:t>Safiya Richardson</w:t>
        </w:r>
      </w:hyperlink>
      <w:r w:rsidR="008F6FFE" w:rsidRPr="00717D4D">
        <w:rPr>
          <w:rFonts w:asciiTheme="minorHAnsi" w:hAnsiTheme="minorHAnsi" w:cstheme="minorHAnsi"/>
          <w:bCs/>
          <w:color w:val="000000" w:themeColor="text1"/>
          <w:sz w:val="16"/>
          <w:szCs w:val="16"/>
          <w:lang w:val="en-US"/>
        </w:rPr>
        <w:t> et al</w:t>
      </w:r>
    </w:p>
    <w:p w:rsidR="008F6FFE" w:rsidRPr="00E81309" w:rsidRDefault="0052743C" w:rsidP="00E81309">
      <w:pPr>
        <w:rPr>
          <w:rFonts w:asciiTheme="minorHAnsi" w:hAnsiTheme="minorHAnsi" w:cstheme="minorHAnsi"/>
          <w:color w:val="000000" w:themeColor="text1"/>
          <w:sz w:val="16"/>
          <w:szCs w:val="16"/>
          <w:lang w:val="en-US"/>
        </w:rPr>
      </w:pPr>
      <w:hyperlink r:id="rId30" w:history="1">
        <w:r w:rsidR="008F6FFE" w:rsidRPr="00E81309">
          <w:rPr>
            <w:rFonts w:asciiTheme="minorHAnsi" w:hAnsiTheme="minorHAnsi" w:cstheme="minorHAnsi"/>
            <w:color w:val="000000" w:themeColor="text1"/>
            <w:sz w:val="16"/>
            <w:szCs w:val="16"/>
            <w:lang w:val="en-US"/>
          </w:rPr>
          <w:t>https://www.ncbi.nlm.nih.gov/pmc/articles/PMC7177629/</w:t>
        </w:r>
      </w:hyperlink>
    </w:p>
    <w:p w:rsidR="008F6FFE" w:rsidRPr="00717D4D" w:rsidRDefault="008F6FFE" w:rsidP="001E7ACB">
      <w:pPr>
        <w:pStyle w:val="FootnoteText"/>
        <w:jc w:val="both"/>
        <w:rPr>
          <w:rFonts w:asciiTheme="minorHAnsi" w:hAnsiTheme="minorHAnsi"/>
          <w:sz w:val="16"/>
          <w:szCs w:val="16"/>
          <w:lang w:val="en-US"/>
        </w:rPr>
      </w:pPr>
    </w:p>
  </w:footnote>
  <w:footnote w:id="4">
    <w:p w:rsidR="008F6FFE" w:rsidRPr="006E29F7" w:rsidRDefault="008F6FFE" w:rsidP="006D0FBE">
      <w:pPr>
        <w:rPr>
          <w:rStyle w:val="Hyperlink"/>
          <w:rFonts w:eastAsiaTheme="majorEastAsia" w:cstheme="minorHAnsi"/>
          <w:color w:val="000000" w:themeColor="text1"/>
          <w:sz w:val="16"/>
          <w:szCs w:val="16"/>
          <w:u w:val="none"/>
        </w:rPr>
      </w:pPr>
      <w:r w:rsidRPr="002B7F58">
        <w:rPr>
          <w:rStyle w:val="FootnoteReference"/>
          <w:rFonts w:cstheme="minorHAnsi"/>
          <w:color w:val="000000" w:themeColor="text1"/>
          <w:sz w:val="16"/>
          <w:szCs w:val="16"/>
        </w:rPr>
        <w:footnoteRef/>
      </w:r>
      <w:r w:rsidRPr="006E29F7">
        <w:rPr>
          <w:rFonts w:cstheme="minorHAnsi"/>
          <w:color w:val="000000" w:themeColor="text1"/>
          <w:sz w:val="16"/>
          <w:szCs w:val="16"/>
        </w:rPr>
        <w:t xml:space="preserve"> </w:t>
      </w:r>
    </w:p>
    <w:p w:rsidR="008F6FFE" w:rsidRPr="00717D4D" w:rsidRDefault="008F6FFE" w:rsidP="00717D4D">
      <w:pPr>
        <w:pBdr>
          <w:top w:val="single" w:sz="4" w:space="1" w:color="auto"/>
          <w:left w:val="single" w:sz="4" w:space="1" w:color="auto"/>
          <w:bottom w:val="single" w:sz="4" w:space="1" w:color="auto"/>
          <w:right w:val="single" w:sz="4" w:space="1" w:color="auto"/>
        </w:pBdr>
        <w:rPr>
          <w:rStyle w:val="Hyperlink"/>
          <w:rFonts w:asciiTheme="minorHAnsi" w:eastAsiaTheme="majorEastAsia" w:hAnsiTheme="minorHAnsi" w:cstheme="minorHAnsi"/>
          <w:b/>
          <w:color w:val="000000" w:themeColor="text1"/>
          <w:sz w:val="16"/>
          <w:szCs w:val="16"/>
          <w:u w:val="none"/>
        </w:rPr>
      </w:pPr>
      <w:r w:rsidRPr="00717D4D">
        <w:rPr>
          <w:rStyle w:val="Hyperlink"/>
          <w:rFonts w:asciiTheme="minorHAnsi" w:eastAsiaTheme="majorEastAsia" w:hAnsiTheme="minorHAnsi" w:cstheme="minorHAnsi"/>
          <w:b/>
          <w:color w:val="000000" w:themeColor="text1"/>
          <w:sz w:val="16"/>
          <w:szCs w:val="16"/>
          <w:u w:val="none"/>
        </w:rPr>
        <w:t>per consultazione</w:t>
      </w:r>
    </w:p>
    <w:p w:rsidR="008F6FFE" w:rsidRPr="00717D4D" w:rsidRDefault="0052743C" w:rsidP="00457221">
      <w:pPr>
        <w:pBdr>
          <w:top w:val="single" w:sz="4" w:space="1" w:color="auto"/>
          <w:left w:val="single" w:sz="4" w:space="1" w:color="auto"/>
          <w:bottom w:val="single" w:sz="4" w:space="1" w:color="auto"/>
          <w:right w:val="single" w:sz="4" w:space="1" w:color="auto"/>
        </w:pBdr>
        <w:jc w:val="both"/>
        <w:rPr>
          <w:rFonts w:asciiTheme="minorHAnsi" w:hAnsiTheme="minorHAnsi" w:cstheme="minorHAnsi"/>
          <w:color w:val="000000" w:themeColor="text1"/>
          <w:sz w:val="16"/>
          <w:szCs w:val="16"/>
          <w:shd w:val="clear" w:color="auto" w:fill="FFFFFF"/>
        </w:rPr>
      </w:pPr>
      <w:hyperlink r:id="rId31" w:anchor="H3392906512" w:history="1">
        <w:r w:rsidR="008F6FFE" w:rsidRPr="00717D4D">
          <w:rPr>
            <w:rFonts w:asciiTheme="minorHAnsi" w:hAnsiTheme="minorHAnsi" w:cstheme="minorHAnsi"/>
            <w:color w:val="000000" w:themeColor="text1"/>
            <w:sz w:val="16"/>
            <w:szCs w:val="16"/>
            <w:shd w:val="clear" w:color="auto" w:fill="FFFFFF"/>
          </w:rPr>
          <w:t>https://www.uptodate.com/contents/coronavirus-disease-2019-covid-19-epidemiology-virology-clinical-features-diagnosis-and-prevention#H3392906512</w:t>
        </w:r>
      </w:hyperlink>
    </w:p>
    <w:p w:rsidR="008F6FFE" w:rsidRPr="00717D4D" w:rsidRDefault="008F6FFE" w:rsidP="00717D4D">
      <w:pPr>
        <w:pBdr>
          <w:top w:val="single" w:sz="4" w:space="1" w:color="auto"/>
          <w:left w:val="single" w:sz="4" w:space="1" w:color="auto"/>
          <w:bottom w:val="single" w:sz="4" w:space="1" w:color="auto"/>
          <w:right w:val="single" w:sz="4" w:space="1" w:color="auto"/>
        </w:pBdr>
        <w:rPr>
          <w:rFonts w:asciiTheme="minorHAnsi" w:hAnsiTheme="minorHAnsi" w:cstheme="minorHAnsi"/>
          <w:color w:val="000000" w:themeColor="text1"/>
          <w:sz w:val="16"/>
          <w:szCs w:val="16"/>
          <w:shd w:val="clear" w:color="auto" w:fill="FFFFFF"/>
        </w:rPr>
      </w:pPr>
    </w:p>
    <w:p w:rsidR="008F6FFE" w:rsidRPr="00717D4D" w:rsidRDefault="0052743C" w:rsidP="00717D4D">
      <w:pPr>
        <w:pStyle w:val="Heading1"/>
        <w:pBdr>
          <w:top w:val="single" w:sz="4" w:space="1" w:color="auto"/>
          <w:left w:val="single" w:sz="4" w:space="1" w:color="auto"/>
          <w:bottom w:val="single" w:sz="4" w:space="1" w:color="auto"/>
          <w:right w:val="single" w:sz="4" w:space="1" w:color="auto"/>
        </w:pBdr>
        <w:spacing w:before="0"/>
        <w:jc w:val="both"/>
        <w:rPr>
          <w:rFonts w:asciiTheme="minorHAnsi" w:hAnsiTheme="minorHAnsi" w:cstheme="minorHAnsi"/>
          <w:color w:val="222222"/>
          <w:sz w:val="16"/>
          <w:szCs w:val="16"/>
          <w:lang w:val="en-US"/>
        </w:rPr>
      </w:pPr>
      <w:hyperlink r:id="rId32" w:history="1">
        <w:r w:rsidR="008F6FFE" w:rsidRPr="00717D4D">
          <w:rPr>
            <w:rStyle w:val="Hyperlink"/>
            <w:rFonts w:asciiTheme="minorHAnsi" w:hAnsiTheme="minorHAnsi" w:cstheme="minorHAnsi"/>
            <w:color w:val="222222"/>
            <w:sz w:val="16"/>
            <w:szCs w:val="16"/>
            <w:u w:val="none"/>
            <w:lang w:val="en-US"/>
          </w:rPr>
          <w:t>Internet Book of Critical Care (IBCC)</w:t>
        </w:r>
      </w:hyperlink>
      <w:r w:rsidR="008F6FFE" w:rsidRPr="00717D4D">
        <w:rPr>
          <w:rFonts w:asciiTheme="minorHAnsi" w:hAnsiTheme="minorHAnsi" w:cstheme="minorHAnsi"/>
          <w:b/>
          <w:bCs/>
          <w:color w:val="222222"/>
          <w:sz w:val="16"/>
          <w:szCs w:val="16"/>
          <w:lang w:val="en-US"/>
        </w:rPr>
        <w:t xml:space="preserve"> </w:t>
      </w:r>
      <w:r w:rsidR="008F6FFE" w:rsidRPr="00717D4D">
        <w:rPr>
          <w:rFonts w:asciiTheme="minorHAnsi" w:hAnsiTheme="minorHAnsi" w:cstheme="minorHAnsi"/>
          <w:bCs/>
          <w:color w:val="222222"/>
          <w:sz w:val="16"/>
          <w:szCs w:val="16"/>
          <w:lang w:val="en-US"/>
        </w:rPr>
        <w:t>COVID-19</w:t>
      </w:r>
    </w:p>
    <w:p w:rsidR="008F6FFE" w:rsidRPr="00717D4D" w:rsidRDefault="008F6FFE" w:rsidP="00717D4D">
      <w:pPr>
        <w:pBdr>
          <w:top w:val="single" w:sz="4" w:space="1" w:color="auto"/>
          <w:left w:val="single" w:sz="4" w:space="1" w:color="auto"/>
          <w:bottom w:val="single" w:sz="4" w:space="1" w:color="auto"/>
          <w:right w:val="single" w:sz="4" w:space="1" w:color="auto"/>
        </w:pBdr>
        <w:rPr>
          <w:rFonts w:asciiTheme="minorHAnsi" w:hAnsiTheme="minorHAnsi" w:cstheme="minorHAnsi"/>
          <w:color w:val="000000" w:themeColor="text1"/>
          <w:sz w:val="16"/>
          <w:szCs w:val="16"/>
          <w:shd w:val="clear" w:color="auto" w:fill="FFFFFF"/>
          <w:lang w:val="en-US"/>
        </w:rPr>
      </w:pPr>
      <w:r w:rsidRPr="00717D4D">
        <w:rPr>
          <w:rFonts w:asciiTheme="minorHAnsi" w:hAnsiTheme="minorHAnsi"/>
          <w:color w:val="000000" w:themeColor="text1"/>
          <w:sz w:val="16"/>
          <w:szCs w:val="16"/>
          <w:lang w:val="en-US"/>
        </w:rPr>
        <w:t xml:space="preserve"> </w:t>
      </w:r>
      <w:hyperlink r:id="rId33" w:history="1">
        <w:r w:rsidRPr="00717D4D">
          <w:rPr>
            <w:rStyle w:val="Hyperlink"/>
            <w:rFonts w:asciiTheme="minorHAnsi" w:eastAsiaTheme="majorEastAsia" w:hAnsiTheme="minorHAnsi" w:cs="Arial"/>
            <w:color w:val="000000" w:themeColor="text1"/>
            <w:sz w:val="16"/>
            <w:szCs w:val="16"/>
            <w:u w:val="none"/>
            <w:shd w:val="clear" w:color="auto" w:fill="FFFFFF"/>
            <w:lang w:val="en-US"/>
          </w:rPr>
          <w:t>https://emcrit.org/ibcc/covid19/</w:t>
        </w:r>
      </w:hyperlink>
      <w:r w:rsidRPr="00717D4D">
        <w:rPr>
          <w:rFonts w:asciiTheme="minorHAnsi" w:hAnsiTheme="minorHAnsi" w:cstheme="minorHAnsi"/>
          <w:color w:val="000000" w:themeColor="text1"/>
          <w:sz w:val="16"/>
          <w:szCs w:val="16"/>
          <w:shd w:val="clear" w:color="auto" w:fill="FFFFFF"/>
          <w:lang w:val="en-US"/>
        </w:rPr>
        <w:t xml:space="preserve"> </w:t>
      </w:r>
    </w:p>
    <w:p w:rsidR="008F6FFE" w:rsidRPr="00717D4D" w:rsidRDefault="008F6FFE" w:rsidP="00717D4D">
      <w:pPr>
        <w:pBdr>
          <w:top w:val="single" w:sz="4" w:space="1" w:color="auto"/>
          <w:left w:val="single" w:sz="4" w:space="1" w:color="auto"/>
          <w:bottom w:val="single" w:sz="4" w:space="1" w:color="auto"/>
          <w:right w:val="single" w:sz="4" w:space="1" w:color="auto"/>
        </w:pBdr>
        <w:rPr>
          <w:rFonts w:asciiTheme="minorHAnsi" w:hAnsiTheme="minorHAnsi" w:cstheme="minorHAnsi"/>
          <w:color w:val="000000" w:themeColor="text1"/>
          <w:sz w:val="16"/>
          <w:szCs w:val="16"/>
          <w:shd w:val="clear" w:color="auto" w:fill="FFFFFF"/>
          <w:lang w:val="en-US"/>
        </w:rPr>
      </w:pPr>
    </w:p>
    <w:p w:rsidR="008F6FFE" w:rsidRPr="00717D4D" w:rsidRDefault="008F6FFE" w:rsidP="00717D4D">
      <w:pPr>
        <w:pBdr>
          <w:top w:val="single" w:sz="4" w:space="1" w:color="auto"/>
          <w:left w:val="single" w:sz="4" w:space="1" w:color="auto"/>
          <w:bottom w:val="single" w:sz="4" w:space="1" w:color="auto"/>
          <w:right w:val="single" w:sz="4" w:space="1" w:color="auto"/>
        </w:pBdr>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shd w:val="clear" w:color="auto" w:fill="FFFFFF"/>
          <w:lang w:val="en-US"/>
        </w:rPr>
        <w:t>Coronavirus Disease 2019 (COVID-19) Epidemiology, Pathogenesis, Diagnosis, and Therapeutics</w:t>
      </w:r>
    </w:p>
    <w:p w:rsidR="008F6FFE" w:rsidRPr="00717D4D" w:rsidRDefault="008F6FFE" w:rsidP="00717D4D">
      <w:pPr>
        <w:pBdr>
          <w:top w:val="single" w:sz="4" w:space="1" w:color="auto"/>
          <w:left w:val="single" w:sz="4" w:space="1" w:color="auto"/>
          <w:bottom w:val="single" w:sz="4" w:space="1" w:color="auto"/>
          <w:right w:val="single" w:sz="4" w:space="1" w:color="auto"/>
        </w:pBdr>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shd w:val="clear" w:color="auto" w:fill="FFFFFF"/>
          <w:lang w:val="en-US"/>
        </w:rPr>
        <w:t>Editors Shailendra K. Saxena 2020 Publisher Springer Singapore DOI 10.1007/978-981-15-4814-7</w:t>
      </w:r>
    </w:p>
    <w:p w:rsidR="008F6FFE" w:rsidRPr="00717D4D" w:rsidRDefault="0052743C" w:rsidP="00717D4D">
      <w:pPr>
        <w:pBdr>
          <w:top w:val="single" w:sz="4" w:space="1" w:color="auto"/>
          <w:left w:val="single" w:sz="4" w:space="1" w:color="auto"/>
          <w:bottom w:val="single" w:sz="4" w:space="1" w:color="auto"/>
          <w:right w:val="single" w:sz="4" w:space="1" w:color="auto"/>
        </w:pBdr>
        <w:rPr>
          <w:rStyle w:val="Hyperlink"/>
          <w:rFonts w:asciiTheme="minorHAnsi" w:eastAsiaTheme="majorEastAsia" w:hAnsiTheme="minorHAnsi" w:cstheme="minorHAnsi"/>
          <w:color w:val="000000" w:themeColor="text1"/>
          <w:sz w:val="16"/>
          <w:szCs w:val="16"/>
          <w:u w:val="none"/>
          <w:lang w:val="en-US"/>
        </w:rPr>
      </w:pPr>
      <w:hyperlink r:id="rId34" w:history="1">
        <w:r w:rsidR="008F6FFE" w:rsidRPr="00717D4D">
          <w:rPr>
            <w:rStyle w:val="Hyperlink"/>
            <w:rFonts w:asciiTheme="minorHAnsi" w:eastAsiaTheme="majorEastAsia" w:hAnsiTheme="minorHAnsi" w:cstheme="minorHAnsi"/>
            <w:color w:val="000000" w:themeColor="text1"/>
            <w:sz w:val="16"/>
            <w:szCs w:val="16"/>
            <w:u w:val="none"/>
            <w:lang w:val="en-US"/>
          </w:rPr>
          <w:t>https://link.springer.com/content/pdf/10.1007%2F978-981-15-4814-7.pdf</w:t>
        </w:r>
      </w:hyperlink>
    </w:p>
    <w:p w:rsidR="008F6FFE" w:rsidRPr="00717D4D" w:rsidRDefault="008F6FFE" w:rsidP="00717D4D">
      <w:pPr>
        <w:pBdr>
          <w:top w:val="single" w:sz="4" w:space="1" w:color="auto"/>
          <w:left w:val="single" w:sz="4" w:space="1" w:color="auto"/>
          <w:bottom w:val="single" w:sz="4" w:space="1" w:color="auto"/>
          <w:right w:val="single" w:sz="4" w:space="1" w:color="auto"/>
        </w:pBdr>
        <w:rPr>
          <w:rFonts w:asciiTheme="minorHAnsi" w:hAnsiTheme="minorHAnsi"/>
          <w:color w:val="000000" w:themeColor="text1"/>
          <w:sz w:val="16"/>
          <w:szCs w:val="16"/>
          <w:lang w:val="en-US"/>
        </w:rPr>
      </w:pPr>
    </w:p>
    <w:p w:rsidR="008F6FFE" w:rsidRPr="00717D4D" w:rsidRDefault="008F6FFE" w:rsidP="00717D4D">
      <w:pPr>
        <w:rPr>
          <w:rFonts w:asciiTheme="minorHAnsi" w:hAnsiTheme="minorHAnsi" w:cstheme="minorHAnsi"/>
          <w:color w:val="000000" w:themeColor="text1"/>
          <w:sz w:val="16"/>
          <w:szCs w:val="16"/>
          <w:lang w:val="en-US"/>
        </w:rPr>
      </w:pP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35" w:tooltip="Pediatric allergy and immunology : official publication of the European Society of Pediatric Allergy and Immunology." w:history="1">
        <w:r w:rsidR="008F6FFE" w:rsidRPr="00717D4D">
          <w:rPr>
            <w:rFonts w:asciiTheme="minorHAnsi" w:hAnsiTheme="minorHAnsi" w:cstheme="minorHAnsi"/>
            <w:color w:val="000000" w:themeColor="text1"/>
            <w:sz w:val="16"/>
            <w:szCs w:val="16"/>
            <w:lang w:val="en-US"/>
          </w:rPr>
          <w:t>Pediatr Allergy Immunol.</w:t>
        </w:r>
      </w:hyperlink>
      <w:r w:rsidR="008F6FFE" w:rsidRPr="00717D4D">
        <w:rPr>
          <w:rFonts w:asciiTheme="minorHAnsi" w:hAnsiTheme="minorHAnsi" w:cstheme="minorHAnsi"/>
          <w:color w:val="000000" w:themeColor="text1"/>
          <w:sz w:val="16"/>
          <w:szCs w:val="16"/>
          <w:lang w:val="en-US"/>
        </w:rPr>
        <w:t> 2020 May 2. doi: 10.1111/pai.13271. [Epub ahead of print]</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The first, holistic immunological model of COVID-19: implications for prevention, diagnosis, and public health measures.</w:t>
      </w:r>
    </w:p>
    <w:p w:rsidR="008F6FFE" w:rsidRPr="00717D4D" w:rsidRDefault="0052743C" w:rsidP="00717D4D">
      <w:pPr>
        <w:shd w:val="clear" w:color="auto" w:fill="FFFFFF"/>
        <w:rPr>
          <w:rFonts w:asciiTheme="minorHAnsi" w:hAnsiTheme="minorHAnsi" w:cstheme="minorHAnsi"/>
          <w:color w:val="000000" w:themeColor="text1"/>
          <w:sz w:val="16"/>
          <w:szCs w:val="16"/>
        </w:rPr>
      </w:pPr>
      <w:hyperlink r:id="rId36" w:history="1">
        <w:r w:rsidR="008F6FFE" w:rsidRPr="00717D4D">
          <w:rPr>
            <w:rFonts w:asciiTheme="minorHAnsi" w:hAnsiTheme="minorHAnsi" w:cstheme="minorHAnsi"/>
            <w:color w:val="000000" w:themeColor="text1"/>
            <w:sz w:val="16"/>
            <w:szCs w:val="16"/>
          </w:rPr>
          <w:t>Matricardi PM</w:t>
        </w:r>
      </w:hyperlink>
      <w:r w:rsidR="008F6FFE" w:rsidRPr="00717D4D">
        <w:rPr>
          <w:rFonts w:asciiTheme="minorHAnsi" w:hAnsiTheme="minorHAnsi" w:cstheme="minorHAnsi"/>
          <w:color w:val="000000" w:themeColor="text1"/>
          <w:sz w:val="16"/>
          <w:szCs w:val="16"/>
        </w:rPr>
        <w:t>1, </w:t>
      </w:r>
      <w:hyperlink r:id="rId37" w:history="1">
        <w:r w:rsidR="008F6FFE" w:rsidRPr="00717D4D">
          <w:rPr>
            <w:rFonts w:asciiTheme="minorHAnsi" w:hAnsiTheme="minorHAnsi" w:cstheme="minorHAnsi"/>
            <w:color w:val="000000" w:themeColor="text1"/>
            <w:sz w:val="16"/>
            <w:szCs w:val="16"/>
          </w:rPr>
          <w:t>Dal Negro RW</w:t>
        </w:r>
      </w:hyperlink>
      <w:r w:rsidR="008F6FFE" w:rsidRPr="00717D4D">
        <w:rPr>
          <w:rFonts w:asciiTheme="minorHAnsi" w:hAnsiTheme="minorHAnsi" w:cstheme="minorHAnsi"/>
          <w:color w:val="000000" w:themeColor="text1"/>
          <w:sz w:val="16"/>
          <w:szCs w:val="16"/>
        </w:rPr>
        <w:t>2, </w:t>
      </w:r>
      <w:hyperlink r:id="rId38" w:history="1">
        <w:r w:rsidR="008F6FFE" w:rsidRPr="00717D4D">
          <w:rPr>
            <w:rFonts w:asciiTheme="minorHAnsi" w:hAnsiTheme="minorHAnsi" w:cstheme="minorHAnsi"/>
            <w:color w:val="000000" w:themeColor="text1"/>
            <w:sz w:val="16"/>
            <w:szCs w:val="16"/>
          </w:rPr>
          <w:t>Nisini R</w:t>
        </w:r>
      </w:hyperlink>
      <w:r w:rsidR="008F6FFE" w:rsidRPr="00717D4D">
        <w:rPr>
          <w:rFonts w:asciiTheme="minorHAnsi" w:hAnsiTheme="minorHAnsi" w:cstheme="minorHAnsi"/>
          <w:color w:val="000000" w:themeColor="text1"/>
          <w:sz w:val="16"/>
          <w:szCs w:val="16"/>
        </w:rPr>
        <w:t>3.</w:t>
      </w:r>
    </w:p>
    <w:p w:rsidR="008F6FFE" w:rsidRPr="00717D4D" w:rsidRDefault="0052743C" w:rsidP="00717D4D">
      <w:pPr>
        <w:shd w:val="clear" w:color="auto" w:fill="FFFFFF"/>
        <w:rPr>
          <w:rFonts w:asciiTheme="minorHAnsi" w:hAnsiTheme="minorHAnsi" w:cstheme="minorHAnsi"/>
          <w:color w:val="000000" w:themeColor="text1"/>
          <w:sz w:val="16"/>
          <w:szCs w:val="16"/>
        </w:rPr>
      </w:pPr>
      <w:hyperlink r:id="rId39" w:history="1">
        <w:r w:rsidR="008F6FFE" w:rsidRPr="00717D4D">
          <w:rPr>
            <w:rFonts w:asciiTheme="minorHAnsi" w:hAnsiTheme="minorHAnsi" w:cstheme="minorHAnsi"/>
            <w:color w:val="000000" w:themeColor="text1"/>
            <w:sz w:val="16"/>
            <w:szCs w:val="16"/>
          </w:rPr>
          <w:t>https://onlinelibrary.wiley.com/doi/epdf/10.1111/pai.13271</w:t>
        </w:r>
      </w:hyperlink>
    </w:p>
    <w:p w:rsidR="008F6FFE" w:rsidRPr="00717D4D" w:rsidRDefault="008F6FFE" w:rsidP="00717D4D">
      <w:pPr>
        <w:pStyle w:val="FootnoteText"/>
        <w:rPr>
          <w:rFonts w:asciiTheme="minorHAnsi" w:hAnsiTheme="minorHAnsi"/>
          <w:color w:val="000000" w:themeColor="text1"/>
          <w:sz w:val="16"/>
          <w:szCs w:val="16"/>
        </w:rPr>
      </w:pPr>
    </w:p>
    <w:p w:rsidR="008F6FFE" w:rsidRPr="00717D4D" w:rsidRDefault="0052743C" w:rsidP="00717D4D">
      <w:pPr>
        <w:rPr>
          <w:rFonts w:asciiTheme="minorHAnsi" w:hAnsiTheme="minorHAnsi" w:cstheme="minorHAnsi"/>
          <w:color w:val="000000" w:themeColor="text1"/>
          <w:sz w:val="16"/>
          <w:szCs w:val="16"/>
        </w:rPr>
      </w:pPr>
      <w:hyperlink r:id="rId40" w:history="1">
        <w:r w:rsidR="008F6FFE" w:rsidRPr="00717D4D">
          <w:rPr>
            <w:rStyle w:val="Hyperlink"/>
            <w:rFonts w:asciiTheme="minorHAnsi" w:eastAsiaTheme="majorEastAsia" w:hAnsiTheme="minorHAnsi" w:cstheme="minorHAnsi"/>
            <w:color w:val="000000" w:themeColor="text1"/>
            <w:sz w:val="16"/>
            <w:szCs w:val="16"/>
            <w:u w:val="none"/>
          </w:rPr>
          <w:t>https://www.who.int/emergencies/diseases/novel-coronavirus-2019/technical-guidance</w:t>
        </w:r>
      </w:hyperlink>
    </w:p>
    <w:p w:rsidR="008F6FFE" w:rsidRPr="00567FF5" w:rsidRDefault="008F6FFE" w:rsidP="00717D4D">
      <w:pPr>
        <w:pStyle w:val="FootnoteText"/>
        <w:rPr>
          <w:rFonts w:asciiTheme="minorHAnsi" w:hAnsiTheme="minorHAnsi" w:cstheme="minorHAnsi"/>
          <w:color w:val="000000" w:themeColor="text1"/>
          <w:sz w:val="16"/>
          <w:szCs w:val="16"/>
        </w:rPr>
      </w:pPr>
    </w:p>
  </w:footnote>
  <w:footnote w:id="5">
    <w:p w:rsidR="008F6FFE" w:rsidRDefault="008F6FFE">
      <w:pPr>
        <w:pStyle w:val="FootnoteText"/>
        <w:rPr>
          <w:rFonts w:asciiTheme="minorHAnsi" w:hAnsiTheme="minorHAnsi" w:cstheme="minorHAnsi"/>
          <w:sz w:val="16"/>
          <w:szCs w:val="16"/>
        </w:rPr>
      </w:pPr>
      <w:r w:rsidRPr="00567FF5">
        <w:rPr>
          <w:rStyle w:val="FootnoteReference"/>
          <w:rFonts w:asciiTheme="minorHAnsi" w:hAnsiTheme="minorHAnsi" w:cstheme="minorHAnsi"/>
          <w:sz w:val="16"/>
          <w:szCs w:val="16"/>
        </w:rPr>
        <w:footnoteRef/>
      </w:r>
      <w:r>
        <w:t xml:space="preserve"> </w:t>
      </w:r>
      <w:r w:rsidRPr="00567FF5">
        <w:rPr>
          <w:rFonts w:asciiTheme="minorHAnsi" w:hAnsiTheme="minorHAnsi" w:cstheme="minorHAnsi"/>
          <w:b/>
          <w:bCs/>
          <w:sz w:val="16"/>
          <w:szCs w:val="16"/>
        </w:rPr>
        <w:t>Media</w:t>
      </w:r>
      <w:r w:rsidRPr="00567FF5">
        <w:rPr>
          <w:rFonts w:asciiTheme="minorHAnsi" w:hAnsiTheme="minorHAnsi" w:cstheme="minorHAnsi"/>
          <w:sz w:val="16"/>
          <w:szCs w:val="16"/>
        </w:rPr>
        <w:t xml:space="preserve">: valore del </w:t>
      </w:r>
      <w:r>
        <w:rPr>
          <w:rFonts w:asciiTheme="minorHAnsi" w:hAnsiTheme="minorHAnsi" w:cstheme="minorHAnsi"/>
          <w:sz w:val="16"/>
          <w:szCs w:val="16"/>
        </w:rPr>
        <w:t xml:space="preserve">rapporto tra la somma dei dati numerici e il numero di dati. </w:t>
      </w:r>
    </w:p>
    <w:p w:rsidR="008F6FFE" w:rsidRPr="00567FF5" w:rsidRDefault="008F6FFE">
      <w:pPr>
        <w:pStyle w:val="FootnoteText"/>
        <w:rPr>
          <w:rFonts w:asciiTheme="minorHAnsi" w:hAnsiTheme="minorHAnsi" w:cstheme="minorHAnsi"/>
          <w:b/>
          <w:bCs/>
          <w:sz w:val="16"/>
          <w:szCs w:val="16"/>
        </w:rPr>
      </w:pPr>
      <w:r w:rsidRPr="00567FF5">
        <w:rPr>
          <w:rFonts w:asciiTheme="minorHAnsi" w:hAnsiTheme="minorHAnsi" w:cstheme="minorHAnsi"/>
          <w:b/>
          <w:bCs/>
          <w:sz w:val="16"/>
          <w:szCs w:val="16"/>
        </w:rPr>
        <w:t>Mediana</w:t>
      </w:r>
      <w:r>
        <w:rPr>
          <w:rFonts w:asciiTheme="minorHAnsi" w:hAnsiTheme="minorHAnsi" w:cstheme="minorHAnsi"/>
          <w:b/>
          <w:bCs/>
          <w:sz w:val="16"/>
          <w:szCs w:val="16"/>
        </w:rPr>
        <w:t xml:space="preserve">: </w:t>
      </w:r>
      <w:r w:rsidRPr="00567FF5">
        <w:rPr>
          <w:rFonts w:asciiTheme="minorHAnsi" w:hAnsiTheme="minorHAnsi" w:cstheme="minorHAnsi"/>
          <w:sz w:val="16"/>
          <w:szCs w:val="16"/>
        </w:rPr>
        <w:t>valore centrale dei dati numerici</w:t>
      </w:r>
      <w:r>
        <w:rPr>
          <w:rFonts w:asciiTheme="minorHAnsi" w:hAnsiTheme="minorHAnsi" w:cstheme="minorHAnsi"/>
          <w:b/>
          <w:bCs/>
          <w:sz w:val="16"/>
          <w:szCs w:val="16"/>
        </w:rPr>
        <w:t xml:space="preserve"> </w:t>
      </w:r>
    </w:p>
  </w:footnote>
  <w:footnote w:id="6">
    <w:p w:rsidR="008F6FFE" w:rsidRPr="003A0A95" w:rsidRDefault="008F6FFE" w:rsidP="000D29F8">
      <w:pPr>
        <w:rPr>
          <w:rFonts w:asciiTheme="minorHAnsi" w:hAnsiTheme="minorHAnsi" w:cstheme="minorHAnsi"/>
          <w:color w:val="000000" w:themeColor="text1"/>
          <w:sz w:val="16"/>
          <w:szCs w:val="16"/>
        </w:rPr>
      </w:pPr>
      <w:r w:rsidRPr="00717D4D">
        <w:rPr>
          <w:rStyle w:val="FootnoteReference"/>
          <w:rFonts w:asciiTheme="minorHAnsi" w:hAnsiTheme="minorHAnsi" w:cstheme="minorHAnsi"/>
          <w:sz w:val="16"/>
          <w:szCs w:val="16"/>
        </w:rPr>
        <w:footnoteRef/>
      </w:r>
      <w:r w:rsidRPr="000D29F8">
        <w:rPr>
          <w:rFonts w:asciiTheme="minorHAnsi" w:hAnsiTheme="minorHAnsi" w:cstheme="minorHAnsi"/>
          <w:color w:val="000000" w:themeColor="text1"/>
          <w:sz w:val="16"/>
          <w:szCs w:val="16"/>
        </w:rPr>
        <w:t xml:space="preserve"> </w:t>
      </w:r>
      <w:hyperlink r:id="rId41" w:history="1">
        <w:r w:rsidRPr="003A0A95">
          <w:rPr>
            <w:rStyle w:val="Hyperlink"/>
            <w:rFonts w:asciiTheme="minorHAnsi" w:eastAsiaTheme="majorEastAsia" w:hAnsiTheme="minorHAnsi" w:cstheme="minorHAnsi"/>
            <w:color w:val="000000" w:themeColor="text1"/>
            <w:sz w:val="16"/>
            <w:szCs w:val="16"/>
            <w:u w:val="none"/>
          </w:rPr>
          <w:t>https://www.epicentro.iss.it/coronavirus/bollettino/Report-COVID-2019_4_giugno.pdf</w:t>
        </w:r>
      </w:hyperlink>
    </w:p>
    <w:p w:rsidR="008F6FFE" w:rsidRPr="003A0A95" w:rsidRDefault="008F6FFE" w:rsidP="000D29F8">
      <w:pPr>
        <w:rPr>
          <w:rFonts w:asciiTheme="minorHAnsi" w:hAnsiTheme="minorHAnsi" w:cstheme="minorHAnsi"/>
          <w:color w:val="000000" w:themeColor="text1"/>
          <w:sz w:val="16"/>
          <w:szCs w:val="16"/>
        </w:rPr>
      </w:pPr>
    </w:p>
    <w:p w:rsidR="008F6FFE" w:rsidRPr="003A0A95" w:rsidRDefault="008F6FFE" w:rsidP="000D29F8">
      <w:pPr>
        <w:rPr>
          <w:rFonts w:asciiTheme="minorHAnsi" w:hAnsiTheme="minorHAnsi" w:cstheme="minorHAnsi"/>
          <w:color w:val="000000" w:themeColor="text1"/>
          <w:sz w:val="16"/>
          <w:szCs w:val="16"/>
        </w:rPr>
      </w:pPr>
      <w:r w:rsidRPr="003A0A95">
        <w:rPr>
          <w:rFonts w:asciiTheme="minorHAnsi" w:hAnsiTheme="minorHAnsi" w:cstheme="minorHAnsi"/>
          <w:color w:val="000000" w:themeColor="text1"/>
          <w:sz w:val="16"/>
          <w:szCs w:val="16"/>
        </w:rPr>
        <w:t xml:space="preserve"> </w:t>
      </w:r>
      <w:hyperlink r:id="rId42" w:history="1">
        <w:r w:rsidRPr="003A0A95">
          <w:rPr>
            <w:rStyle w:val="Hyperlink"/>
            <w:rFonts w:asciiTheme="minorHAnsi" w:hAnsiTheme="minorHAnsi" w:cstheme="minorHAnsi"/>
            <w:color w:val="000000" w:themeColor="text1"/>
            <w:sz w:val="16"/>
            <w:szCs w:val="16"/>
            <w:u w:val="none"/>
          </w:rPr>
          <w:t>https://www.epicentro.iss.it/coronavirus/bollettino/Infografica_10giugno%20ITA.pdf</w:t>
        </w:r>
      </w:hyperlink>
    </w:p>
    <w:p w:rsidR="008F6FFE" w:rsidRPr="003A0A95" w:rsidRDefault="008F6FFE" w:rsidP="000D29F8">
      <w:pPr>
        <w:rPr>
          <w:rFonts w:asciiTheme="minorHAnsi" w:hAnsiTheme="minorHAnsi" w:cstheme="minorHAnsi"/>
          <w:color w:val="000000" w:themeColor="text1"/>
          <w:sz w:val="16"/>
          <w:szCs w:val="16"/>
        </w:rPr>
      </w:pPr>
    </w:p>
    <w:p w:rsidR="008F6FFE" w:rsidRDefault="0052743C" w:rsidP="00F77506">
      <w:pPr>
        <w:rPr>
          <w:rStyle w:val="Hyperlink"/>
          <w:rFonts w:asciiTheme="minorHAnsi" w:eastAsiaTheme="majorEastAsia" w:hAnsiTheme="minorHAnsi" w:cstheme="minorHAnsi"/>
          <w:color w:val="000000" w:themeColor="text1"/>
          <w:sz w:val="16"/>
          <w:szCs w:val="16"/>
          <w:u w:val="none"/>
        </w:rPr>
      </w:pPr>
      <w:hyperlink r:id="rId43" w:history="1">
        <w:r w:rsidR="008F6FFE" w:rsidRPr="003A0A95">
          <w:rPr>
            <w:rStyle w:val="Hyperlink"/>
            <w:rFonts w:asciiTheme="minorHAnsi" w:eastAsiaTheme="majorEastAsia" w:hAnsiTheme="minorHAnsi" w:cstheme="minorHAnsi"/>
            <w:color w:val="000000" w:themeColor="text1"/>
            <w:sz w:val="16"/>
            <w:szCs w:val="16"/>
            <w:u w:val="none"/>
          </w:rPr>
          <w:t>https://www.epicentro.iss.it/coronavirus/sars-cov-2-decessi-italia</w:t>
        </w:r>
      </w:hyperlink>
    </w:p>
    <w:p w:rsidR="008F6FFE" w:rsidRPr="000D29F8" w:rsidRDefault="008F6FFE" w:rsidP="00F77506">
      <w:pPr>
        <w:rPr>
          <w:rFonts w:asciiTheme="minorHAnsi" w:hAnsiTheme="minorHAnsi"/>
          <w:sz w:val="16"/>
          <w:szCs w:val="16"/>
        </w:rPr>
      </w:pPr>
    </w:p>
  </w:footnote>
  <w:footnote w:id="7">
    <w:p w:rsidR="008F6FFE" w:rsidRPr="00717D4D" w:rsidRDefault="008F6FFE" w:rsidP="00073D51">
      <w:pPr>
        <w:jc w:val="both"/>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vertAlign w:val="superscript"/>
        </w:rPr>
        <w:t xml:space="preserve"> </w:t>
      </w:r>
      <w:r w:rsidRPr="00717D4D">
        <w:rPr>
          <w:rFonts w:asciiTheme="minorHAnsi" w:hAnsiTheme="minorHAnsi" w:cstheme="minorHAnsi"/>
          <w:color w:val="000000" w:themeColor="text1"/>
          <w:sz w:val="16"/>
          <w:szCs w:val="16"/>
        </w:rPr>
        <w:t>DECESSI E CAUSE DI MORTE: COSA PRODUCE L’ISTAT</w:t>
      </w:r>
    </w:p>
    <w:p w:rsidR="008F6FFE" w:rsidRPr="00717D4D" w:rsidRDefault="0052743C" w:rsidP="00073D51">
      <w:pPr>
        <w:jc w:val="both"/>
        <w:rPr>
          <w:rFonts w:asciiTheme="minorHAnsi" w:hAnsiTheme="minorHAnsi" w:cstheme="minorHAnsi"/>
          <w:color w:val="000000" w:themeColor="text1"/>
          <w:sz w:val="16"/>
          <w:szCs w:val="16"/>
        </w:rPr>
      </w:pPr>
      <w:hyperlink r:id="rId44" w:history="1">
        <w:r w:rsidR="008F6FFE" w:rsidRPr="00717D4D">
          <w:rPr>
            <w:rFonts w:asciiTheme="minorHAnsi" w:hAnsiTheme="minorHAnsi" w:cstheme="minorHAnsi"/>
            <w:color w:val="000000" w:themeColor="text1"/>
            <w:sz w:val="16"/>
            <w:szCs w:val="16"/>
          </w:rPr>
          <w:t>https://www.istat.it/it/archivio/240401</w:t>
        </w:r>
      </w:hyperlink>
    </w:p>
    <w:p w:rsidR="008F6FFE" w:rsidRPr="00717D4D" w:rsidRDefault="0052743C" w:rsidP="00073D51">
      <w:pPr>
        <w:pStyle w:val="FootnoteText"/>
        <w:rPr>
          <w:rFonts w:asciiTheme="minorHAnsi" w:hAnsiTheme="minorHAnsi"/>
          <w:color w:val="000000" w:themeColor="text1"/>
          <w:sz w:val="16"/>
          <w:szCs w:val="16"/>
        </w:rPr>
      </w:pPr>
      <w:hyperlink r:id="rId45" w:history="1">
        <w:r w:rsidR="008F6FFE" w:rsidRPr="00717D4D">
          <w:rPr>
            <w:rStyle w:val="Hyperlink"/>
            <w:rFonts w:asciiTheme="minorHAnsi" w:hAnsiTheme="minorHAnsi"/>
            <w:color w:val="000000" w:themeColor="text1"/>
            <w:sz w:val="16"/>
            <w:szCs w:val="16"/>
            <w:u w:val="none"/>
          </w:rPr>
          <w:t>https://www.istat.it/it/files//2020/03/Covid_Indicazioni_scheda_morte.pdf</w:t>
        </w:r>
      </w:hyperlink>
    </w:p>
    <w:p w:rsidR="008F6FFE" w:rsidRPr="00717D4D" w:rsidRDefault="008F6FFE" w:rsidP="00073D51">
      <w:pPr>
        <w:pStyle w:val="FootnoteText"/>
        <w:rPr>
          <w:rFonts w:asciiTheme="minorHAnsi" w:hAnsiTheme="minorHAnsi"/>
          <w:sz w:val="16"/>
          <w:szCs w:val="16"/>
        </w:rPr>
      </w:pPr>
    </w:p>
  </w:footnote>
  <w:footnote w:id="8">
    <w:p w:rsidR="008F6FFE" w:rsidRPr="00717D4D" w:rsidRDefault="008F6FFE" w:rsidP="00471D4A">
      <w:pPr>
        <w:jc w:val="both"/>
        <w:rPr>
          <w:rFonts w:asciiTheme="minorHAnsi" w:hAnsiTheme="minorHAnsi" w:cs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theme="minorHAnsi"/>
          <w:color w:val="000000" w:themeColor="text1"/>
          <w:sz w:val="16"/>
          <w:szCs w:val="16"/>
          <w:lang w:val="en-US"/>
        </w:rPr>
        <w:t>N Engl J Med. 2020 Apr 30;382(18):1708-1720. doi: 10.1056/NEJMoa2002032.</w:t>
      </w:r>
    </w:p>
    <w:p w:rsidR="008F6FFE" w:rsidRPr="00717D4D" w:rsidRDefault="0052743C" w:rsidP="00471D4A">
      <w:pPr>
        <w:jc w:val="both"/>
        <w:rPr>
          <w:rFonts w:asciiTheme="minorHAnsi" w:hAnsiTheme="minorHAnsi" w:cstheme="minorHAnsi"/>
          <w:color w:val="000000" w:themeColor="text1"/>
          <w:sz w:val="16"/>
          <w:szCs w:val="16"/>
          <w:lang w:val="en-US"/>
        </w:rPr>
      </w:pPr>
      <w:hyperlink r:id="rId46" w:history="1">
        <w:r w:rsidR="008F6FFE" w:rsidRPr="00717D4D">
          <w:rPr>
            <w:rFonts w:asciiTheme="minorHAnsi" w:hAnsiTheme="minorHAnsi" w:cstheme="minorHAnsi"/>
            <w:color w:val="000000" w:themeColor="text1"/>
            <w:sz w:val="16"/>
            <w:szCs w:val="16"/>
            <w:lang w:val="en-US"/>
          </w:rPr>
          <w:t>Clinical Characteristics of Coronavirus Disease 2019 in China.</w:t>
        </w:r>
      </w:hyperlink>
    </w:p>
    <w:p w:rsidR="008F6FFE" w:rsidRPr="00717D4D" w:rsidRDefault="008F6FFE" w:rsidP="00471D4A">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Guan WJ et al </w:t>
      </w:r>
    </w:p>
    <w:p w:rsidR="008F6FFE" w:rsidRPr="00717D4D" w:rsidRDefault="008F6FFE" w:rsidP="00471D4A">
      <w:pPr>
        <w:pStyle w:val="FootnoteText"/>
        <w:rPr>
          <w:rFonts w:asciiTheme="minorHAnsi" w:hAnsiTheme="minorHAnsi"/>
          <w:sz w:val="16"/>
          <w:szCs w:val="16"/>
          <w:lang w:val="en-US"/>
        </w:rPr>
      </w:pPr>
    </w:p>
  </w:footnote>
  <w:footnote w:id="9">
    <w:p w:rsidR="008F6FFE" w:rsidRPr="00717D4D" w:rsidRDefault="008F6FFE" w:rsidP="00471D4A">
      <w:pPr>
        <w:jc w:val="both"/>
        <w:rPr>
          <w:rFonts w:asciiTheme="minorHAnsi" w:hAnsiTheme="minorHAnsi" w:cs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theme="minorHAnsi"/>
          <w:color w:val="000000" w:themeColor="text1"/>
          <w:sz w:val="16"/>
          <w:szCs w:val="16"/>
          <w:lang w:val="en-US"/>
        </w:rPr>
        <w:t>Lancet 2020 Mar 28;395(10229):1054-1062. doi: 10.1016/S0140-6736(20)30566-3. </w:t>
      </w:r>
    </w:p>
    <w:p w:rsidR="008F6FFE" w:rsidRPr="00717D4D" w:rsidRDefault="008F6FFE" w:rsidP="00471D4A">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Clinical Course and Risk Factors for Mortality of Adult Inpatients With COVID-19 in Wuhan, China: A Retrospective Cohort Study</w:t>
      </w:r>
    </w:p>
    <w:p w:rsidR="008F6FFE" w:rsidRPr="00073D51" w:rsidRDefault="0052743C" w:rsidP="00471D4A">
      <w:pPr>
        <w:jc w:val="both"/>
        <w:rPr>
          <w:rFonts w:asciiTheme="minorHAnsi" w:hAnsiTheme="minorHAnsi" w:cstheme="minorHAnsi"/>
          <w:color w:val="000000" w:themeColor="text1"/>
          <w:sz w:val="16"/>
          <w:szCs w:val="16"/>
        </w:rPr>
      </w:pPr>
      <w:hyperlink r:id="rId47" w:history="1">
        <w:r w:rsidR="008F6FFE" w:rsidRPr="00073D51">
          <w:rPr>
            <w:rFonts w:asciiTheme="minorHAnsi" w:hAnsiTheme="minorHAnsi" w:cstheme="minorHAnsi"/>
            <w:color w:val="000000" w:themeColor="text1"/>
            <w:sz w:val="16"/>
            <w:szCs w:val="16"/>
          </w:rPr>
          <w:t>Fei Zhou</w:t>
        </w:r>
      </w:hyperlink>
      <w:r w:rsidR="008F6FFE" w:rsidRPr="00073D51">
        <w:rPr>
          <w:rFonts w:asciiTheme="minorHAnsi" w:hAnsiTheme="minorHAnsi" w:cstheme="minorHAnsi"/>
          <w:color w:val="000000" w:themeColor="text1"/>
          <w:sz w:val="16"/>
          <w:szCs w:val="16"/>
        </w:rPr>
        <w:t> </w:t>
      </w:r>
      <w:r w:rsidR="008F6FFE" w:rsidRPr="00073D51">
        <w:rPr>
          <w:rFonts w:asciiTheme="minorHAnsi" w:hAnsiTheme="minorHAnsi"/>
          <w:sz w:val="16"/>
          <w:szCs w:val="16"/>
        </w:rPr>
        <w:t>et al</w:t>
      </w:r>
      <w:r w:rsidR="008F6FFE" w:rsidRPr="00073D51">
        <w:rPr>
          <w:rFonts w:asciiTheme="minorHAnsi" w:hAnsiTheme="minorHAnsi" w:cstheme="minorHAnsi"/>
          <w:color w:val="000000" w:themeColor="text1"/>
          <w:sz w:val="16"/>
          <w:szCs w:val="16"/>
        </w:rPr>
        <w:t xml:space="preserve"> </w:t>
      </w:r>
    </w:p>
    <w:p w:rsidR="008F6FFE" w:rsidRPr="00073D51" w:rsidRDefault="008F6FFE" w:rsidP="00471D4A">
      <w:pPr>
        <w:pStyle w:val="FootnoteText"/>
        <w:rPr>
          <w:rFonts w:asciiTheme="minorHAnsi" w:hAnsiTheme="minorHAnsi"/>
          <w:sz w:val="16"/>
          <w:szCs w:val="16"/>
        </w:rPr>
      </w:pPr>
    </w:p>
  </w:footnote>
  <w:footnote w:id="10">
    <w:p w:rsidR="008F6FFE" w:rsidRPr="00567FF5" w:rsidRDefault="008F6FFE" w:rsidP="00717D4D">
      <w:pPr>
        <w:rPr>
          <w:rFonts w:asciiTheme="minorHAnsi" w:hAnsiTheme="minorHAnsi" w:cstheme="minorHAnsi"/>
          <w:color w:val="000000" w:themeColor="text1"/>
          <w:sz w:val="16"/>
          <w:szCs w:val="16"/>
        </w:rPr>
      </w:pPr>
      <w:r w:rsidRPr="00717D4D">
        <w:rPr>
          <w:rStyle w:val="FootnoteReference"/>
          <w:rFonts w:asciiTheme="minorHAnsi" w:hAnsiTheme="minorHAnsi" w:cstheme="minorHAnsi"/>
          <w:color w:val="000000" w:themeColor="text1"/>
          <w:sz w:val="16"/>
          <w:szCs w:val="16"/>
        </w:rPr>
        <w:footnoteRef/>
      </w:r>
      <w:r w:rsidRPr="00567FF5">
        <w:rPr>
          <w:rFonts w:asciiTheme="minorHAnsi" w:hAnsiTheme="minorHAnsi" w:cstheme="minorHAnsi"/>
          <w:color w:val="000000" w:themeColor="text1"/>
          <w:sz w:val="16"/>
          <w:szCs w:val="16"/>
        </w:rPr>
        <w:t xml:space="preserve"> </w:t>
      </w:r>
      <w:hyperlink r:id="rId48" w:history="1">
        <w:r w:rsidRPr="00567FF5">
          <w:rPr>
            <w:rStyle w:val="Hyperlink"/>
            <w:rFonts w:asciiTheme="minorHAnsi" w:eastAsiaTheme="majorEastAsia" w:hAnsiTheme="minorHAnsi" w:cstheme="minorHAnsi"/>
            <w:color w:val="000000" w:themeColor="text1"/>
            <w:sz w:val="16"/>
            <w:szCs w:val="16"/>
            <w:u w:val="none"/>
          </w:rPr>
          <w:t>https://covid19.healthdata.org/italy</w:t>
        </w:r>
      </w:hyperlink>
    </w:p>
    <w:p w:rsidR="008F6FFE" w:rsidRPr="00567FF5" w:rsidRDefault="008F6FFE" w:rsidP="00717D4D">
      <w:pPr>
        <w:pStyle w:val="FootnoteText"/>
        <w:rPr>
          <w:rFonts w:asciiTheme="minorHAnsi" w:hAnsiTheme="minorHAnsi"/>
          <w:color w:val="000000" w:themeColor="text1"/>
          <w:sz w:val="16"/>
          <w:szCs w:val="16"/>
        </w:rPr>
      </w:pPr>
    </w:p>
  </w:footnote>
  <w:footnote w:id="11">
    <w:p w:rsidR="008F6FFE" w:rsidRPr="00DC48B4"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r w:rsidRPr="00717D4D">
        <w:rPr>
          <w:rStyle w:val="FootnoteReference"/>
          <w:rFonts w:asciiTheme="minorHAnsi" w:hAnsiTheme="minorHAnsi" w:cstheme="minorHAnsi"/>
          <w:color w:val="000000" w:themeColor="text1"/>
          <w:sz w:val="16"/>
          <w:szCs w:val="16"/>
        </w:rPr>
        <w:footnoteRef/>
      </w:r>
      <w:r w:rsidRPr="00DC48B4">
        <w:rPr>
          <w:rFonts w:asciiTheme="minorHAnsi" w:hAnsiTheme="minorHAnsi" w:cstheme="minorHAnsi"/>
          <w:color w:val="000000" w:themeColor="text1"/>
          <w:sz w:val="16"/>
          <w:szCs w:val="16"/>
        </w:rPr>
        <w:t xml:space="preserve"> </w:t>
      </w:r>
      <w:hyperlink r:id="rId49" w:tooltip="Journal of clinical medicine." w:history="1">
        <w:r w:rsidRPr="00DC48B4">
          <w:rPr>
            <w:rStyle w:val="Hyperlink"/>
            <w:rFonts w:asciiTheme="minorHAnsi" w:eastAsiaTheme="majorEastAsia" w:hAnsiTheme="minorHAnsi" w:cstheme="minorHAnsi"/>
            <w:color w:val="000000" w:themeColor="text1"/>
            <w:sz w:val="16"/>
            <w:szCs w:val="16"/>
            <w:u w:val="none"/>
          </w:rPr>
          <w:t>J Clin Med.</w:t>
        </w:r>
      </w:hyperlink>
      <w:r w:rsidRPr="00DC48B4">
        <w:rPr>
          <w:rStyle w:val="Hyperlink"/>
          <w:rFonts w:asciiTheme="minorHAnsi" w:eastAsiaTheme="majorEastAsia" w:hAnsiTheme="minorHAnsi" w:cstheme="minorHAnsi"/>
          <w:color w:val="000000" w:themeColor="text1"/>
          <w:sz w:val="16"/>
          <w:szCs w:val="16"/>
          <w:u w:val="none"/>
        </w:rPr>
        <w:t> 2020 Apr 26;9(5). pii: E1259. doi: 10.3390/jcm9051259.</w:t>
      </w:r>
    </w:p>
    <w:p w:rsidR="008F6FFE" w:rsidRPr="00717D4D"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r w:rsidRPr="00717D4D">
        <w:rPr>
          <w:rStyle w:val="Hyperlink"/>
          <w:rFonts w:asciiTheme="minorHAnsi" w:eastAsiaTheme="majorEastAsia" w:hAnsiTheme="minorHAnsi" w:cstheme="minorHAnsi"/>
          <w:color w:val="000000" w:themeColor="text1"/>
          <w:sz w:val="16"/>
          <w:szCs w:val="16"/>
          <w:u w:val="none"/>
          <w:lang w:val="en-US"/>
        </w:rPr>
        <w:t xml:space="preserve">COVID-19 Deaths: Are We Sure It Is Pneumonia? </w:t>
      </w:r>
      <w:r w:rsidRPr="00717D4D">
        <w:rPr>
          <w:rStyle w:val="Hyperlink"/>
          <w:rFonts w:asciiTheme="minorHAnsi" w:eastAsiaTheme="majorEastAsia" w:hAnsiTheme="minorHAnsi" w:cstheme="minorHAnsi"/>
          <w:color w:val="000000" w:themeColor="text1"/>
          <w:sz w:val="16"/>
          <w:szCs w:val="16"/>
          <w:u w:val="none"/>
        </w:rPr>
        <w:t>Please, Autopsy, Autopsy, Autopsy!</w:t>
      </w:r>
    </w:p>
    <w:p w:rsidR="008F6FFE" w:rsidRPr="00717D4D"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50" w:history="1">
        <w:r w:rsidR="008F6FFE" w:rsidRPr="00717D4D">
          <w:rPr>
            <w:rStyle w:val="Hyperlink"/>
            <w:rFonts w:asciiTheme="minorHAnsi" w:eastAsiaTheme="majorEastAsia" w:hAnsiTheme="minorHAnsi" w:cstheme="minorHAnsi"/>
            <w:color w:val="000000" w:themeColor="text1"/>
            <w:sz w:val="16"/>
            <w:szCs w:val="16"/>
            <w:u w:val="none"/>
          </w:rPr>
          <w:t>Pomara C</w:t>
        </w:r>
      </w:hyperlink>
      <w:r w:rsidR="008F6FFE" w:rsidRPr="00717D4D">
        <w:rPr>
          <w:rStyle w:val="Hyperlink"/>
          <w:rFonts w:asciiTheme="minorHAnsi" w:eastAsiaTheme="majorEastAsia" w:hAnsiTheme="minorHAnsi" w:cstheme="minorHAnsi"/>
          <w:color w:val="000000" w:themeColor="text1"/>
          <w:sz w:val="16"/>
          <w:szCs w:val="16"/>
          <w:u w:val="none"/>
        </w:rPr>
        <w:t>1,2, </w:t>
      </w:r>
      <w:hyperlink r:id="rId51" w:history="1">
        <w:r w:rsidR="008F6FFE" w:rsidRPr="00717D4D">
          <w:rPr>
            <w:rStyle w:val="Hyperlink"/>
            <w:rFonts w:asciiTheme="minorHAnsi" w:eastAsiaTheme="majorEastAsia" w:hAnsiTheme="minorHAnsi" w:cstheme="minorHAnsi"/>
            <w:color w:val="000000" w:themeColor="text1"/>
            <w:sz w:val="16"/>
            <w:szCs w:val="16"/>
            <w:u w:val="none"/>
          </w:rPr>
          <w:t>Li Volti G</w:t>
        </w:r>
      </w:hyperlink>
      <w:r w:rsidR="008F6FFE" w:rsidRPr="00717D4D">
        <w:rPr>
          <w:rStyle w:val="Hyperlink"/>
          <w:rFonts w:asciiTheme="minorHAnsi" w:eastAsiaTheme="majorEastAsia" w:hAnsiTheme="minorHAnsi" w:cstheme="minorHAnsi"/>
          <w:color w:val="000000" w:themeColor="text1"/>
          <w:sz w:val="16"/>
          <w:szCs w:val="16"/>
          <w:u w:val="none"/>
        </w:rPr>
        <w:t>3, </w:t>
      </w:r>
      <w:hyperlink r:id="rId52" w:history="1">
        <w:r w:rsidR="008F6FFE" w:rsidRPr="00717D4D">
          <w:rPr>
            <w:rStyle w:val="Hyperlink"/>
            <w:rFonts w:asciiTheme="minorHAnsi" w:eastAsiaTheme="majorEastAsia" w:hAnsiTheme="minorHAnsi" w:cstheme="minorHAnsi"/>
            <w:color w:val="000000" w:themeColor="text1"/>
            <w:sz w:val="16"/>
            <w:szCs w:val="16"/>
            <w:u w:val="none"/>
          </w:rPr>
          <w:t>Cappello F</w:t>
        </w:r>
      </w:hyperlink>
      <w:r w:rsidR="008F6FFE" w:rsidRPr="00717D4D">
        <w:rPr>
          <w:rStyle w:val="Hyperlink"/>
          <w:rFonts w:asciiTheme="minorHAnsi" w:eastAsiaTheme="majorEastAsia" w:hAnsiTheme="minorHAnsi" w:cstheme="minorHAnsi"/>
          <w:color w:val="000000" w:themeColor="text1"/>
          <w:sz w:val="16"/>
          <w:szCs w:val="16"/>
          <w:u w:val="none"/>
        </w:rPr>
        <w:t>4,5.</w:t>
      </w:r>
    </w:p>
    <w:p w:rsidR="008F6FFE" w:rsidRPr="00235A16"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hyperlink r:id="rId53" w:history="1">
        <w:r w:rsidR="008F6FFE" w:rsidRPr="00235A16">
          <w:rPr>
            <w:rStyle w:val="Hyperlink"/>
            <w:rFonts w:asciiTheme="minorHAnsi" w:eastAsiaTheme="majorEastAsia" w:hAnsiTheme="minorHAnsi" w:cstheme="minorHAnsi"/>
            <w:color w:val="000000" w:themeColor="text1"/>
            <w:sz w:val="16"/>
            <w:szCs w:val="16"/>
            <w:u w:val="none"/>
            <w:lang w:val="de-DE"/>
          </w:rPr>
          <w:t>https://www.mdpi.com/2077-0383/9/5/1259/htm</w:t>
        </w:r>
      </w:hyperlink>
    </w:p>
    <w:p w:rsidR="008F6FFE" w:rsidRPr="00235A16" w:rsidRDefault="008F6FFE" w:rsidP="00717D4D">
      <w:pPr>
        <w:pStyle w:val="FootnoteText"/>
        <w:rPr>
          <w:rFonts w:asciiTheme="minorHAnsi" w:hAnsiTheme="minorHAnsi"/>
          <w:color w:val="000000" w:themeColor="text1"/>
          <w:sz w:val="16"/>
          <w:szCs w:val="16"/>
          <w:lang w:val="de-DE"/>
        </w:rPr>
      </w:pPr>
    </w:p>
  </w:footnote>
  <w:footnote w:id="12">
    <w:p w:rsidR="008F6FFE" w:rsidRPr="00E8130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FootnoteReference"/>
          <w:rFonts w:asciiTheme="minorHAnsi" w:hAnsiTheme="minorHAnsi" w:cstheme="minorHAnsi"/>
          <w:color w:val="000000" w:themeColor="text1"/>
          <w:sz w:val="16"/>
          <w:szCs w:val="16"/>
        </w:rPr>
        <w:footnoteRef/>
      </w:r>
      <w:r w:rsidRPr="00235A16">
        <w:rPr>
          <w:rFonts w:asciiTheme="minorHAnsi" w:hAnsiTheme="minorHAnsi" w:cstheme="minorHAnsi"/>
          <w:color w:val="000000" w:themeColor="text1"/>
          <w:sz w:val="16"/>
          <w:szCs w:val="16"/>
          <w:lang w:val="de-DE"/>
        </w:rPr>
        <w:t xml:space="preserve"> </w:t>
      </w:r>
      <w:hyperlink r:id="rId54" w:tooltip="Annals of internal medicine." w:history="1">
        <w:r w:rsidRPr="00235A16">
          <w:rPr>
            <w:rStyle w:val="Hyperlink"/>
            <w:rFonts w:asciiTheme="minorHAnsi" w:eastAsiaTheme="majorEastAsia" w:hAnsiTheme="minorHAnsi" w:cstheme="minorHAnsi"/>
            <w:color w:val="000000" w:themeColor="text1"/>
            <w:sz w:val="16"/>
            <w:szCs w:val="16"/>
            <w:u w:val="none"/>
            <w:lang w:val="de-DE"/>
          </w:rPr>
          <w:t>Ann Intern Med.</w:t>
        </w:r>
      </w:hyperlink>
      <w:r w:rsidRPr="00235A16">
        <w:rPr>
          <w:rStyle w:val="Hyperlink"/>
          <w:rFonts w:asciiTheme="minorHAnsi" w:eastAsiaTheme="majorEastAsia" w:hAnsiTheme="minorHAnsi" w:cstheme="minorHAnsi"/>
          <w:color w:val="000000" w:themeColor="text1"/>
          <w:sz w:val="16"/>
          <w:szCs w:val="16"/>
          <w:u w:val="none"/>
          <w:lang w:val="de-DE"/>
        </w:rPr>
        <w:t> </w:t>
      </w:r>
      <w:r w:rsidRPr="00E81309">
        <w:rPr>
          <w:rStyle w:val="Hyperlink"/>
          <w:rFonts w:asciiTheme="minorHAnsi" w:eastAsiaTheme="majorEastAsia" w:hAnsiTheme="minorHAnsi" w:cstheme="minorHAnsi"/>
          <w:color w:val="000000" w:themeColor="text1"/>
          <w:sz w:val="16"/>
          <w:szCs w:val="16"/>
          <w:u w:val="none"/>
          <w:lang w:val="en-US"/>
        </w:rPr>
        <w:t xml:space="preserve">2020 May 6. doi: 10.7326/M20-2003. </w:t>
      </w:r>
    </w:p>
    <w:p w:rsidR="008F6FFE" w:rsidRPr="00E8130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Hyperlink"/>
          <w:rFonts w:asciiTheme="minorHAnsi" w:eastAsiaTheme="majorEastAsia" w:hAnsiTheme="minorHAnsi" w:cstheme="minorHAnsi"/>
          <w:color w:val="000000" w:themeColor="text1"/>
          <w:sz w:val="16"/>
          <w:szCs w:val="16"/>
          <w:u w:val="none"/>
          <w:lang w:val="en-US"/>
        </w:rPr>
        <w:t>Autopsy Findings and Venous Thromboembolism in Patients With COVID-19: A Prospective Cohort Study.</w:t>
      </w:r>
    </w:p>
    <w:p w:rsidR="008F6FFE" w:rsidRPr="00235A16"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hyperlink r:id="rId55" w:history="1">
        <w:r w:rsidR="008F6FFE" w:rsidRPr="00235A16">
          <w:rPr>
            <w:rStyle w:val="Hyperlink"/>
            <w:rFonts w:asciiTheme="minorHAnsi" w:eastAsiaTheme="majorEastAsia" w:hAnsiTheme="minorHAnsi" w:cstheme="minorHAnsi"/>
            <w:color w:val="000000" w:themeColor="text1"/>
            <w:sz w:val="16"/>
            <w:szCs w:val="16"/>
            <w:u w:val="none"/>
            <w:lang w:val="de-DE"/>
          </w:rPr>
          <w:t>Wichmann D</w:t>
        </w:r>
      </w:hyperlink>
      <w:r w:rsidR="008F6FFE" w:rsidRPr="00235A16">
        <w:rPr>
          <w:rStyle w:val="Hyperlink"/>
          <w:rFonts w:asciiTheme="minorHAnsi" w:eastAsiaTheme="majorEastAsia" w:hAnsiTheme="minorHAnsi" w:cstheme="minorHAnsi"/>
          <w:color w:val="000000" w:themeColor="text1"/>
          <w:sz w:val="16"/>
          <w:szCs w:val="16"/>
          <w:u w:val="none"/>
          <w:lang w:val="de-DE"/>
        </w:rPr>
        <w:t>1 et al.</w:t>
      </w:r>
    </w:p>
    <w:p w:rsidR="008F6FFE" w:rsidRPr="00235A16" w:rsidRDefault="0052743C" w:rsidP="00E81309">
      <w:pPr>
        <w:rPr>
          <w:rFonts w:asciiTheme="minorHAnsi" w:hAnsiTheme="minorHAnsi" w:cstheme="minorHAnsi"/>
          <w:color w:val="000000" w:themeColor="text1"/>
          <w:sz w:val="16"/>
          <w:szCs w:val="16"/>
          <w:lang w:val="de-DE"/>
        </w:rPr>
      </w:pPr>
      <w:hyperlink r:id="rId56" w:history="1">
        <w:r w:rsidR="008F6FFE" w:rsidRPr="00235A16">
          <w:rPr>
            <w:rFonts w:asciiTheme="minorHAnsi" w:hAnsiTheme="minorHAnsi" w:cstheme="minorHAnsi"/>
            <w:color w:val="000000" w:themeColor="text1"/>
            <w:sz w:val="16"/>
            <w:szCs w:val="16"/>
            <w:lang w:val="de-DE"/>
          </w:rPr>
          <w:t>https://www.ncbi.nlm.nih.gov/pmc/articles/PMC7240772/pdf/aim-olf-M202003.pdf</w:t>
        </w:r>
      </w:hyperlink>
    </w:p>
    <w:p w:rsidR="008F6FFE" w:rsidRPr="00235A16"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p>
    <w:p w:rsidR="008F6FFE" w:rsidRPr="00E8130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7" w:tooltip="American journal of respiratory and critical care medicine." w:history="1">
        <w:r w:rsidR="008F6FFE" w:rsidRPr="00E81309">
          <w:rPr>
            <w:rStyle w:val="Hyperlink"/>
            <w:rFonts w:asciiTheme="minorHAnsi" w:eastAsiaTheme="majorEastAsia" w:hAnsiTheme="minorHAnsi" w:cstheme="minorHAnsi"/>
            <w:color w:val="000000" w:themeColor="text1"/>
            <w:sz w:val="16"/>
            <w:szCs w:val="16"/>
            <w:u w:val="none"/>
            <w:lang w:val="en-US"/>
          </w:rPr>
          <w:t>Am J Respir Crit Care Med.</w:t>
        </w:r>
      </w:hyperlink>
      <w:r w:rsidR="008F6FFE" w:rsidRPr="00E81309">
        <w:rPr>
          <w:rStyle w:val="Hyperlink"/>
          <w:rFonts w:asciiTheme="minorHAnsi" w:eastAsiaTheme="majorEastAsia" w:hAnsiTheme="minorHAnsi" w:cstheme="minorHAnsi"/>
          <w:color w:val="000000" w:themeColor="text1"/>
          <w:sz w:val="16"/>
          <w:szCs w:val="16"/>
          <w:u w:val="none"/>
          <w:lang w:val="en-US"/>
        </w:rPr>
        <w:t> 2020 May 15;201(10):1299-1300. doi: 10.1164/rccm.202003-0817LE.</w:t>
      </w:r>
    </w:p>
    <w:p w:rsidR="008F6FFE" w:rsidRPr="00E8130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Hyperlink"/>
          <w:rFonts w:asciiTheme="minorHAnsi" w:eastAsiaTheme="majorEastAsia" w:hAnsiTheme="minorHAnsi" w:cstheme="minorHAnsi"/>
          <w:color w:val="000000" w:themeColor="text1"/>
          <w:sz w:val="16"/>
          <w:szCs w:val="16"/>
          <w:u w:val="none"/>
          <w:lang w:val="en-US"/>
        </w:rPr>
        <w:t>COVID-19 Does Not Lead to a "Typical" Acute Respiratory Distress Syndrome.</w:t>
      </w:r>
    </w:p>
    <w:p w:rsidR="008F6FFE" w:rsidRPr="00E8130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58" w:history="1">
        <w:r w:rsidR="008F6FFE" w:rsidRPr="00E81309">
          <w:rPr>
            <w:rStyle w:val="Hyperlink"/>
            <w:rFonts w:asciiTheme="minorHAnsi" w:eastAsiaTheme="majorEastAsia" w:hAnsiTheme="minorHAnsi" w:cstheme="minorHAnsi"/>
            <w:color w:val="000000" w:themeColor="text1"/>
            <w:sz w:val="16"/>
            <w:szCs w:val="16"/>
            <w:u w:val="none"/>
          </w:rPr>
          <w:t>Gattinoni L</w:t>
        </w:r>
      </w:hyperlink>
      <w:r w:rsidR="008F6FFE" w:rsidRPr="00E81309">
        <w:rPr>
          <w:rStyle w:val="Hyperlink"/>
          <w:rFonts w:asciiTheme="minorHAnsi" w:eastAsiaTheme="majorEastAsia" w:hAnsiTheme="minorHAnsi" w:cstheme="minorHAnsi"/>
          <w:color w:val="000000" w:themeColor="text1"/>
          <w:sz w:val="16"/>
          <w:szCs w:val="16"/>
          <w:u w:val="none"/>
        </w:rPr>
        <w:t>1, </w:t>
      </w:r>
      <w:hyperlink r:id="rId59" w:history="1">
        <w:r w:rsidR="008F6FFE" w:rsidRPr="00E81309">
          <w:rPr>
            <w:rStyle w:val="Hyperlink"/>
            <w:rFonts w:asciiTheme="minorHAnsi" w:eastAsiaTheme="majorEastAsia" w:hAnsiTheme="minorHAnsi" w:cstheme="minorHAnsi"/>
            <w:color w:val="000000" w:themeColor="text1"/>
            <w:sz w:val="16"/>
            <w:szCs w:val="16"/>
            <w:u w:val="none"/>
          </w:rPr>
          <w:t>Coppola S</w:t>
        </w:r>
      </w:hyperlink>
      <w:r w:rsidR="008F6FFE" w:rsidRPr="00E81309">
        <w:rPr>
          <w:rStyle w:val="Hyperlink"/>
          <w:rFonts w:asciiTheme="minorHAnsi" w:eastAsiaTheme="majorEastAsia" w:hAnsiTheme="minorHAnsi" w:cstheme="minorHAnsi"/>
          <w:color w:val="000000" w:themeColor="text1"/>
          <w:sz w:val="16"/>
          <w:szCs w:val="16"/>
          <w:u w:val="none"/>
        </w:rPr>
        <w:t>2, </w:t>
      </w:r>
      <w:hyperlink r:id="rId60" w:history="1">
        <w:r w:rsidR="008F6FFE" w:rsidRPr="00E81309">
          <w:rPr>
            <w:rStyle w:val="Hyperlink"/>
            <w:rFonts w:asciiTheme="minorHAnsi" w:eastAsiaTheme="majorEastAsia" w:hAnsiTheme="minorHAnsi" w:cstheme="minorHAnsi"/>
            <w:color w:val="000000" w:themeColor="text1"/>
            <w:sz w:val="16"/>
            <w:szCs w:val="16"/>
            <w:u w:val="none"/>
          </w:rPr>
          <w:t>Cressoni M</w:t>
        </w:r>
      </w:hyperlink>
      <w:r w:rsidR="008F6FFE" w:rsidRPr="00E81309">
        <w:rPr>
          <w:rStyle w:val="Hyperlink"/>
          <w:rFonts w:asciiTheme="minorHAnsi" w:eastAsiaTheme="majorEastAsia" w:hAnsiTheme="minorHAnsi" w:cstheme="minorHAnsi"/>
          <w:color w:val="000000" w:themeColor="text1"/>
          <w:sz w:val="16"/>
          <w:szCs w:val="16"/>
          <w:u w:val="none"/>
        </w:rPr>
        <w:t>3, </w:t>
      </w:r>
      <w:hyperlink r:id="rId61" w:history="1">
        <w:r w:rsidR="008F6FFE" w:rsidRPr="00E81309">
          <w:rPr>
            <w:rStyle w:val="Hyperlink"/>
            <w:rFonts w:asciiTheme="minorHAnsi" w:eastAsiaTheme="majorEastAsia" w:hAnsiTheme="minorHAnsi" w:cstheme="minorHAnsi"/>
            <w:color w:val="000000" w:themeColor="text1"/>
            <w:sz w:val="16"/>
            <w:szCs w:val="16"/>
            <w:u w:val="none"/>
          </w:rPr>
          <w:t>Busana M</w:t>
        </w:r>
      </w:hyperlink>
      <w:r w:rsidR="008F6FFE" w:rsidRPr="00E81309">
        <w:rPr>
          <w:rStyle w:val="Hyperlink"/>
          <w:rFonts w:asciiTheme="minorHAnsi" w:eastAsiaTheme="majorEastAsia" w:hAnsiTheme="minorHAnsi" w:cstheme="minorHAnsi"/>
          <w:color w:val="000000" w:themeColor="text1"/>
          <w:sz w:val="16"/>
          <w:szCs w:val="16"/>
          <w:u w:val="none"/>
        </w:rPr>
        <w:t>1, </w:t>
      </w:r>
      <w:hyperlink r:id="rId62" w:history="1">
        <w:r w:rsidR="008F6FFE" w:rsidRPr="00E81309">
          <w:rPr>
            <w:rStyle w:val="Hyperlink"/>
            <w:rFonts w:asciiTheme="minorHAnsi" w:eastAsiaTheme="majorEastAsia" w:hAnsiTheme="minorHAnsi" w:cstheme="minorHAnsi"/>
            <w:color w:val="000000" w:themeColor="text1"/>
            <w:sz w:val="16"/>
            <w:szCs w:val="16"/>
            <w:u w:val="none"/>
          </w:rPr>
          <w:t>Rossi S</w:t>
        </w:r>
      </w:hyperlink>
      <w:r w:rsidR="008F6FFE" w:rsidRPr="00E81309">
        <w:rPr>
          <w:rStyle w:val="Hyperlink"/>
          <w:rFonts w:asciiTheme="minorHAnsi" w:eastAsiaTheme="majorEastAsia" w:hAnsiTheme="minorHAnsi" w:cstheme="minorHAnsi"/>
          <w:color w:val="000000" w:themeColor="text1"/>
          <w:sz w:val="16"/>
          <w:szCs w:val="16"/>
          <w:u w:val="none"/>
        </w:rPr>
        <w:t>4, </w:t>
      </w:r>
      <w:hyperlink r:id="rId63" w:history="1">
        <w:r w:rsidR="008F6FFE" w:rsidRPr="00E81309">
          <w:rPr>
            <w:rStyle w:val="Hyperlink"/>
            <w:rFonts w:asciiTheme="minorHAnsi" w:eastAsiaTheme="majorEastAsia" w:hAnsiTheme="minorHAnsi" w:cstheme="minorHAnsi"/>
            <w:color w:val="000000" w:themeColor="text1"/>
            <w:sz w:val="16"/>
            <w:szCs w:val="16"/>
            <w:u w:val="none"/>
          </w:rPr>
          <w:t>Chiumello D</w:t>
        </w:r>
      </w:hyperlink>
      <w:r w:rsidR="008F6FFE" w:rsidRPr="00E81309">
        <w:rPr>
          <w:rStyle w:val="Hyperlink"/>
          <w:rFonts w:asciiTheme="minorHAnsi" w:eastAsiaTheme="majorEastAsia" w:hAnsiTheme="minorHAnsi" w:cstheme="minorHAnsi"/>
          <w:color w:val="000000" w:themeColor="text1"/>
          <w:sz w:val="16"/>
          <w:szCs w:val="16"/>
          <w:u w:val="none"/>
        </w:rPr>
        <w:t>2.</w:t>
      </w:r>
    </w:p>
    <w:p w:rsidR="008F6FFE" w:rsidRPr="00E81309" w:rsidRDefault="0052743C" w:rsidP="00E81309">
      <w:pPr>
        <w:rPr>
          <w:rFonts w:asciiTheme="minorHAnsi" w:hAnsiTheme="minorHAnsi" w:cstheme="minorHAnsi"/>
          <w:color w:val="000000" w:themeColor="text1"/>
          <w:sz w:val="16"/>
          <w:szCs w:val="16"/>
        </w:rPr>
      </w:pPr>
      <w:hyperlink r:id="rId64" w:history="1">
        <w:r w:rsidR="008F6FFE" w:rsidRPr="00E81309">
          <w:rPr>
            <w:rFonts w:asciiTheme="minorHAnsi" w:hAnsiTheme="minorHAnsi" w:cstheme="minorHAnsi"/>
            <w:color w:val="000000" w:themeColor="text1"/>
            <w:sz w:val="16"/>
            <w:szCs w:val="16"/>
          </w:rPr>
          <w:t>https://www.ncbi.nlm.nih.gov/pmc/articles/PMC7233352/pdf/rccm.202003-0817LE.pdf</w:t>
        </w:r>
      </w:hyperlink>
    </w:p>
    <w:p w:rsidR="008F6FFE" w:rsidRPr="00E8130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p>
    <w:p w:rsidR="008F6FFE" w:rsidRPr="00E81309" w:rsidRDefault="008F6FFE" w:rsidP="00730D4E">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Hyperlink"/>
          <w:rFonts w:asciiTheme="minorHAnsi" w:eastAsiaTheme="majorEastAsia" w:hAnsiTheme="minorHAnsi" w:cstheme="minorHAnsi"/>
          <w:color w:val="000000" w:themeColor="text1"/>
          <w:sz w:val="16"/>
          <w:szCs w:val="16"/>
          <w:u w:val="none"/>
          <w:lang w:val="en-US"/>
        </w:rPr>
        <w:t xml:space="preserve">J Thromb Thrombolysis. 2020;1‐14. doi:10.1007/s11239-020-02134-3 </w:t>
      </w:r>
    </w:p>
    <w:p w:rsidR="008F6FFE" w:rsidRPr="00E81309" w:rsidRDefault="008F6FFE" w:rsidP="00730D4E">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Hyperlink"/>
          <w:rFonts w:asciiTheme="minorHAnsi" w:eastAsiaTheme="majorEastAsia" w:hAnsiTheme="minorHAnsi" w:cstheme="minorHAnsi"/>
          <w:color w:val="000000" w:themeColor="text1"/>
          <w:sz w:val="16"/>
          <w:szCs w:val="16"/>
          <w:u w:val="none"/>
          <w:lang w:val="en-US"/>
        </w:rPr>
        <w:t>COVID-19 update: Covid-19-associated coagulopathy</w:t>
      </w:r>
    </w:p>
    <w:p w:rsidR="008F6FFE" w:rsidRPr="00E81309" w:rsidRDefault="008F6FFE" w:rsidP="00730D4E">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Hyperlink"/>
          <w:rFonts w:asciiTheme="minorHAnsi" w:eastAsiaTheme="majorEastAsia" w:hAnsiTheme="minorHAnsi" w:cstheme="minorHAnsi"/>
          <w:color w:val="000000" w:themeColor="text1"/>
          <w:sz w:val="16"/>
          <w:szCs w:val="16"/>
          <w:u w:val="none"/>
          <w:lang w:val="en-US"/>
        </w:rPr>
        <w:t xml:space="preserve">Becker RC. </w:t>
      </w:r>
    </w:p>
    <w:p w:rsidR="008F6FFE" w:rsidRPr="00E81309" w:rsidRDefault="0052743C" w:rsidP="00E81309">
      <w:pPr>
        <w:rPr>
          <w:rFonts w:asciiTheme="minorHAnsi" w:hAnsiTheme="minorHAnsi" w:cstheme="minorHAnsi"/>
          <w:color w:val="000000" w:themeColor="text1"/>
          <w:sz w:val="16"/>
          <w:szCs w:val="16"/>
          <w:lang w:val="en-US"/>
        </w:rPr>
      </w:pPr>
      <w:hyperlink r:id="rId65" w:history="1">
        <w:r w:rsidR="008F6FFE" w:rsidRPr="00E81309">
          <w:rPr>
            <w:rFonts w:asciiTheme="minorHAnsi" w:hAnsiTheme="minorHAnsi" w:cstheme="minorHAnsi"/>
            <w:color w:val="000000" w:themeColor="text1"/>
            <w:sz w:val="16"/>
            <w:szCs w:val="16"/>
            <w:lang w:val="en-US"/>
          </w:rPr>
          <w:t>https://www.ncbi.nlm.nih.gov/pmc/articles/PMC7225095/</w:t>
        </w:r>
      </w:hyperlink>
    </w:p>
    <w:p w:rsidR="008F6FFE" w:rsidRPr="00E8130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p>
    <w:p w:rsidR="008F6FFE" w:rsidRPr="00E81309" w:rsidRDefault="008F6FFE" w:rsidP="00730D4E">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Hyperlink"/>
          <w:rFonts w:asciiTheme="minorHAnsi" w:eastAsiaTheme="majorEastAsia" w:hAnsiTheme="minorHAnsi" w:cstheme="minorHAnsi"/>
          <w:color w:val="000000" w:themeColor="text1"/>
          <w:sz w:val="16"/>
          <w:szCs w:val="16"/>
          <w:u w:val="none"/>
          <w:lang w:val="en-US"/>
        </w:rPr>
        <w:t xml:space="preserve">Acad Radiol. 2020;27(6):900. doi:10.1016/j.acra.2020.04.010 </w:t>
      </w:r>
    </w:p>
    <w:p w:rsidR="008F6FFE" w:rsidRPr="00E81309" w:rsidRDefault="008F6FFE" w:rsidP="00730D4E">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Hyperlink"/>
          <w:rFonts w:asciiTheme="minorHAnsi" w:eastAsiaTheme="majorEastAsia" w:hAnsiTheme="minorHAnsi" w:cstheme="minorHAnsi"/>
          <w:color w:val="000000" w:themeColor="text1"/>
          <w:sz w:val="16"/>
          <w:szCs w:val="16"/>
          <w:u w:val="none"/>
          <w:lang w:val="en-US"/>
        </w:rPr>
        <w:t>COVID-19 Pulmonary Involvement: Is Really an Interstitial Pneumonia? </w:t>
      </w:r>
    </w:p>
    <w:p w:rsidR="008F6FFE" w:rsidRPr="00E81309" w:rsidRDefault="008F6FFE" w:rsidP="00730D4E">
      <w:pPr>
        <w:shd w:val="clear" w:color="auto" w:fill="FFFFFF"/>
        <w:jc w:val="both"/>
        <w:rPr>
          <w:rStyle w:val="Hyperlink"/>
          <w:rFonts w:asciiTheme="minorHAnsi" w:eastAsiaTheme="majorEastAsia" w:hAnsiTheme="minorHAnsi" w:cstheme="minorHAnsi"/>
          <w:color w:val="000000" w:themeColor="text1"/>
          <w:sz w:val="16"/>
          <w:szCs w:val="16"/>
          <w:u w:val="none"/>
        </w:rPr>
      </w:pPr>
      <w:r w:rsidRPr="00E81309">
        <w:rPr>
          <w:rStyle w:val="Hyperlink"/>
          <w:rFonts w:asciiTheme="minorHAnsi" w:eastAsiaTheme="majorEastAsia" w:hAnsiTheme="minorHAnsi" w:cstheme="minorHAnsi"/>
          <w:color w:val="000000" w:themeColor="text1"/>
          <w:sz w:val="16"/>
          <w:szCs w:val="16"/>
          <w:u w:val="none"/>
        </w:rPr>
        <w:t xml:space="preserve">Boraschi P. </w:t>
      </w:r>
    </w:p>
    <w:p w:rsidR="008F6FFE" w:rsidRPr="00E81309" w:rsidRDefault="0052743C" w:rsidP="00E81309">
      <w:pPr>
        <w:rPr>
          <w:rFonts w:asciiTheme="minorHAnsi" w:hAnsiTheme="minorHAnsi" w:cstheme="minorHAnsi"/>
          <w:color w:val="000000" w:themeColor="text1"/>
          <w:sz w:val="16"/>
          <w:szCs w:val="16"/>
        </w:rPr>
      </w:pPr>
      <w:hyperlink r:id="rId66" w:history="1">
        <w:r w:rsidR="008F6FFE" w:rsidRPr="00E81309">
          <w:rPr>
            <w:rFonts w:asciiTheme="minorHAnsi" w:hAnsiTheme="minorHAnsi" w:cstheme="minorHAnsi"/>
            <w:color w:val="000000" w:themeColor="text1"/>
            <w:sz w:val="16"/>
            <w:szCs w:val="16"/>
          </w:rPr>
          <w:t>https://www.ncbi.nlm.nih.gov/pmc/articles/PMC7158787/pdf/main.pdf</w:t>
        </w:r>
      </w:hyperlink>
    </w:p>
    <w:p w:rsidR="008F6FFE" w:rsidRPr="00DC48B4"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p>
    <w:p w:rsidR="008F6FFE" w:rsidRPr="00235A16" w:rsidRDefault="008F6FFE" w:rsidP="00E81309">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r w:rsidRPr="00235A16">
        <w:rPr>
          <w:rStyle w:val="Hyperlink"/>
          <w:rFonts w:asciiTheme="minorHAnsi" w:eastAsiaTheme="majorEastAsia" w:hAnsiTheme="minorHAnsi" w:cstheme="minorHAnsi"/>
          <w:color w:val="000000" w:themeColor="text1"/>
          <w:sz w:val="16"/>
          <w:szCs w:val="16"/>
          <w:u w:val="none"/>
          <w:lang w:val="de-DE"/>
        </w:rPr>
        <w:t xml:space="preserve">Wichmann D, Sperhake JP, Lütgehetmann M, et al. </w:t>
      </w:r>
    </w:p>
    <w:p w:rsidR="008F6FFE" w:rsidRPr="00E81309" w:rsidRDefault="008F6FFE" w:rsidP="00E81309">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Hyperlink"/>
          <w:rFonts w:asciiTheme="minorHAnsi" w:eastAsiaTheme="majorEastAsia" w:hAnsiTheme="minorHAnsi" w:cstheme="minorHAnsi"/>
          <w:color w:val="000000" w:themeColor="text1"/>
          <w:sz w:val="16"/>
          <w:szCs w:val="16"/>
          <w:u w:val="none"/>
          <w:lang w:val="en-US"/>
        </w:rPr>
        <w:t>Autopsy Findings and Venous Thromboembolism in Patients With COVID-19</w:t>
      </w:r>
    </w:p>
    <w:p w:rsidR="008F6FFE" w:rsidRPr="00235A16" w:rsidRDefault="008F6FFE" w:rsidP="00E81309">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r w:rsidRPr="00235A16">
        <w:rPr>
          <w:rStyle w:val="Hyperlink"/>
          <w:rFonts w:asciiTheme="minorHAnsi" w:eastAsiaTheme="majorEastAsia" w:hAnsiTheme="minorHAnsi" w:cstheme="minorHAnsi"/>
          <w:color w:val="000000" w:themeColor="text1"/>
          <w:sz w:val="16"/>
          <w:szCs w:val="16"/>
          <w:u w:val="none"/>
          <w:lang w:val="de-DE"/>
        </w:rPr>
        <w:t>Ann Intern Med. 2020;M20-2003. doi:10.7326/M20-2003</w:t>
      </w:r>
    </w:p>
    <w:p w:rsidR="008F6FFE" w:rsidRPr="00235A16"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hyperlink r:id="rId67" w:history="1">
        <w:r w:rsidR="008F6FFE" w:rsidRPr="00235A16">
          <w:rPr>
            <w:rStyle w:val="Hyperlink"/>
            <w:rFonts w:asciiTheme="minorHAnsi" w:eastAsiaTheme="majorEastAsia" w:hAnsiTheme="minorHAnsi" w:cstheme="minorHAnsi"/>
            <w:color w:val="000000" w:themeColor="text1"/>
            <w:sz w:val="16"/>
            <w:szCs w:val="16"/>
            <w:u w:val="none"/>
            <w:lang w:val="de-DE"/>
          </w:rPr>
          <w:t>https://www.acpjournals.org/doi/10.7326/M20-2003</w:t>
        </w:r>
      </w:hyperlink>
    </w:p>
    <w:p w:rsidR="008F6FFE" w:rsidRPr="00235A16"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p>
    <w:p w:rsidR="008F6FFE" w:rsidRPr="00235A16"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hyperlink r:id="rId68" w:history="1">
        <w:r w:rsidR="008F6FFE" w:rsidRPr="00235A16">
          <w:rPr>
            <w:rStyle w:val="Hyperlink"/>
            <w:rFonts w:asciiTheme="minorHAnsi" w:eastAsiaTheme="majorEastAsia" w:hAnsiTheme="minorHAnsi" w:cstheme="minorHAnsi"/>
            <w:color w:val="000000" w:themeColor="text1"/>
            <w:sz w:val="16"/>
            <w:szCs w:val="16"/>
            <w:u w:val="none"/>
            <w:lang w:val="de-DE"/>
          </w:rPr>
          <w:t>https://www.medicinenet.com/endotracheal_intubation/article.htm</w:t>
        </w:r>
      </w:hyperlink>
    </w:p>
    <w:p w:rsidR="008F6FFE" w:rsidRPr="00235A16"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p>
    <w:p w:rsidR="008F6FFE" w:rsidRPr="00235A16"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hyperlink r:id="rId69" w:history="1">
        <w:r w:rsidR="008F6FFE" w:rsidRPr="00235A16">
          <w:rPr>
            <w:rStyle w:val="Hyperlink"/>
            <w:rFonts w:asciiTheme="minorHAnsi" w:eastAsiaTheme="majorEastAsia" w:hAnsiTheme="minorHAnsi" w:cstheme="minorHAnsi"/>
            <w:color w:val="000000" w:themeColor="text1"/>
            <w:sz w:val="16"/>
            <w:szCs w:val="16"/>
            <w:u w:val="none"/>
            <w:lang w:val="de-DE"/>
          </w:rPr>
          <w:t>https://www.medpagetoday.com/infectiousdisease/covid19/86535</w:t>
        </w:r>
      </w:hyperlink>
    </w:p>
    <w:p w:rsidR="008F6FFE" w:rsidRPr="00235A16"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p>
  </w:footnote>
  <w:footnote w:id="13">
    <w:p w:rsidR="008F6FFE" w:rsidRPr="00E8130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Hyperlink"/>
          <w:rFonts w:asciiTheme="minorHAnsi" w:eastAsiaTheme="majorEastAsia" w:hAnsiTheme="minorHAnsi" w:cstheme="minorHAnsi"/>
          <w:color w:val="000000" w:themeColor="text1"/>
          <w:sz w:val="16"/>
          <w:szCs w:val="16"/>
          <w:u w:val="none"/>
          <w:vertAlign w:val="superscript"/>
        </w:rPr>
        <w:footnoteRef/>
      </w:r>
      <w:r w:rsidRPr="00E81309">
        <w:rPr>
          <w:rStyle w:val="Hyperlink"/>
          <w:rFonts w:asciiTheme="minorHAnsi" w:eastAsiaTheme="majorEastAsia" w:hAnsiTheme="minorHAnsi" w:cstheme="minorHAnsi"/>
          <w:color w:val="000000" w:themeColor="text1"/>
          <w:sz w:val="16"/>
          <w:szCs w:val="16"/>
          <w:u w:val="none"/>
          <w:lang w:val="en-US"/>
        </w:rPr>
        <w:t xml:space="preserve"> </w:t>
      </w:r>
      <w:hyperlink r:id="rId70" w:tooltip="JAMA." w:history="1">
        <w:r w:rsidRPr="00E81309">
          <w:rPr>
            <w:rStyle w:val="Hyperlink"/>
            <w:rFonts w:asciiTheme="minorHAnsi" w:eastAsiaTheme="majorEastAsia" w:hAnsiTheme="minorHAnsi" w:cstheme="minorHAnsi"/>
            <w:color w:val="000000" w:themeColor="text1"/>
            <w:sz w:val="16"/>
            <w:szCs w:val="16"/>
            <w:u w:val="none"/>
            <w:lang w:val="en-US"/>
          </w:rPr>
          <w:t>JAMA.</w:t>
        </w:r>
      </w:hyperlink>
      <w:r w:rsidRPr="00E81309">
        <w:rPr>
          <w:rStyle w:val="Hyperlink"/>
          <w:rFonts w:asciiTheme="minorHAnsi" w:eastAsiaTheme="majorEastAsia" w:hAnsiTheme="minorHAnsi" w:cstheme="minorHAnsi"/>
          <w:color w:val="000000" w:themeColor="text1"/>
          <w:sz w:val="16"/>
          <w:szCs w:val="16"/>
          <w:u w:val="none"/>
          <w:lang w:val="en-US"/>
        </w:rPr>
        <w:t> 2020 Apr 6. doi: 10.1001/jama.2020.5394. [Epub ahead of print]</w:t>
      </w:r>
    </w:p>
    <w:p w:rsidR="008F6FFE" w:rsidRPr="00E8130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E81309">
        <w:rPr>
          <w:rStyle w:val="Hyperlink"/>
          <w:rFonts w:asciiTheme="minorHAnsi" w:eastAsiaTheme="majorEastAsia" w:hAnsiTheme="minorHAnsi" w:cstheme="minorHAnsi"/>
          <w:color w:val="000000" w:themeColor="text1"/>
          <w:sz w:val="16"/>
          <w:szCs w:val="16"/>
          <w:u w:val="none"/>
          <w:lang w:val="en-US"/>
        </w:rPr>
        <w:t>Baseline Characteristics and Outcomes of 1591 Patients Infected With SARS-CoV-2 Admitted to ICUs of the Lombardy Region, Italy.</w:t>
      </w:r>
    </w:p>
    <w:p w:rsidR="008F6FFE" w:rsidRPr="00E8130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71" w:history="1">
        <w:r w:rsidR="008F6FFE" w:rsidRPr="00E81309">
          <w:rPr>
            <w:rStyle w:val="Hyperlink"/>
            <w:rFonts w:asciiTheme="minorHAnsi" w:eastAsiaTheme="majorEastAsia" w:hAnsiTheme="minorHAnsi" w:cstheme="minorHAnsi"/>
            <w:color w:val="000000" w:themeColor="text1"/>
            <w:sz w:val="16"/>
            <w:szCs w:val="16"/>
            <w:u w:val="none"/>
          </w:rPr>
          <w:t>Grasselli G</w:t>
        </w:r>
      </w:hyperlink>
      <w:r w:rsidR="008F6FFE" w:rsidRPr="00E81309">
        <w:rPr>
          <w:rStyle w:val="Hyperlink"/>
          <w:rFonts w:asciiTheme="minorHAnsi" w:eastAsiaTheme="majorEastAsia" w:hAnsiTheme="minorHAnsi" w:cstheme="minorHAnsi"/>
          <w:color w:val="000000" w:themeColor="text1"/>
          <w:sz w:val="16"/>
          <w:szCs w:val="16"/>
          <w:u w:val="none"/>
        </w:rPr>
        <w:t xml:space="preserve"> et al</w:t>
      </w:r>
    </w:p>
    <w:p w:rsidR="008F6FFE" w:rsidRPr="00E8130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72" w:history="1">
        <w:r w:rsidR="008F6FFE" w:rsidRPr="00E81309">
          <w:rPr>
            <w:rStyle w:val="Hyperlink"/>
            <w:rFonts w:asciiTheme="minorHAnsi" w:eastAsiaTheme="majorEastAsia" w:hAnsiTheme="minorHAnsi" w:cstheme="minorHAnsi"/>
            <w:color w:val="000000" w:themeColor="text1"/>
            <w:sz w:val="16"/>
            <w:szCs w:val="16"/>
            <w:u w:val="none"/>
          </w:rPr>
          <w:t>https://www.ncbi.nlm.nih.gov/pmc/articles/PMC7136855/</w:t>
        </w:r>
      </w:hyperlink>
    </w:p>
    <w:p w:rsidR="008F6FFE" w:rsidRPr="00E8130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p>
    <w:p w:rsidR="008F6FFE" w:rsidRPr="00E8130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73" w:tooltip="Annals of intensive care." w:history="1">
        <w:r w:rsidR="008F6FFE" w:rsidRPr="00E81309">
          <w:rPr>
            <w:rStyle w:val="Hyperlink"/>
            <w:rFonts w:asciiTheme="minorHAnsi" w:eastAsiaTheme="majorEastAsia" w:hAnsiTheme="minorHAnsi" w:cstheme="minorHAnsi"/>
            <w:color w:val="000000" w:themeColor="text1"/>
            <w:sz w:val="16"/>
            <w:szCs w:val="16"/>
            <w:u w:val="none"/>
            <w:lang w:val="en-US"/>
          </w:rPr>
          <w:t>Ann Intensive Care.</w:t>
        </w:r>
      </w:hyperlink>
      <w:r w:rsidR="008F6FFE" w:rsidRPr="00E81309">
        <w:rPr>
          <w:rStyle w:val="Hyperlink"/>
          <w:rFonts w:asciiTheme="minorHAnsi" w:eastAsiaTheme="majorEastAsia" w:hAnsiTheme="minorHAnsi" w:cstheme="minorHAnsi"/>
          <w:color w:val="000000" w:themeColor="text1"/>
          <w:sz w:val="16"/>
          <w:szCs w:val="16"/>
          <w:u w:val="none"/>
          <w:lang w:val="en-US"/>
        </w:rPr>
        <w:t> 2020 Mar 30;10(1):37. doi: 10.1186/s13613-020-00653-z.</w:t>
      </w:r>
    </w:p>
    <w:p w:rsidR="008F6FFE" w:rsidRPr="00E81309" w:rsidRDefault="008F6FFE" w:rsidP="00E81309">
      <w:pPr>
        <w:rPr>
          <w:rFonts w:asciiTheme="minorHAnsi" w:hAnsiTheme="minorHAnsi" w:cstheme="minorHAnsi"/>
          <w:color w:val="000000" w:themeColor="text1"/>
          <w:sz w:val="16"/>
          <w:szCs w:val="16"/>
          <w:lang w:val="en-US"/>
        </w:rPr>
      </w:pPr>
      <w:r w:rsidRPr="00E81309">
        <w:rPr>
          <w:rFonts w:asciiTheme="minorHAnsi" w:hAnsiTheme="minorHAnsi" w:cstheme="minorHAnsi"/>
          <w:color w:val="000000" w:themeColor="text1"/>
          <w:sz w:val="16"/>
          <w:szCs w:val="16"/>
          <w:lang w:val="en-US"/>
        </w:rPr>
        <w:t>The experience of high-fow nasal cannula in hospitalized patients with 2019 novel coronavirus-infected pneumonia in two hospitals of Chongqing, China</w:t>
      </w:r>
    </w:p>
    <w:p w:rsidR="008F6FFE" w:rsidRPr="00E8130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74" w:history="1">
        <w:r w:rsidR="008F6FFE" w:rsidRPr="00E81309">
          <w:rPr>
            <w:rStyle w:val="Hyperlink"/>
            <w:rFonts w:asciiTheme="minorHAnsi" w:eastAsiaTheme="majorEastAsia" w:hAnsiTheme="minorHAnsi" w:cstheme="minorHAnsi"/>
            <w:color w:val="000000" w:themeColor="text1"/>
            <w:sz w:val="16"/>
            <w:szCs w:val="16"/>
            <w:u w:val="none"/>
            <w:lang w:val="en-US"/>
          </w:rPr>
          <w:t>Wang K</w:t>
        </w:r>
      </w:hyperlink>
      <w:r w:rsidR="008F6FFE" w:rsidRPr="00E81309">
        <w:rPr>
          <w:rStyle w:val="Hyperlink"/>
          <w:rFonts w:asciiTheme="minorHAnsi" w:eastAsiaTheme="majorEastAsia" w:hAnsiTheme="minorHAnsi" w:cstheme="minorHAnsi"/>
          <w:color w:val="000000" w:themeColor="text1"/>
          <w:sz w:val="16"/>
          <w:szCs w:val="16"/>
          <w:u w:val="none"/>
          <w:lang w:val="en-US"/>
        </w:rPr>
        <w:t>1, </w:t>
      </w:r>
      <w:hyperlink r:id="rId75" w:history="1">
        <w:r w:rsidR="008F6FFE" w:rsidRPr="00E81309">
          <w:rPr>
            <w:rStyle w:val="Hyperlink"/>
            <w:rFonts w:asciiTheme="minorHAnsi" w:eastAsiaTheme="majorEastAsia" w:hAnsiTheme="minorHAnsi" w:cstheme="minorHAnsi"/>
            <w:color w:val="000000" w:themeColor="text1"/>
            <w:sz w:val="16"/>
            <w:szCs w:val="16"/>
            <w:u w:val="none"/>
            <w:lang w:val="en-US"/>
          </w:rPr>
          <w:t>Zhao W</w:t>
        </w:r>
      </w:hyperlink>
      <w:r w:rsidR="008F6FFE" w:rsidRPr="00E81309">
        <w:rPr>
          <w:rStyle w:val="Hyperlink"/>
          <w:rFonts w:asciiTheme="minorHAnsi" w:eastAsiaTheme="majorEastAsia" w:hAnsiTheme="minorHAnsi" w:cstheme="minorHAnsi"/>
          <w:color w:val="000000" w:themeColor="text1"/>
          <w:sz w:val="16"/>
          <w:szCs w:val="16"/>
          <w:u w:val="none"/>
          <w:lang w:val="en-US"/>
        </w:rPr>
        <w:t>2, </w:t>
      </w:r>
      <w:hyperlink r:id="rId76" w:history="1">
        <w:r w:rsidR="008F6FFE" w:rsidRPr="00E81309">
          <w:rPr>
            <w:rStyle w:val="Hyperlink"/>
            <w:rFonts w:asciiTheme="minorHAnsi" w:eastAsiaTheme="majorEastAsia" w:hAnsiTheme="minorHAnsi" w:cstheme="minorHAnsi"/>
            <w:color w:val="000000" w:themeColor="text1"/>
            <w:sz w:val="16"/>
            <w:szCs w:val="16"/>
            <w:u w:val="none"/>
            <w:lang w:val="en-US"/>
          </w:rPr>
          <w:t>Li J</w:t>
        </w:r>
      </w:hyperlink>
      <w:r w:rsidR="008F6FFE" w:rsidRPr="00E81309">
        <w:rPr>
          <w:rStyle w:val="Hyperlink"/>
          <w:rFonts w:asciiTheme="minorHAnsi" w:eastAsiaTheme="majorEastAsia" w:hAnsiTheme="minorHAnsi" w:cstheme="minorHAnsi"/>
          <w:color w:val="000000" w:themeColor="text1"/>
          <w:sz w:val="16"/>
          <w:szCs w:val="16"/>
          <w:u w:val="none"/>
          <w:lang w:val="en-US"/>
        </w:rPr>
        <w:t>3, </w:t>
      </w:r>
      <w:hyperlink r:id="rId77" w:history="1">
        <w:r w:rsidR="008F6FFE" w:rsidRPr="00E81309">
          <w:rPr>
            <w:rStyle w:val="Hyperlink"/>
            <w:rFonts w:asciiTheme="minorHAnsi" w:eastAsiaTheme="majorEastAsia" w:hAnsiTheme="minorHAnsi" w:cstheme="minorHAnsi"/>
            <w:color w:val="000000" w:themeColor="text1"/>
            <w:sz w:val="16"/>
            <w:szCs w:val="16"/>
            <w:u w:val="none"/>
            <w:lang w:val="en-US"/>
          </w:rPr>
          <w:t>Shu W</w:t>
        </w:r>
      </w:hyperlink>
      <w:r w:rsidR="008F6FFE" w:rsidRPr="00E81309">
        <w:rPr>
          <w:rStyle w:val="Hyperlink"/>
          <w:rFonts w:asciiTheme="minorHAnsi" w:eastAsiaTheme="majorEastAsia" w:hAnsiTheme="minorHAnsi" w:cstheme="minorHAnsi"/>
          <w:color w:val="000000" w:themeColor="text1"/>
          <w:sz w:val="16"/>
          <w:szCs w:val="16"/>
          <w:u w:val="none"/>
          <w:lang w:val="en-US"/>
        </w:rPr>
        <w:t>4, </w:t>
      </w:r>
      <w:hyperlink r:id="rId78" w:history="1">
        <w:r w:rsidR="008F6FFE" w:rsidRPr="00E81309">
          <w:rPr>
            <w:rStyle w:val="Hyperlink"/>
            <w:rFonts w:asciiTheme="minorHAnsi" w:eastAsiaTheme="majorEastAsia" w:hAnsiTheme="minorHAnsi" w:cstheme="minorHAnsi"/>
            <w:color w:val="000000" w:themeColor="text1"/>
            <w:sz w:val="16"/>
            <w:szCs w:val="16"/>
            <w:u w:val="none"/>
            <w:lang w:val="en-US"/>
          </w:rPr>
          <w:t>Duan J</w:t>
        </w:r>
      </w:hyperlink>
      <w:r w:rsidR="008F6FFE" w:rsidRPr="00E81309">
        <w:rPr>
          <w:rStyle w:val="Hyperlink"/>
          <w:rFonts w:asciiTheme="minorHAnsi" w:eastAsiaTheme="majorEastAsia" w:hAnsiTheme="minorHAnsi" w:cstheme="minorHAnsi"/>
          <w:color w:val="000000" w:themeColor="text1"/>
          <w:sz w:val="16"/>
          <w:szCs w:val="16"/>
          <w:u w:val="none"/>
          <w:lang w:val="en-US"/>
        </w:rPr>
        <w:t>5.</w:t>
      </w:r>
    </w:p>
    <w:p w:rsidR="008F6FFE" w:rsidRPr="00E81309" w:rsidRDefault="0052743C" w:rsidP="00E81309">
      <w:pPr>
        <w:rPr>
          <w:rFonts w:asciiTheme="minorHAnsi" w:hAnsiTheme="minorHAnsi" w:cstheme="minorHAnsi"/>
          <w:color w:val="000000" w:themeColor="text1"/>
          <w:sz w:val="16"/>
          <w:szCs w:val="16"/>
          <w:lang w:val="en-US"/>
        </w:rPr>
      </w:pPr>
      <w:hyperlink r:id="rId79" w:history="1">
        <w:r w:rsidR="008F6FFE" w:rsidRPr="00E81309">
          <w:rPr>
            <w:rFonts w:asciiTheme="minorHAnsi" w:hAnsiTheme="minorHAnsi" w:cstheme="minorHAnsi"/>
            <w:color w:val="000000" w:themeColor="text1"/>
            <w:sz w:val="16"/>
            <w:szCs w:val="16"/>
            <w:lang w:val="en-US"/>
          </w:rPr>
          <w:t>https://www.ncbi.nlm.nih.gov/pmc/articles/PMC7104710/pdf/13613_2020_Article_653.pdf</w:t>
        </w:r>
      </w:hyperlink>
    </w:p>
    <w:p w:rsidR="008F6FFE" w:rsidRPr="00717D4D"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p>
    <w:p w:rsidR="008F6FFE" w:rsidRPr="00717D4D"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80" w:tooltip="Monaldi archives for chest disease = Archivio Monaldi per le malattie del torace." w:history="1">
        <w:r w:rsidR="008F6FFE" w:rsidRPr="00717D4D">
          <w:rPr>
            <w:rStyle w:val="Hyperlink"/>
            <w:rFonts w:asciiTheme="minorHAnsi" w:eastAsiaTheme="majorEastAsia" w:hAnsiTheme="minorHAnsi" w:cstheme="minorHAnsi"/>
            <w:color w:val="000000" w:themeColor="text1"/>
            <w:sz w:val="16"/>
            <w:szCs w:val="16"/>
            <w:u w:val="none"/>
            <w:lang w:val="en-US"/>
          </w:rPr>
          <w:t>Monaldi Arch Chest Dis.</w:t>
        </w:r>
      </w:hyperlink>
      <w:r w:rsidR="008F6FFE" w:rsidRPr="00717D4D">
        <w:rPr>
          <w:rStyle w:val="Hyperlink"/>
          <w:rFonts w:asciiTheme="minorHAnsi" w:eastAsiaTheme="majorEastAsia" w:hAnsiTheme="minorHAnsi" w:cstheme="minorHAnsi"/>
          <w:color w:val="000000" w:themeColor="text1"/>
          <w:sz w:val="16"/>
          <w:szCs w:val="16"/>
          <w:u w:val="none"/>
          <w:lang w:val="en-US"/>
        </w:rPr>
        <w:t> 2020 May 5;90(2). doi: 10.4081/monaldi.2020.1342.</w:t>
      </w:r>
    </w:p>
    <w:p w:rsidR="008F6FFE" w:rsidRPr="00717D4D"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717D4D">
        <w:rPr>
          <w:rStyle w:val="Hyperlink"/>
          <w:rFonts w:asciiTheme="minorHAnsi" w:eastAsiaTheme="majorEastAsia" w:hAnsiTheme="minorHAnsi" w:cstheme="minorHAnsi"/>
          <w:color w:val="000000" w:themeColor="text1"/>
          <w:sz w:val="16"/>
          <w:szCs w:val="16"/>
          <w:u w:val="none"/>
          <w:lang w:val="en-US"/>
        </w:rPr>
        <w:t>Management of COVID-19: the risks associated with treatment are clear, but the benefits remain uncertain.</w:t>
      </w:r>
    </w:p>
    <w:p w:rsidR="008F6FFE" w:rsidRPr="00717D4D"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81" w:history="1">
        <w:r w:rsidR="008F6FFE" w:rsidRPr="00717D4D">
          <w:rPr>
            <w:rStyle w:val="Hyperlink"/>
            <w:rFonts w:asciiTheme="minorHAnsi" w:eastAsiaTheme="majorEastAsia" w:hAnsiTheme="minorHAnsi" w:cstheme="minorHAnsi"/>
            <w:color w:val="000000" w:themeColor="text1"/>
            <w:sz w:val="16"/>
            <w:szCs w:val="16"/>
            <w:u w:val="none"/>
          </w:rPr>
          <w:t>Zareifopoulos N</w:t>
        </w:r>
      </w:hyperlink>
      <w:r w:rsidR="008F6FFE" w:rsidRPr="00717D4D">
        <w:rPr>
          <w:rStyle w:val="Hyperlink"/>
          <w:rFonts w:asciiTheme="minorHAnsi" w:eastAsiaTheme="majorEastAsia" w:hAnsiTheme="minorHAnsi" w:cstheme="minorHAnsi"/>
          <w:color w:val="000000" w:themeColor="text1"/>
          <w:sz w:val="16"/>
          <w:szCs w:val="16"/>
          <w:u w:val="none"/>
        </w:rPr>
        <w:t>1, </w:t>
      </w:r>
      <w:hyperlink r:id="rId82" w:history="1">
        <w:r w:rsidR="008F6FFE" w:rsidRPr="00717D4D">
          <w:rPr>
            <w:rStyle w:val="Hyperlink"/>
            <w:rFonts w:asciiTheme="minorHAnsi" w:eastAsiaTheme="majorEastAsia" w:hAnsiTheme="minorHAnsi" w:cstheme="minorHAnsi"/>
            <w:color w:val="000000" w:themeColor="text1"/>
            <w:sz w:val="16"/>
            <w:szCs w:val="16"/>
            <w:u w:val="none"/>
          </w:rPr>
          <w:t>Lagadinou M</w:t>
        </w:r>
      </w:hyperlink>
      <w:r w:rsidR="008F6FFE" w:rsidRPr="00717D4D">
        <w:rPr>
          <w:rStyle w:val="Hyperlink"/>
          <w:rFonts w:asciiTheme="minorHAnsi" w:eastAsiaTheme="majorEastAsia" w:hAnsiTheme="minorHAnsi" w:cstheme="minorHAnsi"/>
          <w:color w:val="000000" w:themeColor="text1"/>
          <w:sz w:val="16"/>
          <w:szCs w:val="16"/>
          <w:u w:val="none"/>
        </w:rPr>
        <w:t>2, </w:t>
      </w:r>
      <w:hyperlink r:id="rId83" w:history="1">
        <w:r w:rsidR="008F6FFE" w:rsidRPr="00717D4D">
          <w:rPr>
            <w:rStyle w:val="Hyperlink"/>
            <w:rFonts w:asciiTheme="minorHAnsi" w:eastAsiaTheme="majorEastAsia" w:hAnsiTheme="minorHAnsi" w:cstheme="minorHAnsi"/>
            <w:color w:val="000000" w:themeColor="text1"/>
            <w:sz w:val="16"/>
            <w:szCs w:val="16"/>
            <w:u w:val="none"/>
          </w:rPr>
          <w:t>Karela A</w:t>
        </w:r>
      </w:hyperlink>
      <w:r w:rsidR="008F6FFE" w:rsidRPr="00717D4D">
        <w:rPr>
          <w:rStyle w:val="Hyperlink"/>
          <w:rFonts w:asciiTheme="minorHAnsi" w:eastAsiaTheme="majorEastAsia" w:hAnsiTheme="minorHAnsi" w:cstheme="minorHAnsi"/>
          <w:color w:val="000000" w:themeColor="text1"/>
          <w:sz w:val="16"/>
          <w:szCs w:val="16"/>
          <w:u w:val="none"/>
        </w:rPr>
        <w:t>3, </w:t>
      </w:r>
      <w:hyperlink r:id="rId84" w:history="1">
        <w:r w:rsidR="008F6FFE" w:rsidRPr="00717D4D">
          <w:rPr>
            <w:rStyle w:val="Hyperlink"/>
            <w:rFonts w:asciiTheme="minorHAnsi" w:eastAsiaTheme="majorEastAsia" w:hAnsiTheme="minorHAnsi" w:cstheme="minorHAnsi"/>
            <w:color w:val="000000" w:themeColor="text1"/>
            <w:sz w:val="16"/>
            <w:szCs w:val="16"/>
            <w:u w:val="none"/>
          </w:rPr>
          <w:t>Platanaki C</w:t>
        </w:r>
      </w:hyperlink>
      <w:r w:rsidR="008F6FFE" w:rsidRPr="00717D4D">
        <w:rPr>
          <w:rStyle w:val="Hyperlink"/>
          <w:rFonts w:asciiTheme="minorHAnsi" w:eastAsiaTheme="majorEastAsia" w:hAnsiTheme="minorHAnsi" w:cstheme="minorHAnsi"/>
          <w:color w:val="000000" w:themeColor="text1"/>
          <w:sz w:val="16"/>
          <w:szCs w:val="16"/>
          <w:u w:val="none"/>
        </w:rPr>
        <w:t>4, </w:t>
      </w:r>
      <w:hyperlink r:id="rId85" w:history="1">
        <w:r w:rsidR="008F6FFE" w:rsidRPr="00717D4D">
          <w:rPr>
            <w:rStyle w:val="Hyperlink"/>
            <w:rFonts w:asciiTheme="minorHAnsi" w:eastAsiaTheme="majorEastAsia" w:hAnsiTheme="minorHAnsi" w:cstheme="minorHAnsi"/>
            <w:color w:val="000000" w:themeColor="text1"/>
            <w:sz w:val="16"/>
            <w:szCs w:val="16"/>
            <w:u w:val="none"/>
          </w:rPr>
          <w:t>Karantzogiannis G</w:t>
        </w:r>
      </w:hyperlink>
      <w:r w:rsidR="008F6FFE" w:rsidRPr="00717D4D">
        <w:rPr>
          <w:rStyle w:val="Hyperlink"/>
          <w:rFonts w:asciiTheme="minorHAnsi" w:eastAsiaTheme="majorEastAsia" w:hAnsiTheme="minorHAnsi" w:cstheme="minorHAnsi"/>
          <w:color w:val="000000" w:themeColor="text1"/>
          <w:sz w:val="16"/>
          <w:szCs w:val="16"/>
          <w:u w:val="none"/>
        </w:rPr>
        <w:t>5, </w:t>
      </w:r>
      <w:hyperlink r:id="rId86" w:history="1">
        <w:r w:rsidR="008F6FFE" w:rsidRPr="00717D4D">
          <w:rPr>
            <w:rStyle w:val="Hyperlink"/>
            <w:rFonts w:asciiTheme="minorHAnsi" w:eastAsiaTheme="majorEastAsia" w:hAnsiTheme="minorHAnsi" w:cstheme="minorHAnsi"/>
            <w:color w:val="000000" w:themeColor="text1"/>
            <w:sz w:val="16"/>
            <w:szCs w:val="16"/>
            <w:u w:val="none"/>
          </w:rPr>
          <w:t>Velissaris D</w:t>
        </w:r>
      </w:hyperlink>
      <w:r w:rsidR="008F6FFE" w:rsidRPr="00717D4D">
        <w:rPr>
          <w:rStyle w:val="Hyperlink"/>
          <w:rFonts w:asciiTheme="minorHAnsi" w:eastAsiaTheme="majorEastAsia" w:hAnsiTheme="minorHAnsi" w:cstheme="minorHAnsi"/>
          <w:color w:val="000000" w:themeColor="text1"/>
          <w:sz w:val="16"/>
          <w:szCs w:val="16"/>
          <w:u w:val="none"/>
        </w:rPr>
        <w:t>6.</w:t>
      </w:r>
    </w:p>
    <w:p w:rsidR="008F6FFE" w:rsidRPr="00717D4D" w:rsidRDefault="0052743C" w:rsidP="00717D4D">
      <w:pPr>
        <w:shd w:val="clear" w:color="auto" w:fill="FFFFFF"/>
        <w:jc w:val="both"/>
        <w:rPr>
          <w:rFonts w:asciiTheme="minorHAnsi" w:eastAsiaTheme="majorEastAsia" w:hAnsiTheme="minorHAnsi" w:cstheme="minorHAnsi"/>
          <w:color w:val="000000" w:themeColor="text1"/>
          <w:sz w:val="16"/>
          <w:szCs w:val="16"/>
        </w:rPr>
      </w:pPr>
      <w:hyperlink r:id="rId87" w:history="1">
        <w:r w:rsidR="008F6FFE" w:rsidRPr="00717D4D">
          <w:rPr>
            <w:rStyle w:val="Hyperlink"/>
            <w:rFonts w:asciiTheme="minorHAnsi" w:eastAsiaTheme="majorEastAsia" w:hAnsiTheme="minorHAnsi" w:cstheme="minorHAnsi"/>
            <w:color w:val="000000" w:themeColor="text1"/>
            <w:sz w:val="16"/>
            <w:szCs w:val="16"/>
            <w:u w:val="none"/>
          </w:rPr>
          <w:t>https://www.monaldi-archives.org/index.php/macd/article/download/1342/1021</w:t>
        </w:r>
      </w:hyperlink>
    </w:p>
    <w:p w:rsidR="008F6FFE" w:rsidRPr="00717D4D" w:rsidRDefault="008F6FFE" w:rsidP="00717D4D">
      <w:pPr>
        <w:shd w:val="clear" w:color="auto" w:fill="FFFFFF"/>
        <w:rPr>
          <w:rFonts w:asciiTheme="minorHAnsi" w:hAnsiTheme="minorHAnsi" w:cstheme="minorHAnsi"/>
          <w:color w:val="000000" w:themeColor="text1"/>
          <w:sz w:val="16"/>
          <w:szCs w:val="16"/>
        </w:rPr>
      </w:pPr>
    </w:p>
  </w:footnote>
  <w:footnote w:id="14">
    <w:p w:rsidR="008F6FFE" w:rsidRPr="00717D4D"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717D4D">
        <w:rPr>
          <w:rStyle w:val="FootnoteReference"/>
          <w:rFonts w:asciiTheme="minorHAnsi" w:hAnsiTheme="minorHAnsi" w:cstheme="minorHAnsi"/>
          <w:color w:val="000000" w:themeColor="text1"/>
          <w:sz w:val="16"/>
          <w:szCs w:val="16"/>
        </w:rPr>
        <w:footnoteRef/>
      </w:r>
      <w:r w:rsidRPr="00717D4D">
        <w:rPr>
          <w:rFonts w:asciiTheme="minorHAnsi" w:hAnsiTheme="minorHAnsi" w:cstheme="minorHAnsi"/>
          <w:color w:val="000000" w:themeColor="text1"/>
          <w:sz w:val="16"/>
          <w:szCs w:val="16"/>
          <w:lang w:val="en-US"/>
        </w:rPr>
        <w:t xml:space="preserve"> </w:t>
      </w:r>
      <w:hyperlink r:id="rId88" w:tooltip="Science (New York, N.Y.)." w:history="1">
        <w:r w:rsidRPr="00717D4D">
          <w:rPr>
            <w:rStyle w:val="Hyperlink"/>
            <w:rFonts w:asciiTheme="minorHAnsi" w:eastAsiaTheme="majorEastAsia" w:hAnsiTheme="minorHAnsi" w:cstheme="minorHAnsi"/>
            <w:color w:val="000000" w:themeColor="text1"/>
            <w:sz w:val="16"/>
            <w:szCs w:val="16"/>
            <w:u w:val="none"/>
            <w:lang w:val="en-US"/>
          </w:rPr>
          <w:t>Science.</w:t>
        </w:r>
      </w:hyperlink>
      <w:r w:rsidRPr="00717D4D">
        <w:rPr>
          <w:rStyle w:val="Hyperlink"/>
          <w:rFonts w:asciiTheme="minorHAnsi" w:eastAsiaTheme="majorEastAsia" w:hAnsiTheme="minorHAnsi" w:cstheme="minorHAnsi"/>
          <w:color w:val="000000" w:themeColor="text1"/>
          <w:sz w:val="16"/>
          <w:szCs w:val="16"/>
          <w:u w:val="none"/>
          <w:lang w:val="en-US"/>
        </w:rPr>
        <w:t xml:space="preserve"> 2020 Apr 17. pii: eabb7314. doi: 10.1126/science.abb7314. </w:t>
      </w:r>
    </w:p>
    <w:p w:rsidR="008F6FFE" w:rsidRPr="00717D4D"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717D4D">
        <w:rPr>
          <w:rStyle w:val="Hyperlink"/>
          <w:rFonts w:asciiTheme="minorHAnsi" w:eastAsiaTheme="majorEastAsia" w:hAnsiTheme="minorHAnsi" w:cstheme="minorHAnsi"/>
          <w:color w:val="000000" w:themeColor="text1"/>
          <w:sz w:val="16"/>
          <w:szCs w:val="16"/>
          <w:u w:val="none"/>
          <w:lang w:val="en-US"/>
        </w:rPr>
        <w:t>Comparative pathogenesis of COVID-19, MERS, and SARS in a nonhuman primate model.</w:t>
      </w:r>
    </w:p>
    <w:p w:rsidR="008F6FFE" w:rsidRPr="00235A16"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hyperlink r:id="rId89" w:history="1">
        <w:r w:rsidR="008F6FFE" w:rsidRPr="00235A16">
          <w:rPr>
            <w:rStyle w:val="Hyperlink"/>
            <w:rFonts w:asciiTheme="minorHAnsi" w:eastAsiaTheme="majorEastAsia" w:hAnsiTheme="minorHAnsi" w:cstheme="minorHAnsi"/>
            <w:color w:val="000000" w:themeColor="text1"/>
            <w:sz w:val="16"/>
            <w:szCs w:val="16"/>
            <w:u w:val="none"/>
            <w:lang w:val="de-DE"/>
          </w:rPr>
          <w:t>Rockx B</w:t>
        </w:r>
      </w:hyperlink>
      <w:r w:rsidR="008F6FFE" w:rsidRPr="00235A16">
        <w:rPr>
          <w:rStyle w:val="Hyperlink"/>
          <w:rFonts w:asciiTheme="minorHAnsi" w:eastAsiaTheme="majorEastAsia" w:hAnsiTheme="minorHAnsi" w:cstheme="minorHAnsi"/>
          <w:color w:val="000000" w:themeColor="text1"/>
          <w:sz w:val="16"/>
          <w:szCs w:val="16"/>
          <w:u w:val="none"/>
          <w:lang w:val="de-DE"/>
        </w:rPr>
        <w:t>1 et al.</w:t>
      </w:r>
    </w:p>
    <w:p w:rsidR="008F6FFE" w:rsidRPr="00235A16" w:rsidRDefault="0052743C" w:rsidP="00717D4D">
      <w:pPr>
        <w:rPr>
          <w:rStyle w:val="Hyperlink"/>
          <w:rFonts w:asciiTheme="minorHAnsi" w:eastAsiaTheme="majorEastAsia" w:hAnsiTheme="minorHAnsi" w:cstheme="minorHAnsi"/>
          <w:color w:val="000000" w:themeColor="text1"/>
          <w:sz w:val="16"/>
          <w:szCs w:val="16"/>
          <w:u w:val="none"/>
          <w:lang w:val="de-DE"/>
        </w:rPr>
      </w:pPr>
      <w:hyperlink r:id="rId90" w:history="1">
        <w:r w:rsidR="008F6FFE" w:rsidRPr="00235A16">
          <w:rPr>
            <w:rStyle w:val="Hyperlink"/>
            <w:rFonts w:asciiTheme="minorHAnsi" w:eastAsiaTheme="majorEastAsia" w:hAnsiTheme="minorHAnsi" w:cstheme="minorHAnsi"/>
            <w:color w:val="000000" w:themeColor="text1"/>
            <w:sz w:val="16"/>
            <w:szCs w:val="16"/>
            <w:u w:val="none"/>
            <w:lang w:val="de-DE"/>
          </w:rPr>
          <w:t>https://www.ncbi.nlm.nih.gov/pmc/articles/PMC7164679/pdf/abb7314.pdf</w:t>
        </w:r>
      </w:hyperlink>
    </w:p>
    <w:p w:rsidR="008F6FFE" w:rsidRPr="00235A16" w:rsidRDefault="008F6FFE" w:rsidP="00717D4D">
      <w:pPr>
        <w:shd w:val="clear" w:color="auto" w:fill="FFFFFF"/>
        <w:jc w:val="both"/>
        <w:rPr>
          <w:rFonts w:asciiTheme="minorHAnsi" w:hAnsiTheme="minorHAnsi" w:cstheme="minorHAnsi"/>
          <w:color w:val="000000" w:themeColor="text1"/>
          <w:sz w:val="16"/>
          <w:szCs w:val="16"/>
          <w:lang w:val="de-DE"/>
        </w:rPr>
      </w:pPr>
    </w:p>
    <w:p w:rsidR="008F6FFE" w:rsidRPr="00235A16"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r w:rsidRPr="00235A16">
        <w:rPr>
          <w:rStyle w:val="Hyperlink"/>
          <w:rFonts w:asciiTheme="minorHAnsi" w:eastAsiaTheme="majorEastAsia" w:hAnsiTheme="minorHAnsi" w:cstheme="minorHAnsi"/>
          <w:color w:val="000000" w:themeColor="text1"/>
          <w:sz w:val="16"/>
          <w:szCs w:val="16"/>
          <w:u w:val="none"/>
          <w:lang w:val="de-DE"/>
        </w:rPr>
        <w:t>bioRxiv 2020.04.08.031807; doi: https://doi.org/10.1101/2020.04.08.031807</w:t>
      </w:r>
    </w:p>
    <w:p w:rsidR="008F6FFE" w:rsidRPr="00717D4D"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717D4D">
        <w:rPr>
          <w:rStyle w:val="Hyperlink"/>
          <w:rFonts w:asciiTheme="minorHAnsi" w:eastAsiaTheme="majorEastAsia" w:hAnsiTheme="minorHAnsi" w:cstheme="minorHAnsi"/>
          <w:color w:val="000000" w:themeColor="text1"/>
          <w:sz w:val="16"/>
          <w:szCs w:val="16"/>
          <w:u w:val="none"/>
          <w:lang w:val="en-US"/>
        </w:rPr>
        <w:t>Comparison of SARS-CoV-2 infections among 3 species of non-human primates</w:t>
      </w:r>
    </w:p>
    <w:p w:rsidR="008F6FFE" w:rsidRPr="00717D4D"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717D4D">
        <w:rPr>
          <w:rStyle w:val="Hyperlink"/>
          <w:rFonts w:asciiTheme="minorHAnsi" w:eastAsiaTheme="majorEastAsia" w:hAnsiTheme="minorHAnsi" w:cstheme="minorHAnsi"/>
          <w:color w:val="000000" w:themeColor="text1"/>
          <w:sz w:val="16"/>
          <w:szCs w:val="16"/>
          <w:u w:val="none"/>
          <w:lang w:val="en-US"/>
        </w:rPr>
        <w:t>Shuaiyao Lu et al</w:t>
      </w:r>
    </w:p>
    <w:p w:rsidR="008F6FFE" w:rsidRPr="00717D4D"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91" w:history="1">
        <w:r w:rsidR="008F6FFE" w:rsidRPr="00717D4D">
          <w:rPr>
            <w:rStyle w:val="Hyperlink"/>
            <w:rFonts w:asciiTheme="minorHAnsi" w:eastAsiaTheme="majorEastAsia" w:hAnsiTheme="minorHAnsi" w:cstheme="minorHAnsi"/>
            <w:color w:val="000000" w:themeColor="text1"/>
            <w:sz w:val="16"/>
            <w:szCs w:val="16"/>
            <w:u w:val="none"/>
            <w:lang w:val="en-US"/>
          </w:rPr>
          <w:t>https://www.biorxiv.org/content/10.1101/2020.04.08.031807v1.full.pdf</w:t>
        </w:r>
      </w:hyperlink>
    </w:p>
    <w:p w:rsidR="008F6FFE" w:rsidRPr="00717D4D" w:rsidRDefault="008F6FFE" w:rsidP="00717D4D">
      <w:pPr>
        <w:pStyle w:val="FootnoteText"/>
        <w:rPr>
          <w:rFonts w:asciiTheme="minorHAnsi" w:hAnsiTheme="minorHAnsi"/>
          <w:color w:val="000000" w:themeColor="text1"/>
          <w:sz w:val="16"/>
          <w:szCs w:val="16"/>
          <w:lang w:val="en-US"/>
        </w:rPr>
      </w:pPr>
    </w:p>
  </w:footnote>
  <w:footnote w:id="15">
    <w:p w:rsidR="008F6FFE" w:rsidRPr="00717D4D" w:rsidRDefault="008F6FFE" w:rsidP="00652652">
      <w:pPr>
        <w:rPr>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color w:val="000000" w:themeColor="text1"/>
          <w:sz w:val="16"/>
          <w:szCs w:val="16"/>
        </w:rPr>
        <w:footnoteRef/>
      </w:r>
      <w:r w:rsidRPr="00717D4D">
        <w:rPr>
          <w:rFonts w:asciiTheme="minorHAnsi" w:hAnsiTheme="minorHAnsi"/>
          <w:color w:val="000000" w:themeColor="text1"/>
          <w:sz w:val="16"/>
          <w:szCs w:val="16"/>
          <w:lang w:val="en-US"/>
        </w:rPr>
        <w:t xml:space="preserve"> </w:t>
      </w:r>
      <w:hyperlink r:id="rId92" w:history="1">
        <w:r w:rsidRPr="00717D4D">
          <w:rPr>
            <w:rStyle w:val="Hyperlink"/>
            <w:rFonts w:asciiTheme="minorHAnsi" w:eastAsiaTheme="majorEastAsia" w:hAnsiTheme="minorHAnsi" w:cstheme="minorHAnsi"/>
            <w:color w:val="000000" w:themeColor="text1"/>
            <w:sz w:val="16"/>
            <w:szCs w:val="16"/>
            <w:u w:val="none"/>
            <w:lang w:val="en-US"/>
          </w:rPr>
          <w:t>https://www.primocanale.it/notizie/polemica-sui-numeri-del-coronavirus-bonsignore-non-ci-sono-pi-morti-per-altre-patologie--218746.html</w:t>
        </w:r>
      </w:hyperlink>
    </w:p>
    <w:p w:rsidR="008F6FFE" w:rsidRPr="00717D4D" w:rsidRDefault="008F6FFE" w:rsidP="00652652">
      <w:pPr>
        <w:rPr>
          <w:rFonts w:asciiTheme="minorHAnsi" w:hAnsiTheme="minorHAnsi" w:cstheme="minorHAnsi"/>
          <w:color w:val="000000" w:themeColor="text1"/>
          <w:sz w:val="16"/>
          <w:szCs w:val="16"/>
          <w:lang w:val="en-US"/>
        </w:rPr>
      </w:pPr>
    </w:p>
    <w:p w:rsidR="008F6FFE" w:rsidRPr="00717D4D" w:rsidRDefault="0052743C" w:rsidP="00652652">
      <w:pPr>
        <w:rPr>
          <w:rFonts w:asciiTheme="minorHAnsi" w:hAnsiTheme="minorHAnsi" w:cstheme="minorHAnsi"/>
          <w:color w:val="000000" w:themeColor="text1"/>
          <w:sz w:val="16"/>
          <w:szCs w:val="16"/>
          <w:lang w:val="en-US"/>
        </w:rPr>
      </w:pPr>
      <w:hyperlink r:id="rId93" w:history="1">
        <w:r w:rsidR="008F6FFE" w:rsidRPr="00717D4D">
          <w:rPr>
            <w:rStyle w:val="Hyperlink"/>
            <w:rFonts w:asciiTheme="minorHAnsi" w:eastAsiaTheme="majorEastAsia" w:hAnsiTheme="minorHAnsi" w:cstheme="minorHAnsi"/>
            <w:color w:val="000000" w:themeColor="text1"/>
            <w:sz w:val="16"/>
            <w:szCs w:val="16"/>
            <w:u w:val="none"/>
            <w:lang w:val="en-US"/>
          </w:rPr>
          <w:t>http://www.deplazio.net/images/stories/SISMG/SISMG_COVID19.pdf</w:t>
        </w:r>
      </w:hyperlink>
    </w:p>
    <w:p w:rsidR="008F6FFE" w:rsidRPr="00717D4D" w:rsidRDefault="008F6FFE" w:rsidP="00652652">
      <w:pPr>
        <w:rPr>
          <w:rFonts w:asciiTheme="minorHAnsi" w:hAnsiTheme="minorHAnsi" w:cstheme="minorHAnsi"/>
          <w:color w:val="000000" w:themeColor="text1"/>
          <w:sz w:val="16"/>
          <w:szCs w:val="16"/>
          <w:lang w:val="en-US"/>
        </w:rPr>
      </w:pPr>
    </w:p>
    <w:p w:rsidR="008F6FFE" w:rsidRPr="00717D4D" w:rsidRDefault="0052743C" w:rsidP="00652652">
      <w:pPr>
        <w:rPr>
          <w:rFonts w:asciiTheme="minorHAnsi" w:hAnsiTheme="minorHAnsi" w:cstheme="minorHAnsi"/>
          <w:color w:val="000000" w:themeColor="text1"/>
          <w:sz w:val="16"/>
          <w:szCs w:val="16"/>
          <w:lang w:val="en-US"/>
        </w:rPr>
      </w:pPr>
      <w:hyperlink r:id="rId94" w:history="1">
        <w:r w:rsidR="008F6FFE" w:rsidRPr="00717D4D">
          <w:rPr>
            <w:rStyle w:val="Hyperlink"/>
            <w:rFonts w:asciiTheme="minorHAnsi" w:eastAsiaTheme="majorEastAsia" w:hAnsiTheme="minorHAnsi" w:cstheme="minorHAnsi"/>
            <w:color w:val="000000" w:themeColor="text1"/>
            <w:sz w:val="16"/>
            <w:szCs w:val="16"/>
            <w:u w:val="none"/>
            <w:lang w:val="en-US"/>
          </w:rPr>
          <w:t>https://www.epicentro.iss.it/coronavirus/pdf/Rapporto_Istat_ISS.pdf</w:t>
        </w:r>
      </w:hyperlink>
    </w:p>
    <w:p w:rsidR="008F6FFE" w:rsidRPr="00717D4D" w:rsidRDefault="008F6FFE" w:rsidP="00652652">
      <w:pPr>
        <w:rPr>
          <w:rStyle w:val="Hyperlink"/>
          <w:rFonts w:asciiTheme="minorHAnsi" w:eastAsiaTheme="majorEastAsia" w:hAnsiTheme="minorHAnsi" w:cstheme="minorHAnsi"/>
          <w:color w:val="000000" w:themeColor="text1"/>
          <w:sz w:val="16"/>
          <w:szCs w:val="16"/>
          <w:u w:val="none"/>
          <w:lang w:val="en-US"/>
        </w:rPr>
      </w:pPr>
    </w:p>
    <w:p w:rsidR="008F6FFE" w:rsidRPr="00717D4D" w:rsidRDefault="008F6FFE" w:rsidP="00652652">
      <w:pPr>
        <w:rPr>
          <w:rStyle w:val="Hyperlink"/>
          <w:rFonts w:asciiTheme="minorHAnsi" w:eastAsiaTheme="majorEastAsia" w:hAnsiTheme="minorHAnsi" w:cstheme="minorHAnsi"/>
          <w:color w:val="000000" w:themeColor="text1"/>
          <w:sz w:val="16"/>
          <w:szCs w:val="16"/>
          <w:u w:val="none"/>
        </w:rPr>
      </w:pPr>
      <w:r w:rsidRPr="00717D4D">
        <w:rPr>
          <w:rStyle w:val="Hyperlink"/>
          <w:rFonts w:asciiTheme="minorHAnsi" w:eastAsiaTheme="majorEastAsia" w:hAnsiTheme="minorHAnsi" w:cstheme="minorHAnsi"/>
          <w:color w:val="000000" w:themeColor="text1"/>
          <w:sz w:val="16"/>
          <w:szCs w:val="16"/>
          <w:u w:val="none"/>
        </w:rPr>
        <w:t xml:space="preserve">Pandemia da COVID-19? I test </w:t>
      </w:r>
    </w:p>
    <w:p w:rsidR="008F6FFE" w:rsidRPr="00717D4D" w:rsidRDefault="008F6FFE" w:rsidP="00652652">
      <w:pPr>
        <w:rPr>
          <w:rStyle w:val="Hyperlink"/>
          <w:rFonts w:asciiTheme="minorHAnsi" w:eastAsiaTheme="majorEastAsia" w:hAnsiTheme="minorHAnsi" w:cstheme="minorHAnsi"/>
          <w:color w:val="000000" w:themeColor="text1"/>
          <w:sz w:val="16"/>
          <w:szCs w:val="16"/>
          <w:u w:val="none"/>
        </w:rPr>
      </w:pPr>
      <w:r w:rsidRPr="00717D4D">
        <w:rPr>
          <w:rStyle w:val="Hyperlink"/>
          <w:rFonts w:asciiTheme="minorHAnsi" w:eastAsiaTheme="majorEastAsia" w:hAnsiTheme="minorHAnsi" w:cstheme="minorHAnsi"/>
          <w:color w:val="000000" w:themeColor="text1"/>
          <w:sz w:val="16"/>
          <w:szCs w:val="16"/>
          <w:u w:val="none"/>
        </w:rPr>
        <w:t>di Fabio Franchi1 (Versione 1, 3 aprile 2020, )</w:t>
      </w:r>
    </w:p>
    <w:p w:rsidR="008F6FFE" w:rsidRDefault="0052743C" w:rsidP="00D94AB1">
      <w:pPr>
        <w:rPr>
          <w:rStyle w:val="Hyperlink"/>
          <w:rFonts w:asciiTheme="minorHAnsi" w:eastAsiaTheme="majorEastAsia" w:hAnsiTheme="minorHAnsi" w:cstheme="minorHAnsi"/>
          <w:color w:val="000000" w:themeColor="text1"/>
          <w:sz w:val="16"/>
          <w:szCs w:val="16"/>
          <w:u w:val="none"/>
        </w:rPr>
      </w:pPr>
      <w:hyperlink r:id="rId95" w:history="1">
        <w:r w:rsidR="008F6FFE" w:rsidRPr="00717D4D">
          <w:rPr>
            <w:rStyle w:val="Hyperlink"/>
            <w:rFonts w:asciiTheme="minorHAnsi" w:eastAsiaTheme="majorEastAsia" w:hAnsiTheme="minorHAnsi" w:cstheme="minorHAnsi"/>
            <w:color w:val="000000" w:themeColor="text1"/>
            <w:sz w:val="16"/>
            <w:szCs w:val="16"/>
            <w:u w:val="none"/>
          </w:rPr>
          <w:t>http://www.sspp.it/wp-content/uploads/2020/04/COVID-colpevole-senza-regolare-processo-ff_.pdf</w:t>
        </w:r>
      </w:hyperlink>
    </w:p>
    <w:p w:rsidR="008F6FFE" w:rsidRPr="00717D4D" w:rsidRDefault="008F6FFE" w:rsidP="00D94AB1">
      <w:pPr>
        <w:rPr>
          <w:rFonts w:asciiTheme="minorHAnsi" w:hAnsiTheme="minorHAnsi"/>
          <w:color w:val="000000" w:themeColor="text1"/>
          <w:sz w:val="16"/>
          <w:szCs w:val="16"/>
        </w:rPr>
      </w:pPr>
    </w:p>
  </w:footnote>
  <w:footnote w:id="16">
    <w:p w:rsidR="008F6FFE" w:rsidRPr="006C53C2" w:rsidRDefault="008F6FFE" w:rsidP="006C53C2">
      <w:pPr>
        <w:rPr>
          <w:rFonts w:asciiTheme="minorHAnsi" w:hAnsiTheme="minorHAnsi" w:cstheme="minorHAnsi"/>
          <w:color w:val="000000" w:themeColor="text1"/>
          <w:sz w:val="16"/>
          <w:szCs w:val="16"/>
        </w:rPr>
      </w:pPr>
      <w:r w:rsidRPr="00DE114F">
        <w:rPr>
          <w:rStyle w:val="FootnoteReference"/>
          <w:rFonts w:asciiTheme="minorHAnsi" w:hAnsiTheme="minorHAnsi" w:cstheme="minorHAnsi"/>
          <w:sz w:val="16"/>
          <w:szCs w:val="16"/>
        </w:rPr>
        <w:footnoteRef/>
      </w:r>
      <w:r w:rsidRPr="006C53C2">
        <w:rPr>
          <w:rFonts w:asciiTheme="minorHAnsi" w:hAnsiTheme="minorHAnsi" w:cstheme="minorHAnsi"/>
          <w:sz w:val="16"/>
          <w:szCs w:val="16"/>
        </w:rPr>
        <w:t xml:space="preserve"> </w:t>
      </w:r>
      <w:hyperlink r:id="rId96" w:history="1">
        <w:r w:rsidRPr="006C53C2">
          <w:rPr>
            <w:rStyle w:val="Hyperlink"/>
            <w:rFonts w:asciiTheme="minorHAnsi" w:eastAsiaTheme="majorEastAsia" w:hAnsiTheme="minorHAnsi" w:cstheme="minorHAnsi"/>
            <w:color w:val="000000" w:themeColor="text1"/>
            <w:sz w:val="16"/>
            <w:szCs w:val="16"/>
            <w:u w:val="none"/>
          </w:rPr>
          <w:t>http://www.quadernodiepidemiologia.it/epi/cause/pos_hk.htm</w:t>
        </w:r>
      </w:hyperlink>
    </w:p>
    <w:p w:rsidR="008F6FFE" w:rsidRPr="006C53C2" w:rsidRDefault="0052743C" w:rsidP="006C53C2">
      <w:pPr>
        <w:rPr>
          <w:rFonts w:asciiTheme="minorHAnsi" w:hAnsiTheme="minorHAnsi" w:cstheme="minorHAnsi"/>
          <w:sz w:val="16"/>
          <w:szCs w:val="16"/>
        </w:rPr>
      </w:pPr>
      <w:hyperlink r:id="rId97" w:history="1">
        <w:r w:rsidR="008F6FFE" w:rsidRPr="006C53C2">
          <w:rPr>
            <w:rStyle w:val="Hyperlink"/>
            <w:rFonts w:asciiTheme="minorHAnsi" w:eastAsiaTheme="majorEastAsia" w:hAnsiTheme="minorHAnsi" w:cstheme="minorHAnsi"/>
            <w:color w:val="000000" w:themeColor="text1"/>
            <w:sz w:val="16"/>
            <w:szCs w:val="16"/>
            <w:u w:val="none"/>
          </w:rPr>
          <w:t>http://www.quadernodiepidemiologia.it/epi/cause/pos_eva.htm</w:t>
        </w:r>
      </w:hyperlink>
    </w:p>
  </w:footnote>
  <w:footnote w:id="17">
    <w:p w:rsidR="008F6FFE" w:rsidRPr="00717D4D" w:rsidRDefault="008F6FFE" w:rsidP="00717D4D">
      <w:pPr>
        <w:rPr>
          <w:rStyle w:val="Hyperlink"/>
          <w:rFonts w:asciiTheme="minorHAnsi" w:eastAsiaTheme="majorEastAsia" w:hAnsiTheme="minorHAnsi" w:cstheme="minorHAnsi"/>
          <w:color w:val="000000" w:themeColor="text1"/>
          <w:sz w:val="16"/>
          <w:szCs w:val="16"/>
          <w:u w:val="none"/>
          <w:lang w:val="en-US"/>
        </w:rPr>
      </w:pPr>
      <w:r w:rsidRPr="00717D4D">
        <w:rPr>
          <w:rStyle w:val="FootnoteReference"/>
          <w:rFonts w:asciiTheme="minorHAnsi" w:hAnsiTheme="minorHAnsi" w:cstheme="minorHAnsi"/>
          <w:color w:val="000000" w:themeColor="text1"/>
          <w:sz w:val="16"/>
          <w:szCs w:val="16"/>
        </w:rPr>
        <w:footnoteRef/>
      </w:r>
      <w:r w:rsidRPr="00717D4D">
        <w:rPr>
          <w:rFonts w:asciiTheme="minorHAnsi" w:hAnsiTheme="minorHAnsi"/>
          <w:color w:val="000000" w:themeColor="text1"/>
          <w:sz w:val="16"/>
          <w:szCs w:val="16"/>
          <w:lang w:val="en-US"/>
        </w:rPr>
        <w:t xml:space="preserve"> </w:t>
      </w:r>
      <w:r w:rsidRPr="00717D4D">
        <w:rPr>
          <w:rStyle w:val="Hyperlink"/>
          <w:rFonts w:asciiTheme="minorHAnsi" w:eastAsiaTheme="majorEastAsia" w:hAnsiTheme="minorHAnsi" w:cstheme="minorHAnsi"/>
          <w:color w:val="000000" w:themeColor="text1"/>
          <w:sz w:val="16"/>
          <w:szCs w:val="16"/>
          <w:u w:val="none"/>
          <w:lang w:val="en-US"/>
        </w:rPr>
        <w:t>Virchows Arch 2020 Apr 29;1-3. doi: 10.1007/s00428-020-02828-2. </w:t>
      </w:r>
    </w:p>
    <w:p w:rsidR="008F6FFE" w:rsidRPr="00717D4D" w:rsidRDefault="008F6FFE" w:rsidP="00717D4D">
      <w:pPr>
        <w:rPr>
          <w:rStyle w:val="Hyperlink"/>
          <w:rFonts w:asciiTheme="minorHAnsi" w:eastAsiaTheme="majorEastAsia" w:hAnsiTheme="minorHAnsi" w:cstheme="minorHAnsi"/>
          <w:color w:val="000000" w:themeColor="text1"/>
          <w:sz w:val="16"/>
          <w:szCs w:val="16"/>
          <w:u w:val="none"/>
          <w:lang w:val="en-US"/>
        </w:rPr>
      </w:pPr>
      <w:r w:rsidRPr="00717D4D">
        <w:rPr>
          <w:rStyle w:val="Hyperlink"/>
          <w:rFonts w:asciiTheme="minorHAnsi" w:eastAsiaTheme="majorEastAsia" w:hAnsiTheme="minorHAnsi" w:cstheme="minorHAnsi"/>
          <w:color w:val="000000" w:themeColor="text1"/>
          <w:sz w:val="16"/>
          <w:szCs w:val="16"/>
          <w:u w:val="none"/>
          <w:lang w:val="en-US"/>
        </w:rPr>
        <w:t>The Autopsy Debate During the COVID-19 Emergency: The Italian Experience</w:t>
      </w:r>
    </w:p>
    <w:p w:rsidR="008F6FFE" w:rsidRDefault="0052743C" w:rsidP="00717D4D">
      <w:pPr>
        <w:rPr>
          <w:rStyle w:val="Hyperlink"/>
          <w:rFonts w:asciiTheme="minorHAnsi" w:eastAsiaTheme="majorEastAsia" w:hAnsiTheme="minorHAnsi" w:cstheme="minorHAnsi"/>
          <w:color w:val="000000" w:themeColor="text1"/>
          <w:sz w:val="16"/>
          <w:szCs w:val="16"/>
          <w:u w:val="none"/>
        </w:rPr>
      </w:pPr>
      <w:hyperlink r:id="rId98" w:history="1">
        <w:r w:rsidR="008F6FFE" w:rsidRPr="00717D4D">
          <w:rPr>
            <w:rStyle w:val="Hyperlink"/>
            <w:rFonts w:asciiTheme="minorHAnsi" w:eastAsiaTheme="majorEastAsia" w:hAnsiTheme="minorHAnsi" w:cstheme="minorHAnsi"/>
            <w:color w:val="000000" w:themeColor="text1"/>
            <w:sz w:val="16"/>
            <w:szCs w:val="16"/>
            <w:u w:val="none"/>
          </w:rPr>
          <w:t>Anna Sapino</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99" w:anchor="affiliation-1" w:history="1">
        <w:r w:rsidR="008F6FFE" w:rsidRPr="00717D4D">
          <w:rPr>
            <w:rStyle w:val="Hyperlink"/>
            <w:rFonts w:asciiTheme="minorHAnsi" w:eastAsiaTheme="majorEastAsia" w:hAnsiTheme="minorHAnsi" w:cstheme="minorHAnsi"/>
            <w:color w:val="000000" w:themeColor="text1"/>
            <w:sz w:val="16"/>
            <w:szCs w:val="16"/>
            <w:u w:val="none"/>
          </w:rPr>
          <w:t>1</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100" w:anchor="affiliation-2" w:history="1">
        <w:r w:rsidR="008F6FFE" w:rsidRPr="00717D4D">
          <w:rPr>
            <w:rStyle w:val="Hyperlink"/>
            <w:rFonts w:asciiTheme="minorHAnsi" w:eastAsiaTheme="majorEastAsia" w:hAnsiTheme="minorHAnsi" w:cstheme="minorHAnsi"/>
            <w:color w:val="000000" w:themeColor="text1"/>
            <w:sz w:val="16"/>
            <w:szCs w:val="16"/>
            <w:u w:val="none"/>
          </w:rPr>
          <w:t>2</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101" w:history="1">
        <w:r w:rsidR="008F6FFE" w:rsidRPr="00717D4D">
          <w:rPr>
            <w:rStyle w:val="Hyperlink"/>
            <w:rFonts w:asciiTheme="minorHAnsi" w:eastAsiaTheme="majorEastAsia" w:hAnsiTheme="minorHAnsi" w:cstheme="minorHAnsi"/>
            <w:color w:val="000000" w:themeColor="text1"/>
            <w:sz w:val="16"/>
            <w:szCs w:val="16"/>
            <w:u w:val="none"/>
          </w:rPr>
          <w:t>Fabio Facchetti</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102" w:anchor="affiliation-3" w:history="1">
        <w:r w:rsidR="008F6FFE" w:rsidRPr="00717D4D">
          <w:rPr>
            <w:rStyle w:val="Hyperlink"/>
            <w:rFonts w:asciiTheme="minorHAnsi" w:eastAsiaTheme="majorEastAsia" w:hAnsiTheme="minorHAnsi" w:cstheme="minorHAnsi"/>
            <w:color w:val="000000" w:themeColor="text1"/>
            <w:sz w:val="16"/>
            <w:szCs w:val="16"/>
            <w:u w:val="none"/>
          </w:rPr>
          <w:t>3</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103" w:history="1">
        <w:r w:rsidR="008F6FFE" w:rsidRPr="00717D4D">
          <w:rPr>
            <w:rStyle w:val="Hyperlink"/>
            <w:rFonts w:asciiTheme="minorHAnsi" w:eastAsiaTheme="majorEastAsia" w:hAnsiTheme="minorHAnsi" w:cstheme="minorHAnsi"/>
            <w:color w:val="000000" w:themeColor="text1"/>
            <w:sz w:val="16"/>
            <w:szCs w:val="16"/>
            <w:u w:val="none"/>
          </w:rPr>
          <w:t>Emanuela Bonoldi</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104" w:anchor="affiliation-4" w:history="1">
        <w:r w:rsidR="008F6FFE" w:rsidRPr="00717D4D">
          <w:rPr>
            <w:rStyle w:val="Hyperlink"/>
            <w:rFonts w:asciiTheme="minorHAnsi" w:eastAsiaTheme="majorEastAsia" w:hAnsiTheme="minorHAnsi" w:cstheme="minorHAnsi"/>
            <w:color w:val="000000" w:themeColor="text1"/>
            <w:sz w:val="16"/>
            <w:szCs w:val="16"/>
            <w:u w:val="none"/>
          </w:rPr>
          <w:t>4</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105" w:history="1">
        <w:r w:rsidR="008F6FFE" w:rsidRPr="00717D4D">
          <w:rPr>
            <w:rStyle w:val="Hyperlink"/>
            <w:rFonts w:asciiTheme="minorHAnsi" w:eastAsiaTheme="majorEastAsia" w:hAnsiTheme="minorHAnsi" w:cstheme="minorHAnsi"/>
            <w:color w:val="000000" w:themeColor="text1"/>
            <w:sz w:val="16"/>
            <w:szCs w:val="16"/>
            <w:u w:val="none"/>
          </w:rPr>
          <w:t>Andrea Gianatti</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106" w:anchor="affiliation-5" w:history="1">
        <w:r w:rsidR="008F6FFE" w:rsidRPr="00717D4D">
          <w:rPr>
            <w:rStyle w:val="Hyperlink"/>
            <w:rFonts w:asciiTheme="minorHAnsi" w:eastAsiaTheme="majorEastAsia" w:hAnsiTheme="minorHAnsi" w:cstheme="minorHAnsi"/>
            <w:color w:val="000000" w:themeColor="text1"/>
            <w:sz w:val="16"/>
            <w:szCs w:val="16"/>
            <w:u w:val="none"/>
          </w:rPr>
          <w:t>5</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107" w:history="1">
        <w:r w:rsidR="008F6FFE" w:rsidRPr="00717D4D">
          <w:rPr>
            <w:rStyle w:val="Hyperlink"/>
            <w:rFonts w:asciiTheme="minorHAnsi" w:eastAsiaTheme="majorEastAsia" w:hAnsiTheme="minorHAnsi" w:cstheme="minorHAnsi"/>
            <w:color w:val="000000" w:themeColor="text1"/>
            <w:sz w:val="16"/>
            <w:szCs w:val="16"/>
            <w:u w:val="none"/>
          </w:rPr>
          <w:t>Mattia Barbareschi</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108" w:anchor="affiliation-6" w:history="1">
        <w:r w:rsidR="008F6FFE" w:rsidRPr="00717D4D">
          <w:rPr>
            <w:rStyle w:val="Hyperlink"/>
            <w:rFonts w:asciiTheme="minorHAnsi" w:eastAsiaTheme="majorEastAsia" w:hAnsiTheme="minorHAnsi" w:cstheme="minorHAnsi"/>
            <w:color w:val="000000" w:themeColor="text1"/>
            <w:sz w:val="16"/>
            <w:szCs w:val="16"/>
            <w:u w:val="none"/>
          </w:rPr>
          <w:t>6</w:t>
        </w:r>
      </w:hyperlink>
      <w:r w:rsidR="008F6FFE" w:rsidRPr="00717D4D">
        <w:rPr>
          <w:rStyle w:val="Hyperlink"/>
          <w:rFonts w:asciiTheme="minorHAnsi" w:eastAsiaTheme="majorEastAsia" w:hAnsiTheme="minorHAnsi" w:cstheme="minorHAnsi"/>
          <w:color w:val="000000" w:themeColor="text1"/>
          <w:sz w:val="16"/>
          <w:szCs w:val="16"/>
          <w:u w:val="none"/>
        </w:rPr>
        <w:t>, </w:t>
      </w:r>
    </w:p>
    <w:p w:rsidR="008F6FFE" w:rsidRPr="00717D4D" w:rsidRDefault="0052743C" w:rsidP="00717D4D">
      <w:pPr>
        <w:rPr>
          <w:rStyle w:val="Hyperlink"/>
          <w:rFonts w:asciiTheme="minorHAnsi" w:eastAsiaTheme="majorEastAsia" w:hAnsiTheme="minorHAnsi" w:cstheme="minorHAnsi"/>
          <w:color w:val="000000" w:themeColor="text1"/>
          <w:sz w:val="16"/>
          <w:szCs w:val="16"/>
          <w:u w:val="none"/>
        </w:rPr>
      </w:pPr>
      <w:hyperlink r:id="rId109" w:history="1">
        <w:r w:rsidR="008F6FFE" w:rsidRPr="00717D4D">
          <w:rPr>
            <w:rStyle w:val="Hyperlink"/>
            <w:rFonts w:asciiTheme="minorHAnsi" w:eastAsiaTheme="majorEastAsia" w:hAnsiTheme="minorHAnsi" w:cstheme="minorHAnsi"/>
            <w:color w:val="000000" w:themeColor="text1"/>
            <w:sz w:val="16"/>
            <w:szCs w:val="16"/>
            <w:u w:val="none"/>
          </w:rPr>
          <w:t>Società Italiana di Anatomia Patologica e Citologia - SIAPEC</w:t>
        </w:r>
      </w:hyperlink>
    </w:p>
    <w:p w:rsidR="008F6FFE" w:rsidRPr="00717D4D" w:rsidRDefault="0052743C" w:rsidP="00717D4D">
      <w:pPr>
        <w:rPr>
          <w:rFonts w:asciiTheme="minorHAnsi" w:hAnsiTheme="minorHAnsi" w:cstheme="minorHAnsi"/>
          <w:color w:val="000000" w:themeColor="text1"/>
          <w:sz w:val="16"/>
          <w:szCs w:val="16"/>
        </w:rPr>
      </w:pPr>
      <w:hyperlink r:id="rId110" w:history="1">
        <w:r w:rsidR="008F6FFE" w:rsidRPr="00717D4D">
          <w:rPr>
            <w:rStyle w:val="Hyperlink"/>
            <w:rFonts w:asciiTheme="minorHAnsi" w:eastAsiaTheme="majorEastAsia" w:hAnsiTheme="minorHAnsi" w:cstheme="minorHAnsi"/>
            <w:color w:val="000000" w:themeColor="text1"/>
            <w:sz w:val="16"/>
            <w:szCs w:val="16"/>
            <w:u w:val="none"/>
          </w:rPr>
          <w:t>https://www.ncbi.nlm.nih.gov/pmc/articles/PMC7190281/pdf/428_2020_Article_2828.pdf</w:t>
        </w:r>
      </w:hyperlink>
    </w:p>
    <w:p w:rsidR="008F6FFE" w:rsidRPr="00717D4D" w:rsidRDefault="008F6FFE" w:rsidP="00717D4D">
      <w:pPr>
        <w:rPr>
          <w:rFonts w:asciiTheme="minorHAnsi" w:hAnsiTheme="minorHAnsi" w:cstheme="minorHAnsi"/>
          <w:color w:val="000000" w:themeColor="text1"/>
          <w:sz w:val="16"/>
          <w:szCs w:val="16"/>
        </w:rPr>
      </w:pPr>
    </w:p>
    <w:p w:rsidR="008F6FFE" w:rsidRPr="00717D4D" w:rsidRDefault="0052743C" w:rsidP="00717D4D">
      <w:pPr>
        <w:rPr>
          <w:rStyle w:val="Hyperlink"/>
          <w:rFonts w:asciiTheme="minorHAnsi" w:eastAsiaTheme="majorEastAsia" w:hAnsiTheme="minorHAnsi" w:cstheme="minorHAnsi"/>
          <w:color w:val="000000" w:themeColor="text1"/>
          <w:sz w:val="16"/>
          <w:szCs w:val="16"/>
          <w:u w:val="none"/>
        </w:rPr>
      </w:pPr>
      <w:hyperlink r:id="rId111" w:history="1">
        <w:r w:rsidR="008F6FFE" w:rsidRPr="00717D4D">
          <w:rPr>
            <w:rStyle w:val="Hyperlink"/>
            <w:rFonts w:asciiTheme="minorHAnsi" w:eastAsiaTheme="majorEastAsia" w:hAnsiTheme="minorHAnsi" w:cstheme="minorHAnsi"/>
            <w:color w:val="000000" w:themeColor="text1"/>
            <w:sz w:val="16"/>
            <w:szCs w:val="16"/>
            <w:u w:val="none"/>
          </w:rPr>
          <w:t>https://www.affaritaliani.it/blog/cose-nostre/covid-19-le-autopsie-non-vanno-fatte-ordine-del-ministero-della-salute-671347.html</w:t>
        </w:r>
      </w:hyperlink>
    </w:p>
    <w:p w:rsidR="008F6FFE" w:rsidRPr="00717D4D" w:rsidRDefault="008F6FFE" w:rsidP="00717D4D">
      <w:pPr>
        <w:rPr>
          <w:rStyle w:val="Hyperlink"/>
          <w:rFonts w:asciiTheme="minorHAnsi" w:eastAsiaTheme="majorEastAsia" w:hAnsiTheme="minorHAnsi" w:cstheme="minorHAnsi"/>
          <w:color w:val="000000" w:themeColor="text1"/>
          <w:sz w:val="16"/>
          <w:szCs w:val="16"/>
          <w:u w:val="none"/>
        </w:rPr>
      </w:pPr>
    </w:p>
    <w:p w:rsidR="008F6FFE" w:rsidRPr="00717D4D" w:rsidRDefault="0052743C" w:rsidP="00717D4D">
      <w:pPr>
        <w:rPr>
          <w:rStyle w:val="Hyperlink"/>
          <w:rFonts w:asciiTheme="minorHAnsi" w:eastAsiaTheme="majorEastAsia" w:hAnsiTheme="minorHAnsi" w:cstheme="minorHAnsi"/>
          <w:color w:val="000000" w:themeColor="text1"/>
          <w:sz w:val="16"/>
          <w:szCs w:val="16"/>
          <w:u w:val="none"/>
        </w:rPr>
      </w:pPr>
      <w:hyperlink r:id="rId112" w:history="1">
        <w:r w:rsidR="008F6FFE" w:rsidRPr="00717D4D">
          <w:rPr>
            <w:rStyle w:val="Hyperlink"/>
            <w:rFonts w:asciiTheme="minorHAnsi" w:eastAsiaTheme="majorEastAsia" w:hAnsiTheme="minorHAnsi" w:cstheme="minorHAnsi"/>
            <w:color w:val="000000" w:themeColor="text1"/>
            <w:sz w:val="16"/>
            <w:szCs w:val="16"/>
            <w:u w:val="none"/>
          </w:rPr>
          <w:t>https://www.affaritaliani.it/static/upl2020/covi/0001/covid-19--circolare-del-ministero-della-salutepdf2.pdf</w:t>
        </w:r>
      </w:hyperlink>
    </w:p>
    <w:p w:rsidR="008F6FFE" w:rsidRPr="00717D4D" w:rsidRDefault="008F6FFE" w:rsidP="00717D4D">
      <w:pPr>
        <w:pStyle w:val="FootnoteText"/>
        <w:rPr>
          <w:rFonts w:asciiTheme="minorHAnsi" w:hAnsiTheme="minorHAnsi"/>
          <w:color w:val="000000" w:themeColor="text1"/>
          <w:sz w:val="16"/>
          <w:szCs w:val="16"/>
        </w:rPr>
      </w:pPr>
    </w:p>
  </w:footnote>
  <w:footnote w:id="18">
    <w:p w:rsidR="008F6FFE" w:rsidRPr="00717D4D" w:rsidRDefault="008F6FFE" w:rsidP="00717D4D">
      <w:pPr>
        <w:rPr>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color w:val="000000" w:themeColor="text1"/>
          <w:sz w:val="16"/>
          <w:szCs w:val="16"/>
        </w:rPr>
        <w:footnoteRef/>
      </w:r>
      <w:r w:rsidRPr="00717D4D">
        <w:rPr>
          <w:rFonts w:asciiTheme="minorHAnsi" w:hAnsiTheme="minorHAnsi" w:cstheme="minorHAnsi"/>
          <w:color w:val="000000" w:themeColor="text1"/>
          <w:sz w:val="16"/>
          <w:szCs w:val="16"/>
          <w:lang w:val="en-US"/>
        </w:rPr>
        <w:t xml:space="preserve"> Laboratory testing for coronavirus disease 2019 (COVID-19) in suspected human cases. Interim guidance 2 March 2020 </w:t>
      </w:r>
    </w:p>
    <w:p w:rsidR="008F6FFE" w:rsidRPr="00717D4D" w:rsidRDefault="0052743C" w:rsidP="00717D4D">
      <w:pPr>
        <w:rPr>
          <w:rFonts w:asciiTheme="minorHAnsi" w:hAnsiTheme="minorHAnsi" w:cstheme="minorHAnsi"/>
          <w:color w:val="000000" w:themeColor="text1"/>
          <w:sz w:val="16"/>
          <w:szCs w:val="16"/>
          <w:lang w:val="en-US"/>
        </w:rPr>
      </w:pPr>
      <w:hyperlink r:id="rId113" w:history="1">
        <w:r w:rsidR="008F6FFE" w:rsidRPr="00717D4D">
          <w:rPr>
            <w:rStyle w:val="Hyperlink"/>
            <w:rFonts w:asciiTheme="minorHAnsi" w:eastAsiaTheme="majorEastAsia" w:hAnsiTheme="minorHAnsi" w:cstheme="minorHAnsi"/>
            <w:color w:val="000000" w:themeColor="text1"/>
            <w:sz w:val="16"/>
            <w:szCs w:val="16"/>
            <w:u w:val="none"/>
            <w:lang w:val="en-US"/>
          </w:rPr>
          <w:t>https://apps.who.int/iris/bitstream/handle/10665/331329/WHO-COVID-19-laboratory-2020.4-eng.pdf?sequence=1&amp;isAllowed=y</w:t>
        </w:r>
      </w:hyperlink>
    </w:p>
    <w:p w:rsidR="008F6FFE" w:rsidRPr="00717D4D" w:rsidRDefault="008F6FFE" w:rsidP="00717D4D">
      <w:pPr>
        <w:pStyle w:val="FootnoteText"/>
        <w:rPr>
          <w:rFonts w:asciiTheme="minorHAnsi" w:hAnsiTheme="minorHAnsi"/>
          <w:sz w:val="16"/>
          <w:szCs w:val="16"/>
          <w:lang w:val="en-US"/>
        </w:rPr>
      </w:pPr>
    </w:p>
  </w:footnote>
  <w:footnote w:id="19">
    <w:p w:rsidR="008F6FFE" w:rsidRPr="00831A17" w:rsidRDefault="008F6FFE" w:rsidP="00831A17">
      <w:pPr>
        <w:rPr>
          <w:rFonts w:asciiTheme="minorHAnsi" w:hAnsiTheme="minorHAnsi" w:cstheme="minorHAnsi"/>
          <w:color w:val="000000" w:themeColor="text1"/>
          <w:sz w:val="16"/>
          <w:szCs w:val="16"/>
          <w:lang w:val="en-US"/>
        </w:rPr>
      </w:pPr>
      <w:r w:rsidRPr="00831A17">
        <w:rPr>
          <w:rStyle w:val="FootnoteReference"/>
          <w:rFonts w:asciiTheme="minorHAnsi" w:hAnsiTheme="minorHAnsi" w:cstheme="minorHAnsi"/>
          <w:color w:val="000000" w:themeColor="text1"/>
          <w:sz w:val="16"/>
          <w:szCs w:val="16"/>
        </w:rPr>
        <w:footnoteRef/>
      </w:r>
      <w:r w:rsidRPr="00831A17">
        <w:rPr>
          <w:rFonts w:asciiTheme="minorHAnsi" w:hAnsiTheme="minorHAnsi" w:cstheme="minorHAnsi"/>
          <w:color w:val="000000" w:themeColor="text1"/>
          <w:sz w:val="16"/>
          <w:szCs w:val="16"/>
          <w:lang w:val="en-US"/>
        </w:rPr>
        <w:t xml:space="preserve"> </w:t>
      </w:r>
      <w:hyperlink r:id="rId114" w:history="1">
        <w:r w:rsidRPr="00831A17">
          <w:rPr>
            <w:rStyle w:val="Hyperlink"/>
            <w:rFonts w:asciiTheme="minorHAnsi" w:eastAsiaTheme="majorEastAsia" w:hAnsiTheme="minorHAnsi" w:cstheme="minorHAnsi"/>
            <w:color w:val="000000" w:themeColor="text1"/>
            <w:sz w:val="16"/>
            <w:szCs w:val="16"/>
            <w:u w:val="none"/>
            <w:lang w:val="en-US"/>
          </w:rPr>
          <w:t>https://www.affaritaliani.it/static/upl2020/comu/comunicato-stampa--2-.pdf</w:t>
        </w:r>
      </w:hyperlink>
    </w:p>
    <w:p w:rsidR="008F6FFE" w:rsidRPr="00DC48B4" w:rsidRDefault="008F6FFE" w:rsidP="008F32E1">
      <w:pPr>
        <w:rPr>
          <w:rStyle w:val="Hyperlink"/>
          <w:rFonts w:asciiTheme="minorHAnsi" w:eastAsiaTheme="majorEastAsia" w:hAnsiTheme="minorHAnsi" w:cstheme="minorHAnsi"/>
          <w:color w:val="000000" w:themeColor="text1"/>
          <w:sz w:val="16"/>
          <w:szCs w:val="16"/>
          <w:u w:val="none"/>
          <w:vertAlign w:val="superscript"/>
          <w:lang w:val="en-US"/>
        </w:rPr>
      </w:pPr>
    </w:p>
  </w:footnote>
  <w:footnote w:id="20">
    <w:p w:rsidR="008F6FFE" w:rsidRPr="00DC48B4" w:rsidRDefault="008F6FFE" w:rsidP="008F32E1">
      <w:pPr>
        <w:rPr>
          <w:rStyle w:val="Hyperlink"/>
          <w:rFonts w:asciiTheme="minorHAnsi" w:eastAsiaTheme="majorEastAsia" w:hAnsiTheme="minorHAnsi" w:cstheme="minorHAnsi"/>
          <w:color w:val="000000" w:themeColor="text1"/>
          <w:sz w:val="16"/>
          <w:szCs w:val="16"/>
          <w:u w:val="none"/>
          <w:lang w:val="en-US"/>
        </w:rPr>
      </w:pPr>
      <w:r w:rsidRPr="008F32E1">
        <w:rPr>
          <w:rStyle w:val="Hyperlink"/>
          <w:rFonts w:asciiTheme="minorHAnsi" w:eastAsiaTheme="majorEastAsia" w:hAnsiTheme="minorHAnsi" w:cstheme="minorHAnsi"/>
          <w:color w:val="000000" w:themeColor="text1"/>
          <w:sz w:val="16"/>
          <w:szCs w:val="16"/>
          <w:u w:val="none"/>
          <w:vertAlign w:val="superscript"/>
        </w:rPr>
        <w:footnoteRef/>
      </w:r>
      <w:r w:rsidRPr="00DC48B4">
        <w:rPr>
          <w:rStyle w:val="Hyperlink"/>
          <w:rFonts w:asciiTheme="minorHAnsi" w:eastAsiaTheme="majorEastAsia" w:hAnsiTheme="minorHAnsi" w:cstheme="minorHAnsi"/>
          <w:color w:val="000000" w:themeColor="text1"/>
          <w:sz w:val="16"/>
          <w:szCs w:val="16"/>
          <w:u w:val="none"/>
          <w:lang w:val="en-US"/>
        </w:rPr>
        <w:t xml:space="preserve"> Anthony F. Henwood </w:t>
      </w:r>
    </w:p>
    <w:p w:rsidR="008F6FFE" w:rsidRDefault="008F6FFE" w:rsidP="008F32E1">
      <w:pPr>
        <w:rPr>
          <w:rStyle w:val="Hyperlink"/>
          <w:rFonts w:asciiTheme="minorHAnsi" w:eastAsiaTheme="majorEastAsia" w:hAnsiTheme="minorHAnsi" w:cstheme="minorHAnsi"/>
          <w:color w:val="000000" w:themeColor="text1"/>
          <w:sz w:val="16"/>
          <w:szCs w:val="16"/>
          <w:u w:val="none"/>
          <w:lang w:val="en-US"/>
        </w:rPr>
      </w:pPr>
      <w:r w:rsidRPr="008F32E1">
        <w:rPr>
          <w:rStyle w:val="Hyperlink"/>
          <w:rFonts w:asciiTheme="minorHAnsi" w:eastAsiaTheme="majorEastAsia" w:hAnsiTheme="minorHAnsi" w:cstheme="minorHAnsi"/>
          <w:color w:val="000000" w:themeColor="text1"/>
          <w:sz w:val="16"/>
          <w:szCs w:val="16"/>
          <w:u w:val="none"/>
          <w:lang w:val="en-US"/>
        </w:rPr>
        <w:t xml:space="preserve">Coronavirus disinfection in histopathology, </w:t>
      </w:r>
    </w:p>
    <w:p w:rsidR="008F6FFE" w:rsidRPr="008F32E1" w:rsidRDefault="008F6FFE" w:rsidP="008F32E1">
      <w:pPr>
        <w:rPr>
          <w:rStyle w:val="Hyperlink"/>
          <w:rFonts w:asciiTheme="minorHAnsi" w:eastAsiaTheme="majorEastAsia" w:hAnsiTheme="minorHAnsi" w:cstheme="minorHAnsi"/>
          <w:color w:val="000000" w:themeColor="text1"/>
          <w:sz w:val="16"/>
          <w:szCs w:val="16"/>
          <w:u w:val="none"/>
          <w:lang w:val="en-US"/>
        </w:rPr>
      </w:pPr>
      <w:r w:rsidRPr="008F32E1">
        <w:rPr>
          <w:rStyle w:val="Hyperlink"/>
          <w:rFonts w:asciiTheme="minorHAnsi" w:eastAsiaTheme="majorEastAsia" w:hAnsiTheme="minorHAnsi" w:cstheme="minorHAnsi"/>
          <w:color w:val="000000" w:themeColor="text1"/>
          <w:sz w:val="16"/>
          <w:szCs w:val="16"/>
          <w:u w:val="none"/>
          <w:lang w:val="en-US"/>
        </w:rPr>
        <w:t>Journal of Histotechnology,</w:t>
      </w:r>
      <w:r w:rsidRPr="00DC48B4">
        <w:rPr>
          <w:rStyle w:val="Hyperlink"/>
          <w:rFonts w:asciiTheme="minorHAnsi" w:eastAsiaTheme="majorEastAsia" w:hAnsiTheme="minorHAnsi" w:cstheme="minorHAnsi"/>
          <w:color w:val="000000" w:themeColor="text1"/>
          <w:sz w:val="16"/>
          <w:szCs w:val="16"/>
          <w:u w:val="none"/>
          <w:lang w:val="en-US"/>
        </w:rPr>
        <w:t xml:space="preserve"> (2020) </w:t>
      </w:r>
      <w:r w:rsidRPr="008F32E1">
        <w:rPr>
          <w:rStyle w:val="Hyperlink"/>
          <w:rFonts w:asciiTheme="minorHAnsi" w:eastAsiaTheme="majorEastAsia" w:hAnsiTheme="minorHAnsi" w:cstheme="minorHAnsi"/>
          <w:color w:val="000000" w:themeColor="text1"/>
          <w:sz w:val="16"/>
          <w:szCs w:val="16"/>
          <w:u w:val="none"/>
          <w:lang w:val="en-US"/>
        </w:rPr>
        <w:t xml:space="preserve"> DOI: 10.1080/01478885.2020.1734718</w:t>
      </w:r>
    </w:p>
    <w:p w:rsidR="008F6FFE" w:rsidRPr="00DC48B4" w:rsidRDefault="0052743C" w:rsidP="008F32E1">
      <w:pPr>
        <w:rPr>
          <w:rStyle w:val="Hyperlink"/>
          <w:rFonts w:asciiTheme="minorHAnsi" w:eastAsiaTheme="majorEastAsia" w:hAnsiTheme="minorHAnsi" w:cstheme="minorHAnsi"/>
          <w:color w:val="000000" w:themeColor="text1"/>
          <w:sz w:val="16"/>
          <w:szCs w:val="16"/>
          <w:u w:val="none"/>
          <w:lang w:val="en-US"/>
        </w:rPr>
      </w:pPr>
      <w:hyperlink r:id="rId115" w:history="1">
        <w:r w:rsidR="008F6FFE" w:rsidRPr="00DC48B4">
          <w:rPr>
            <w:rStyle w:val="Hyperlink"/>
            <w:rFonts w:asciiTheme="minorHAnsi" w:eastAsiaTheme="majorEastAsia" w:hAnsiTheme="minorHAnsi" w:cstheme="minorHAnsi"/>
            <w:color w:val="000000" w:themeColor="text1"/>
            <w:sz w:val="16"/>
            <w:szCs w:val="16"/>
            <w:u w:val="none"/>
            <w:lang w:val="en-US"/>
          </w:rPr>
          <w:t>https://www.siapec.it/public/uploads/eventi/Histopathology%20disinfection.pdf</w:t>
        </w:r>
      </w:hyperlink>
    </w:p>
    <w:p w:rsidR="008F6FFE" w:rsidRPr="00DC48B4" w:rsidRDefault="008F6FFE" w:rsidP="008F32E1">
      <w:pPr>
        <w:rPr>
          <w:rStyle w:val="Hyperlink"/>
          <w:rFonts w:asciiTheme="minorHAnsi" w:eastAsiaTheme="majorEastAsia" w:hAnsiTheme="minorHAnsi" w:cstheme="minorHAnsi"/>
          <w:color w:val="000000" w:themeColor="text1"/>
          <w:sz w:val="16"/>
          <w:szCs w:val="16"/>
          <w:u w:val="none"/>
          <w:lang w:val="en-US"/>
        </w:rPr>
      </w:pPr>
    </w:p>
    <w:p w:rsidR="008F6FFE" w:rsidRPr="008F32E1" w:rsidRDefault="008F6FFE" w:rsidP="008F32E1">
      <w:pPr>
        <w:rPr>
          <w:rStyle w:val="Hyperlink"/>
          <w:rFonts w:asciiTheme="minorHAnsi" w:eastAsiaTheme="majorEastAsia" w:hAnsiTheme="minorHAnsi" w:cstheme="minorHAnsi"/>
          <w:color w:val="000000" w:themeColor="text1"/>
          <w:sz w:val="16"/>
          <w:szCs w:val="16"/>
          <w:u w:val="none"/>
        </w:rPr>
      </w:pPr>
      <w:r w:rsidRPr="008F32E1">
        <w:rPr>
          <w:rStyle w:val="Hyperlink"/>
          <w:rFonts w:asciiTheme="minorHAnsi" w:eastAsiaTheme="majorEastAsia" w:hAnsiTheme="minorHAnsi" w:cstheme="minorHAnsi"/>
          <w:color w:val="000000" w:themeColor="text1"/>
          <w:sz w:val="16"/>
          <w:szCs w:val="16"/>
          <w:u w:val="none"/>
        </w:rPr>
        <w:t xml:space="preserve">Barbareschi M, Ascoli V, Bonoldi E, et al. </w:t>
      </w:r>
    </w:p>
    <w:p w:rsidR="008F6FFE" w:rsidRPr="00DC48B4" w:rsidRDefault="008F6FFE" w:rsidP="008F32E1">
      <w:pPr>
        <w:rPr>
          <w:rStyle w:val="Hyperlink"/>
          <w:rFonts w:asciiTheme="minorHAnsi" w:eastAsiaTheme="majorEastAsia" w:hAnsiTheme="minorHAnsi" w:cstheme="minorHAnsi"/>
          <w:color w:val="000000" w:themeColor="text1"/>
          <w:sz w:val="16"/>
          <w:szCs w:val="16"/>
          <w:u w:val="none"/>
          <w:lang w:val="en-US"/>
        </w:rPr>
      </w:pPr>
      <w:r w:rsidRPr="00DC48B4">
        <w:rPr>
          <w:rStyle w:val="Hyperlink"/>
          <w:rFonts w:asciiTheme="minorHAnsi" w:eastAsiaTheme="majorEastAsia" w:hAnsiTheme="minorHAnsi" w:cstheme="minorHAnsi"/>
          <w:color w:val="000000" w:themeColor="text1"/>
          <w:sz w:val="16"/>
          <w:szCs w:val="16"/>
          <w:u w:val="none"/>
          <w:lang w:val="en-US"/>
        </w:rPr>
        <w:t xml:space="preserve">Biosafety in surgical pathology in the era of SARS-Cov2 pandemia. A statement of the Italian Society of Surgical Pathology and Cytology. </w:t>
      </w:r>
    </w:p>
    <w:p w:rsidR="008F6FFE" w:rsidRPr="008F32E1" w:rsidRDefault="008F6FFE" w:rsidP="008F32E1">
      <w:pPr>
        <w:rPr>
          <w:rStyle w:val="Hyperlink"/>
          <w:rFonts w:asciiTheme="minorHAnsi" w:eastAsiaTheme="majorEastAsia" w:hAnsiTheme="minorHAnsi" w:cstheme="minorHAnsi"/>
          <w:color w:val="000000" w:themeColor="text1"/>
          <w:sz w:val="16"/>
          <w:szCs w:val="16"/>
          <w:u w:val="none"/>
          <w:lang w:val="en-US"/>
        </w:rPr>
      </w:pPr>
      <w:r w:rsidRPr="008F32E1">
        <w:rPr>
          <w:rStyle w:val="Hyperlink"/>
          <w:rFonts w:asciiTheme="minorHAnsi" w:eastAsiaTheme="majorEastAsia" w:hAnsiTheme="minorHAnsi" w:cstheme="minorHAnsi"/>
          <w:color w:val="000000" w:themeColor="text1"/>
          <w:sz w:val="16"/>
          <w:szCs w:val="16"/>
          <w:u w:val="none"/>
          <w:lang w:val="en-US"/>
        </w:rPr>
        <w:t>Pathologica 10.32074/1591-951X-14-20 [published online ahead of print, 2020 Apr 1]</w:t>
      </w:r>
    </w:p>
    <w:p w:rsidR="008F6FFE" w:rsidRPr="00DC48B4" w:rsidRDefault="0052743C" w:rsidP="008F32E1">
      <w:pPr>
        <w:rPr>
          <w:rStyle w:val="Hyperlink"/>
          <w:rFonts w:asciiTheme="minorHAnsi" w:eastAsiaTheme="majorEastAsia" w:hAnsiTheme="minorHAnsi" w:cstheme="minorHAnsi"/>
          <w:color w:val="000000" w:themeColor="text1"/>
          <w:sz w:val="16"/>
          <w:szCs w:val="16"/>
          <w:u w:val="none"/>
          <w:lang w:val="en-US"/>
        </w:rPr>
      </w:pPr>
      <w:hyperlink r:id="rId116" w:history="1">
        <w:r w:rsidR="008F6FFE" w:rsidRPr="00DC48B4">
          <w:rPr>
            <w:rStyle w:val="Hyperlink"/>
            <w:rFonts w:asciiTheme="minorHAnsi" w:eastAsiaTheme="majorEastAsia" w:hAnsiTheme="minorHAnsi" w:cstheme="minorHAnsi"/>
            <w:color w:val="000000" w:themeColor="text1"/>
            <w:sz w:val="16"/>
            <w:szCs w:val="16"/>
            <w:u w:val="none"/>
            <w:lang w:val="en-US"/>
          </w:rPr>
          <w:t>https://www.pathologica.it/article/view/103/141</w:t>
        </w:r>
      </w:hyperlink>
    </w:p>
    <w:p w:rsidR="008F6FFE" w:rsidRPr="00DC48B4" w:rsidRDefault="008F6FFE" w:rsidP="008F32E1">
      <w:pPr>
        <w:rPr>
          <w:rStyle w:val="Hyperlink"/>
          <w:rFonts w:asciiTheme="minorHAnsi" w:eastAsiaTheme="majorEastAsia" w:hAnsiTheme="minorHAnsi" w:cstheme="minorHAnsi"/>
          <w:color w:val="000000" w:themeColor="text1"/>
          <w:sz w:val="16"/>
          <w:szCs w:val="16"/>
          <w:u w:val="none"/>
          <w:lang w:val="en-US"/>
        </w:rPr>
      </w:pPr>
    </w:p>
    <w:p w:rsidR="008F6FFE" w:rsidRPr="00DC48B4" w:rsidRDefault="0052743C" w:rsidP="008F32E1">
      <w:pPr>
        <w:rPr>
          <w:rFonts w:asciiTheme="minorHAnsi" w:hAnsiTheme="minorHAnsi" w:cstheme="minorHAnsi"/>
          <w:color w:val="000000" w:themeColor="text1"/>
          <w:sz w:val="16"/>
          <w:szCs w:val="16"/>
          <w:lang w:val="en-US"/>
        </w:rPr>
      </w:pPr>
      <w:hyperlink r:id="rId117" w:history="1">
        <w:r w:rsidR="008F6FFE" w:rsidRPr="00DC48B4">
          <w:rPr>
            <w:rStyle w:val="Hyperlink"/>
            <w:rFonts w:asciiTheme="minorHAnsi" w:eastAsiaTheme="majorEastAsia" w:hAnsiTheme="minorHAnsi" w:cstheme="minorHAnsi"/>
            <w:color w:val="000000" w:themeColor="text1"/>
            <w:sz w:val="16"/>
            <w:szCs w:val="16"/>
            <w:u w:val="none"/>
            <w:lang w:val="en-US"/>
          </w:rPr>
          <w:t>https://www.microbiologiaitalia.it/didattica/livelli-di-biosicurezza/</w:t>
        </w:r>
      </w:hyperlink>
    </w:p>
    <w:p w:rsidR="008F6FFE" w:rsidRPr="00DC48B4" w:rsidRDefault="008F6FFE" w:rsidP="008F32E1">
      <w:pPr>
        <w:rPr>
          <w:rStyle w:val="Hyperlink"/>
          <w:rFonts w:asciiTheme="minorHAnsi" w:eastAsiaTheme="majorEastAsia" w:hAnsiTheme="minorHAnsi" w:cstheme="minorHAnsi"/>
          <w:color w:val="000000" w:themeColor="text1"/>
          <w:sz w:val="16"/>
          <w:szCs w:val="16"/>
          <w:u w:val="none"/>
          <w:lang w:val="en-US"/>
        </w:rPr>
      </w:pPr>
    </w:p>
    <w:p w:rsidR="008F6FFE" w:rsidRDefault="0052743C" w:rsidP="008F32E1">
      <w:pPr>
        <w:rPr>
          <w:rStyle w:val="Hyperlink"/>
          <w:rFonts w:asciiTheme="minorHAnsi" w:eastAsiaTheme="majorEastAsia" w:hAnsiTheme="minorHAnsi" w:cstheme="minorHAnsi"/>
          <w:color w:val="000000" w:themeColor="text1"/>
          <w:sz w:val="16"/>
          <w:szCs w:val="16"/>
          <w:u w:val="none"/>
          <w:lang w:val="en-US"/>
        </w:rPr>
      </w:pPr>
      <w:hyperlink r:id="rId118" w:history="1">
        <w:r w:rsidR="008F6FFE" w:rsidRPr="009075A1">
          <w:rPr>
            <w:rStyle w:val="Hyperlink"/>
            <w:rFonts w:asciiTheme="minorHAnsi" w:eastAsiaTheme="majorEastAsia" w:hAnsiTheme="minorHAnsi" w:cstheme="minorHAnsi"/>
            <w:color w:val="000000" w:themeColor="text1"/>
            <w:sz w:val="16"/>
            <w:szCs w:val="16"/>
            <w:u w:val="none"/>
            <w:lang w:val="en-US"/>
          </w:rPr>
          <w:t>http://www.salute.gov.it/portale/temi/documenti/usmaf/formazione2018/Classificazione_degli_agenti_infettivi_in_relazione_alla_sicurezza_biologica.pdf</w:t>
        </w:r>
      </w:hyperlink>
    </w:p>
    <w:p w:rsidR="008F6FFE" w:rsidRPr="009075A1" w:rsidRDefault="008F6FFE" w:rsidP="008F32E1">
      <w:pPr>
        <w:rPr>
          <w:rFonts w:asciiTheme="minorHAnsi" w:hAnsiTheme="minorHAnsi" w:cstheme="minorHAnsi"/>
          <w:color w:val="000000" w:themeColor="text1"/>
          <w:sz w:val="16"/>
          <w:szCs w:val="16"/>
          <w:lang w:val="en-US"/>
        </w:rPr>
      </w:pPr>
    </w:p>
    <w:p w:rsidR="008F6FFE" w:rsidRPr="009075A1" w:rsidRDefault="0052743C" w:rsidP="008F32E1">
      <w:pPr>
        <w:rPr>
          <w:rStyle w:val="Hyperlink"/>
          <w:rFonts w:asciiTheme="minorHAnsi" w:eastAsiaTheme="majorEastAsia" w:hAnsiTheme="minorHAnsi" w:cstheme="minorHAnsi"/>
          <w:color w:val="000000" w:themeColor="text1"/>
          <w:sz w:val="16"/>
          <w:szCs w:val="16"/>
          <w:u w:val="none"/>
          <w:lang w:val="en-US"/>
        </w:rPr>
      </w:pPr>
      <w:hyperlink r:id="rId119" w:history="1">
        <w:r w:rsidR="008F6FFE" w:rsidRPr="009075A1">
          <w:rPr>
            <w:rStyle w:val="Hyperlink"/>
            <w:rFonts w:asciiTheme="minorHAnsi" w:eastAsiaTheme="majorEastAsia" w:hAnsiTheme="minorHAnsi" w:cstheme="minorHAnsi"/>
            <w:color w:val="000000" w:themeColor="text1"/>
            <w:sz w:val="16"/>
            <w:szCs w:val="16"/>
            <w:u w:val="none"/>
            <w:lang w:val="en-US"/>
          </w:rPr>
          <w:t>https://www.cdc.gov/coronavirus/2019-nCoV/lab/lab-biosafety-guidelines.html</w:t>
        </w:r>
      </w:hyperlink>
    </w:p>
    <w:p w:rsidR="008F6FFE" w:rsidRPr="009075A1" w:rsidRDefault="008F6FFE" w:rsidP="008F32E1">
      <w:pPr>
        <w:rPr>
          <w:rStyle w:val="Hyperlink"/>
          <w:rFonts w:asciiTheme="minorHAnsi" w:eastAsiaTheme="majorEastAsia" w:hAnsiTheme="minorHAnsi" w:cstheme="minorHAnsi"/>
          <w:color w:val="000000" w:themeColor="text1"/>
          <w:sz w:val="16"/>
          <w:szCs w:val="16"/>
          <w:u w:val="none"/>
          <w:lang w:val="en-US"/>
        </w:rPr>
      </w:pPr>
    </w:p>
    <w:p w:rsidR="008F6FFE" w:rsidRPr="009075A1" w:rsidRDefault="0052743C" w:rsidP="00D94AB1">
      <w:pPr>
        <w:rPr>
          <w:rFonts w:asciiTheme="minorHAnsi" w:hAnsiTheme="minorHAnsi" w:cstheme="minorHAnsi"/>
          <w:sz w:val="16"/>
          <w:szCs w:val="16"/>
          <w:lang w:val="en-US"/>
        </w:rPr>
      </w:pPr>
      <w:hyperlink r:id="rId120" w:history="1">
        <w:r w:rsidR="008F6FFE" w:rsidRPr="009075A1">
          <w:rPr>
            <w:rStyle w:val="Hyperlink"/>
            <w:rFonts w:asciiTheme="minorHAnsi" w:eastAsiaTheme="majorEastAsia" w:hAnsiTheme="minorHAnsi" w:cstheme="minorHAnsi"/>
            <w:color w:val="000000" w:themeColor="text1"/>
            <w:sz w:val="16"/>
            <w:szCs w:val="16"/>
            <w:u w:val="none"/>
            <w:lang w:val="en-US"/>
          </w:rPr>
          <w:t>https://www.who.int/docs/default-source/coronaviruse/laboratory-biosafety-novel-coronavirus-version-1-1.pdf?sfvrsn=912a9847_2</w:t>
        </w:r>
      </w:hyperlink>
    </w:p>
  </w:footnote>
  <w:footnote w:id="21">
    <w:p w:rsidR="008F6FFE" w:rsidRPr="00717D4D"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717D4D">
        <w:rPr>
          <w:rStyle w:val="Hyperlink"/>
          <w:rFonts w:asciiTheme="minorHAnsi" w:eastAsiaTheme="majorEastAsia" w:hAnsiTheme="minorHAnsi" w:cstheme="minorHAnsi"/>
          <w:color w:val="000000" w:themeColor="text1"/>
          <w:sz w:val="16"/>
          <w:szCs w:val="16"/>
          <w:u w:val="none"/>
          <w:vertAlign w:val="superscript"/>
          <w:lang w:val="en-US"/>
        </w:rPr>
        <w:footnoteRef/>
      </w:r>
      <w:r w:rsidRPr="00717D4D">
        <w:rPr>
          <w:rStyle w:val="Hyperlink"/>
          <w:rFonts w:asciiTheme="minorHAnsi" w:eastAsiaTheme="majorEastAsia" w:hAnsiTheme="minorHAnsi" w:cstheme="minorHAnsi"/>
          <w:color w:val="000000" w:themeColor="text1"/>
          <w:sz w:val="16"/>
          <w:szCs w:val="16"/>
          <w:u w:val="none"/>
          <w:vertAlign w:val="superscript"/>
          <w:lang w:val="en-US"/>
        </w:rPr>
        <w:t xml:space="preserve"> </w:t>
      </w:r>
      <w:hyperlink r:id="rId121" w:tooltip="Seminars in immunopathology." w:history="1">
        <w:r w:rsidRPr="00717D4D">
          <w:rPr>
            <w:rStyle w:val="Hyperlink"/>
            <w:rFonts w:asciiTheme="minorHAnsi" w:eastAsiaTheme="majorEastAsia" w:hAnsiTheme="minorHAnsi" w:cstheme="minorHAnsi"/>
            <w:color w:val="000000" w:themeColor="text1"/>
            <w:sz w:val="16"/>
            <w:szCs w:val="16"/>
            <w:u w:val="none"/>
            <w:lang w:val="en-US"/>
          </w:rPr>
          <w:t>Semin Immunopathol.</w:t>
        </w:r>
      </w:hyperlink>
      <w:r w:rsidRPr="00717D4D">
        <w:rPr>
          <w:rStyle w:val="Hyperlink"/>
          <w:rFonts w:asciiTheme="minorHAnsi" w:eastAsiaTheme="majorEastAsia" w:hAnsiTheme="minorHAnsi" w:cstheme="minorHAnsi"/>
          <w:color w:val="000000" w:themeColor="text1"/>
          <w:sz w:val="16"/>
          <w:szCs w:val="16"/>
          <w:u w:val="none"/>
          <w:lang w:val="en-US"/>
        </w:rPr>
        <w:t> 2017 Jul;39(5):529-539. doi: 10.1007/s00281-017-0629-x</w:t>
      </w:r>
    </w:p>
    <w:p w:rsidR="008F6FFE" w:rsidRPr="00717D4D"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717D4D">
        <w:rPr>
          <w:rStyle w:val="Hyperlink"/>
          <w:rFonts w:asciiTheme="minorHAnsi" w:eastAsiaTheme="majorEastAsia" w:hAnsiTheme="minorHAnsi" w:cstheme="minorHAnsi"/>
          <w:color w:val="000000" w:themeColor="text1"/>
          <w:sz w:val="16"/>
          <w:szCs w:val="16"/>
          <w:u w:val="none"/>
          <w:lang w:val="en-US"/>
        </w:rPr>
        <w:t>Pathogenic human coronavirus infections: causes and consequences of cytokine storm and immunopathology.</w:t>
      </w:r>
    </w:p>
    <w:p w:rsidR="008F6FFE" w:rsidRPr="00717D4D"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122" w:history="1">
        <w:r w:rsidR="008F6FFE" w:rsidRPr="00717D4D">
          <w:rPr>
            <w:rStyle w:val="Hyperlink"/>
            <w:rFonts w:asciiTheme="minorHAnsi" w:eastAsiaTheme="majorEastAsia" w:hAnsiTheme="minorHAnsi" w:cstheme="minorHAnsi"/>
            <w:color w:val="000000" w:themeColor="text1"/>
            <w:sz w:val="16"/>
            <w:szCs w:val="16"/>
            <w:u w:val="none"/>
          </w:rPr>
          <w:t>Channappanavar R</w:t>
        </w:r>
      </w:hyperlink>
      <w:r w:rsidR="008F6FFE" w:rsidRPr="00717D4D">
        <w:rPr>
          <w:rStyle w:val="Hyperlink"/>
          <w:rFonts w:asciiTheme="minorHAnsi" w:eastAsiaTheme="majorEastAsia" w:hAnsiTheme="minorHAnsi" w:cstheme="minorHAnsi"/>
          <w:color w:val="000000" w:themeColor="text1"/>
          <w:sz w:val="16"/>
          <w:szCs w:val="16"/>
          <w:u w:val="none"/>
        </w:rPr>
        <w:t>1, </w:t>
      </w:r>
      <w:hyperlink r:id="rId123" w:history="1">
        <w:r w:rsidR="008F6FFE" w:rsidRPr="00717D4D">
          <w:rPr>
            <w:rStyle w:val="Hyperlink"/>
            <w:rFonts w:asciiTheme="minorHAnsi" w:eastAsiaTheme="majorEastAsia" w:hAnsiTheme="minorHAnsi" w:cstheme="minorHAnsi"/>
            <w:color w:val="000000" w:themeColor="text1"/>
            <w:sz w:val="16"/>
            <w:szCs w:val="16"/>
            <w:u w:val="none"/>
          </w:rPr>
          <w:t>Perlman S</w:t>
        </w:r>
      </w:hyperlink>
      <w:r w:rsidR="008F6FFE" w:rsidRPr="00717D4D">
        <w:rPr>
          <w:rStyle w:val="Hyperlink"/>
          <w:rFonts w:asciiTheme="minorHAnsi" w:eastAsiaTheme="majorEastAsia" w:hAnsiTheme="minorHAnsi" w:cstheme="minorHAnsi"/>
          <w:color w:val="000000" w:themeColor="text1"/>
          <w:sz w:val="16"/>
          <w:szCs w:val="16"/>
          <w:u w:val="none"/>
        </w:rPr>
        <w:t>2.</w:t>
      </w:r>
    </w:p>
    <w:p w:rsidR="008F6FFE" w:rsidRPr="00717D4D"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124" w:history="1">
        <w:r w:rsidR="008F6FFE" w:rsidRPr="00717D4D">
          <w:rPr>
            <w:rStyle w:val="Hyperlink"/>
            <w:rFonts w:asciiTheme="minorHAnsi" w:eastAsiaTheme="majorEastAsia" w:hAnsiTheme="minorHAnsi" w:cstheme="minorHAnsi"/>
            <w:color w:val="000000" w:themeColor="text1"/>
            <w:sz w:val="16"/>
            <w:szCs w:val="16"/>
            <w:u w:val="none"/>
          </w:rPr>
          <w:t>https://www.ncbi.nlm.nih.gov/pmc/articles/PMC7079893/pdf/281_2017_Article_629.pdf</w:t>
        </w:r>
      </w:hyperlink>
    </w:p>
    <w:p w:rsidR="008F6FFE" w:rsidRPr="00717D4D"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25" w:tooltip="Respirology (Carlton, Vic.)." w:history="1">
        <w:r w:rsidR="008F6FFE" w:rsidRPr="00C06DB3">
          <w:rPr>
            <w:rStyle w:val="Hyperlink"/>
            <w:rFonts w:asciiTheme="minorHAnsi" w:eastAsiaTheme="majorEastAsia" w:hAnsiTheme="minorHAnsi" w:cstheme="minorHAnsi"/>
            <w:color w:val="000000" w:themeColor="text1"/>
            <w:sz w:val="16"/>
            <w:szCs w:val="16"/>
            <w:u w:val="none"/>
            <w:lang w:val="en-US"/>
          </w:rPr>
          <w:t>Respirology.</w:t>
        </w:r>
      </w:hyperlink>
      <w:r w:rsidR="008F6FFE" w:rsidRPr="00C06DB3">
        <w:rPr>
          <w:rStyle w:val="Hyperlink"/>
          <w:rFonts w:asciiTheme="minorHAnsi" w:eastAsiaTheme="majorEastAsia" w:hAnsiTheme="minorHAnsi" w:cstheme="minorHAnsi"/>
          <w:color w:val="000000" w:themeColor="text1"/>
          <w:sz w:val="16"/>
          <w:szCs w:val="16"/>
          <w:u w:val="none"/>
          <w:lang w:val="en-US"/>
        </w:rPr>
        <w:t> 2006 Nov;11(6):715-22.</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Temporal changes in cytokine/chemokine profiles and pulmonary involvement in severe acute respiratory syndrome.</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26" w:history="1">
        <w:r w:rsidR="008F6FFE" w:rsidRPr="00C06DB3">
          <w:rPr>
            <w:rStyle w:val="Hyperlink"/>
            <w:rFonts w:asciiTheme="minorHAnsi" w:eastAsiaTheme="majorEastAsia" w:hAnsiTheme="minorHAnsi" w:cstheme="minorHAnsi"/>
            <w:color w:val="000000" w:themeColor="text1"/>
            <w:sz w:val="16"/>
            <w:szCs w:val="16"/>
            <w:u w:val="none"/>
            <w:lang w:val="en-US"/>
          </w:rPr>
          <w:t>Chien JY</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127" w:history="1">
        <w:r w:rsidR="008F6FFE" w:rsidRPr="00C06DB3">
          <w:rPr>
            <w:rStyle w:val="Hyperlink"/>
            <w:rFonts w:asciiTheme="minorHAnsi" w:eastAsiaTheme="majorEastAsia" w:hAnsiTheme="minorHAnsi" w:cstheme="minorHAnsi"/>
            <w:color w:val="000000" w:themeColor="text1"/>
            <w:sz w:val="16"/>
            <w:szCs w:val="16"/>
            <w:u w:val="none"/>
            <w:lang w:val="en-US"/>
          </w:rPr>
          <w:t>Hsueh PR</w:t>
        </w:r>
      </w:hyperlink>
      <w:r w:rsidR="008F6FFE" w:rsidRPr="00C06DB3">
        <w:rPr>
          <w:rStyle w:val="Hyperlink"/>
          <w:rFonts w:asciiTheme="minorHAnsi" w:eastAsiaTheme="majorEastAsia" w:hAnsiTheme="minorHAnsi" w:cstheme="minorHAnsi"/>
          <w:color w:val="000000" w:themeColor="text1"/>
          <w:sz w:val="16"/>
          <w:szCs w:val="16"/>
          <w:u w:val="none"/>
          <w:lang w:val="en-US"/>
        </w:rPr>
        <w:t>, </w:t>
      </w:r>
      <w:hyperlink r:id="rId128" w:history="1">
        <w:r w:rsidR="008F6FFE" w:rsidRPr="00C06DB3">
          <w:rPr>
            <w:rStyle w:val="Hyperlink"/>
            <w:rFonts w:asciiTheme="minorHAnsi" w:eastAsiaTheme="majorEastAsia" w:hAnsiTheme="minorHAnsi" w:cstheme="minorHAnsi"/>
            <w:color w:val="000000" w:themeColor="text1"/>
            <w:sz w:val="16"/>
            <w:szCs w:val="16"/>
            <w:u w:val="none"/>
            <w:lang w:val="en-US"/>
          </w:rPr>
          <w:t>Cheng WC</w:t>
        </w:r>
      </w:hyperlink>
      <w:r w:rsidR="008F6FFE" w:rsidRPr="00C06DB3">
        <w:rPr>
          <w:rStyle w:val="Hyperlink"/>
          <w:rFonts w:asciiTheme="minorHAnsi" w:eastAsiaTheme="majorEastAsia" w:hAnsiTheme="minorHAnsi" w:cstheme="minorHAnsi"/>
          <w:color w:val="000000" w:themeColor="text1"/>
          <w:sz w:val="16"/>
          <w:szCs w:val="16"/>
          <w:u w:val="none"/>
          <w:lang w:val="en-US"/>
        </w:rPr>
        <w:t>, </w:t>
      </w:r>
      <w:hyperlink r:id="rId129" w:history="1">
        <w:r w:rsidR="008F6FFE" w:rsidRPr="00C06DB3">
          <w:rPr>
            <w:rStyle w:val="Hyperlink"/>
            <w:rFonts w:asciiTheme="minorHAnsi" w:eastAsiaTheme="majorEastAsia" w:hAnsiTheme="minorHAnsi" w:cstheme="minorHAnsi"/>
            <w:color w:val="000000" w:themeColor="text1"/>
            <w:sz w:val="16"/>
            <w:szCs w:val="16"/>
            <w:u w:val="none"/>
            <w:lang w:val="en-US"/>
          </w:rPr>
          <w:t>Yu CJ</w:t>
        </w:r>
      </w:hyperlink>
      <w:r w:rsidR="008F6FFE" w:rsidRPr="00C06DB3">
        <w:rPr>
          <w:rStyle w:val="Hyperlink"/>
          <w:rFonts w:asciiTheme="minorHAnsi" w:eastAsiaTheme="majorEastAsia" w:hAnsiTheme="minorHAnsi" w:cstheme="minorHAnsi"/>
          <w:color w:val="000000" w:themeColor="text1"/>
          <w:sz w:val="16"/>
          <w:szCs w:val="16"/>
          <w:u w:val="none"/>
          <w:lang w:val="en-US"/>
        </w:rPr>
        <w:t>, </w:t>
      </w:r>
      <w:hyperlink r:id="rId130" w:history="1">
        <w:r w:rsidR="008F6FFE" w:rsidRPr="00C06DB3">
          <w:rPr>
            <w:rStyle w:val="Hyperlink"/>
            <w:rFonts w:asciiTheme="minorHAnsi" w:eastAsiaTheme="majorEastAsia" w:hAnsiTheme="minorHAnsi" w:cstheme="minorHAnsi"/>
            <w:color w:val="000000" w:themeColor="text1"/>
            <w:sz w:val="16"/>
            <w:szCs w:val="16"/>
            <w:u w:val="none"/>
            <w:lang w:val="en-US"/>
          </w:rPr>
          <w:t>Yang PC</w:t>
        </w:r>
      </w:hyperlink>
      <w:r w:rsidR="008F6FFE" w:rsidRPr="00C06DB3">
        <w:rPr>
          <w:rStyle w:val="Hyperlink"/>
          <w:rFonts w:asciiTheme="minorHAnsi" w:eastAsiaTheme="majorEastAsia" w:hAnsiTheme="minorHAnsi" w:cstheme="minorHAnsi"/>
          <w:color w:val="000000" w:themeColor="text1"/>
          <w:sz w:val="16"/>
          <w:szCs w:val="16"/>
          <w:u w:val="none"/>
          <w:lang w:val="en-US"/>
        </w:rPr>
        <w:t>.</w:t>
      </w:r>
    </w:p>
    <w:p w:rsidR="008F6FFE" w:rsidRPr="00C06DB3" w:rsidRDefault="0052743C" w:rsidP="00C06DB3">
      <w:pPr>
        <w:rPr>
          <w:rFonts w:asciiTheme="minorHAnsi" w:hAnsiTheme="minorHAnsi" w:cstheme="minorHAnsi"/>
          <w:color w:val="000000" w:themeColor="text1"/>
          <w:sz w:val="16"/>
          <w:szCs w:val="16"/>
          <w:lang w:val="en-US"/>
        </w:rPr>
      </w:pPr>
      <w:hyperlink r:id="rId131" w:history="1">
        <w:r w:rsidR="008F6FFE" w:rsidRPr="00C06DB3">
          <w:rPr>
            <w:rFonts w:asciiTheme="minorHAnsi" w:hAnsiTheme="minorHAnsi" w:cstheme="minorHAnsi"/>
            <w:color w:val="000000" w:themeColor="text1"/>
            <w:sz w:val="16"/>
            <w:szCs w:val="16"/>
            <w:lang w:val="en-US"/>
          </w:rPr>
          <w:t>https://www.ncbi.nlm.nih.gov/pmc/articles/PMC7192207/pdf/RESP-11-715.pdf</w:t>
        </w:r>
      </w:hyperlink>
    </w:p>
    <w:p w:rsidR="008F6FFE" w:rsidRPr="00C06DB3" w:rsidRDefault="008F6FFE" w:rsidP="00717D4D">
      <w:pPr>
        <w:pStyle w:val="FootnoteText"/>
        <w:rPr>
          <w:rFonts w:asciiTheme="minorHAnsi" w:hAnsiTheme="minorHAnsi" w:cstheme="minorHAnsi"/>
          <w:color w:val="000000" w:themeColor="text1"/>
          <w:sz w:val="16"/>
          <w:szCs w:val="16"/>
          <w:lang w:val="en-US"/>
        </w:rPr>
      </w:pP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32" w:tooltip="Aging." w:history="1">
        <w:r w:rsidR="008F6FFE" w:rsidRPr="00C06DB3">
          <w:rPr>
            <w:rStyle w:val="Hyperlink"/>
            <w:rFonts w:asciiTheme="minorHAnsi" w:eastAsiaTheme="majorEastAsia" w:hAnsiTheme="minorHAnsi" w:cstheme="minorHAnsi"/>
            <w:color w:val="000000" w:themeColor="text1"/>
            <w:sz w:val="16"/>
            <w:szCs w:val="16"/>
            <w:u w:val="none"/>
            <w:lang w:val="en-US"/>
          </w:rPr>
          <w:t>Aging (Albany NY).</w:t>
        </w:r>
      </w:hyperlink>
      <w:r w:rsidR="008F6FFE" w:rsidRPr="00C06DB3">
        <w:rPr>
          <w:rStyle w:val="Hyperlink"/>
          <w:rFonts w:asciiTheme="minorHAnsi" w:eastAsiaTheme="majorEastAsia" w:hAnsiTheme="minorHAnsi" w:cstheme="minorHAnsi"/>
          <w:color w:val="000000" w:themeColor="text1"/>
          <w:sz w:val="16"/>
          <w:szCs w:val="16"/>
          <w:u w:val="none"/>
          <w:lang w:val="en-US"/>
        </w:rPr>
        <w:t xml:space="preserve"> 2020 May 2;12. doi: 10.18632/aging.103101. </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Immune environment modulation in pneumonia patients caused by coronavirus: SARS-CoV, MERS-CoV and SARS-CoV-2.</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33" w:history="1">
        <w:r w:rsidR="008F6FFE" w:rsidRPr="00C06DB3">
          <w:rPr>
            <w:rStyle w:val="Hyperlink"/>
            <w:rFonts w:asciiTheme="minorHAnsi" w:eastAsiaTheme="majorEastAsia" w:hAnsiTheme="minorHAnsi" w:cstheme="minorHAnsi"/>
            <w:color w:val="000000" w:themeColor="text1"/>
            <w:sz w:val="16"/>
            <w:szCs w:val="16"/>
            <w:u w:val="none"/>
            <w:lang w:val="en-US"/>
          </w:rPr>
          <w:t>Yao Z</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134" w:history="1">
        <w:r w:rsidR="008F6FFE" w:rsidRPr="00C06DB3">
          <w:rPr>
            <w:rStyle w:val="Hyperlink"/>
            <w:rFonts w:asciiTheme="minorHAnsi" w:eastAsiaTheme="majorEastAsia" w:hAnsiTheme="minorHAnsi" w:cstheme="minorHAnsi"/>
            <w:color w:val="000000" w:themeColor="text1"/>
            <w:sz w:val="16"/>
            <w:szCs w:val="16"/>
            <w:u w:val="none"/>
            <w:lang w:val="en-US"/>
          </w:rPr>
          <w:t>Zheng Z</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135" w:history="1">
        <w:r w:rsidR="008F6FFE" w:rsidRPr="00C06DB3">
          <w:rPr>
            <w:rStyle w:val="Hyperlink"/>
            <w:rFonts w:asciiTheme="minorHAnsi" w:eastAsiaTheme="majorEastAsia" w:hAnsiTheme="minorHAnsi" w:cstheme="minorHAnsi"/>
            <w:color w:val="000000" w:themeColor="text1"/>
            <w:sz w:val="16"/>
            <w:szCs w:val="16"/>
            <w:u w:val="none"/>
            <w:lang w:val="en-US"/>
          </w:rPr>
          <w:t>Wu K</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136" w:history="1">
        <w:r w:rsidR="008F6FFE" w:rsidRPr="00C06DB3">
          <w:rPr>
            <w:rStyle w:val="Hyperlink"/>
            <w:rFonts w:asciiTheme="minorHAnsi" w:eastAsiaTheme="majorEastAsia" w:hAnsiTheme="minorHAnsi" w:cstheme="minorHAnsi"/>
            <w:color w:val="000000" w:themeColor="text1"/>
            <w:sz w:val="16"/>
            <w:szCs w:val="16"/>
            <w:u w:val="none"/>
            <w:lang w:val="en-US"/>
          </w:rPr>
          <w:t>Junhua Z</w:t>
        </w:r>
      </w:hyperlink>
      <w:r w:rsidR="008F6FFE" w:rsidRPr="00C06DB3">
        <w:rPr>
          <w:rStyle w:val="Hyperlink"/>
          <w:rFonts w:asciiTheme="minorHAnsi" w:eastAsiaTheme="majorEastAsia" w:hAnsiTheme="minorHAnsi" w:cstheme="minorHAnsi"/>
          <w:color w:val="000000" w:themeColor="text1"/>
          <w:sz w:val="16"/>
          <w:szCs w:val="16"/>
          <w:u w:val="none"/>
          <w:lang w:val="en-US"/>
        </w:rPr>
        <w:t>1.</w:t>
      </w:r>
    </w:p>
    <w:p w:rsidR="008F6FFE" w:rsidRPr="00C06DB3" w:rsidRDefault="0052743C" w:rsidP="00717D4D">
      <w:pPr>
        <w:rPr>
          <w:rFonts w:asciiTheme="minorHAnsi" w:hAnsiTheme="minorHAnsi" w:cstheme="minorHAnsi"/>
          <w:color w:val="000000" w:themeColor="text1"/>
          <w:sz w:val="16"/>
          <w:szCs w:val="16"/>
          <w:lang w:val="en-US"/>
        </w:rPr>
      </w:pPr>
      <w:hyperlink r:id="rId137" w:history="1">
        <w:r w:rsidR="008F6FFE" w:rsidRPr="00C06DB3">
          <w:rPr>
            <w:rStyle w:val="Hyperlink"/>
            <w:rFonts w:asciiTheme="minorHAnsi" w:eastAsiaTheme="majorEastAsia" w:hAnsiTheme="minorHAnsi" w:cstheme="minorHAnsi"/>
            <w:color w:val="000000" w:themeColor="text1"/>
            <w:sz w:val="16"/>
            <w:szCs w:val="16"/>
            <w:u w:val="none"/>
            <w:lang w:val="en-US"/>
          </w:rPr>
          <w:t>https://paperchase-aging.s3-us-west-1.amazonaws.com/pdf/vgbdsA4AtLiNjLZgc.pdf</w:t>
        </w:r>
      </w:hyperlink>
    </w:p>
    <w:p w:rsidR="008F6FFE" w:rsidRPr="00C06DB3" w:rsidRDefault="008F6FFE" w:rsidP="00717D4D">
      <w:pPr>
        <w:pStyle w:val="FootnoteText"/>
        <w:rPr>
          <w:rFonts w:asciiTheme="minorHAnsi" w:hAnsiTheme="minorHAnsi" w:cstheme="minorHAnsi"/>
          <w:color w:val="000000" w:themeColor="text1"/>
          <w:sz w:val="16"/>
          <w:szCs w:val="16"/>
          <w:lang w:val="en-US"/>
        </w:rPr>
      </w:pPr>
    </w:p>
  </w:footnote>
  <w:footnote w:id="22">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FootnoteReference"/>
          <w:rFonts w:asciiTheme="minorHAnsi" w:hAnsiTheme="minorHAnsi" w:cstheme="minorHAnsi"/>
          <w:color w:val="000000" w:themeColor="text1"/>
          <w:sz w:val="16"/>
          <w:szCs w:val="16"/>
        </w:rPr>
        <w:footnoteRef/>
      </w:r>
      <w:r w:rsidRPr="00C06DB3">
        <w:rPr>
          <w:rFonts w:asciiTheme="minorHAnsi" w:hAnsiTheme="minorHAnsi" w:cstheme="minorHAnsi"/>
          <w:color w:val="000000" w:themeColor="text1"/>
          <w:sz w:val="16"/>
          <w:szCs w:val="16"/>
          <w:lang w:val="en-US"/>
        </w:rPr>
        <w:t xml:space="preserve"> </w:t>
      </w:r>
      <w:hyperlink r:id="rId138" w:tooltip="Autoimmunity reviews." w:history="1">
        <w:r w:rsidRPr="00C06DB3">
          <w:rPr>
            <w:rStyle w:val="Hyperlink"/>
            <w:rFonts w:asciiTheme="minorHAnsi" w:eastAsiaTheme="majorEastAsia" w:hAnsiTheme="minorHAnsi" w:cstheme="minorHAnsi"/>
            <w:color w:val="000000" w:themeColor="text1"/>
            <w:sz w:val="16"/>
            <w:szCs w:val="16"/>
            <w:u w:val="none"/>
            <w:lang w:val="en-US"/>
          </w:rPr>
          <w:t>Autoimmun Rev.</w:t>
        </w:r>
      </w:hyperlink>
      <w:r w:rsidRPr="00C06DB3">
        <w:rPr>
          <w:rStyle w:val="Hyperlink"/>
          <w:rFonts w:asciiTheme="minorHAnsi" w:eastAsiaTheme="majorEastAsia" w:hAnsiTheme="minorHAnsi" w:cstheme="minorHAnsi"/>
          <w:color w:val="000000" w:themeColor="text1"/>
          <w:sz w:val="16"/>
          <w:szCs w:val="16"/>
          <w:u w:val="none"/>
          <w:lang w:val="en-US"/>
        </w:rPr>
        <w:t xml:space="preserve"> 2020 Apr 3:102537. doi: 10.1016/j.autrev.2020.102537. </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The Role of Cytokines including Interleukin-6 in COVID-19 induced Pneumonia and Macrophage Activation Syndrome-Like Disease.</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39" w:history="1">
        <w:r w:rsidR="008F6FFE" w:rsidRPr="00C06DB3">
          <w:rPr>
            <w:rStyle w:val="Hyperlink"/>
            <w:rFonts w:asciiTheme="minorHAnsi" w:eastAsiaTheme="majorEastAsia" w:hAnsiTheme="minorHAnsi" w:cstheme="minorHAnsi"/>
            <w:color w:val="000000" w:themeColor="text1"/>
            <w:sz w:val="16"/>
            <w:szCs w:val="16"/>
            <w:u w:val="none"/>
            <w:lang w:val="en-US"/>
          </w:rPr>
          <w:t>McGonagle D</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140" w:history="1">
        <w:r w:rsidR="008F6FFE" w:rsidRPr="00C06DB3">
          <w:rPr>
            <w:rStyle w:val="Hyperlink"/>
            <w:rFonts w:asciiTheme="minorHAnsi" w:eastAsiaTheme="majorEastAsia" w:hAnsiTheme="minorHAnsi" w:cstheme="minorHAnsi"/>
            <w:color w:val="000000" w:themeColor="text1"/>
            <w:sz w:val="16"/>
            <w:szCs w:val="16"/>
            <w:u w:val="none"/>
            <w:lang w:val="en-US"/>
          </w:rPr>
          <w:t>Sharif K</w:t>
        </w:r>
      </w:hyperlink>
      <w:r w:rsidR="008F6FFE" w:rsidRPr="00C06DB3">
        <w:rPr>
          <w:rStyle w:val="Hyperlink"/>
          <w:rFonts w:asciiTheme="minorHAnsi" w:eastAsiaTheme="majorEastAsia" w:hAnsiTheme="minorHAnsi" w:cstheme="minorHAnsi"/>
          <w:color w:val="000000" w:themeColor="text1"/>
          <w:sz w:val="16"/>
          <w:szCs w:val="16"/>
          <w:u w:val="none"/>
          <w:lang w:val="en-US"/>
        </w:rPr>
        <w:t>2, </w:t>
      </w:r>
      <w:hyperlink r:id="rId141" w:history="1">
        <w:r w:rsidR="008F6FFE" w:rsidRPr="00C06DB3">
          <w:rPr>
            <w:rStyle w:val="Hyperlink"/>
            <w:rFonts w:asciiTheme="minorHAnsi" w:eastAsiaTheme="majorEastAsia" w:hAnsiTheme="minorHAnsi" w:cstheme="minorHAnsi"/>
            <w:color w:val="000000" w:themeColor="text1"/>
            <w:sz w:val="16"/>
            <w:szCs w:val="16"/>
            <w:u w:val="none"/>
            <w:lang w:val="en-US"/>
          </w:rPr>
          <w:t>O'Regan A</w:t>
        </w:r>
      </w:hyperlink>
      <w:r w:rsidR="008F6FFE" w:rsidRPr="00C06DB3">
        <w:rPr>
          <w:rStyle w:val="Hyperlink"/>
          <w:rFonts w:asciiTheme="minorHAnsi" w:eastAsiaTheme="majorEastAsia" w:hAnsiTheme="minorHAnsi" w:cstheme="minorHAnsi"/>
          <w:color w:val="000000" w:themeColor="text1"/>
          <w:sz w:val="16"/>
          <w:szCs w:val="16"/>
          <w:u w:val="none"/>
          <w:lang w:val="en-US"/>
        </w:rPr>
        <w:t>3, </w:t>
      </w:r>
      <w:hyperlink r:id="rId142" w:history="1">
        <w:r w:rsidR="008F6FFE" w:rsidRPr="00C06DB3">
          <w:rPr>
            <w:rStyle w:val="Hyperlink"/>
            <w:rFonts w:asciiTheme="minorHAnsi" w:eastAsiaTheme="majorEastAsia" w:hAnsiTheme="minorHAnsi" w:cstheme="minorHAnsi"/>
            <w:color w:val="000000" w:themeColor="text1"/>
            <w:sz w:val="16"/>
            <w:szCs w:val="16"/>
            <w:u w:val="none"/>
            <w:lang w:val="en-US"/>
          </w:rPr>
          <w:t>Bridgewood C</w:t>
        </w:r>
      </w:hyperlink>
      <w:r w:rsidR="008F6FFE" w:rsidRPr="00C06DB3">
        <w:rPr>
          <w:rStyle w:val="Hyperlink"/>
          <w:rFonts w:asciiTheme="minorHAnsi" w:eastAsiaTheme="majorEastAsia" w:hAnsiTheme="minorHAnsi" w:cstheme="minorHAnsi"/>
          <w:color w:val="000000" w:themeColor="text1"/>
          <w:sz w:val="16"/>
          <w:szCs w:val="16"/>
          <w:u w:val="none"/>
          <w:lang w:val="en-US"/>
        </w:rPr>
        <w:t>4.</w:t>
      </w:r>
    </w:p>
    <w:p w:rsidR="008F6FFE" w:rsidRPr="00C06DB3" w:rsidRDefault="0052743C" w:rsidP="00C06DB3">
      <w:pPr>
        <w:rPr>
          <w:rStyle w:val="Hyperlink"/>
          <w:rFonts w:asciiTheme="minorHAnsi" w:hAnsiTheme="minorHAnsi" w:cstheme="minorHAnsi"/>
          <w:color w:val="000000" w:themeColor="text1"/>
          <w:sz w:val="16"/>
          <w:szCs w:val="16"/>
          <w:u w:val="none"/>
          <w:lang w:val="en-US"/>
        </w:rPr>
      </w:pPr>
      <w:hyperlink r:id="rId143" w:history="1">
        <w:r w:rsidR="008F6FFE" w:rsidRPr="00C06DB3">
          <w:rPr>
            <w:rFonts w:asciiTheme="minorHAnsi" w:hAnsiTheme="minorHAnsi" w:cstheme="minorHAnsi"/>
            <w:color w:val="000000" w:themeColor="text1"/>
            <w:sz w:val="16"/>
            <w:szCs w:val="16"/>
            <w:lang w:val="en-US"/>
          </w:rPr>
          <w:t>https://www.ncbi.nlm.nih.gov/pmc/articles/PMC7195002/pdf/main.pdf</w:t>
        </w:r>
      </w:hyperlink>
    </w:p>
    <w:p w:rsidR="008F6FFE" w:rsidRPr="00C06DB3" w:rsidRDefault="008F6FFE" w:rsidP="00717D4D">
      <w:pPr>
        <w:pStyle w:val="FootnoteText"/>
        <w:rPr>
          <w:rFonts w:asciiTheme="minorHAnsi" w:hAnsiTheme="minorHAnsi" w:cstheme="minorHAnsi"/>
          <w:color w:val="000000" w:themeColor="text1"/>
          <w:sz w:val="16"/>
          <w:szCs w:val="16"/>
          <w:lang w:val="en-US"/>
        </w:rPr>
      </w:pPr>
    </w:p>
  </w:footnote>
  <w:footnote w:id="23">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FootnoteReference"/>
          <w:rFonts w:asciiTheme="minorHAnsi" w:hAnsiTheme="minorHAnsi" w:cstheme="minorHAnsi"/>
          <w:color w:val="000000" w:themeColor="text1"/>
          <w:sz w:val="16"/>
          <w:szCs w:val="16"/>
        </w:rPr>
        <w:footnoteRef/>
      </w:r>
      <w:r w:rsidRPr="00C06DB3">
        <w:rPr>
          <w:rFonts w:asciiTheme="minorHAnsi" w:hAnsiTheme="minorHAnsi" w:cstheme="minorHAnsi"/>
          <w:color w:val="000000" w:themeColor="text1"/>
          <w:sz w:val="16"/>
          <w:szCs w:val="16"/>
          <w:lang w:val="en-US"/>
        </w:rPr>
        <w:t xml:space="preserve"> </w:t>
      </w:r>
      <w:hyperlink r:id="rId144" w:tooltip="Lancet (London, England)." w:history="1">
        <w:r w:rsidRPr="00C06DB3">
          <w:rPr>
            <w:rStyle w:val="Hyperlink"/>
            <w:rFonts w:asciiTheme="minorHAnsi" w:eastAsiaTheme="majorEastAsia" w:hAnsiTheme="minorHAnsi" w:cstheme="minorHAnsi"/>
            <w:color w:val="000000" w:themeColor="text1"/>
            <w:sz w:val="16"/>
            <w:szCs w:val="16"/>
            <w:u w:val="none"/>
            <w:lang w:val="en-US"/>
          </w:rPr>
          <w:t>Lancet.</w:t>
        </w:r>
      </w:hyperlink>
      <w:r w:rsidRPr="00C06DB3">
        <w:rPr>
          <w:rStyle w:val="Hyperlink"/>
          <w:rFonts w:asciiTheme="minorHAnsi" w:eastAsiaTheme="majorEastAsia" w:hAnsiTheme="minorHAnsi" w:cstheme="minorHAnsi"/>
          <w:color w:val="000000" w:themeColor="text1"/>
          <w:sz w:val="16"/>
          <w:szCs w:val="16"/>
          <w:u w:val="none"/>
          <w:lang w:val="en-US"/>
        </w:rPr>
        <w:t> 2020 Mar 28;395(10229):1033-1034. doi: 10.1016/S0140-6736(20)30628-0.</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COVID-19: consider cytokine storm syndromes and immunosuppression.</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45" w:history="1">
        <w:r w:rsidR="008F6FFE" w:rsidRPr="00C06DB3">
          <w:rPr>
            <w:rStyle w:val="Hyperlink"/>
            <w:rFonts w:asciiTheme="minorHAnsi" w:eastAsiaTheme="majorEastAsia" w:hAnsiTheme="minorHAnsi" w:cstheme="minorHAnsi"/>
            <w:color w:val="000000" w:themeColor="text1"/>
            <w:sz w:val="16"/>
            <w:szCs w:val="16"/>
            <w:u w:val="none"/>
            <w:lang w:val="en-US"/>
          </w:rPr>
          <w:t>Mehta P</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146" w:history="1">
        <w:r w:rsidR="008F6FFE" w:rsidRPr="00C06DB3">
          <w:rPr>
            <w:rStyle w:val="Hyperlink"/>
            <w:rFonts w:asciiTheme="minorHAnsi" w:eastAsiaTheme="majorEastAsia" w:hAnsiTheme="minorHAnsi" w:cstheme="minorHAnsi"/>
            <w:color w:val="000000" w:themeColor="text1"/>
            <w:sz w:val="16"/>
            <w:szCs w:val="16"/>
            <w:u w:val="none"/>
            <w:lang w:val="en-US"/>
          </w:rPr>
          <w:t>McAuley DF</w:t>
        </w:r>
      </w:hyperlink>
      <w:r w:rsidR="008F6FFE" w:rsidRPr="00C06DB3">
        <w:rPr>
          <w:rStyle w:val="Hyperlink"/>
          <w:rFonts w:asciiTheme="minorHAnsi" w:eastAsiaTheme="majorEastAsia" w:hAnsiTheme="minorHAnsi" w:cstheme="minorHAnsi"/>
          <w:color w:val="000000" w:themeColor="text1"/>
          <w:sz w:val="16"/>
          <w:szCs w:val="16"/>
          <w:u w:val="none"/>
          <w:lang w:val="en-US"/>
        </w:rPr>
        <w:t>2, </w:t>
      </w:r>
      <w:hyperlink r:id="rId147" w:history="1">
        <w:r w:rsidR="008F6FFE" w:rsidRPr="00C06DB3">
          <w:rPr>
            <w:rStyle w:val="Hyperlink"/>
            <w:rFonts w:asciiTheme="minorHAnsi" w:eastAsiaTheme="majorEastAsia" w:hAnsiTheme="minorHAnsi" w:cstheme="minorHAnsi"/>
            <w:color w:val="000000" w:themeColor="text1"/>
            <w:sz w:val="16"/>
            <w:szCs w:val="16"/>
            <w:u w:val="none"/>
            <w:lang w:val="en-US"/>
          </w:rPr>
          <w:t>Brown M</w:t>
        </w:r>
      </w:hyperlink>
      <w:r w:rsidR="008F6FFE" w:rsidRPr="00C06DB3">
        <w:rPr>
          <w:rStyle w:val="Hyperlink"/>
          <w:rFonts w:asciiTheme="minorHAnsi" w:eastAsiaTheme="majorEastAsia" w:hAnsiTheme="minorHAnsi" w:cstheme="minorHAnsi"/>
          <w:color w:val="000000" w:themeColor="text1"/>
          <w:sz w:val="16"/>
          <w:szCs w:val="16"/>
          <w:u w:val="none"/>
          <w:lang w:val="en-US"/>
        </w:rPr>
        <w:t>3, </w:t>
      </w:r>
      <w:hyperlink r:id="rId148" w:history="1">
        <w:r w:rsidR="008F6FFE" w:rsidRPr="00C06DB3">
          <w:rPr>
            <w:rStyle w:val="Hyperlink"/>
            <w:rFonts w:asciiTheme="minorHAnsi" w:eastAsiaTheme="majorEastAsia" w:hAnsiTheme="minorHAnsi" w:cstheme="minorHAnsi"/>
            <w:color w:val="000000" w:themeColor="text1"/>
            <w:sz w:val="16"/>
            <w:szCs w:val="16"/>
            <w:u w:val="none"/>
            <w:lang w:val="en-US"/>
          </w:rPr>
          <w:t>Sanchez E</w:t>
        </w:r>
      </w:hyperlink>
      <w:r w:rsidR="008F6FFE" w:rsidRPr="00C06DB3">
        <w:rPr>
          <w:rStyle w:val="Hyperlink"/>
          <w:rFonts w:asciiTheme="minorHAnsi" w:eastAsiaTheme="majorEastAsia" w:hAnsiTheme="minorHAnsi" w:cstheme="minorHAnsi"/>
          <w:color w:val="000000" w:themeColor="text1"/>
          <w:sz w:val="16"/>
          <w:szCs w:val="16"/>
          <w:u w:val="none"/>
          <w:lang w:val="en-US"/>
        </w:rPr>
        <w:t>4, </w:t>
      </w:r>
      <w:hyperlink r:id="rId149" w:history="1">
        <w:r w:rsidR="008F6FFE" w:rsidRPr="00C06DB3">
          <w:rPr>
            <w:rStyle w:val="Hyperlink"/>
            <w:rFonts w:asciiTheme="minorHAnsi" w:eastAsiaTheme="majorEastAsia" w:hAnsiTheme="minorHAnsi" w:cstheme="minorHAnsi"/>
            <w:color w:val="000000" w:themeColor="text1"/>
            <w:sz w:val="16"/>
            <w:szCs w:val="16"/>
            <w:u w:val="none"/>
            <w:lang w:val="en-US"/>
          </w:rPr>
          <w:t>Tattersall RS</w:t>
        </w:r>
      </w:hyperlink>
      <w:r w:rsidR="008F6FFE" w:rsidRPr="00C06DB3">
        <w:rPr>
          <w:rStyle w:val="Hyperlink"/>
          <w:rFonts w:asciiTheme="minorHAnsi" w:eastAsiaTheme="majorEastAsia" w:hAnsiTheme="minorHAnsi" w:cstheme="minorHAnsi"/>
          <w:color w:val="000000" w:themeColor="text1"/>
          <w:sz w:val="16"/>
          <w:szCs w:val="16"/>
          <w:u w:val="none"/>
          <w:lang w:val="en-US"/>
        </w:rPr>
        <w:t>5, </w:t>
      </w:r>
      <w:hyperlink r:id="rId150" w:history="1">
        <w:r w:rsidR="008F6FFE" w:rsidRPr="00C06DB3">
          <w:rPr>
            <w:rStyle w:val="Hyperlink"/>
            <w:rFonts w:asciiTheme="minorHAnsi" w:eastAsiaTheme="majorEastAsia" w:hAnsiTheme="minorHAnsi" w:cstheme="minorHAnsi"/>
            <w:color w:val="000000" w:themeColor="text1"/>
            <w:sz w:val="16"/>
            <w:szCs w:val="16"/>
            <w:u w:val="none"/>
            <w:lang w:val="en-US"/>
          </w:rPr>
          <w:t>Manson JJ</w:t>
        </w:r>
      </w:hyperlink>
      <w:r w:rsidR="008F6FFE" w:rsidRPr="00C06DB3">
        <w:rPr>
          <w:rStyle w:val="Hyperlink"/>
          <w:rFonts w:asciiTheme="minorHAnsi" w:eastAsiaTheme="majorEastAsia" w:hAnsiTheme="minorHAnsi" w:cstheme="minorHAnsi"/>
          <w:color w:val="000000" w:themeColor="text1"/>
          <w:sz w:val="16"/>
          <w:szCs w:val="16"/>
          <w:u w:val="none"/>
          <w:lang w:val="en-US"/>
        </w:rPr>
        <w:t>6; </w:t>
      </w:r>
      <w:hyperlink r:id="rId151" w:history="1">
        <w:r w:rsidR="008F6FFE" w:rsidRPr="00C06DB3">
          <w:rPr>
            <w:rStyle w:val="Hyperlink"/>
            <w:rFonts w:asciiTheme="minorHAnsi" w:eastAsiaTheme="majorEastAsia" w:hAnsiTheme="minorHAnsi" w:cstheme="minorHAnsi"/>
            <w:color w:val="000000" w:themeColor="text1"/>
            <w:sz w:val="16"/>
            <w:szCs w:val="16"/>
            <w:u w:val="none"/>
            <w:lang w:val="en-US"/>
          </w:rPr>
          <w:t>HLH Across Speciality Collaboration, UK</w:t>
        </w:r>
      </w:hyperlink>
      <w:r w:rsidR="008F6FFE" w:rsidRPr="00C06DB3">
        <w:rPr>
          <w:rStyle w:val="Hyperlink"/>
          <w:rFonts w:asciiTheme="minorHAnsi" w:eastAsiaTheme="majorEastAsia" w:hAnsiTheme="minorHAnsi" w:cstheme="minorHAnsi"/>
          <w:color w:val="000000" w:themeColor="text1"/>
          <w:sz w:val="16"/>
          <w:szCs w:val="16"/>
          <w:u w:val="none"/>
          <w:lang w:val="en-US"/>
        </w:rPr>
        <w:t>.</w:t>
      </w:r>
    </w:p>
    <w:p w:rsidR="008F6FFE" w:rsidRPr="00C06DB3" w:rsidRDefault="0052743C" w:rsidP="00C06DB3">
      <w:pPr>
        <w:rPr>
          <w:rFonts w:asciiTheme="minorHAnsi" w:hAnsiTheme="minorHAnsi" w:cstheme="minorHAnsi"/>
          <w:color w:val="000000" w:themeColor="text1"/>
          <w:sz w:val="16"/>
          <w:szCs w:val="16"/>
          <w:lang w:val="en-US"/>
        </w:rPr>
      </w:pPr>
      <w:hyperlink r:id="rId152" w:history="1">
        <w:r w:rsidR="008F6FFE" w:rsidRPr="00C06DB3">
          <w:rPr>
            <w:rFonts w:asciiTheme="minorHAnsi" w:hAnsiTheme="minorHAnsi" w:cstheme="minorHAnsi"/>
            <w:color w:val="000000" w:themeColor="text1"/>
            <w:sz w:val="16"/>
            <w:szCs w:val="16"/>
            <w:lang w:val="en-US"/>
          </w:rPr>
          <w:t>https://www.ncbi.nlm.nih.gov/pmc/articles/PMC7270045/pdf/main.pdf</w:t>
        </w:r>
      </w:hyperlink>
    </w:p>
    <w:p w:rsidR="008F6FFE" w:rsidRPr="00C06DB3" w:rsidRDefault="008F6FFE" w:rsidP="00717D4D">
      <w:pPr>
        <w:pStyle w:val="FootnoteText"/>
        <w:rPr>
          <w:rFonts w:asciiTheme="minorHAnsi" w:hAnsiTheme="minorHAnsi" w:cstheme="minorHAnsi"/>
          <w:color w:val="000000" w:themeColor="text1"/>
          <w:sz w:val="16"/>
          <w:szCs w:val="16"/>
          <w:lang w:val="en-US"/>
        </w:rPr>
      </w:pPr>
    </w:p>
  </w:footnote>
  <w:footnote w:id="24">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FootnoteReference"/>
          <w:rFonts w:asciiTheme="minorHAnsi" w:hAnsiTheme="minorHAnsi" w:cstheme="minorHAnsi"/>
          <w:color w:val="000000" w:themeColor="text1"/>
          <w:sz w:val="16"/>
          <w:szCs w:val="16"/>
        </w:rPr>
        <w:footnoteRef/>
      </w:r>
      <w:r w:rsidRPr="00C06DB3">
        <w:rPr>
          <w:rFonts w:asciiTheme="minorHAnsi" w:hAnsiTheme="minorHAnsi" w:cstheme="minorHAnsi"/>
          <w:color w:val="000000" w:themeColor="text1"/>
          <w:sz w:val="16"/>
          <w:szCs w:val="16"/>
          <w:lang w:val="en-US"/>
        </w:rPr>
        <w:t xml:space="preserve"> </w:t>
      </w:r>
      <w:r w:rsidRPr="00C06DB3">
        <w:rPr>
          <w:rStyle w:val="Hyperlink"/>
          <w:rFonts w:asciiTheme="minorHAnsi" w:eastAsiaTheme="majorEastAsia" w:hAnsiTheme="minorHAnsi" w:cstheme="minorHAnsi"/>
          <w:color w:val="000000" w:themeColor="text1"/>
          <w:sz w:val="16"/>
          <w:szCs w:val="16"/>
          <w:u w:val="none"/>
          <w:lang w:val="en-US"/>
        </w:rPr>
        <w:t>RMD Open 2020 May;6(1):e001295.  doi: 10.1136/rmdopen-2020-001295.</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Storm, Typhoon, Cyclone or Hurricane in Patients With COVID-19? Beware of the Same Storm That Has a Different Origin</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153" w:history="1">
        <w:r w:rsidR="008F6FFE" w:rsidRPr="00C06DB3">
          <w:rPr>
            <w:rStyle w:val="Hyperlink"/>
            <w:rFonts w:asciiTheme="minorHAnsi" w:eastAsiaTheme="majorEastAsia" w:hAnsiTheme="minorHAnsi" w:cstheme="minorHAnsi"/>
            <w:color w:val="000000" w:themeColor="text1"/>
            <w:sz w:val="16"/>
            <w:szCs w:val="16"/>
            <w:u w:val="none"/>
          </w:rPr>
          <w:t>Alessia Alunno</w:t>
        </w:r>
      </w:hyperlink>
      <w:r w:rsidR="008F6FFE" w:rsidRPr="00C06DB3">
        <w:rPr>
          <w:rStyle w:val="Hyperlink"/>
          <w:rFonts w:asciiTheme="minorHAnsi" w:eastAsiaTheme="majorEastAsia" w:hAnsiTheme="minorHAnsi" w:cstheme="minorHAnsi"/>
          <w:color w:val="000000" w:themeColor="text1"/>
          <w:sz w:val="16"/>
          <w:szCs w:val="16"/>
          <w:u w:val="none"/>
        </w:rPr>
        <w:t> </w:t>
      </w:r>
      <w:hyperlink r:id="rId154" w:anchor="affiliation-1" w:history="1">
        <w:r w:rsidR="008F6FFE" w:rsidRPr="00C06DB3">
          <w:rPr>
            <w:rStyle w:val="Hyperlink"/>
            <w:rFonts w:asciiTheme="minorHAnsi" w:eastAsiaTheme="majorEastAsia" w:hAnsiTheme="minorHAnsi" w:cstheme="minorHAnsi"/>
            <w:color w:val="000000" w:themeColor="text1"/>
            <w:sz w:val="16"/>
            <w:szCs w:val="16"/>
            <w:u w:val="none"/>
          </w:rPr>
          <w:t>1</w:t>
        </w:r>
      </w:hyperlink>
      <w:r w:rsidR="008F6FFE" w:rsidRPr="00C06DB3">
        <w:rPr>
          <w:rStyle w:val="Hyperlink"/>
          <w:rFonts w:asciiTheme="minorHAnsi" w:eastAsiaTheme="majorEastAsia" w:hAnsiTheme="minorHAnsi" w:cstheme="minorHAnsi"/>
          <w:color w:val="000000" w:themeColor="text1"/>
          <w:sz w:val="16"/>
          <w:szCs w:val="16"/>
          <w:u w:val="none"/>
        </w:rPr>
        <w:t>, </w:t>
      </w:r>
      <w:hyperlink r:id="rId155" w:history="1">
        <w:r w:rsidR="008F6FFE" w:rsidRPr="00C06DB3">
          <w:rPr>
            <w:rStyle w:val="Hyperlink"/>
            <w:rFonts w:asciiTheme="minorHAnsi" w:eastAsiaTheme="majorEastAsia" w:hAnsiTheme="minorHAnsi" w:cstheme="minorHAnsi"/>
            <w:color w:val="000000" w:themeColor="text1"/>
            <w:sz w:val="16"/>
            <w:szCs w:val="16"/>
            <w:u w:val="none"/>
          </w:rPr>
          <w:t>Francesco Carubbi</w:t>
        </w:r>
      </w:hyperlink>
      <w:r w:rsidR="008F6FFE" w:rsidRPr="00C06DB3">
        <w:rPr>
          <w:rStyle w:val="Hyperlink"/>
          <w:rFonts w:asciiTheme="minorHAnsi" w:eastAsiaTheme="majorEastAsia" w:hAnsiTheme="minorHAnsi" w:cstheme="minorHAnsi"/>
          <w:color w:val="000000" w:themeColor="text1"/>
          <w:sz w:val="16"/>
          <w:szCs w:val="16"/>
          <w:u w:val="none"/>
        </w:rPr>
        <w:t> </w:t>
      </w:r>
      <w:hyperlink r:id="rId156" w:anchor="affiliation-2" w:history="1">
        <w:r w:rsidR="008F6FFE" w:rsidRPr="00C06DB3">
          <w:rPr>
            <w:rStyle w:val="Hyperlink"/>
            <w:rFonts w:asciiTheme="minorHAnsi" w:eastAsiaTheme="majorEastAsia" w:hAnsiTheme="minorHAnsi" w:cstheme="minorHAnsi"/>
            <w:color w:val="000000" w:themeColor="text1"/>
            <w:sz w:val="16"/>
            <w:szCs w:val="16"/>
            <w:u w:val="none"/>
          </w:rPr>
          <w:t>2</w:t>
        </w:r>
      </w:hyperlink>
      <w:r w:rsidR="008F6FFE" w:rsidRPr="00C06DB3">
        <w:rPr>
          <w:rStyle w:val="Hyperlink"/>
          <w:rFonts w:asciiTheme="minorHAnsi" w:eastAsiaTheme="majorEastAsia" w:hAnsiTheme="minorHAnsi" w:cstheme="minorHAnsi"/>
          <w:color w:val="000000" w:themeColor="text1"/>
          <w:sz w:val="16"/>
          <w:szCs w:val="16"/>
          <w:u w:val="none"/>
        </w:rPr>
        <w:t>, </w:t>
      </w:r>
      <w:hyperlink r:id="rId157" w:history="1">
        <w:r w:rsidR="008F6FFE" w:rsidRPr="00C06DB3">
          <w:rPr>
            <w:rStyle w:val="Hyperlink"/>
            <w:rFonts w:asciiTheme="minorHAnsi" w:eastAsiaTheme="majorEastAsia" w:hAnsiTheme="minorHAnsi" w:cstheme="minorHAnsi"/>
            <w:color w:val="000000" w:themeColor="text1"/>
            <w:sz w:val="16"/>
            <w:szCs w:val="16"/>
            <w:u w:val="none"/>
          </w:rPr>
          <w:t>Javier Rodríguez-Carrio</w:t>
        </w:r>
      </w:hyperlink>
    </w:p>
    <w:p w:rsidR="008F6FFE" w:rsidRPr="00C06DB3" w:rsidRDefault="0052743C" w:rsidP="00717D4D">
      <w:pPr>
        <w:rPr>
          <w:rFonts w:asciiTheme="minorHAnsi" w:hAnsiTheme="minorHAnsi" w:cstheme="minorHAnsi"/>
          <w:color w:val="000000" w:themeColor="text1"/>
          <w:sz w:val="16"/>
          <w:szCs w:val="16"/>
        </w:rPr>
      </w:pPr>
      <w:hyperlink r:id="rId158" w:history="1">
        <w:r w:rsidR="008F6FFE" w:rsidRPr="00C06DB3">
          <w:rPr>
            <w:rStyle w:val="Hyperlink"/>
            <w:rFonts w:asciiTheme="minorHAnsi" w:eastAsiaTheme="majorEastAsia" w:hAnsiTheme="minorHAnsi" w:cstheme="minorHAnsi"/>
            <w:color w:val="000000" w:themeColor="text1"/>
            <w:sz w:val="16"/>
            <w:szCs w:val="16"/>
            <w:u w:val="none"/>
          </w:rPr>
          <w:t>https://rmdopen.bmj.com/content/rmdopen/6/1/e001295.full.pdf</w:t>
        </w:r>
      </w:hyperlink>
    </w:p>
    <w:p w:rsidR="008F6FFE" w:rsidRPr="00C06DB3" w:rsidRDefault="008F6FFE" w:rsidP="00717D4D">
      <w:pPr>
        <w:rPr>
          <w:rStyle w:val="Hyperlink"/>
          <w:rFonts w:asciiTheme="minorHAnsi" w:eastAsiaTheme="majorEastAsia" w:hAnsiTheme="minorHAnsi" w:cstheme="minorHAnsi"/>
          <w:color w:val="000000" w:themeColor="text1"/>
          <w:sz w:val="16"/>
          <w:szCs w:val="16"/>
          <w:u w:val="none"/>
        </w:rPr>
      </w:pPr>
    </w:p>
    <w:p w:rsidR="008F6FFE" w:rsidRPr="00C06DB3" w:rsidRDefault="008F6FFE" w:rsidP="00717D4D">
      <w:pPr>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Immunity 2020 May 19;52(5):731-733. doi: 10.1016/j.immuni.2020.04.003. </w:t>
      </w:r>
    </w:p>
    <w:p w:rsidR="008F6FFE" w:rsidRPr="00C06DB3" w:rsidRDefault="008F6FFE" w:rsidP="00717D4D">
      <w:pPr>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COVID-19: A New Virus, but a Familiar Receptor and Cytokine Release Syndrome</w:t>
      </w:r>
    </w:p>
    <w:p w:rsidR="008F6FFE" w:rsidRPr="00C06DB3" w:rsidRDefault="0052743C" w:rsidP="00717D4D">
      <w:pPr>
        <w:rPr>
          <w:rStyle w:val="Hyperlink"/>
          <w:rFonts w:asciiTheme="minorHAnsi" w:eastAsiaTheme="majorEastAsia" w:hAnsiTheme="minorHAnsi" w:cstheme="minorHAnsi"/>
          <w:color w:val="000000" w:themeColor="text1"/>
          <w:sz w:val="16"/>
          <w:szCs w:val="16"/>
          <w:u w:val="none"/>
        </w:rPr>
      </w:pPr>
      <w:hyperlink r:id="rId159" w:history="1">
        <w:r w:rsidR="008F6FFE" w:rsidRPr="00C06DB3">
          <w:rPr>
            <w:rStyle w:val="Hyperlink"/>
            <w:rFonts w:asciiTheme="minorHAnsi" w:eastAsiaTheme="majorEastAsia" w:hAnsiTheme="minorHAnsi" w:cstheme="minorHAnsi"/>
            <w:color w:val="000000" w:themeColor="text1"/>
            <w:sz w:val="16"/>
            <w:szCs w:val="16"/>
            <w:u w:val="none"/>
          </w:rPr>
          <w:t>Toshio Hirano</w:t>
        </w:r>
      </w:hyperlink>
      <w:r w:rsidR="008F6FFE" w:rsidRPr="00C06DB3">
        <w:rPr>
          <w:rStyle w:val="Hyperlink"/>
          <w:rFonts w:asciiTheme="minorHAnsi" w:eastAsiaTheme="majorEastAsia" w:hAnsiTheme="minorHAnsi" w:cstheme="minorHAnsi"/>
          <w:color w:val="000000" w:themeColor="text1"/>
          <w:sz w:val="16"/>
          <w:szCs w:val="16"/>
          <w:u w:val="none"/>
        </w:rPr>
        <w:t> </w:t>
      </w:r>
      <w:hyperlink r:id="rId160" w:anchor="affiliation-1" w:history="1">
        <w:r w:rsidR="008F6FFE" w:rsidRPr="00C06DB3">
          <w:rPr>
            <w:rStyle w:val="Hyperlink"/>
            <w:rFonts w:asciiTheme="minorHAnsi" w:eastAsiaTheme="majorEastAsia" w:hAnsiTheme="minorHAnsi" w:cstheme="minorHAnsi"/>
            <w:color w:val="000000" w:themeColor="text1"/>
            <w:sz w:val="16"/>
            <w:szCs w:val="16"/>
            <w:u w:val="none"/>
          </w:rPr>
          <w:t>1</w:t>
        </w:r>
      </w:hyperlink>
      <w:r w:rsidR="008F6FFE" w:rsidRPr="00C06DB3">
        <w:rPr>
          <w:rStyle w:val="Hyperlink"/>
          <w:rFonts w:asciiTheme="minorHAnsi" w:eastAsiaTheme="majorEastAsia" w:hAnsiTheme="minorHAnsi" w:cstheme="minorHAnsi"/>
          <w:color w:val="000000" w:themeColor="text1"/>
          <w:sz w:val="16"/>
          <w:szCs w:val="16"/>
          <w:u w:val="none"/>
        </w:rPr>
        <w:t>, </w:t>
      </w:r>
      <w:hyperlink r:id="rId161" w:history="1">
        <w:r w:rsidR="008F6FFE" w:rsidRPr="00C06DB3">
          <w:rPr>
            <w:rStyle w:val="Hyperlink"/>
            <w:rFonts w:asciiTheme="minorHAnsi" w:eastAsiaTheme="majorEastAsia" w:hAnsiTheme="minorHAnsi" w:cstheme="minorHAnsi"/>
            <w:color w:val="000000" w:themeColor="text1"/>
            <w:sz w:val="16"/>
            <w:szCs w:val="16"/>
            <w:u w:val="none"/>
          </w:rPr>
          <w:t>Masaaki Murakami</w:t>
        </w:r>
      </w:hyperlink>
      <w:r w:rsidR="008F6FFE" w:rsidRPr="00C06DB3">
        <w:rPr>
          <w:rStyle w:val="Hyperlink"/>
          <w:rFonts w:asciiTheme="minorHAnsi" w:eastAsiaTheme="majorEastAsia" w:hAnsiTheme="minorHAnsi" w:cstheme="minorHAnsi"/>
          <w:color w:val="000000" w:themeColor="text1"/>
          <w:sz w:val="16"/>
          <w:szCs w:val="16"/>
          <w:u w:val="none"/>
        </w:rPr>
        <w:t> </w:t>
      </w:r>
    </w:p>
    <w:p w:rsidR="008F6FFE" w:rsidRPr="00C06DB3" w:rsidRDefault="0052743C" w:rsidP="00717D4D">
      <w:pPr>
        <w:rPr>
          <w:rFonts w:asciiTheme="minorHAnsi" w:hAnsiTheme="minorHAnsi" w:cstheme="minorHAnsi"/>
          <w:color w:val="000000" w:themeColor="text1"/>
          <w:sz w:val="16"/>
          <w:szCs w:val="16"/>
        </w:rPr>
      </w:pPr>
      <w:hyperlink r:id="rId162" w:history="1">
        <w:r w:rsidR="008F6FFE" w:rsidRPr="00C06DB3">
          <w:rPr>
            <w:rStyle w:val="Hyperlink"/>
            <w:rFonts w:asciiTheme="minorHAnsi" w:eastAsiaTheme="majorEastAsia" w:hAnsiTheme="minorHAnsi" w:cstheme="minorHAnsi"/>
            <w:color w:val="000000" w:themeColor="text1"/>
            <w:sz w:val="16"/>
            <w:szCs w:val="16"/>
            <w:u w:val="none"/>
          </w:rPr>
          <w:t>https://www.ncbi.nlm.nih.gov/pmc/articles/PMC7175868/pdf/main.pdf</w:t>
        </w:r>
      </w:hyperlink>
    </w:p>
    <w:p w:rsidR="008F6FFE" w:rsidRPr="00C06DB3" w:rsidRDefault="008F6FFE" w:rsidP="00717D4D">
      <w:pPr>
        <w:shd w:val="clear" w:color="auto" w:fill="FFFFFF"/>
        <w:jc w:val="both"/>
        <w:rPr>
          <w:rFonts w:asciiTheme="minorHAnsi" w:hAnsiTheme="minorHAnsi" w:cstheme="minorHAnsi"/>
          <w:color w:val="000000" w:themeColor="text1"/>
          <w:sz w:val="16"/>
          <w:szCs w:val="16"/>
        </w:rPr>
      </w:pPr>
    </w:p>
    <w:p w:rsidR="008F6FFE" w:rsidRPr="00C06DB3" w:rsidRDefault="0052743C" w:rsidP="00717D4D">
      <w:pPr>
        <w:shd w:val="clear" w:color="auto" w:fill="FFFFFF"/>
        <w:jc w:val="both"/>
        <w:rPr>
          <w:rFonts w:asciiTheme="minorHAnsi" w:hAnsiTheme="minorHAnsi" w:cstheme="minorHAnsi"/>
          <w:color w:val="000000" w:themeColor="text1"/>
          <w:sz w:val="16"/>
          <w:szCs w:val="16"/>
          <w:lang w:val="en-US"/>
        </w:rPr>
      </w:pPr>
      <w:hyperlink r:id="rId163" w:tooltip="Journal for immunotherapy of cancer." w:history="1">
        <w:r w:rsidR="008F6FFE" w:rsidRPr="00C06DB3">
          <w:rPr>
            <w:rStyle w:val="Hyperlink"/>
            <w:rFonts w:asciiTheme="minorHAnsi" w:eastAsiaTheme="majorEastAsia" w:hAnsiTheme="minorHAnsi" w:cstheme="minorHAnsi"/>
            <w:color w:val="000000" w:themeColor="text1"/>
            <w:sz w:val="16"/>
            <w:szCs w:val="16"/>
            <w:u w:val="none"/>
            <w:lang w:val="en-US"/>
          </w:rPr>
          <w:t>J Immunother Cancer.</w:t>
        </w:r>
      </w:hyperlink>
      <w:r w:rsidR="008F6FFE" w:rsidRPr="00C06DB3">
        <w:rPr>
          <w:rFonts w:asciiTheme="minorHAnsi" w:hAnsiTheme="minorHAnsi" w:cstheme="minorHAnsi"/>
          <w:color w:val="000000" w:themeColor="text1"/>
          <w:sz w:val="16"/>
          <w:szCs w:val="16"/>
          <w:lang w:val="en-US"/>
        </w:rPr>
        <w:t> 2018 Jun 15;6(1):56. doi: 10.1186/s40425-018-0343-9.</w:t>
      </w:r>
    </w:p>
    <w:p w:rsidR="008F6FFE" w:rsidRPr="00C06DB3" w:rsidRDefault="008F6FFE" w:rsidP="00717D4D">
      <w:pPr>
        <w:pStyle w:val="Heading1"/>
        <w:shd w:val="clear" w:color="auto" w:fill="FFFFFF"/>
        <w:spacing w:before="0"/>
        <w:jc w:val="both"/>
        <w:rPr>
          <w:rFonts w:asciiTheme="minorHAnsi" w:hAnsiTheme="minorHAnsi" w:cstheme="minorHAnsi"/>
          <w:color w:val="000000" w:themeColor="text1"/>
          <w:sz w:val="16"/>
          <w:szCs w:val="16"/>
          <w:lang w:val="en-US"/>
        </w:rPr>
      </w:pPr>
      <w:r w:rsidRPr="00C06DB3">
        <w:rPr>
          <w:rFonts w:asciiTheme="minorHAnsi" w:hAnsiTheme="minorHAnsi" w:cstheme="minorHAnsi"/>
          <w:color w:val="000000" w:themeColor="text1"/>
          <w:sz w:val="16"/>
          <w:szCs w:val="16"/>
          <w:lang w:val="en-US"/>
        </w:rPr>
        <w:t>Cytokine release syndrome.</w:t>
      </w:r>
    </w:p>
    <w:p w:rsidR="008F6FFE" w:rsidRPr="00C06DB3" w:rsidRDefault="0052743C" w:rsidP="00717D4D">
      <w:pPr>
        <w:shd w:val="clear" w:color="auto" w:fill="FFFFFF"/>
        <w:jc w:val="both"/>
        <w:rPr>
          <w:rFonts w:asciiTheme="minorHAnsi" w:hAnsiTheme="minorHAnsi" w:cstheme="minorHAnsi"/>
          <w:color w:val="000000" w:themeColor="text1"/>
          <w:sz w:val="16"/>
          <w:szCs w:val="16"/>
          <w:lang w:val="en-US"/>
        </w:rPr>
      </w:pPr>
      <w:hyperlink r:id="rId164" w:history="1">
        <w:r w:rsidR="008F6FFE" w:rsidRPr="00C06DB3">
          <w:rPr>
            <w:rStyle w:val="Hyperlink"/>
            <w:rFonts w:asciiTheme="minorHAnsi" w:eastAsiaTheme="majorEastAsia" w:hAnsiTheme="minorHAnsi" w:cstheme="minorHAnsi"/>
            <w:color w:val="000000" w:themeColor="text1"/>
            <w:sz w:val="16"/>
            <w:szCs w:val="16"/>
            <w:u w:val="none"/>
            <w:lang w:val="en-US"/>
          </w:rPr>
          <w:t>Shimabukuro-Vornhagen A</w:t>
        </w:r>
      </w:hyperlink>
      <w:r w:rsidR="008F6FFE" w:rsidRPr="00C06DB3">
        <w:rPr>
          <w:rFonts w:asciiTheme="minorHAnsi" w:hAnsiTheme="minorHAnsi" w:cstheme="minorHAnsi"/>
          <w:color w:val="000000" w:themeColor="text1"/>
          <w:sz w:val="16"/>
          <w:szCs w:val="16"/>
          <w:vertAlign w:val="superscript"/>
          <w:lang w:val="en-US"/>
        </w:rPr>
        <w:t xml:space="preserve"> </w:t>
      </w:r>
      <w:r w:rsidR="008F6FFE" w:rsidRPr="00C06DB3">
        <w:rPr>
          <w:rFonts w:asciiTheme="minorHAnsi" w:hAnsiTheme="minorHAnsi" w:cstheme="minorHAnsi"/>
          <w:color w:val="000000" w:themeColor="text1"/>
          <w:sz w:val="16"/>
          <w:szCs w:val="16"/>
          <w:lang w:val="en-US"/>
        </w:rPr>
        <w:t>et al</w:t>
      </w:r>
    </w:p>
    <w:p w:rsidR="008F6FFE" w:rsidRPr="00C06DB3" w:rsidRDefault="0052743C" w:rsidP="00C06DB3">
      <w:pPr>
        <w:rPr>
          <w:rFonts w:asciiTheme="minorHAnsi" w:hAnsiTheme="minorHAnsi" w:cstheme="minorHAnsi"/>
          <w:color w:val="000000" w:themeColor="text1"/>
          <w:sz w:val="16"/>
          <w:szCs w:val="16"/>
          <w:lang w:val="en-US"/>
        </w:rPr>
      </w:pPr>
      <w:hyperlink r:id="rId165" w:history="1">
        <w:r w:rsidR="008F6FFE" w:rsidRPr="00C06DB3">
          <w:rPr>
            <w:rFonts w:asciiTheme="minorHAnsi" w:hAnsiTheme="minorHAnsi" w:cstheme="minorHAnsi"/>
            <w:color w:val="000000" w:themeColor="text1"/>
            <w:sz w:val="16"/>
            <w:szCs w:val="16"/>
            <w:lang w:val="en-US"/>
          </w:rPr>
          <w:t>https://www.ncbi.nlm.nih.gov/pmc/articles/PMC6003181/pdf/40425_2018_Article_343.pdf</w:t>
        </w:r>
      </w:hyperlink>
    </w:p>
    <w:p w:rsidR="008F6FFE" w:rsidRPr="00C06DB3" w:rsidRDefault="008F6FFE" w:rsidP="00717D4D">
      <w:pPr>
        <w:shd w:val="clear" w:color="auto" w:fill="FFFFFF"/>
        <w:jc w:val="both"/>
        <w:rPr>
          <w:rFonts w:asciiTheme="minorHAnsi" w:hAnsiTheme="minorHAnsi" w:cstheme="minorHAnsi"/>
          <w:color w:val="000000" w:themeColor="text1"/>
          <w:sz w:val="16"/>
          <w:szCs w:val="16"/>
          <w:lang w:val="en-US"/>
        </w:rPr>
      </w:pP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66" w:tooltip="Nature reviews. Immunology." w:history="1">
        <w:r w:rsidR="008F6FFE" w:rsidRPr="00C06DB3">
          <w:rPr>
            <w:rStyle w:val="Hyperlink"/>
            <w:rFonts w:asciiTheme="minorHAnsi" w:eastAsiaTheme="majorEastAsia" w:hAnsiTheme="minorHAnsi" w:cstheme="minorHAnsi"/>
            <w:color w:val="000000" w:themeColor="text1"/>
            <w:sz w:val="16"/>
            <w:szCs w:val="16"/>
            <w:u w:val="none"/>
            <w:lang w:val="en-US"/>
          </w:rPr>
          <w:t>Nat Rev Immunol.</w:t>
        </w:r>
      </w:hyperlink>
      <w:r w:rsidR="008F6FFE" w:rsidRPr="00C06DB3">
        <w:rPr>
          <w:rStyle w:val="Hyperlink"/>
          <w:rFonts w:asciiTheme="minorHAnsi" w:eastAsiaTheme="majorEastAsia" w:hAnsiTheme="minorHAnsi" w:cstheme="minorHAnsi"/>
          <w:color w:val="000000" w:themeColor="text1"/>
          <w:sz w:val="16"/>
          <w:szCs w:val="16"/>
          <w:u w:val="none"/>
          <w:lang w:val="en-US"/>
        </w:rPr>
        <w:t xml:space="preserve"> 2020 Apr 6. doi: 10.1038/s41577-020-0305-6. </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In the eye of the COVID-19 cytokine storm.</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67" w:history="1">
        <w:r w:rsidR="008F6FFE" w:rsidRPr="00C06DB3">
          <w:rPr>
            <w:rStyle w:val="Hyperlink"/>
            <w:rFonts w:asciiTheme="minorHAnsi" w:eastAsiaTheme="majorEastAsia" w:hAnsiTheme="minorHAnsi" w:cstheme="minorHAnsi"/>
            <w:color w:val="000000" w:themeColor="text1"/>
            <w:sz w:val="16"/>
            <w:szCs w:val="16"/>
            <w:u w:val="none"/>
            <w:lang w:val="en-US"/>
          </w:rPr>
          <w:t>Vaninov N</w:t>
        </w:r>
      </w:hyperlink>
      <w:r w:rsidR="008F6FFE" w:rsidRPr="00C06DB3">
        <w:rPr>
          <w:rStyle w:val="Hyperlink"/>
          <w:rFonts w:asciiTheme="minorHAnsi" w:eastAsiaTheme="majorEastAsia" w:hAnsiTheme="minorHAnsi" w:cstheme="minorHAnsi"/>
          <w:color w:val="000000" w:themeColor="text1"/>
          <w:sz w:val="16"/>
          <w:szCs w:val="16"/>
          <w:u w:val="none"/>
          <w:lang w:val="en-US"/>
        </w:rPr>
        <w:t>1.</w:t>
      </w:r>
    </w:p>
    <w:p w:rsidR="008F6FFE" w:rsidRPr="00C06DB3" w:rsidRDefault="0052743C" w:rsidP="00C06DB3">
      <w:pPr>
        <w:rPr>
          <w:rFonts w:asciiTheme="minorHAnsi" w:hAnsiTheme="minorHAnsi" w:cstheme="minorHAnsi"/>
          <w:color w:val="000000" w:themeColor="text1"/>
          <w:sz w:val="16"/>
          <w:szCs w:val="16"/>
          <w:lang w:val="en-US"/>
        </w:rPr>
      </w:pPr>
      <w:hyperlink r:id="rId168" w:history="1">
        <w:r w:rsidR="008F6FFE" w:rsidRPr="00C06DB3">
          <w:rPr>
            <w:rFonts w:asciiTheme="minorHAnsi" w:hAnsiTheme="minorHAnsi" w:cstheme="minorHAnsi"/>
            <w:color w:val="000000" w:themeColor="text1"/>
            <w:sz w:val="16"/>
            <w:szCs w:val="16"/>
            <w:lang w:val="en-US"/>
          </w:rPr>
          <w:t>https://www.ncbi.nlm.nih.gov/pmc/articles/PMC7132547/pdf/41577_2020_Article_305.pdf</w:t>
        </w:r>
      </w:hyperlink>
    </w:p>
    <w:p w:rsidR="008F6FFE" w:rsidRPr="00C06DB3" w:rsidRDefault="008F6FFE" w:rsidP="00717D4D">
      <w:pPr>
        <w:shd w:val="clear" w:color="auto" w:fill="FFFFFF"/>
        <w:jc w:val="both"/>
        <w:rPr>
          <w:rFonts w:asciiTheme="minorHAnsi" w:hAnsiTheme="minorHAnsi" w:cstheme="minorHAnsi"/>
          <w:color w:val="000000" w:themeColor="text1"/>
          <w:sz w:val="16"/>
          <w:szCs w:val="16"/>
          <w:lang w:val="en-US"/>
        </w:rPr>
      </w:pP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69" w:tooltip="Arthritis &amp; rheumatology (Hoboken, N.J.)." w:history="1">
        <w:r w:rsidR="008F6FFE" w:rsidRPr="00C06DB3">
          <w:rPr>
            <w:rStyle w:val="Hyperlink"/>
            <w:rFonts w:asciiTheme="minorHAnsi" w:eastAsiaTheme="majorEastAsia" w:hAnsiTheme="minorHAnsi" w:cstheme="minorHAnsi"/>
            <w:color w:val="000000" w:themeColor="text1"/>
            <w:sz w:val="16"/>
            <w:szCs w:val="16"/>
            <w:u w:val="none"/>
            <w:lang w:val="en-US"/>
          </w:rPr>
          <w:t>Arthritis Rheumatol.</w:t>
        </w:r>
      </w:hyperlink>
      <w:r w:rsidR="008F6FFE" w:rsidRPr="00C06DB3">
        <w:rPr>
          <w:rStyle w:val="Hyperlink"/>
          <w:rFonts w:asciiTheme="minorHAnsi" w:eastAsiaTheme="majorEastAsia" w:hAnsiTheme="minorHAnsi" w:cstheme="minorHAnsi"/>
          <w:color w:val="000000" w:themeColor="text1"/>
          <w:sz w:val="16"/>
          <w:szCs w:val="16"/>
          <w:u w:val="none"/>
          <w:lang w:val="en-US"/>
        </w:rPr>
        <w:t xml:space="preserve"> 2020 Apr 15. doi: 10.1002/art.41285. </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On the alert for cytokine storm: Immunopathology in COVID-19.</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170" w:history="1">
        <w:r w:rsidR="008F6FFE" w:rsidRPr="00C06DB3">
          <w:rPr>
            <w:rStyle w:val="Hyperlink"/>
            <w:rFonts w:asciiTheme="minorHAnsi" w:eastAsiaTheme="majorEastAsia" w:hAnsiTheme="minorHAnsi" w:cstheme="minorHAnsi"/>
            <w:color w:val="000000" w:themeColor="text1"/>
            <w:sz w:val="16"/>
            <w:szCs w:val="16"/>
            <w:u w:val="none"/>
          </w:rPr>
          <w:t>Henderson LA</w:t>
        </w:r>
      </w:hyperlink>
      <w:r w:rsidR="008F6FFE" w:rsidRPr="00C06DB3">
        <w:rPr>
          <w:rStyle w:val="Hyperlink"/>
          <w:rFonts w:asciiTheme="minorHAnsi" w:eastAsiaTheme="majorEastAsia" w:hAnsiTheme="minorHAnsi" w:cstheme="minorHAnsi"/>
          <w:color w:val="000000" w:themeColor="text1"/>
          <w:sz w:val="16"/>
          <w:szCs w:val="16"/>
          <w:u w:val="none"/>
        </w:rPr>
        <w:t>1 et al</w:t>
      </w:r>
    </w:p>
    <w:p w:rsidR="008F6FFE" w:rsidRPr="00C06DB3" w:rsidRDefault="0052743C" w:rsidP="00C06DB3">
      <w:pPr>
        <w:rPr>
          <w:rFonts w:asciiTheme="minorHAnsi" w:hAnsiTheme="minorHAnsi" w:cstheme="minorHAnsi"/>
          <w:color w:val="000000" w:themeColor="text1"/>
          <w:sz w:val="16"/>
          <w:szCs w:val="16"/>
        </w:rPr>
      </w:pPr>
      <w:hyperlink r:id="rId171" w:history="1">
        <w:r w:rsidR="008F6FFE" w:rsidRPr="00C06DB3">
          <w:rPr>
            <w:rFonts w:asciiTheme="minorHAnsi" w:hAnsiTheme="minorHAnsi" w:cstheme="minorHAnsi"/>
            <w:color w:val="000000" w:themeColor="text1"/>
            <w:sz w:val="16"/>
            <w:szCs w:val="16"/>
          </w:rPr>
          <w:t>https://www.ncbi.nlm.nih.gov/pmc/articles/PMC7262347/pdf/ART-9999-na.pdf</w:t>
        </w:r>
      </w:hyperlink>
    </w:p>
    <w:p w:rsidR="008F6FFE" w:rsidRPr="00C06DB3" w:rsidRDefault="008F6FFE" w:rsidP="00717D4D">
      <w:pPr>
        <w:jc w:val="both"/>
        <w:rPr>
          <w:rFonts w:asciiTheme="minorHAnsi" w:hAnsiTheme="minorHAnsi" w:cstheme="minorHAnsi"/>
          <w:color w:val="000000" w:themeColor="text1"/>
          <w:sz w:val="16"/>
          <w:szCs w:val="16"/>
        </w:rPr>
      </w:pPr>
    </w:p>
    <w:p w:rsidR="008F6FFE" w:rsidRPr="00DC48B4"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72" w:tooltip="Microbiology and molecular biology reviews : MMBR." w:history="1">
        <w:r w:rsidR="008F6FFE" w:rsidRPr="00DC48B4">
          <w:rPr>
            <w:rStyle w:val="Hyperlink"/>
            <w:rFonts w:asciiTheme="minorHAnsi" w:eastAsiaTheme="majorEastAsia" w:hAnsiTheme="minorHAnsi" w:cstheme="minorHAnsi"/>
            <w:color w:val="000000" w:themeColor="text1"/>
            <w:sz w:val="16"/>
            <w:szCs w:val="16"/>
            <w:u w:val="none"/>
            <w:lang w:val="en-US"/>
          </w:rPr>
          <w:t>Microbiol Mol Biol Rev.</w:t>
        </w:r>
      </w:hyperlink>
      <w:r w:rsidR="008F6FFE" w:rsidRPr="00DC48B4">
        <w:rPr>
          <w:rStyle w:val="Hyperlink"/>
          <w:rFonts w:asciiTheme="minorHAnsi" w:eastAsiaTheme="majorEastAsia" w:hAnsiTheme="minorHAnsi" w:cstheme="minorHAnsi"/>
          <w:color w:val="000000" w:themeColor="text1"/>
          <w:sz w:val="16"/>
          <w:szCs w:val="16"/>
          <w:u w:val="none"/>
          <w:lang w:val="en-US"/>
        </w:rPr>
        <w:t> 2012 Mar;76(1):16-32. doi: 10.1128/MMBR.05015-11.</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Into the eye of the cytokine storm.</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73" w:history="1">
        <w:r w:rsidR="008F6FFE" w:rsidRPr="00C06DB3">
          <w:rPr>
            <w:rStyle w:val="Hyperlink"/>
            <w:rFonts w:asciiTheme="minorHAnsi" w:eastAsiaTheme="majorEastAsia" w:hAnsiTheme="minorHAnsi" w:cstheme="minorHAnsi"/>
            <w:color w:val="000000" w:themeColor="text1"/>
            <w:sz w:val="16"/>
            <w:szCs w:val="16"/>
            <w:u w:val="none"/>
            <w:lang w:val="en-US"/>
          </w:rPr>
          <w:t>Tisoncik JR</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174" w:history="1">
        <w:r w:rsidR="008F6FFE" w:rsidRPr="00C06DB3">
          <w:rPr>
            <w:rStyle w:val="Hyperlink"/>
            <w:rFonts w:asciiTheme="minorHAnsi" w:eastAsiaTheme="majorEastAsia" w:hAnsiTheme="minorHAnsi" w:cstheme="minorHAnsi"/>
            <w:color w:val="000000" w:themeColor="text1"/>
            <w:sz w:val="16"/>
            <w:szCs w:val="16"/>
            <w:u w:val="none"/>
            <w:lang w:val="en-US"/>
          </w:rPr>
          <w:t>Korth MJ</w:t>
        </w:r>
      </w:hyperlink>
      <w:r w:rsidR="008F6FFE" w:rsidRPr="00C06DB3">
        <w:rPr>
          <w:rStyle w:val="Hyperlink"/>
          <w:rFonts w:asciiTheme="minorHAnsi" w:eastAsiaTheme="majorEastAsia" w:hAnsiTheme="minorHAnsi" w:cstheme="minorHAnsi"/>
          <w:color w:val="000000" w:themeColor="text1"/>
          <w:sz w:val="16"/>
          <w:szCs w:val="16"/>
          <w:u w:val="none"/>
          <w:lang w:val="en-US"/>
        </w:rPr>
        <w:t>, </w:t>
      </w:r>
      <w:hyperlink r:id="rId175" w:history="1">
        <w:r w:rsidR="008F6FFE" w:rsidRPr="00C06DB3">
          <w:rPr>
            <w:rStyle w:val="Hyperlink"/>
            <w:rFonts w:asciiTheme="minorHAnsi" w:eastAsiaTheme="majorEastAsia" w:hAnsiTheme="minorHAnsi" w:cstheme="minorHAnsi"/>
            <w:color w:val="000000" w:themeColor="text1"/>
            <w:sz w:val="16"/>
            <w:szCs w:val="16"/>
            <w:u w:val="none"/>
            <w:lang w:val="en-US"/>
          </w:rPr>
          <w:t>Simmons CP</w:t>
        </w:r>
      </w:hyperlink>
      <w:r w:rsidR="008F6FFE" w:rsidRPr="00C06DB3">
        <w:rPr>
          <w:rStyle w:val="Hyperlink"/>
          <w:rFonts w:asciiTheme="minorHAnsi" w:eastAsiaTheme="majorEastAsia" w:hAnsiTheme="minorHAnsi" w:cstheme="minorHAnsi"/>
          <w:color w:val="000000" w:themeColor="text1"/>
          <w:sz w:val="16"/>
          <w:szCs w:val="16"/>
          <w:u w:val="none"/>
          <w:lang w:val="en-US"/>
        </w:rPr>
        <w:t>, </w:t>
      </w:r>
      <w:hyperlink r:id="rId176" w:history="1">
        <w:r w:rsidR="008F6FFE" w:rsidRPr="00C06DB3">
          <w:rPr>
            <w:rStyle w:val="Hyperlink"/>
            <w:rFonts w:asciiTheme="minorHAnsi" w:eastAsiaTheme="majorEastAsia" w:hAnsiTheme="minorHAnsi" w:cstheme="minorHAnsi"/>
            <w:color w:val="000000" w:themeColor="text1"/>
            <w:sz w:val="16"/>
            <w:szCs w:val="16"/>
            <w:u w:val="none"/>
            <w:lang w:val="en-US"/>
          </w:rPr>
          <w:t>Farrar J</w:t>
        </w:r>
      </w:hyperlink>
      <w:r w:rsidR="008F6FFE" w:rsidRPr="00C06DB3">
        <w:rPr>
          <w:rStyle w:val="Hyperlink"/>
          <w:rFonts w:asciiTheme="minorHAnsi" w:eastAsiaTheme="majorEastAsia" w:hAnsiTheme="minorHAnsi" w:cstheme="minorHAnsi"/>
          <w:color w:val="000000" w:themeColor="text1"/>
          <w:sz w:val="16"/>
          <w:szCs w:val="16"/>
          <w:u w:val="none"/>
          <w:lang w:val="en-US"/>
        </w:rPr>
        <w:t>, </w:t>
      </w:r>
      <w:hyperlink r:id="rId177" w:history="1">
        <w:r w:rsidR="008F6FFE" w:rsidRPr="00C06DB3">
          <w:rPr>
            <w:rStyle w:val="Hyperlink"/>
            <w:rFonts w:asciiTheme="minorHAnsi" w:eastAsiaTheme="majorEastAsia" w:hAnsiTheme="minorHAnsi" w:cstheme="minorHAnsi"/>
            <w:color w:val="000000" w:themeColor="text1"/>
            <w:sz w:val="16"/>
            <w:szCs w:val="16"/>
            <w:u w:val="none"/>
            <w:lang w:val="en-US"/>
          </w:rPr>
          <w:t>Martin TR</w:t>
        </w:r>
      </w:hyperlink>
      <w:r w:rsidR="008F6FFE" w:rsidRPr="00C06DB3">
        <w:rPr>
          <w:rStyle w:val="Hyperlink"/>
          <w:rFonts w:asciiTheme="minorHAnsi" w:eastAsiaTheme="majorEastAsia" w:hAnsiTheme="minorHAnsi" w:cstheme="minorHAnsi"/>
          <w:color w:val="000000" w:themeColor="text1"/>
          <w:sz w:val="16"/>
          <w:szCs w:val="16"/>
          <w:u w:val="none"/>
          <w:lang w:val="en-US"/>
        </w:rPr>
        <w:t>, </w:t>
      </w:r>
      <w:hyperlink r:id="rId178" w:history="1">
        <w:r w:rsidR="008F6FFE" w:rsidRPr="00C06DB3">
          <w:rPr>
            <w:rStyle w:val="Hyperlink"/>
            <w:rFonts w:asciiTheme="minorHAnsi" w:eastAsiaTheme="majorEastAsia" w:hAnsiTheme="minorHAnsi" w:cstheme="minorHAnsi"/>
            <w:color w:val="000000" w:themeColor="text1"/>
            <w:sz w:val="16"/>
            <w:szCs w:val="16"/>
            <w:u w:val="none"/>
            <w:lang w:val="en-US"/>
          </w:rPr>
          <w:t>Katze MG</w:t>
        </w:r>
      </w:hyperlink>
      <w:r w:rsidR="008F6FFE" w:rsidRPr="00C06DB3">
        <w:rPr>
          <w:rStyle w:val="Hyperlink"/>
          <w:rFonts w:asciiTheme="minorHAnsi" w:eastAsiaTheme="majorEastAsia" w:hAnsiTheme="minorHAnsi" w:cstheme="minorHAnsi"/>
          <w:color w:val="000000" w:themeColor="text1"/>
          <w:sz w:val="16"/>
          <w:szCs w:val="16"/>
          <w:u w:val="none"/>
          <w:lang w:val="en-US"/>
        </w:rPr>
        <w:t>.</w:t>
      </w:r>
    </w:p>
    <w:p w:rsidR="008F6FFE" w:rsidRPr="00C06DB3" w:rsidRDefault="0052743C" w:rsidP="00C06DB3">
      <w:pPr>
        <w:rPr>
          <w:rFonts w:asciiTheme="minorHAnsi" w:hAnsiTheme="minorHAnsi" w:cstheme="minorHAnsi"/>
          <w:color w:val="000000" w:themeColor="text1"/>
          <w:sz w:val="16"/>
          <w:szCs w:val="16"/>
          <w:lang w:val="en-US"/>
        </w:rPr>
      </w:pPr>
      <w:hyperlink r:id="rId179" w:history="1">
        <w:r w:rsidR="008F6FFE" w:rsidRPr="00C06DB3">
          <w:rPr>
            <w:rFonts w:asciiTheme="minorHAnsi" w:hAnsiTheme="minorHAnsi" w:cstheme="minorHAnsi"/>
            <w:color w:val="000000" w:themeColor="text1"/>
            <w:sz w:val="16"/>
            <w:szCs w:val="16"/>
            <w:lang w:val="en-US"/>
          </w:rPr>
          <w:t>https://www.ncbi.nlm.nih.gov/pmc/articles/PMC3294426/pdf/zmr16.pdf</w:t>
        </w:r>
      </w:hyperlink>
    </w:p>
    <w:p w:rsidR="008F6FFE" w:rsidRPr="00C06DB3" w:rsidRDefault="008F6FFE" w:rsidP="00717D4D">
      <w:pPr>
        <w:jc w:val="both"/>
        <w:rPr>
          <w:rFonts w:asciiTheme="minorHAnsi" w:hAnsiTheme="minorHAnsi" w:cstheme="minorHAnsi"/>
          <w:color w:val="000000" w:themeColor="text1"/>
          <w:sz w:val="16"/>
          <w:szCs w:val="16"/>
          <w:lang w:val="en-US"/>
        </w:rPr>
      </w:pP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80" w:tooltip="Science (New York, N.Y.)." w:history="1">
        <w:r w:rsidR="008F6FFE" w:rsidRPr="00C06DB3">
          <w:rPr>
            <w:rStyle w:val="Hyperlink"/>
            <w:rFonts w:asciiTheme="minorHAnsi" w:eastAsiaTheme="majorEastAsia" w:hAnsiTheme="minorHAnsi" w:cstheme="minorHAnsi"/>
            <w:color w:val="000000" w:themeColor="text1"/>
            <w:sz w:val="16"/>
            <w:szCs w:val="16"/>
            <w:u w:val="none"/>
            <w:lang w:val="en-US"/>
          </w:rPr>
          <w:t>Science.</w:t>
        </w:r>
      </w:hyperlink>
      <w:r w:rsidR="008F6FFE" w:rsidRPr="00C06DB3">
        <w:rPr>
          <w:rStyle w:val="Hyperlink"/>
          <w:rFonts w:asciiTheme="minorHAnsi" w:eastAsiaTheme="majorEastAsia" w:hAnsiTheme="minorHAnsi" w:cstheme="minorHAnsi"/>
          <w:color w:val="000000" w:themeColor="text1"/>
          <w:sz w:val="16"/>
          <w:szCs w:val="16"/>
          <w:u w:val="none"/>
          <w:lang w:val="en-US"/>
        </w:rPr>
        <w:t xml:space="preserve"> 2020 Apr 17. pii: eabb8925. doi: 10.1126/science.abb8925. </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Cytokine release syndrome in severe COVID-19.</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81" w:history="1">
        <w:r w:rsidR="008F6FFE" w:rsidRPr="00C06DB3">
          <w:rPr>
            <w:rStyle w:val="Hyperlink"/>
            <w:rFonts w:asciiTheme="minorHAnsi" w:eastAsiaTheme="majorEastAsia" w:hAnsiTheme="minorHAnsi" w:cstheme="minorHAnsi"/>
            <w:color w:val="000000" w:themeColor="text1"/>
            <w:sz w:val="16"/>
            <w:szCs w:val="16"/>
            <w:u w:val="none"/>
            <w:lang w:val="en-US"/>
          </w:rPr>
          <w:t>Moore BJB</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182" w:history="1">
        <w:r w:rsidR="008F6FFE" w:rsidRPr="00C06DB3">
          <w:rPr>
            <w:rStyle w:val="Hyperlink"/>
            <w:rFonts w:asciiTheme="minorHAnsi" w:eastAsiaTheme="majorEastAsia" w:hAnsiTheme="minorHAnsi" w:cstheme="minorHAnsi"/>
            <w:color w:val="000000" w:themeColor="text1"/>
            <w:sz w:val="16"/>
            <w:szCs w:val="16"/>
            <w:u w:val="none"/>
            <w:lang w:val="en-US"/>
          </w:rPr>
          <w:t>June CH</w:t>
        </w:r>
      </w:hyperlink>
      <w:r w:rsidR="008F6FFE" w:rsidRPr="00C06DB3">
        <w:rPr>
          <w:rStyle w:val="Hyperlink"/>
          <w:rFonts w:asciiTheme="minorHAnsi" w:eastAsiaTheme="majorEastAsia" w:hAnsiTheme="minorHAnsi" w:cstheme="minorHAnsi"/>
          <w:color w:val="000000" w:themeColor="text1"/>
          <w:sz w:val="16"/>
          <w:szCs w:val="16"/>
          <w:u w:val="none"/>
          <w:lang w:val="en-US"/>
        </w:rPr>
        <w:t>1.</w:t>
      </w:r>
    </w:p>
    <w:p w:rsidR="008F6FFE" w:rsidRPr="00C06DB3" w:rsidRDefault="0052743C" w:rsidP="00C06DB3">
      <w:pPr>
        <w:rPr>
          <w:rFonts w:asciiTheme="minorHAnsi" w:hAnsiTheme="minorHAnsi" w:cstheme="minorHAnsi"/>
          <w:color w:val="000000" w:themeColor="text1"/>
          <w:sz w:val="16"/>
          <w:szCs w:val="16"/>
          <w:lang w:val="en-US"/>
        </w:rPr>
      </w:pPr>
      <w:hyperlink r:id="rId183" w:history="1">
        <w:r w:rsidR="008F6FFE" w:rsidRPr="00C06DB3">
          <w:rPr>
            <w:rFonts w:asciiTheme="minorHAnsi" w:hAnsiTheme="minorHAnsi" w:cstheme="minorHAnsi"/>
            <w:color w:val="000000" w:themeColor="text1"/>
            <w:sz w:val="16"/>
            <w:szCs w:val="16"/>
            <w:lang w:val="en-US"/>
          </w:rPr>
          <w:t>https://science.sciencemag.org/content/368/6490/473/tab-pdf</w:t>
        </w:r>
      </w:hyperlink>
    </w:p>
    <w:p w:rsidR="008F6FFE" w:rsidRPr="00C06DB3" w:rsidRDefault="008F6FFE" w:rsidP="00717D4D">
      <w:pPr>
        <w:jc w:val="both"/>
        <w:rPr>
          <w:rFonts w:asciiTheme="minorHAnsi" w:hAnsiTheme="minorHAnsi" w:cstheme="minorHAnsi"/>
          <w:color w:val="000000" w:themeColor="text1"/>
          <w:sz w:val="16"/>
          <w:szCs w:val="16"/>
          <w:lang w:val="en-US"/>
        </w:rPr>
      </w:pP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84" w:tooltip="Journal of thrombosis and haemostasis : JTH." w:history="1">
        <w:r w:rsidR="008F6FFE" w:rsidRPr="00C06DB3">
          <w:rPr>
            <w:rStyle w:val="Hyperlink"/>
            <w:rFonts w:asciiTheme="minorHAnsi" w:eastAsiaTheme="majorEastAsia" w:hAnsiTheme="minorHAnsi" w:cstheme="minorHAnsi"/>
            <w:color w:val="000000" w:themeColor="text1"/>
            <w:sz w:val="16"/>
            <w:szCs w:val="16"/>
            <w:u w:val="none"/>
            <w:lang w:val="en-US"/>
          </w:rPr>
          <w:t>J Thromb Haemost.</w:t>
        </w:r>
      </w:hyperlink>
      <w:r w:rsidR="008F6FFE" w:rsidRPr="00C06DB3">
        <w:rPr>
          <w:rStyle w:val="Hyperlink"/>
          <w:rFonts w:asciiTheme="minorHAnsi" w:eastAsiaTheme="majorEastAsia" w:hAnsiTheme="minorHAnsi" w:cstheme="minorHAnsi"/>
          <w:color w:val="000000" w:themeColor="text1"/>
          <w:sz w:val="16"/>
          <w:szCs w:val="16"/>
          <w:u w:val="none"/>
          <w:lang w:val="en-US"/>
        </w:rPr>
        <w:t xml:space="preserve"> 2020 Apr 15. doi: 10.1111/jth.14844. </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Pathological evidence of pulmonary thrombotic phenomena in severe COVID-19.</w:t>
      </w:r>
    </w:p>
    <w:p w:rsidR="008F6FFE" w:rsidRPr="00235A16"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hyperlink r:id="rId185" w:history="1">
        <w:r w:rsidR="008F6FFE" w:rsidRPr="00235A16">
          <w:rPr>
            <w:rStyle w:val="Hyperlink"/>
            <w:rFonts w:asciiTheme="minorHAnsi" w:eastAsiaTheme="majorEastAsia" w:hAnsiTheme="minorHAnsi" w:cstheme="minorHAnsi"/>
            <w:color w:val="000000" w:themeColor="text1"/>
            <w:sz w:val="16"/>
            <w:szCs w:val="16"/>
            <w:u w:val="none"/>
            <w:lang w:val="de-DE"/>
          </w:rPr>
          <w:t>Dolhnikoff M</w:t>
        </w:r>
      </w:hyperlink>
      <w:r w:rsidR="008F6FFE" w:rsidRPr="00235A16">
        <w:rPr>
          <w:rStyle w:val="Hyperlink"/>
          <w:rFonts w:asciiTheme="minorHAnsi" w:eastAsiaTheme="majorEastAsia" w:hAnsiTheme="minorHAnsi" w:cstheme="minorHAnsi"/>
          <w:color w:val="000000" w:themeColor="text1"/>
          <w:sz w:val="16"/>
          <w:szCs w:val="16"/>
          <w:u w:val="none"/>
          <w:lang w:val="de-DE"/>
        </w:rPr>
        <w:t xml:space="preserve"> et al</w:t>
      </w:r>
    </w:p>
    <w:p w:rsidR="008F6FFE" w:rsidRPr="00235A16" w:rsidRDefault="0052743C" w:rsidP="00C06DB3">
      <w:pPr>
        <w:rPr>
          <w:rFonts w:asciiTheme="minorHAnsi" w:hAnsiTheme="minorHAnsi" w:cstheme="minorHAnsi"/>
          <w:color w:val="000000" w:themeColor="text1"/>
          <w:sz w:val="16"/>
          <w:szCs w:val="16"/>
          <w:lang w:val="de-DE"/>
        </w:rPr>
      </w:pPr>
      <w:hyperlink r:id="rId186" w:history="1">
        <w:r w:rsidR="008F6FFE" w:rsidRPr="00235A16">
          <w:rPr>
            <w:rStyle w:val="Hyperlink"/>
            <w:rFonts w:asciiTheme="minorHAnsi" w:eastAsiaTheme="majorEastAsia" w:hAnsiTheme="minorHAnsi" w:cstheme="minorHAnsi"/>
            <w:color w:val="000000" w:themeColor="text1"/>
            <w:sz w:val="16"/>
            <w:szCs w:val="16"/>
            <w:u w:val="none"/>
            <w:lang w:val="de-DE"/>
          </w:rPr>
          <w:t>https://www.ncbi.nlm.nih.gov/pmc/articles/PMC7262093/pdf/JTH-9999-na.pdf</w:t>
        </w:r>
      </w:hyperlink>
    </w:p>
    <w:p w:rsidR="008F6FFE" w:rsidRPr="00235A16" w:rsidRDefault="008F6FFE" w:rsidP="00717D4D">
      <w:pPr>
        <w:jc w:val="both"/>
        <w:rPr>
          <w:rFonts w:asciiTheme="minorHAnsi" w:hAnsiTheme="minorHAnsi" w:cstheme="minorHAnsi"/>
          <w:color w:val="000000" w:themeColor="text1"/>
          <w:sz w:val="16"/>
          <w:szCs w:val="16"/>
          <w:lang w:val="de-DE"/>
        </w:rPr>
      </w:pP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87" w:tooltip="Journal of medical virology." w:history="1">
        <w:r w:rsidR="008F6FFE" w:rsidRPr="00C06DB3">
          <w:rPr>
            <w:rStyle w:val="Hyperlink"/>
            <w:rFonts w:asciiTheme="minorHAnsi" w:eastAsiaTheme="majorEastAsia" w:hAnsiTheme="minorHAnsi" w:cstheme="minorHAnsi"/>
            <w:color w:val="000000" w:themeColor="text1"/>
            <w:sz w:val="16"/>
            <w:szCs w:val="16"/>
            <w:u w:val="none"/>
            <w:lang w:val="en-US"/>
          </w:rPr>
          <w:t>J Med Virol.</w:t>
        </w:r>
      </w:hyperlink>
      <w:r w:rsidR="008F6FFE" w:rsidRPr="00C06DB3">
        <w:rPr>
          <w:rStyle w:val="Hyperlink"/>
          <w:rFonts w:asciiTheme="minorHAnsi" w:eastAsiaTheme="majorEastAsia" w:hAnsiTheme="minorHAnsi" w:cstheme="minorHAnsi"/>
          <w:color w:val="000000" w:themeColor="text1"/>
          <w:sz w:val="16"/>
          <w:szCs w:val="16"/>
          <w:u w:val="none"/>
          <w:lang w:val="en-US"/>
        </w:rPr>
        <w:t xml:space="preserve"> 2020 Apr 16. doi: 10.1002/jmv.25900. </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High IL-6/IFN-γ ratio could be associated with severe disease in COVID-19 patients.</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188" w:history="1">
        <w:r w:rsidR="008F6FFE" w:rsidRPr="00C06DB3">
          <w:rPr>
            <w:rStyle w:val="Hyperlink"/>
            <w:rFonts w:asciiTheme="minorHAnsi" w:eastAsiaTheme="majorEastAsia" w:hAnsiTheme="minorHAnsi" w:cstheme="minorHAnsi"/>
            <w:color w:val="000000" w:themeColor="text1"/>
            <w:sz w:val="16"/>
            <w:szCs w:val="16"/>
            <w:u w:val="none"/>
          </w:rPr>
          <w:t>Lagunas-Rangel FA</w:t>
        </w:r>
      </w:hyperlink>
      <w:r w:rsidR="008F6FFE" w:rsidRPr="00C06DB3">
        <w:rPr>
          <w:rStyle w:val="Hyperlink"/>
          <w:rFonts w:asciiTheme="minorHAnsi" w:eastAsiaTheme="majorEastAsia" w:hAnsiTheme="minorHAnsi" w:cstheme="minorHAnsi"/>
          <w:color w:val="000000" w:themeColor="text1"/>
          <w:sz w:val="16"/>
          <w:szCs w:val="16"/>
          <w:u w:val="none"/>
        </w:rPr>
        <w:t>1, </w:t>
      </w:r>
      <w:hyperlink r:id="rId189" w:history="1">
        <w:r w:rsidR="008F6FFE" w:rsidRPr="00C06DB3">
          <w:rPr>
            <w:rStyle w:val="Hyperlink"/>
            <w:rFonts w:asciiTheme="minorHAnsi" w:eastAsiaTheme="majorEastAsia" w:hAnsiTheme="minorHAnsi" w:cstheme="minorHAnsi"/>
            <w:color w:val="000000" w:themeColor="text1"/>
            <w:sz w:val="16"/>
            <w:szCs w:val="16"/>
            <w:u w:val="none"/>
          </w:rPr>
          <w:t>Chávez-Valencia V</w:t>
        </w:r>
      </w:hyperlink>
      <w:r w:rsidR="008F6FFE" w:rsidRPr="00C06DB3">
        <w:rPr>
          <w:rStyle w:val="Hyperlink"/>
          <w:rFonts w:asciiTheme="minorHAnsi" w:eastAsiaTheme="majorEastAsia" w:hAnsiTheme="minorHAnsi" w:cstheme="minorHAnsi"/>
          <w:color w:val="000000" w:themeColor="text1"/>
          <w:sz w:val="16"/>
          <w:szCs w:val="16"/>
          <w:u w:val="none"/>
        </w:rPr>
        <w:t>2.</w:t>
      </w:r>
    </w:p>
    <w:p w:rsidR="008F6FFE" w:rsidRPr="00C06DB3" w:rsidRDefault="0052743C" w:rsidP="00C06DB3">
      <w:pPr>
        <w:rPr>
          <w:rFonts w:asciiTheme="minorHAnsi" w:hAnsiTheme="minorHAnsi" w:cstheme="minorHAnsi"/>
          <w:color w:val="000000" w:themeColor="text1"/>
          <w:sz w:val="16"/>
          <w:szCs w:val="16"/>
        </w:rPr>
      </w:pPr>
      <w:hyperlink r:id="rId190" w:history="1">
        <w:r w:rsidR="008F6FFE" w:rsidRPr="00C06DB3">
          <w:rPr>
            <w:rFonts w:asciiTheme="minorHAnsi" w:hAnsiTheme="minorHAnsi" w:cstheme="minorHAnsi"/>
            <w:color w:val="000000" w:themeColor="text1"/>
            <w:sz w:val="16"/>
            <w:szCs w:val="16"/>
          </w:rPr>
          <w:t>https://www.ncbi.nlm.nih.gov/pmc/articles/PMC7262117/pdf/JMV-9999-na.pdf</w:t>
        </w:r>
      </w:hyperlink>
    </w:p>
    <w:p w:rsidR="008F6FFE" w:rsidRPr="00C06DB3" w:rsidRDefault="008F6FFE" w:rsidP="00717D4D">
      <w:pPr>
        <w:jc w:val="both"/>
        <w:rPr>
          <w:rFonts w:asciiTheme="minorHAnsi" w:hAnsiTheme="minorHAnsi" w:cstheme="minorHAnsi"/>
          <w:color w:val="000000" w:themeColor="text1"/>
          <w:sz w:val="16"/>
          <w:szCs w:val="16"/>
        </w:rPr>
      </w:pP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91" w:tooltip="Cell death and differentiation." w:history="1">
        <w:r w:rsidR="008F6FFE" w:rsidRPr="00C06DB3">
          <w:rPr>
            <w:rStyle w:val="Hyperlink"/>
            <w:rFonts w:asciiTheme="minorHAnsi" w:eastAsiaTheme="majorEastAsia" w:hAnsiTheme="minorHAnsi" w:cstheme="minorHAnsi"/>
            <w:color w:val="000000" w:themeColor="text1"/>
            <w:sz w:val="16"/>
            <w:szCs w:val="16"/>
            <w:u w:val="none"/>
            <w:lang w:val="en-US"/>
          </w:rPr>
          <w:t>Cell Death Differ.</w:t>
        </w:r>
      </w:hyperlink>
      <w:r w:rsidR="008F6FFE" w:rsidRPr="00C06DB3">
        <w:rPr>
          <w:rStyle w:val="Hyperlink"/>
          <w:rFonts w:asciiTheme="minorHAnsi" w:eastAsiaTheme="majorEastAsia" w:hAnsiTheme="minorHAnsi" w:cstheme="minorHAnsi"/>
          <w:color w:val="000000" w:themeColor="text1"/>
          <w:sz w:val="16"/>
          <w:szCs w:val="16"/>
          <w:u w:val="none"/>
          <w:lang w:val="en-US"/>
        </w:rPr>
        <w:t xml:space="preserve"> 2020 Mar 23. doi: 10.1038/s41418-020-0530-3. </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COVID-19 infection: the perspectives on immune responses.</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192" w:history="1">
        <w:r w:rsidR="008F6FFE" w:rsidRPr="00C06DB3">
          <w:rPr>
            <w:rStyle w:val="Hyperlink"/>
            <w:rFonts w:asciiTheme="minorHAnsi" w:eastAsiaTheme="majorEastAsia" w:hAnsiTheme="minorHAnsi" w:cstheme="minorHAnsi"/>
            <w:color w:val="000000" w:themeColor="text1"/>
            <w:sz w:val="16"/>
            <w:szCs w:val="16"/>
            <w:u w:val="none"/>
            <w:lang w:val="en-US"/>
          </w:rPr>
          <w:t>Shi Y</w:t>
        </w:r>
      </w:hyperlink>
      <w:r w:rsidR="008F6FFE" w:rsidRPr="00C06DB3">
        <w:rPr>
          <w:rStyle w:val="Hyperlink"/>
          <w:rFonts w:asciiTheme="minorHAnsi" w:eastAsiaTheme="majorEastAsia" w:hAnsiTheme="minorHAnsi" w:cstheme="minorHAnsi"/>
          <w:color w:val="000000" w:themeColor="text1"/>
          <w:sz w:val="16"/>
          <w:szCs w:val="16"/>
          <w:u w:val="none"/>
          <w:lang w:val="en-US"/>
        </w:rPr>
        <w:t>1,2, </w:t>
      </w:r>
      <w:hyperlink r:id="rId193" w:history="1">
        <w:r w:rsidR="008F6FFE" w:rsidRPr="00C06DB3">
          <w:rPr>
            <w:rStyle w:val="Hyperlink"/>
            <w:rFonts w:asciiTheme="minorHAnsi" w:eastAsiaTheme="majorEastAsia" w:hAnsiTheme="minorHAnsi" w:cstheme="minorHAnsi"/>
            <w:color w:val="000000" w:themeColor="text1"/>
            <w:sz w:val="16"/>
            <w:szCs w:val="16"/>
            <w:u w:val="none"/>
            <w:lang w:val="en-US"/>
          </w:rPr>
          <w:t>Wang Y</w:t>
        </w:r>
      </w:hyperlink>
      <w:r w:rsidR="008F6FFE" w:rsidRPr="00C06DB3">
        <w:rPr>
          <w:rStyle w:val="Hyperlink"/>
          <w:rFonts w:asciiTheme="minorHAnsi" w:eastAsiaTheme="majorEastAsia" w:hAnsiTheme="minorHAnsi" w:cstheme="minorHAnsi"/>
          <w:color w:val="000000" w:themeColor="text1"/>
          <w:sz w:val="16"/>
          <w:szCs w:val="16"/>
          <w:u w:val="none"/>
          <w:lang w:val="en-US"/>
        </w:rPr>
        <w:t>3, </w:t>
      </w:r>
      <w:hyperlink r:id="rId194" w:history="1">
        <w:r w:rsidR="008F6FFE" w:rsidRPr="00C06DB3">
          <w:rPr>
            <w:rStyle w:val="Hyperlink"/>
            <w:rFonts w:asciiTheme="minorHAnsi" w:eastAsiaTheme="majorEastAsia" w:hAnsiTheme="minorHAnsi" w:cstheme="minorHAnsi"/>
            <w:color w:val="000000" w:themeColor="text1"/>
            <w:sz w:val="16"/>
            <w:szCs w:val="16"/>
            <w:u w:val="none"/>
            <w:lang w:val="en-US"/>
          </w:rPr>
          <w:t>Shao C</w:t>
        </w:r>
      </w:hyperlink>
      <w:r w:rsidR="008F6FFE" w:rsidRPr="00C06DB3">
        <w:rPr>
          <w:rStyle w:val="Hyperlink"/>
          <w:rFonts w:asciiTheme="minorHAnsi" w:eastAsiaTheme="majorEastAsia" w:hAnsiTheme="minorHAnsi" w:cstheme="minorHAnsi"/>
          <w:color w:val="000000" w:themeColor="text1"/>
          <w:sz w:val="16"/>
          <w:szCs w:val="16"/>
          <w:u w:val="none"/>
          <w:lang w:val="en-US"/>
        </w:rPr>
        <w:t>4, </w:t>
      </w:r>
      <w:hyperlink r:id="rId195" w:history="1">
        <w:r w:rsidR="008F6FFE" w:rsidRPr="00C06DB3">
          <w:rPr>
            <w:rStyle w:val="Hyperlink"/>
            <w:rFonts w:asciiTheme="minorHAnsi" w:eastAsiaTheme="majorEastAsia" w:hAnsiTheme="minorHAnsi" w:cstheme="minorHAnsi"/>
            <w:color w:val="000000" w:themeColor="text1"/>
            <w:sz w:val="16"/>
            <w:szCs w:val="16"/>
            <w:u w:val="none"/>
            <w:lang w:val="en-US"/>
          </w:rPr>
          <w:t>Huang J</w:t>
        </w:r>
      </w:hyperlink>
      <w:r w:rsidR="008F6FFE" w:rsidRPr="00C06DB3">
        <w:rPr>
          <w:rStyle w:val="Hyperlink"/>
          <w:rFonts w:asciiTheme="minorHAnsi" w:eastAsiaTheme="majorEastAsia" w:hAnsiTheme="minorHAnsi" w:cstheme="minorHAnsi"/>
          <w:color w:val="000000" w:themeColor="text1"/>
          <w:sz w:val="16"/>
          <w:szCs w:val="16"/>
          <w:u w:val="none"/>
          <w:lang w:val="en-US"/>
        </w:rPr>
        <w:t>4, </w:t>
      </w:r>
      <w:hyperlink r:id="rId196" w:history="1">
        <w:r w:rsidR="008F6FFE" w:rsidRPr="00C06DB3">
          <w:rPr>
            <w:rStyle w:val="Hyperlink"/>
            <w:rFonts w:asciiTheme="minorHAnsi" w:eastAsiaTheme="majorEastAsia" w:hAnsiTheme="minorHAnsi" w:cstheme="minorHAnsi"/>
            <w:color w:val="000000" w:themeColor="text1"/>
            <w:sz w:val="16"/>
            <w:szCs w:val="16"/>
            <w:u w:val="none"/>
            <w:lang w:val="en-US"/>
          </w:rPr>
          <w:t>Gan J</w:t>
        </w:r>
      </w:hyperlink>
      <w:r w:rsidR="008F6FFE" w:rsidRPr="00C06DB3">
        <w:rPr>
          <w:rStyle w:val="Hyperlink"/>
          <w:rFonts w:asciiTheme="minorHAnsi" w:eastAsiaTheme="majorEastAsia" w:hAnsiTheme="minorHAnsi" w:cstheme="minorHAnsi"/>
          <w:color w:val="000000" w:themeColor="text1"/>
          <w:sz w:val="16"/>
          <w:szCs w:val="16"/>
          <w:u w:val="none"/>
          <w:lang w:val="en-US"/>
        </w:rPr>
        <w:t>4, </w:t>
      </w:r>
      <w:hyperlink r:id="rId197" w:history="1">
        <w:r w:rsidR="008F6FFE" w:rsidRPr="00C06DB3">
          <w:rPr>
            <w:rStyle w:val="Hyperlink"/>
            <w:rFonts w:asciiTheme="minorHAnsi" w:eastAsiaTheme="majorEastAsia" w:hAnsiTheme="minorHAnsi" w:cstheme="minorHAnsi"/>
            <w:color w:val="000000" w:themeColor="text1"/>
            <w:sz w:val="16"/>
            <w:szCs w:val="16"/>
            <w:u w:val="none"/>
            <w:lang w:val="en-US"/>
          </w:rPr>
          <w:t>Huang X</w:t>
        </w:r>
      </w:hyperlink>
      <w:r w:rsidR="008F6FFE" w:rsidRPr="00C06DB3">
        <w:rPr>
          <w:rStyle w:val="Hyperlink"/>
          <w:rFonts w:asciiTheme="minorHAnsi" w:eastAsiaTheme="majorEastAsia" w:hAnsiTheme="minorHAnsi" w:cstheme="minorHAnsi"/>
          <w:color w:val="000000" w:themeColor="text1"/>
          <w:sz w:val="16"/>
          <w:szCs w:val="16"/>
          <w:u w:val="none"/>
          <w:lang w:val="en-US"/>
        </w:rPr>
        <w:t>4, </w:t>
      </w:r>
      <w:hyperlink r:id="rId198" w:history="1">
        <w:r w:rsidR="008F6FFE" w:rsidRPr="00C06DB3">
          <w:rPr>
            <w:rStyle w:val="Hyperlink"/>
            <w:rFonts w:asciiTheme="minorHAnsi" w:eastAsiaTheme="majorEastAsia" w:hAnsiTheme="minorHAnsi" w:cstheme="minorHAnsi"/>
            <w:color w:val="000000" w:themeColor="text1"/>
            <w:sz w:val="16"/>
            <w:szCs w:val="16"/>
            <w:u w:val="none"/>
            <w:lang w:val="en-US"/>
          </w:rPr>
          <w:t>Bucci E</w:t>
        </w:r>
      </w:hyperlink>
      <w:r w:rsidR="008F6FFE" w:rsidRPr="00C06DB3">
        <w:rPr>
          <w:rStyle w:val="Hyperlink"/>
          <w:rFonts w:asciiTheme="minorHAnsi" w:eastAsiaTheme="majorEastAsia" w:hAnsiTheme="minorHAnsi" w:cstheme="minorHAnsi"/>
          <w:color w:val="000000" w:themeColor="text1"/>
          <w:sz w:val="16"/>
          <w:szCs w:val="16"/>
          <w:u w:val="none"/>
          <w:lang w:val="en-US"/>
        </w:rPr>
        <w:t>5,6, </w:t>
      </w:r>
      <w:hyperlink r:id="rId199" w:history="1">
        <w:r w:rsidR="008F6FFE" w:rsidRPr="00C06DB3">
          <w:rPr>
            <w:rStyle w:val="Hyperlink"/>
            <w:rFonts w:asciiTheme="minorHAnsi" w:eastAsiaTheme="majorEastAsia" w:hAnsiTheme="minorHAnsi" w:cstheme="minorHAnsi"/>
            <w:color w:val="000000" w:themeColor="text1"/>
            <w:sz w:val="16"/>
            <w:szCs w:val="16"/>
            <w:u w:val="none"/>
            <w:lang w:val="en-US"/>
          </w:rPr>
          <w:t>Piacentini M</w:t>
        </w:r>
      </w:hyperlink>
      <w:r w:rsidR="008F6FFE" w:rsidRPr="00C06DB3">
        <w:rPr>
          <w:rStyle w:val="Hyperlink"/>
          <w:rFonts w:asciiTheme="minorHAnsi" w:eastAsiaTheme="majorEastAsia" w:hAnsiTheme="minorHAnsi" w:cstheme="minorHAnsi"/>
          <w:color w:val="000000" w:themeColor="text1"/>
          <w:sz w:val="16"/>
          <w:szCs w:val="16"/>
          <w:u w:val="none"/>
          <w:lang w:val="en-US"/>
        </w:rPr>
        <w:t>7, </w:t>
      </w:r>
      <w:hyperlink r:id="rId200" w:history="1">
        <w:r w:rsidR="008F6FFE" w:rsidRPr="00C06DB3">
          <w:rPr>
            <w:rStyle w:val="Hyperlink"/>
            <w:rFonts w:asciiTheme="minorHAnsi" w:eastAsiaTheme="majorEastAsia" w:hAnsiTheme="minorHAnsi" w:cstheme="minorHAnsi"/>
            <w:color w:val="000000" w:themeColor="text1"/>
            <w:sz w:val="16"/>
            <w:szCs w:val="16"/>
            <w:u w:val="none"/>
            <w:lang w:val="en-US"/>
          </w:rPr>
          <w:t>Ippolito G</w:t>
        </w:r>
      </w:hyperlink>
      <w:r w:rsidR="008F6FFE" w:rsidRPr="00C06DB3">
        <w:rPr>
          <w:rStyle w:val="Hyperlink"/>
          <w:rFonts w:asciiTheme="minorHAnsi" w:eastAsiaTheme="majorEastAsia" w:hAnsiTheme="minorHAnsi" w:cstheme="minorHAnsi"/>
          <w:color w:val="000000" w:themeColor="text1"/>
          <w:sz w:val="16"/>
          <w:szCs w:val="16"/>
          <w:u w:val="none"/>
          <w:lang w:val="en-US"/>
        </w:rPr>
        <w:t>7, </w:t>
      </w:r>
      <w:hyperlink r:id="rId201" w:history="1">
        <w:r w:rsidR="008F6FFE" w:rsidRPr="00C06DB3">
          <w:rPr>
            <w:rStyle w:val="Hyperlink"/>
            <w:rFonts w:asciiTheme="minorHAnsi" w:eastAsiaTheme="majorEastAsia" w:hAnsiTheme="minorHAnsi" w:cstheme="minorHAnsi"/>
            <w:color w:val="000000" w:themeColor="text1"/>
            <w:sz w:val="16"/>
            <w:szCs w:val="16"/>
            <w:u w:val="none"/>
            <w:lang w:val="en-US"/>
          </w:rPr>
          <w:t>Melino G</w:t>
        </w:r>
      </w:hyperlink>
      <w:r w:rsidR="008F6FFE" w:rsidRPr="00C06DB3">
        <w:rPr>
          <w:rStyle w:val="Hyperlink"/>
          <w:rFonts w:asciiTheme="minorHAnsi" w:eastAsiaTheme="majorEastAsia" w:hAnsiTheme="minorHAnsi" w:cstheme="minorHAnsi"/>
          <w:color w:val="000000" w:themeColor="text1"/>
          <w:sz w:val="16"/>
          <w:szCs w:val="16"/>
          <w:u w:val="none"/>
          <w:lang w:val="en-US"/>
        </w:rPr>
        <w:t>8,9.</w:t>
      </w:r>
    </w:p>
    <w:p w:rsidR="008F6FFE" w:rsidRPr="00C06DB3" w:rsidRDefault="0052743C" w:rsidP="00C06DB3">
      <w:pPr>
        <w:rPr>
          <w:rFonts w:asciiTheme="minorHAnsi" w:hAnsiTheme="minorHAnsi" w:cstheme="minorHAnsi"/>
          <w:color w:val="000000" w:themeColor="text1"/>
          <w:sz w:val="16"/>
          <w:szCs w:val="16"/>
          <w:lang w:val="en-US"/>
        </w:rPr>
      </w:pPr>
      <w:hyperlink r:id="rId202" w:history="1">
        <w:r w:rsidR="008F6FFE" w:rsidRPr="00C06DB3">
          <w:rPr>
            <w:rFonts w:asciiTheme="minorHAnsi" w:hAnsiTheme="minorHAnsi" w:cstheme="minorHAnsi"/>
            <w:color w:val="000000" w:themeColor="text1"/>
            <w:sz w:val="16"/>
            <w:szCs w:val="16"/>
            <w:lang w:val="en-US"/>
          </w:rPr>
          <w:t>https://www.ncbi.nlm.nih.gov/pmc/articles/PMC7091918/pdf/41418_2020_Article_530.pdf</w:t>
        </w:r>
      </w:hyperlink>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203" w:tooltip="Clinical infectious diseases : an official publication of the Infectious Diseases Society of America." w:history="1">
        <w:r w:rsidR="008F6FFE" w:rsidRPr="00C06DB3">
          <w:rPr>
            <w:rStyle w:val="Hyperlink"/>
            <w:rFonts w:asciiTheme="minorHAnsi" w:eastAsiaTheme="majorEastAsia" w:hAnsiTheme="minorHAnsi" w:cstheme="minorHAnsi"/>
            <w:color w:val="000000" w:themeColor="text1"/>
            <w:sz w:val="16"/>
            <w:szCs w:val="16"/>
            <w:u w:val="none"/>
            <w:lang w:val="en-US"/>
          </w:rPr>
          <w:t>Clin Infect Dis.</w:t>
        </w:r>
      </w:hyperlink>
      <w:r w:rsidR="008F6FFE" w:rsidRPr="00C06DB3">
        <w:rPr>
          <w:rStyle w:val="Hyperlink"/>
          <w:rFonts w:asciiTheme="minorHAnsi" w:eastAsiaTheme="majorEastAsia" w:hAnsiTheme="minorHAnsi" w:cstheme="minorHAnsi"/>
          <w:color w:val="000000" w:themeColor="text1"/>
          <w:sz w:val="16"/>
          <w:szCs w:val="16"/>
          <w:u w:val="none"/>
          <w:lang w:val="en-US"/>
        </w:rPr>
        <w:t xml:space="preserve"> 2020 Mar 12. pii: ciaa248. doi: 10.1093/cid/ciaa248. </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Dysregulation of immune response in patients with COVID-19 in Wuhan, China.</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204" w:history="1">
        <w:r w:rsidR="008F6FFE" w:rsidRPr="00C06DB3">
          <w:rPr>
            <w:rStyle w:val="Hyperlink"/>
            <w:rFonts w:asciiTheme="minorHAnsi" w:eastAsiaTheme="majorEastAsia" w:hAnsiTheme="minorHAnsi" w:cstheme="minorHAnsi"/>
            <w:color w:val="000000" w:themeColor="text1"/>
            <w:sz w:val="16"/>
            <w:szCs w:val="16"/>
            <w:u w:val="none"/>
            <w:lang w:val="en-US"/>
          </w:rPr>
          <w:t>Qin C</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205" w:history="1">
        <w:r w:rsidR="008F6FFE" w:rsidRPr="00C06DB3">
          <w:rPr>
            <w:rStyle w:val="Hyperlink"/>
            <w:rFonts w:asciiTheme="minorHAnsi" w:eastAsiaTheme="majorEastAsia" w:hAnsiTheme="minorHAnsi" w:cstheme="minorHAnsi"/>
            <w:color w:val="000000" w:themeColor="text1"/>
            <w:sz w:val="16"/>
            <w:szCs w:val="16"/>
            <w:u w:val="none"/>
            <w:lang w:val="en-US"/>
          </w:rPr>
          <w:t>Zhou L</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206" w:history="1">
        <w:r w:rsidR="008F6FFE" w:rsidRPr="00C06DB3">
          <w:rPr>
            <w:rStyle w:val="Hyperlink"/>
            <w:rFonts w:asciiTheme="minorHAnsi" w:eastAsiaTheme="majorEastAsia" w:hAnsiTheme="minorHAnsi" w:cstheme="minorHAnsi"/>
            <w:color w:val="000000" w:themeColor="text1"/>
            <w:sz w:val="16"/>
            <w:szCs w:val="16"/>
            <w:u w:val="none"/>
            <w:lang w:val="en-US"/>
          </w:rPr>
          <w:t>Hu Z</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207" w:history="1">
        <w:r w:rsidR="008F6FFE" w:rsidRPr="00C06DB3">
          <w:rPr>
            <w:rStyle w:val="Hyperlink"/>
            <w:rFonts w:asciiTheme="minorHAnsi" w:eastAsiaTheme="majorEastAsia" w:hAnsiTheme="minorHAnsi" w:cstheme="minorHAnsi"/>
            <w:color w:val="000000" w:themeColor="text1"/>
            <w:sz w:val="16"/>
            <w:szCs w:val="16"/>
            <w:u w:val="none"/>
            <w:lang w:val="en-US"/>
          </w:rPr>
          <w:t>Zhang S</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208" w:history="1">
        <w:r w:rsidR="008F6FFE" w:rsidRPr="00C06DB3">
          <w:rPr>
            <w:rStyle w:val="Hyperlink"/>
            <w:rFonts w:asciiTheme="minorHAnsi" w:eastAsiaTheme="majorEastAsia" w:hAnsiTheme="minorHAnsi" w:cstheme="minorHAnsi"/>
            <w:color w:val="000000" w:themeColor="text1"/>
            <w:sz w:val="16"/>
            <w:szCs w:val="16"/>
            <w:u w:val="none"/>
            <w:lang w:val="en-US"/>
          </w:rPr>
          <w:t>Yang S</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209" w:history="1">
        <w:r w:rsidR="008F6FFE" w:rsidRPr="00C06DB3">
          <w:rPr>
            <w:rStyle w:val="Hyperlink"/>
            <w:rFonts w:asciiTheme="minorHAnsi" w:eastAsiaTheme="majorEastAsia" w:hAnsiTheme="minorHAnsi" w:cstheme="minorHAnsi"/>
            <w:color w:val="000000" w:themeColor="text1"/>
            <w:sz w:val="16"/>
            <w:szCs w:val="16"/>
            <w:u w:val="none"/>
            <w:lang w:val="en-US"/>
          </w:rPr>
          <w:t>Tao Y</w:t>
        </w:r>
      </w:hyperlink>
      <w:r w:rsidR="008F6FFE" w:rsidRPr="00C06DB3">
        <w:rPr>
          <w:rStyle w:val="Hyperlink"/>
          <w:rFonts w:asciiTheme="minorHAnsi" w:eastAsiaTheme="majorEastAsia" w:hAnsiTheme="minorHAnsi" w:cstheme="minorHAnsi"/>
          <w:color w:val="000000" w:themeColor="text1"/>
          <w:sz w:val="16"/>
          <w:szCs w:val="16"/>
          <w:u w:val="none"/>
          <w:lang w:val="en-US"/>
        </w:rPr>
        <w:t>2, </w:t>
      </w:r>
      <w:hyperlink r:id="rId210" w:history="1">
        <w:r w:rsidR="008F6FFE" w:rsidRPr="00C06DB3">
          <w:rPr>
            <w:rStyle w:val="Hyperlink"/>
            <w:rFonts w:asciiTheme="minorHAnsi" w:eastAsiaTheme="majorEastAsia" w:hAnsiTheme="minorHAnsi" w:cstheme="minorHAnsi"/>
            <w:color w:val="000000" w:themeColor="text1"/>
            <w:sz w:val="16"/>
            <w:szCs w:val="16"/>
            <w:u w:val="none"/>
            <w:lang w:val="en-US"/>
          </w:rPr>
          <w:t>Xie C</w:t>
        </w:r>
      </w:hyperlink>
      <w:r w:rsidR="008F6FFE" w:rsidRPr="00C06DB3">
        <w:rPr>
          <w:rStyle w:val="Hyperlink"/>
          <w:rFonts w:asciiTheme="minorHAnsi" w:eastAsiaTheme="majorEastAsia" w:hAnsiTheme="minorHAnsi" w:cstheme="minorHAnsi"/>
          <w:color w:val="000000" w:themeColor="text1"/>
          <w:sz w:val="16"/>
          <w:szCs w:val="16"/>
          <w:u w:val="none"/>
          <w:lang w:val="en-US"/>
        </w:rPr>
        <w:t>3, </w:t>
      </w:r>
      <w:hyperlink r:id="rId211" w:history="1">
        <w:r w:rsidR="008F6FFE" w:rsidRPr="00C06DB3">
          <w:rPr>
            <w:rStyle w:val="Hyperlink"/>
            <w:rFonts w:asciiTheme="minorHAnsi" w:eastAsiaTheme="majorEastAsia" w:hAnsiTheme="minorHAnsi" w:cstheme="minorHAnsi"/>
            <w:color w:val="000000" w:themeColor="text1"/>
            <w:sz w:val="16"/>
            <w:szCs w:val="16"/>
            <w:u w:val="none"/>
            <w:lang w:val="en-US"/>
          </w:rPr>
          <w:t>Ma K</w:t>
        </w:r>
      </w:hyperlink>
      <w:r w:rsidR="008F6FFE" w:rsidRPr="00C06DB3">
        <w:rPr>
          <w:rStyle w:val="Hyperlink"/>
          <w:rFonts w:asciiTheme="minorHAnsi" w:eastAsiaTheme="majorEastAsia" w:hAnsiTheme="minorHAnsi" w:cstheme="minorHAnsi"/>
          <w:color w:val="000000" w:themeColor="text1"/>
          <w:sz w:val="16"/>
          <w:szCs w:val="16"/>
          <w:u w:val="none"/>
          <w:lang w:val="en-US"/>
        </w:rPr>
        <w:t>4, </w:t>
      </w:r>
      <w:hyperlink r:id="rId212" w:history="1">
        <w:r w:rsidR="008F6FFE" w:rsidRPr="00C06DB3">
          <w:rPr>
            <w:rStyle w:val="Hyperlink"/>
            <w:rFonts w:asciiTheme="minorHAnsi" w:eastAsiaTheme="majorEastAsia" w:hAnsiTheme="minorHAnsi" w:cstheme="minorHAnsi"/>
            <w:color w:val="000000" w:themeColor="text1"/>
            <w:sz w:val="16"/>
            <w:szCs w:val="16"/>
            <w:u w:val="none"/>
            <w:lang w:val="en-US"/>
          </w:rPr>
          <w:t>Shang K</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213" w:history="1">
        <w:r w:rsidR="008F6FFE" w:rsidRPr="00C06DB3">
          <w:rPr>
            <w:rStyle w:val="Hyperlink"/>
            <w:rFonts w:asciiTheme="minorHAnsi" w:eastAsiaTheme="majorEastAsia" w:hAnsiTheme="minorHAnsi" w:cstheme="minorHAnsi"/>
            <w:color w:val="000000" w:themeColor="text1"/>
            <w:sz w:val="16"/>
            <w:szCs w:val="16"/>
            <w:u w:val="none"/>
            <w:lang w:val="en-US"/>
          </w:rPr>
          <w:t>Wang W</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214" w:history="1">
        <w:r w:rsidR="008F6FFE" w:rsidRPr="00C06DB3">
          <w:rPr>
            <w:rStyle w:val="Hyperlink"/>
            <w:rFonts w:asciiTheme="minorHAnsi" w:eastAsiaTheme="majorEastAsia" w:hAnsiTheme="minorHAnsi" w:cstheme="minorHAnsi"/>
            <w:color w:val="000000" w:themeColor="text1"/>
            <w:sz w:val="16"/>
            <w:szCs w:val="16"/>
            <w:u w:val="none"/>
            <w:lang w:val="en-US"/>
          </w:rPr>
          <w:t>Tian DS</w:t>
        </w:r>
      </w:hyperlink>
      <w:r w:rsidR="008F6FFE" w:rsidRPr="00C06DB3">
        <w:rPr>
          <w:rStyle w:val="Hyperlink"/>
          <w:rFonts w:asciiTheme="minorHAnsi" w:eastAsiaTheme="majorEastAsia" w:hAnsiTheme="minorHAnsi" w:cstheme="minorHAnsi"/>
          <w:color w:val="000000" w:themeColor="text1"/>
          <w:sz w:val="16"/>
          <w:szCs w:val="16"/>
          <w:u w:val="none"/>
          <w:lang w:val="en-US"/>
        </w:rPr>
        <w:t>1.</w:t>
      </w:r>
    </w:p>
    <w:p w:rsidR="008F6FFE" w:rsidRPr="00C06DB3" w:rsidRDefault="0052743C" w:rsidP="00C06DB3">
      <w:pPr>
        <w:rPr>
          <w:rFonts w:asciiTheme="minorHAnsi" w:hAnsiTheme="minorHAnsi" w:cstheme="minorHAnsi"/>
          <w:color w:val="000000" w:themeColor="text1"/>
          <w:sz w:val="16"/>
          <w:szCs w:val="16"/>
          <w:lang w:val="en-US"/>
        </w:rPr>
      </w:pPr>
      <w:hyperlink r:id="rId215" w:history="1">
        <w:r w:rsidR="008F6FFE" w:rsidRPr="00C06DB3">
          <w:rPr>
            <w:rFonts w:asciiTheme="minorHAnsi" w:hAnsiTheme="minorHAnsi" w:cstheme="minorHAnsi"/>
            <w:color w:val="000000" w:themeColor="text1"/>
            <w:sz w:val="16"/>
            <w:szCs w:val="16"/>
            <w:lang w:val="en-US"/>
          </w:rPr>
          <w:t>https://www.ncbi.nlm.nih.gov/pmc/articles/PMC7108125/pdf/ciaa248.pdf</w:t>
        </w:r>
      </w:hyperlink>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216" w:tooltip="Autoimmunity reviews." w:history="1">
        <w:r w:rsidR="008F6FFE" w:rsidRPr="00C06DB3">
          <w:rPr>
            <w:rStyle w:val="Hyperlink"/>
            <w:rFonts w:asciiTheme="minorHAnsi" w:eastAsiaTheme="majorEastAsia" w:hAnsiTheme="minorHAnsi" w:cstheme="minorHAnsi"/>
            <w:color w:val="000000" w:themeColor="text1"/>
            <w:sz w:val="16"/>
            <w:szCs w:val="16"/>
            <w:u w:val="none"/>
            <w:lang w:val="en-US"/>
          </w:rPr>
          <w:t>Autoimmun Rev.</w:t>
        </w:r>
      </w:hyperlink>
      <w:r w:rsidR="008F6FFE" w:rsidRPr="00C06DB3">
        <w:rPr>
          <w:rStyle w:val="Hyperlink"/>
          <w:rFonts w:asciiTheme="minorHAnsi" w:eastAsiaTheme="majorEastAsia" w:hAnsiTheme="minorHAnsi" w:cstheme="minorHAnsi"/>
          <w:color w:val="000000" w:themeColor="text1"/>
          <w:sz w:val="16"/>
          <w:szCs w:val="16"/>
          <w:u w:val="none"/>
          <w:lang w:val="en-US"/>
        </w:rPr>
        <w:t> 2020 Apr 3:102537. doi: 10.1016/j.autrev.2020.102537.</w:t>
      </w:r>
    </w:p>
    <w:p w:rsidR="008F6FFE" w:rsidRPr="00C06DB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C06DB3">
        <w:rPr>
          <w:rStyle w:val="Hyperlink"/>
          <w:rFonts w:asciiTheme="minorHAnsi" w:eastAsiaTheme="majorEastAsia" w:hAnsiTheme="minorHAnsi" w:cstheme="minorHAnsi"/>
          <w:color w:val="000000" w:themeColor="text1"/>
          <w:sz w:val="16"/>
          <w:szCs w:val="16"/>
          <w:u w:val="none"/>
          <w:lang w:val="en-US"/>
        </w:rPr>
        <w:t>The Role of Cytokines including Interleukin-6 in COVID-19 induced Pneumonia and Macrophage Activation Syndrome-Like Disease.</w:t>
      </w:r>
    </w:p>
    <w:p w:rsidR="008F6FFE" w:rsidRPr="00C06DB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217" w:history="1">
        <w:r w:rsidR="008F6FFE" w:rsidRPr="00C06DB3">
          <w:rPr>
            <w:rStyle w:val="Hyperlink"/>
            <w:rFonts w:asciiTheme="minorHAnsi" w:eastAsiaTheme="majorEastAsia" w:hAnsiTheme="minorHAnsi" w:cstheme="minorHAnsi"/>
            <w:color w:val="000000" w:themeColor="text1"/>
            <w:sz w:val="16"/>
            <w:szCs w:val="16"/>
            <w:u w:val="none"/>
            <w:lang w:val="en-US"/>
          </w:rPr>
          <w:t>McGonagle D</w:t>
        </w:r>
      </w:hyperlink>
      <w:r w:rsidR="008F6FFE" w:rsidRPr="00C06DB3">
        <w:rPr>
          <w:rStyle w:val="Hyperlink"/>
          <w:rFonts w:asciiTheme="minorHAnsi" w:eastAsiaTheme="majorEastAsia" w:hAnsiTheme="minorHAnsi" w:cstheme="minorHAnsi"/>
          <w:color w:val="000000" w:themeColor="text1"/>
          <w:sz w:val="16"/>
          <w:szCs w:val="16"/>
          <w:u w:val="none"/>
          <w:lang w:val="en-US"/>
        </w:rPr>
        <w:t>1, </w:t>
      </w:r>
      <w:hyperlink r:id="rId218" w:history="1">
        <w:r w:rsidR="008F6FFE" w:rsidRPr="00C06DB3">
          <w:rPr>
            <w:rStyle w:val="Hyperlink"/>
            <w:rFonts w:asciiTheme="minorHAnsi" w:eastAsiaTheme="majorEastAsia" w:hAnsiTheme="minorHAnsi" w:cstheme="minorHAnsi"/>
            <w:color w:val="000000" w:themeColor="text1"/>
            <w:sz w:val="16"/>
            <w:szCs w:val="16"/>
            <w:u w:val="none"/>
            <w:lang w:val="en-US"/>
          </w:rPr>
          <w:t>Sharif K</w:t>
        </w:r>
      </w:hyperlink>
      <w:r w:rsidR="008F6FFE" w:rsidRPr="00C06DB3">
        <w:rPr>
          <w:rStyle w:val="Hyperlink"/>
          <w:rFonts w:asciiTheme="minorHAnsi" w:eastAsiaTheme="majorEastAsia" w:hAnsiTheme="minorHAnsi" w:cstheme="minorHAnsi"/>
          <w:color w:val="000000" w:themeColor="text1"/>
          <w:sz w:val="16"/>
          <w:szCs w:val="16"/>
          <w:u w:val="none"/>
          <w:lang w:val="en-US"/>
        </w:rPr>
        <w:t>2, </w:t>
      </w:r>
      <w:hyperlink r:id="rId219" w:history="1">
        <w:r w:rsidR="008F6FFE" w:rsidRPr="00C06DB3">
          <w:rPr>
            <w:rStyle w:val="Hyperlink"/>
            <w:rFonts w:asciiTheme="minorHAnsi" w:eastAsiaTheme="majorEastAsia" w:hAnsiTheme="minorHAnsi" w:cstheme="minorHAnsi"/>
            <w:color w:val="000000" w:themeColor="text1"/>
            <w:sz w:val="16"/>
            <w:szCs w:val="16"/>
            <w:u w:val="none"/>
            <w:lang w:val="en-US"/>
          </w:rPr>
          <w:t>O'Regan A</w:t>
        </w:r>
      </w:hyperlink>
      <w:r w:rsidR="008F6FFE" w:rsidRPr="00C06DB3">
        <w:rPr>
          <w:rStyle w:val="Hyperlink"/>
          <w:rFonts w:asciiTheme="minorHAnsi" w:eastAsiaTheme="majorEastAsia" w:hAnsiTheme="minorHAnsi" w:cstheme="minorHAnsi"/>
          <w:color w:val="000000" w:themeColor="text1"/>
          <w:sz w:val="16"/>
          <w:szCs w:val="16"/>
          <w:u w:val="none"/>
          <w:lang w:val="en-US"/>
        </w:rPr>
        <w:t>3, </w:t>
      </w:r>
      <w:hyperlink r:id="rId220" w:history="1">
        <w:r w:rsidR="008F6FFE" w:rsidRPr="00C06DB3">
          <w:rPr>
            <w:rStyle w:val="Hyperlink"/>
            <w:rFonts w:asciiTheme="minorHAnsi" w:eastAsiaTheme="majorEastAsia" w:hAnsiTheme="minorHAnsi" w:cstheme="minorHAnsi"/>
            <w:color w:val="000000" w:themeColor="text1"/>
            <w:sz w:val="16"/>
            <w:szCs w:val="16"/>
            <w:u w:val="none"/>
            <w:lang w:val="en-US"/>
          </w:rPr>
          <w:t>Bridgewood C</w:t>
        </w:r>
      </w:hyperlink>
      <w:r w:rsidR="008F6FFE" w:rsidRPr="00C06DB3">
        <w:rPr>
          <w:rStyle w:val="Hyperlink"/>
          <w:rFonts w:asciiTheme="minorHAnsi" w:eastAsiaTheme="majorEastAsia" w:hAnsiTheme="minorHAnsi" w:cstheme="minorHAnsi"/>
          <w:color w:val="000000" w:themeColor="text1"/>
          <w:sz w:val="16"/>
          <w:szCs w:val="16"/>
          <w:u w:val="none"/>
          <w:lang w:val="en-US"/>
        </w:rPr>
        <w:t>4.</w:t>
      </w:r>
    </w:p>
    <w:p w:rsidR="008F6FFE" w:rsidRPr="00C06DB3" w:rsidRDefault="0052743C" w:rsidP="00C06DB3">
      <w:pPr>
        <w:rPr>
          <w:rFonts w:asciiTheme="minorHAnsi" w:hAnsiTheme="minorHAnsi" w:cstheme="minorHAnsi"/>
          <w:color w:val="000000" w:themeColor="text1"/>
          <w:sz w:val="16"/>
          <w:szCs w:val="16"/>
          <w:lang w:val="en-US"/>
        </w:rPr>
      </w:pPr>
      <w:hyperlink r:id="rId221" w:history="1">
        <w:r w:rsidR="008F6FFE" w:rsidRPr="00C06DB3">
          <w:rPr>
            <w:rFonts w:asciiTheme="minorHAnsi" w:hAnsiTheme="minorHAnsi" w:cstheme="minorHAnsi"/>
            <w:color w:val="000000" w:themeColor="text1"/>
            <w:sz w:val="16"/>
            <w:szCs w:val="16"/>
            <w:lang w:val="en-US"/>
          </w:rPr>
          <w:t>https://www.ncbi.nlm.nih.gov/pmc/articles/PMC7195002/pdf/main.pdf</w:t>
        </w:r>
      </w:hyperlink>
    </w:p>
    <w:p w:rsidR="008F6FFE" w:rsidRPr="00717D4D" w:rsidRDefault="008F6FFE" w:rsidP="00717D4D">
      <w:pPr>
        <w:shd w:val="clear" w:color="auto" w:fill="FFFFFF"/>
        <w:jc w:val="both"/>
        <w:rPr>
          <w:rFonts w:asciiTheme="minorHAnsi" w:hAnsiTheme="minorHAnsi" w:cstheme="minorHAnsi"/>
          <w:sz w:val="16"/>
          <w:szCs w:val="16"/>
          <w:lang w:val="en-US"/>
        </w:rPr>
      </w:pPr>
    </w:p>
    <w:p w:rsidR="008F6FFE" w:rsidRPr="00717D4D" w:rsidRDefault="0052743C" w:rsidP="00717D4D">
      <w:pPr>
        <w:pStyle w:val="Heading1"/>
        <w:spacing w:before="0"/>
        <w:jc w:val="both"/>
        <w:rPr>
          <w:rFonts w:asciiTheme="minorHAnsi" w:hAnsiTheme="minorHAnsi" w:cstheme="minorHAnsi"/>
          <w:color w:val="222222"/>
          <w:sz w:val="16"/>
          <w:szCs w:val="16"/>
          <w:lang w:val="en-US"/>
        </w:rPr>
      </w:pPr>
      <w:hyperlink r:id="rId222" w:history="1">
        <w:r w:rsidR="008F6FFE" w:rsidRPr="00717D4D">
          <w:rPr>
            <w:rStyle w:val="Hyperlink"/>
            <w:rFonts w:asciiTheme="minorHAnsi" w:hAnsiTheme="minorHAnsi" w:cstheme="minorHAnsi"/>
            <w:color w:val="222222"/>
            <w:sz w:val="16"/>
            <w:szCs w:val="16"/>
            <w:u w:val="none"/>
            <w:lang w:val="en-US"/>
          </w:rPr>
          <w:t>Internet Book of Critical Care (IBCC)</w:t>
        </w:r>
      </w:hyperlink>
      <w:r w:rsidR="008F6FFE" w:rsidRPr="00717D4D">
        <w:rPr>
          <w:rFonts w:asciiTheme="minorHAnsi" w:hAnsiTheme="minorHAnsi" w:cstheme="minorHAnsi"/>
          <w:b/>
          <w:bCs/>
          <w:color w:val="222222"/>
          <w:sz w:val="16"/>
          <w:szCs w:val="16"/>
          <w:lang w:val="en-US"/>
        </w:rPr>
        <w:t xml:space="preserve"> </w:t>
      </w:r>
      <w:r w:rsidR="008F6FFE" w:rsidRPr="00717D4D">
        <w:rPr>
          <w:rFonts w:asciiTheme="minorHAnsi" w:hAnsiTheme="minorHAnsi" w:cstheme="minorHAnsi"/>
          <w:bCs/>
          <w:color w:val="222222"/>
          <w:sz w:val="16"/>
          <w:szCs w:val="16"/>
          <w:lang w:val="en-US"/>
        </w:rPr>
        <w:t>COVID-19</w:t>
      </w:r>
    </w:p>
    <w:p w:rsidR="008F6FFE" w:rsidRPr="00717D4D" w:rsidRDefault="0052743C" w:rsidP="00717D4D">
      <w:pPr>
        <w:rPr>
          <w:rFonts w:asciiTheme="minorHAnsi" w:hAnsiTheme="minorHAnsi" w:cstheme="minorHAnsi"/>
          <w:color w:val="000000" w:themeColor="text1"/>
          <w:sz w:val="16"/>
          <w:szCs w:val="16"/>
          <w:lang w:val="en-US"/>
        </w:rPr>
      </w:pPr>
      <w:hyperlink r:id="rId223" w:history="1">
        <w:r w:rsidR="008F6FFE" w:rsidRPr="00717D4D">
          <w:rPr>
            <w:rStyle w:val="Hyperlink"/>
            <w:rFonts w:asciiTheme="minorHAnsi" w:eastAsiaTheme="majorEastAsia" w:hAnsiTheme="minorHAnsi" w:cstheme="minorHAnsi"/>
            <w:color w:val="000000" w:themeColor="text1"/>
            <w:sz w:val="16"/>
            <w:szCs w:val="16"/>
            <w:u w:val="none"/>
            <w:lang w:val="en-US"/>
          </w:rPr>
          <w:t>https://emcrit.org/ibcc/covid19/</w:t>
        </w:r>
      </w:hyperlink>
    </w:p>
    <w:p w:rsidR="008F6FFE" w:rsidRPr="00717D4D" w:rsidRDefault="008F6FFE" w:rsidP="00717D4D">
      <w:pPr>
        <w:pStyle w:val="FootnoteText"/>
        <w:rPr>
          <w:rFonts w:asciiTheme="minorHAnsi" w:hAnsiTheme="minorHAnsi" w:cstheme="minorHAnsi"/>
          <w:sz w:val="16"/>
          <w:szCs w:val="16"/>
          <w:lang w:val="en-US"/>
        </w:rPr>
      </w:pPr>
    </w:p>
  </w:footnote>
  <w:footnote w:id="25">
    <w:p w:rsidR="008F6FFE" w:rsidRPr="00717D4D" w:rsidRDefault="008F6FFE" w:rsidP="00717D4D">
      <w:pPr>
        <w:jc w:val="both"/>
        <w:rPr>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sz w:val="16"/>
          <w:szCs w:val="16"/>
        </w:rPr>
        <w:footnoteRef/>
      </w:r>
      <w:r w:rsidRPr="00165563">
        <w:rPr>
          <w:rFonts w:asciiTheme="minorHAnsi" w:hAnsiTheme="minorHAnsi"/>
          <w:sz w:val="16"/>
          <w:szCs w:val="16"/>
          <w:lang w:val="en-US"/>
        </w:rPr>
        <w:t xml:space="preserve"> </w:t>
      </w:r>
      <w:hyperlink r:id="rId224" w:tooltip="Archives of pathology &amp; laboratory medicine." w:history="1">
        <w:r w:rsidRPr="00717D4D">
          <w:rPr>
            <w:rFonts w:asciiTheme="minorHAnsi" w:hAnsiTheme="minorHAnsi" w:cstheme="minorHAnsi"/>
            <w:color w:val="000000" w:themeColor="text1"/>
            <w:sz w:val="16"/>
            <w:szCs w:val="16"/>
            <w:lang w:val="en-US"/>
          </w:rPr>
          <w:t>Arch Pathol Lab Med.</w:t>
        </w:r>
      </w:hyperlink>
      <w:r w:rsidRPr="00717D4D">
        <w:rPr>
          <w:rFonts w:asciiTheme="minorHAnsi" w:hAnsiTheme="minorHAnsi" w:cstheme="minorHAnsi"/>
          <w:color w:val="000000" w:themeColor="text1"/>
          <w:sz w:val="16"/>
          <w:szCs w:val="16"/>
          <w:lang w:val="en-US"/>
        </w:rPr>
        <w:t xml:space="preserve"> 2020 May 8. doi: 10.5858/arpa.2020-0165-SA. </w:t>
      </w:r>
    </w:p>
    <w:p w:rsidR="008F6FFE" w:rsidRPr="00717D4D" w:rsidRDefault="008F6FFE" w:rsidP="00717D4D">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SARS-CoV-2 Pandemic: Review of the Literature and Proposal for Safe Autopsy Practice.</w:t>
      </w:r>
    </w:p>
    <w:p w:rsidR="008F6FFE" w:rsidRPr="00717D4D" w:rsidRDefault="0052743C" w:rsidP="00717D4D">
      <w:pPr>
        <w:jc w:val="both"/>
        <w:rPr>
          <w:rFonts w:asciiTheme="minorHAnsi" w:hAnsiTheme="minorHAnsi" w:cstheme="minorHAnsi"/>
          <w:color w:val="000000" w:themeColor="text1"/>
          <w:sz w:val="16"/>
          <w:szCs w:val="16"/>
        </w:rPr>
      </w:pPr>
      <w:hyperlink r:id="rId225" w:history="1">
        <w:r w:rsidR="008F6FFE" w:rsidRPr="00717D4D">
          <w:rPr>
            <w:rFonts w:asciiTheme="minorHAnsi" w:hAnsiTheme="minorHAnsi" w:cstheme="minorHAnsi"/>
            <w:color w:val="000000" w:themeColor="text1"/>
            <w:sz w:val="16"/>
            <w:szCs w:val="16"/>
          </w:rPr>
          <w:t>Aquila I</w:t>
        </w:r>
      </w:hyperlink>
      <w:r w:rsidR="008F6FFE" w:rsidRPr="00717D4D">
        <w:rPr>
          <w:rFonts w:asciiTheme="minorHAnsi" w:hAnsiTheme="minorHAnsi" w:cstheme="minorHAnsi"/>
          <w:color w:val="000000" w:themeColor="text1"/>
          <w:sz w:val="16"/>
          <w:szCs w:val="16"/>
        </w:rPr>
        <w:t>1, </w:t>
      </w:r>
      <w:hyperlink r:id="rId226" w:history="1">
        <w:r w:rsidR="008F6FFE" w:rsidRPr="00717D4D">
          <w:rPr>
            <w:rFonts w:asciiTheme="minorHAnsi" w:hAnsiTheme="minorHAnsi" w:cstheme="minorHAnsi"/>
            <w:color w:val="000000" w:themeColor="text1"/>
            <w:sz w:val="16"/>
            <w:szCs w:val="16"/>
          </w:rPr>
          <w:t>Sacco MA</w:t>
        </w:r>
      </w:hyperlink>
      <w:r w:rsidR="008F6FFE" w:rsidRPr="00717D4D">
        <w:rPr>
          <w:rFonts w:asciiTheme="minorHAnsi" w:hAnsiTheme="minorHAnsi" w:cstheme="minorHAnsi"/>
          <w:color w:val="000000" w:themeColor="text1"/>
          <w:sz w:val="16"/>
          <w:szCs w:val="16"/>
        </w:rPr>
        <w:t>1, </w:t>
      </w:r>
      <w:hyperlink r:id="rId227" w:history="1">
        <w:r w:rsidR="008F6FFE" w:rsidRPr="00717D4D">
          <w:rPr>
            <w:rFonts w:asciiTheme="minorHAnsi" w:hAnsiTheme="minorHAnsi" w:cstheme="minorHAnsi"/>
            <w:color w:val="000000" w:themeColor="text1"/>
            <w:sz w:val="16"/>
            <w:szCs w:val="16"/>
          </w:rPr>
          <w:t>Abenavoli L</w:t>
        </w:r>
      </w:hyperlink>
      <w:r w:rsidR="008F6FFE" w:rsidRPr="00717D4D">
        <w:rPr>
          <w:rFonts w:asciiTheme="minorHAnsi" w:hAnsiTheme="minorHAnsi" w:cstheme="minorHAnsi"/>
          <w:color w:val="000000" w:themeColor="text1"/>
          <w:sz w:val="16"/>
          <w:szCs w:val="16"/>
        </w:rPr>
        <w:t>1, </w:t>
      </w:r>
      <w:hyperlink r:id="rId228" w:history="1">
        <w:r w:rsidR="008F6FFE" w:rsidRPr="00717D4D">
          <w:rPr>
            <w:rFonts w:asciiTheme="minorHAnsi" w:hAnsiTheme="minorHAnsi" w:cstheme="minorHAnsi"/>
            <w:color w:val="000000" w:themeColor="text1"/>
            <w:sz w:val="16"/>
            <w:szCs w:val="16"/>
          </w:rPr>
          <w:t>Malara N</w:t>
        </w:r>
      </w:hyperlink>
      <w:r w:rsidR="008F6FFE" w:rsidRPr="00717D4D">
        <w:rPr>
          <w:rFonts w:asciiTheme="minorHAnsi" w:hAnsiTheme="minorHAnsi" w:cstheme="minorHAnsi"/>
          <w:color w:val="000000" w:themeColor="text1"/>
          <w:sz w:val="16"/>
          <w:szCs w:val="16"/>
        </w:rPr>
        <w:t>1, </w:t>
      </w:r>
      <w:hyperlink r:id="rId229" w:history="1">
        <w:r w:rsidR="008F6FFE" w:rsidRPr="00717D4D">
          <w:rPr>
            <w:rFonts w:asciiTheme="minorHAnsi" w:hAnsiTheme="minorHAnsi" w:cstheme="minorHAnsi"/>
            <w:color w:val="000000" w:themeColor="text1"/>
            <w:sz w:val="16"/>
            <w:szCs w:val="16"/>
          </w:rPr>
          <w:t>Arena V</w:t>
        </w:r>
      </w:hyperlink>
      <w:r w:rsidR="008F6FFE" w:rsidRPr="00717D4D">
        <w:rPr>
          <w:rFonts w:asciiTheme="minorHAnsi" w:hAnsiTheme="minorHAnsi" w:cstheme="minorHAnsi"/>
          <w:color w:val="000000" w:themeColor="text1"/>
          <w:sz w:val="16"/>
          <w:szCs w:val="16"/>
        </w:rPr>
        <w:t>1, </w:t>
      </w:r>
      <w:hyperlink r:id="rId230" w:history="1">
        <w:r w:rsidR="008F6FFE" w:rsidRPr="00717D4D">
          <w:rPr>
            <w:rFonts w:asciiTheme="minorHAnsi" w:hAnsiTheme="minorHAnsi" w:cstheme="minorHAnsi"/>
            <w:color w:val="000000" w:themeColor="text1"/>
            <w:sz w:val="16"/>
            <w:szCs w:val="16"/>
          </w:rPr>
          <w:t>Grassi S</w:t>
        </w:r>
      </w:hyperlink>
      <w:r w:rsidR="008F6FFE" w:rsidRPr="00717D4D">
        <w:rPr>
          <w:rFonts w:asciiTheme="minorHAnsi" w:hAnsiTheme="minorHAnsi" w:cstheme="minorHAnsi"/>
          <w:color w:val="000000" w:themeColor="text1"/>
          <w:sz w:val="16"/>
          <w:szCs w:val="16"/>
        </w:rPr>
        <w:t>1, </w:t>
      </w:r>
      <w:hyperlink r:id="rId231" w:history="1">
        <w:r w:rsidR="008F6FFE" w:rsidRPr="00717D4D">
          <w:rPr>
            <w:rFonts w:asciiTheme="minorHAnsi" w:hAnsiTheme="minorHAnsi" w:cstheme="minorHAnsi"/>
            <w:color w:val="000000" w:themeColor="text1"/>
            <w:sz w:val="16"/>
            <w:szCs w:val="16"/>
          </w:rPr>
          <w:t>Ausania F</w:t>
        </w:r>
      </w:hyperlink>
      <w:r w:rsidR="008F6FFE" w:rsidRPr="00717D4D">
        <w:rPr>
          <w:rFonts w:asciiTheme="minorHAnsi" w:hAnsiTheme="minorHAnsi" w:cstheme="minorHAnsi"/>
          <w:color w:val="000000" w:themeColor="text1"/>
          <w:sz w:val="16"/>
          <w:szCs w:val="16"/>
        </w:rPr>
        <w:t>1, </w:t>
      </w:r>
      <w:hyperlink r:id="rId232" w:history="1">
        <w:r w:rsidR="008F6FFE" w:rsidRPr="00717D4D">
          <w:rPr>
            <w:rFonts w:asciiTheme="minorHAnsi" w:hAnsiTheme="minorHAnsi" w:cstheme="minorHAnsi"/>
            <w:color w:val="000000" w:themeColor="text1"/>
            <w:sz w:val="16"/>
            <w:szCs w:val="16"/>
          </w:rPr>
          <w:t>Boccuto L</w:t>
        </w:r>
      </w:hyperlink>
      <w:r w:rsidR="008F6FFE" w:rsidRPr="00717D4D">
        <w:rPr>
          <w:rFonts w:asciiTheme="minorHAnsi" w:hAnsiTheme="minorHAnsi" w:cstheme="minorHAnsi"/>
          <w:color w:val="000000" w:themeColor="text1"/>
          <w:sz w:val="16"/>
          <w:szCs w:val="16"/>
        </w:rPr>
        <w:t>1, </w:t>
      </w:r>
      <w:hyperlink r:id="rId233" w:history="1">
        <w:r w:rsidR="008F6FFE" w:rsidRPr="00717D4D">
          <w:rPr>
            <w:rFonts w:asciiTheme="minorHAnsi" w:hAnsiTheme="minorHAnsi" w:cstheme="minorHAnsi"/>
            <w:color w:val="000000" w:themeColor="text1"/>
            <w:sz w:val="16"/>
            <w:szCs w:val="16"/>
          </w:rPr>
          <w:t>Ricci C</w:t>
        </w:r>
      </w:hyperlink>
      <w:r w:rsidR="008F6FFE" w:rsidRPr="00717D4D">
        <w:rPr>
          <w:rFonts w:asciiTheme="minorHAnsi" w:hAnsiTheme="minorHAnsi" w:cstheme="minorHAnsi"/>
          <w:color w:val="000000" w:themeColor="text1"/>
          <w:sz w:val="16"/>
          <w:szCs w:val="16"/>
        </w:rPr>
        <w:t>1,2, </w:t>
      </w:r>
      <w:hyperlink r:id="rId234" w:history="1">
        <w:r w:rsidR="008F6FFE" w:rsidRPr="00717D4D">
          <w:rPr>
            <w:rFonts w:asciiTheme="minorHAnsi" w:hAnsiTheme="minorHAnsi" w:cstheme="minorHAnsi"/>
            <w:color w:val="000000" w:themeColor="text1"/>
            <w:sz w:val="16"/>
            <w:szCs w:val="16"/>
          </w:rPr>
          <w:t>Gratteri S</w:t>
        </w:r>
      </w:hyperlink>
      <w:r w:rsidR="008F6FFE" w:rsidRPr="00717D4D">
        <w:rPr>
          <w:rFonts w:asciiTheme="minorHAnsi" w:hAnsiTheme="minorHAnsi" w:cstheme="minorHAnsi"/>
          <w:color w:val="000000" w:themeColor="text1"/>
          <w:sz w:val="16"/>
          <w:szCs w:val="16"/>
        </w:rPr>
        <w:t>1,2, </w:t>
      </w:r>
      <w:hyperlink r:id="rId235" w:history="1">
        <w:r w:rsidR="008F6FFE" w:rsidRPr="00717D4D">
          <w:rPr>
            <w:rFonts w:asciiTheme="minorHAnsi" w:hAnsiTheme="minorHAnsi" w:cstheme="minorHAnsi"/>
            <w:color w:val="000000" w:themeColor="text1"/>
            <w:sz w:val="16"/>
            <w:szCs w:val="16"/>
          </w:rPr>
          <w:t>Oliva A</w:t>
        </w:r>
      </w:hyperlink>
      <w:r w:rsidR="008F6FFE" w:rsidRPr="00717D4D">
        <w:rPr>
          <w:rFonts w:asciiTheme="minorHAnsi" w:hAnsiTheme="minorHAnsi" w:cstheme="minorHAnsi"/>
          <w:color w:val="000000" w:themeColor="text1"/>
          <w:sz w:val="16"/>
          <w:szCs w:val="16"/>
        </w:rPr>
        <w:t>1,2, </w:t>
      </w:r>
      <w:hyperlink r:id="rId236" w:history="1">
        <w:r w:rsidR="008F6FFE" w:rsidRPr="00717D4D">
          <w:rPr>
            <w:rFonts w:asciiTheme="minorHAnsi" w:hAnsiTheme="minorHAnsi" w:cstheme="minorHAnsi"/>
            <w:color w:val="000000" w:themeColor="text1"/>
            <w:sz w:val="16"/>
            <w:szCs w:val="16"/>
          </w:rPr>
          <w:t>Ricci P</w:t>
        </w:r>
      </w:hyperlink>
      <w:r w:rsidR="008F6FFE" w:rsidRPr="00717D4D">
        <w:rPr>
          <w:rFonts w:asciiTheme="minorHAnsi" w:hAnsiTheme="minorHAnsi" w:cstheme="minorHAnsi"/>
          <w:color w:val="000000" w:themeColor="text1"/>
          <w:sz w:val="16"/>
          <w:szCs w:val="16"/>
        </w:rPr>
        <w:t>1.</w:t>
      </w:r>
    </w:p>
    <w:p w:rsidR="008F6FFE" w:rsidRPr="00717D4D" w:rsidRDefault="0052743C" w:rsidP="00717D4D">
      <w:pPr>
        <w:jc w:val="both"/>
        <w:rPr>
          <w:rFonts w:asciiTheme="minorHAnsi" w:hAnsiTheme="minorHAnsi" w:cstheme="minorHAnsi"/>
          <w:color w:val="000000" w:themeColor="text1"/>
          <w:sz w:val="16"/>
          <w:szCs w:val="16"/>
        </w:rPr>
      </w:pPr>
      <w:hyperlink r:id="rId237" w:history="1">
        <w:r w:rsidR="008F6FFE" w:rsidRPr="00717D4D">
          <w:rPr>
            <w:rFonts w:asciiTheme="minorHAnsi" w:hAnsiTheme="minorHAnsi" w:cstheme="minorHAnsi"/>
            <w:color w:val="000000" w:themeColor="text1"/>
            <w:sz w:val="16"/>
            <w:szCs w:val="16"/>
          </w:rPr>
          <w:t>https://www.archivesofpathology.org/doi/pdf/10.5858/arpa.2020-0165-SA</w:t>
        </w:r>
      </w:hyperlink>
    </w:p>
    <w:p w:rsidR="008F6FFE" w:rsidRPr="00717D4D" w:rsidRDefault="008F6FFE" w:rsidP="00717D4D">
      <w:pPr>
        <w:jc w:val="both"/>
        <w:rPr>
          <w:rFonts w:asciiTheme="minorHAnsi" w:hAnsiTheme="minorHAnsi" w:cstheme="minorHAnsi"/>
          <w:color w:val="000000" w:themeColor="text1"/>
          <w:sz w:val="16"/>
          <w:szCs w:val="16"/>
        </w:rPr>
      </w:pPr>
    </w:p>
    <w:p w:rsidR="008F6FFE" w:rsidRPr="00717D4D" w:rsidRDefault="0052743C" w:rsidP="00717D4D">
      <w:pPr>
        <w:jc w:val="both"/>
        <w:rPr>
          <w:rFonts w:asciiTheme="minorHAnsi" w:hAnsiTheme="minorHAnsi" w:cstheme="minorHAnsi"/>
          <w:color w:val="000000" w:themeColor="text1"/>
          <w:sz w:val="16"/>
          <w:szCs w:val="16"/>
          <w:lang w:val="en-US"/>
        </w:rPr>
      </w:pPr>
      <w:hyperlink r:id="rId238" w:tooltip="Zhonghua bing li xue za zhi = Chinese journal of pathology." w:history="1">
        <w:r w:rsidR="008F6FFE" w:rsidRPr="00717D4D">
          <w:rPr>
            <w:rFonts w:asciiTheme="minorHAnsi" w:hAnsiTheme="minorHAnsi" w:cstheme="minorHAnsi"/>
            <w:color w:val="000000" w:themeColor="text1"/>
            <w:sz w:val="16"/>
            <w:szCs w:val="16"/>
          </w:rPr>
          <w:t>Zhonghua Bing Li Xue Za Zhi.</w:t>
        </w:r>
      </w:hyperlink>
      <w:r w:rsidR="008F6FFE" w:rsidRPr="00717D4D">
        <w:rPr>
          <w:rFonts w:asciiTheme="minorHAnsi" w:hAnsiTheme="minorHAnsi" w:cstheme="minorHAnsi"/>
          <w:color w:val="000000" w:themeColor="text1"/>
          <w:sz w:val="16"/>
          <w:szCs w:val="16"/>
        </w:rPr>
        <w:t> </w:t>
      </w:r>
      <w:r w:rsidR="008F6FFE" w:rsidRPr="00717D4D">
        <w:rPr>
          <w:rFonts w:asciiTheme="minorHAnsi" w:hAnsiTheme="minorHAnsi" w:cstheme="minorHAnsi"/>
          <w:color w:val="000000" w:themeColor="text1"/>
          <w:sz w:val="16"/>
          <w:szCs w:val="16"/>
          <w:lang w:val="en-US"/>
        </w:rPr>
        <w:t xml:space="preserve">2020 Mar 15;49(0):E009. doi: 10.3760/cma.j.cn112151-20200312-00193. </w:t>
      </w:r>
    </w:p>
    <w:p w:rsidR="008F6FFE" w:rsidRPr="00717D4D" w:rsidRDefault="008F6FFE" w:rsidP="00717D4D">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[A pathological report of three COVID-19 cases by minimally invasive autopsies].</w:t>
      </w:r>
    </w:p>
    <w:p w:rsidR="008F6FFE" w:rsidRPr="00717D4D" w:rsidRDefault="008F6FFE" w:rsidP="00717D4D">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[Article in Chinese; Abstract available in Chinese from the publisher]</w:t>
      </w:r>
    </w:p>
    <w:p w:rsidR="008F6FFE" w:rsidRPr="00717D4D" w:rsidRDefault="0052743C" w:rsidP="00717D4D">
      <w:pPr>
        <w:jc w:val="both"/>
        <w:rPr>
          <w:rFonts w:asciiTheme="minorHAnsi" w:hAnsiTheme="minorHAnsi" w:cstheme="minorHAnsi"/>
          <w:color w:val="000000" w:themeColor="text1"/>
          <w:sz w:val="16"/>
          <w:szCs w:val="16"/>
          <w:lang w:val="en-US"/>
        </w:rPr>
      </w:pPr>
      <w:hyperlink r:id="rId239" w:history="1">
        <w:r w:rsidR="008F6FFE" w:rsidRPr="00717D4D">
          <w:rPr>
            <w:rFonts w:asciiTheme="minorHAnsi" w:hAnsiTheme="minorHAnsi" w:cstheme="minorHAnsi"/>
            <w:color w:val="000000" w:themeColor="text1"/>
            <w:sz w:val="16"/>
            <w:szCs w:val="16"/>
            <w:lang w:val="en-US"/>
          </w:rPr>
          <w:t>Yao XH</w:t>
        </w:r>
      </w:hyperlink>
      <w:r w:rsidR="008F6FFE" w:rsidRPr="00717D4D">
        <w:rPr>
          <w:rFonts w:asciiTheme="minorHAnsi" w:hAnsiTheme="minorHAnsi" w:cstheme="minorHAnsi"/>
          <w:color w:val="000000" w:themeColor="text1"/>
          <w:sz w:val="16"/>
          <w:szCs w:val="16"/>
          <w:lang w:val="en-US"/>
        </w:rPr>
        <w:t>1 et al</w:t>
      </w:r>
    </w:p>
    <w:p w:rsidR="008F6FFE" w:rsidRPr="00717D4D" w:rsidRDefault="008F6FFE" w:rsidP="00717D4D">
      <w:pPr>
        <w:jc w:val="both"/>
        <w:rPr>
          <w:rFonts w:asciiTheme="minorHAnsi" w:hAnsiTheme="minorHAnsi" w:cstheme="minorHAnsi"/>
          <w:sz w:val="16"/>
          <w:szCs w:val="16"/>
          <w:lang w:val="en-US"/>
        </w:rPr>
      </w:pPr>
    </w:p>
    <w:p w:rsidR="008F6FFE" w:rsidRPr="00717D4D" w:rsidRDefault="0052743C" w:rsidP="00717D4D">
      <w:pPr>
        <w:jc w:val="both"/>
        <w:rPr>
          <w:rFonts w:asciiTheme="minorHAnsi" w:hAnsiTheme="minorHAnsi" w:cstheme="minorHAnsi"/>
          <w:color w:val="000000" w:themeColor="text1"/>
          <w:sz w:val="16"/>
          <w:szCs w:val="16"/>
          <w:lang w:val="en-US"/>
        </w:rPr>
      </w:pPr>
      <w:hyperlink r:id="rId240" w:tooltip="Virchows Archiv : an international journal of pathology." w:history="1">
        <w:r w:rsidR="008F6FFE" w:rsidRPr="00717D4D">
          <w:rPr>
            <w:rFonts w:asciiTheme="minorHAnsi" w:hAnsiTheme="minorHAnsi" w:cstheme="minorHAnsi"/>
            <w:color w:val="000000" w:themeColor="text1"/>
            <w:sz w:val="16"/>
            <w:szCs w:val="16"/>
            <w:lang w:val="en-US"/>
          </w:rPr>
          <w:t>Virchows Arch.</w:t>
        </w:r>
      </w:hyperlink>
      <w:r w:rsidR="008F6FFE" w:rsidRPr="00717D4D">
        <w:rPr>
          <w:rFonts w:asciiTheme="minorHAnsi" w:hAnsiTheme="minorHAnsi" w:cstheme="minorHAnsi"/>
          <w:color w:val="000000" w:themeColor="text1"/>
          <w:sz w:val="16"/>
          <w:szCs w:val="16"/>
          <w:lang w:val="en-US"/>
        </w:rPr>
        <w:t xml:space="preserve"> 2020 Apr 29. doi: 10.1007/s00428-020-02828-2. </w:t>
      </w:r>
    </w:p>
    <w:p w:rsidR="008F6FFE" w:rsidRPr="00717D4D" w:rsidRDefault="008F6FFE" w:rsidP="00717D4D">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The autopsy debate during the COVID-19 emergency: the Italian experience.</w:t>
      </w:r>
    </w:p>
    <w:p w:rsidR="008F6FFE" w:rsidRPr="00717D4D" w:rsidRDefault="0052743C" w:rsidP="00717D4D">
      <w:pPr>
        <w:jc w:val="both"/>
        <w:rPr>
          <w:rFonts w:asciiTheme="minorHAnsi" w:hAnsiTheme="minorHAnsi" w:cstheme="minorHAnsi"/>
          <w:color w:val="000000" w:themeColor="text1"/>
          <w:sz w:val="16"/>
          <w:szCs w:val="16"/>
        </w:rPr>
      </w:pPr>
      <w:hyperlink r:id="rId241" w:history="1">
        <w:r w:rsidR="008F6FFE" w:rsidRPr="00717D4D">
          <w:rPr>
            <w:rFonts w:asciiTheme="minorHAnsi" w:hAnsiTheme="minorHAnsi" w:cstheme="minorHAnsi"/>
            <w:color w:val="000000" w:themeColor="text1"/>
            <w:sz w:val="16"/>
            <w:szCs w:val="16"/>
          </w:rPr>
          <w:t>Sapino A</w:t>
        </w:r>
      </w:hyperlink>
      <w:r w:rsidR="008F6FFE" w:rsidRPr="00717D4D">
        <w:rPr>
          <w:rFonts w:asciiTheme="minorHAnsi" w:hAnsiTheme="minorHAnsi" w:cstheme="minorHAnsi"/>
          <w:color w:val="000000" w:themeColor="text1"/>
          <w:sz w:val="16"/>
          <w:szCs w:val="16"/>
        </w:rPr>
        <w:t>1,2, </w:t>
      </w:r>
      <w:hyperlink r:id="rId242" w:history="1">
        <w:r w:rsidR="008F6FFE" w:rsidRPr="00717D4D">
          <w:rPr>
            <w:rFonts w:asciiTheme="minorHAnsi" w:hAnsiTheme="minorHAnsi" w:cstheme="minorHAnsi"/>
            <w:color w:val="000000" w:themeColor="text1"/>
            <w:sz w:val="16"/>
            <w:szCs w:val="16"/>
          </w:rPr>
          <w:t>Facchetti F</w:t>
        </w:r>
      </w:hyperlink>
      <w:r w:rsidR="008F6FFE" w:rsidRPr="00717D4D">
        <w:rPr>
          <w:rFonts w:asciiTheme="minorHAnsi" w:hAnsiTheme="minorHAnsi" w:cstheme="minorHAnsi"/>
          <w:color w:val="000000" w:themeColor="text1"/>
          <w:sz w:val="16"/>
          <w:szCs w:val="16"/>
        </w:rPr>
        <w:t>3, </w:t>
      </w:r>
      <w:hyperlink r:id="rId243" w:history="1">
        <w:r w:rsidR="008F6FFE" w:rsidRPr="00717D4D">
          <w:rPr>
            <w:rFonts w:asciiTheme="minorHAnsi" w:hAnsiTheme="minorHAnsi" w:cstheme="minorHAnsi"/>
            <w:color w:val="000000" w:themeColor="text1"/>
            <w:sz w:val="16"/>
            <w:szCs w:val="16"/>
          </w:rPr>
          <w:t>Bonoldi E</w:t>
        </w:r>
      </w:hyperlink>
      <w:r w:rsidR="008F6FFE" w:rsidRPr="00717D4D">
        <w:rPr>
          <w:rFonts w:asciiTheme="minorHAnsi" w:hAnsiTheme="minorHAnsi" w:cstheme="minorHAnsi"/>
          <w:color w:val="000000" w:themeColor="text1"/>
          <w:sz w:val="16"/>
          <w:szCs w:val="16"/>
        </w:rPr>
        <w:t>4, </w:t>
      </w:r>
      <w:hyperlink r:id="rId244" w:history="1">
        <w:r w:rsidR="008F6FFE" w:rsidRPr="00717D4D">
          <w:rPr>
            <w:rFonts w:asciiTheme="minorHAnsi" w:hAnsiTheme="minorHAnsi" w:cstheme="minorHAnsi"/>
            <w:color w:val="000000" w:themeColor="text1"/>
            <w:sz w:val="16"/>
            <w:szCs w:val="16"/>
          </w:rPr>
          <w:t>Gianatti A</w:t>
        </w:r>
      </w:hyperlink>
      <w:r w:rsidR="008F6FFE" w:rsidRPr="00717D4D">
        <w:rPr>
          <w:rFonts w:asciiTheme="minorHAnsi" w:hAnsiTheme="minorHAnsi" w:cstheme="minorHAnsi"/>
          <w:color w:val="000000" w:themeColor="text1"/>
          <w:sz w:val="16"/>
          <w:szCs w:val="16"/>
        </w:rPr>
        <w:t>5, </w:t>
      </w:r>
      <w:hyperlink r:id="rId245" w:history="1">
        <w:r w:rsidR="008F6FFE" w:rsidRPr="00717D4D">
          <w:rPr>
            <w:rFonts w:asciiTheme="minorHAnsi" w:hAnsiTheme="minorHAnsi" w:cstheme="minorHAnsi"/>
            <w:color w:val="000000" w:themeColor="text1"/>
            <w:sz w:val="16"/>
            <w:szCs w:val="16"/>
          </w:rPr>
          <w:t>Barbareschi M</w:t>
        </w:r>
      </w:hyperlink>
      <w:r w:rsidR="008F6FFE" w:rsidRPr="00717D4D">
        <w:rPr>
          <w:rFonts w:asciiTheme="minorHAnsi" w:hAnsiTheme="minorHAnsi" w:cstheme="minorHAnsi"/>
          <w:color w:val="000000" w:themeColor="text1"/>
          <w:sz w:val="16"/>
          <w:szCs w:val="16"/>
        </w:rPr>
        <w:t>6; </w:t>
      </w:r>
      <w:hyperlink r:id="rId246" w:history="1">
        <w:r w:rsidR="008F6FFE" w:rsidRPr="00717D4D">
          <w:rPr>
            <w:rFonts w:asciiTheme="minorHAnsi" w:hAnsiTheme="minorHAnsi" w:cstheme="minorHAnsi"/>
            <w:color w:val="000000" w:themeColor="text1"/>
            <w:sz w:val="16"/>
            <w:szCs w:val="16"/>
          </w:rPr>
          <w:t>Società Italiana di Anatomia Patologica e Citologia - SIAPEC</w:t>
        </w:r>
      </w:hyperlink>
      <w:r w:rsidR="008F6FFE" w:rsidRPr="00717D4D">
        <w:rPr>
          <w:rFonts w:asciiTheme="minorHAnsi" w:hAnsiTheme="minorHAnsi" w:cstheme="minorHAnsi"/>
          <w:color w:val="000000" w:themeColor="text1"/>
          <w:sz w:val="16"/>
          <w:szCs w:val="16"/>
        </w:rPr>
        <w:t>.</w:t>
      </w:r>
    </w:p>
    <w:p w:rsidR="008F6FFE" w:rsidRPr="00717D4D" w:rsidRDefault="0052743C" w:rsidP="00717D4D">
      <w:pPr>
        <w:rPr>
          <w:rFonts w:asciiTheme="minorHAnsi" w:hAnsiTheme="minorHAnsi" w:cstheme="minorHAnsi"/>
          <w:color w:val="000000" w:themeColor="text1"/>
          <w:sz w:val="16"/>
          <w:szCs w:val="16"/>
        </w:rPr>
      </w:pPr>
      <w:hyperlink r:id="rId247" w:history="1">
        <w:r w:rsidR="008F6FFE" w:rsidRPr="00717D4D">
          <w:rPr>
            <w:rStyle w:val="Hyperlink"/>
            <w:rFonts w:asciiTheme="minorHAnsi" w:eastAsiaTheme="majorEastAsia" w:hAnsiTheme="minorHAnsi" w:cstheme="minorHAnsi"/>
            <w:color w:val="000000" w:themeColor="text1"/>
            <w:sz w:val="16"/>
            <w:szCs w:val="16"/>
            <w:u w:val="none"/>
          </w:rPr>
          <w:t>https://www.ncbi.nlm.nih.gov/pmc/articles/PMC7190281/pdf/428_2020_Article_2828.pdf</w:t>
        </w:r>
      </w:hyperlink>
    </w:p>
    <w:p w:rsidR="008F6FFE" w:rsidRPr="00717D4D" w:rsidRDefault="008F6FFE" w:rsidP="00717D4D">
      <w:pPr>
        <w:jc w:val="both"/>
        <w:rPr>
          <w:rFonts w:asciiTheme="minorHAnsi" w:hAnsiTheme="minorHAnsi" w:cstheme="minorHAnsi"/>
          <w:color w:val="000000" w:themeColor="text1"/>
          <w:sz w:val="16"/>
          <w:szCs w:val="16"/>
        </w:rPr>
      </w:pPr>
    </w:p>
    <w:p w:rsidR="008F6FFE" w:rsidRPr="00717D4D" w:rsidRDefault="008F6FFE" w:rsidP="00717D4D">
      <w:pPr>
        <w:shd w:val="clear" w:color="auto" w:fill="FFFFFF"/>
        <w:rPr>
          <w:rStyle w:val="mixed-citation"/>
          <w:rFonts w:asciiTheme="minorHAnsi" w:hAnsiTheme="minorHAnsi" w:cstheme="minorHAnsi"/>
          <w:color w:val="000000" w:themeColor="text1"/>
          <w:sz w:val="16"/>
          <w:szCs w:val="16"/>
        </w:rPr>
      </w:pPr>
      <w:r w:rsidRPr="00717D4D">
        <w:rPr>
          <w:rStyle w:val="mixed-citation"/>
          <w:rFonts w:asciiTheme="minorHAnsi" w:hAnsiTheme="minorHAnsi" w:cstheme="minorHAnsi"/>
          <w:color w:val="000000" w:themeColor="text1"/>
          <w:sz w:val="16"/>
          <w:szCs w:val="16"/>
        </w:rPr>
        <w:t>Rapporto ISS COVID-19 n. 6/2020 - Procedura per l’esecuzione di riscontri diagnostici in pazienti deceduti con infezione da SARS-CoV-2. Versione del 23 marzo 2020. </w:t>
      </w:r>
      <w:hyperlink r:id="rId248" w:tgtFrame="_blank" w:history="1">
        <w:r w:rsidRPr="00717D4D">
          <w:rPr>
            <w:rStyle w:val="Hyperlink"/>
            <w:rFonts w:asciiTheme="minorHAnsi" w:eastAsiaTheme="majorEastAsia" w:hAnsiTheme="minorHAnsi" w:cstheme="minorHAnsi"/>
            <w:color w:val="000000" w:themeColor="text1"/>
            <w:sz w:val="16"/>
            <w:szCs w:val="16"/>
            <w:u w:val="none"/>
          </w:rPr>
          <w:t>https://www.iss.it/documents/20126/0/Rapporto+COVID-19+n.+6_2020+Autopsie+v27+marzo.pdf/c4b363a1-a246-c36c-d007-ae24ed7e648b?t=1585307031219</w:t>
        </w:r>
      </w:hyperlink>
      <w:r w:rsidRPr="00717D4D">
        <w:rPr>
          <w:rStyle w:val="mixed-citation"/>
          <w:rFonts w:asciiTheme="minorHAnsi" w:hAnsiTheme="minorHAnsi" w:cstheme="minorHAnsi"/>
          <w:color w:val="000000" w:themeColor="text1"/>
          <w:sz w:val="16"/>
          <w:szCs w:val="16"/>
        </w:rPr>
        <w:t>. Accessed 8 April 2020</w:t>
      </w:r>
    </w:p>
    <w:p w:rsidR="008F6FFE" w:rsidRPr="00717D4D" w:rsidRDefault="008F6FFE" w:rsidP="00717D4D">
      <w:pPr>
        <w:shd w:val="clear" w:color="auto" w:fill="FFFFFF"/>
        <w:rPr>
          <w:rFonts w:asciiTheme="minorHAnsi" w:hAnsiTheme="minorHAnsi" w:cstheme="minorHAnsi"/>
          <w:color w:val="000000" w:themeColor="text1"/>
          <w:sz w:val="16"/>
          <w:szCs w:val="16"/>
        </w:rPr>
      </w:pPr>
    </w:p>
    <w:p w:rsidR="008F6FFE" w:rsidRPr="00717D4D" w:rsidRDefault="008F6FFE" w:rsidP="00717D4D">
      <w:pPr>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rPr>
        <w:t xml:space="preserve">Infezione respiratoria da COVID-19 DOCUMENTO SU AUTOPSIA E RISCONTRO DIAGNOSTICO prodotto da COMLAS E SIAPEC-IAP </w:t>
      </w:r>
    </w:p>
    <w:p w:rsidR="008F6FFE" w:rsidRPr="00717D4D" w:rsidRDefault="0052743C" w:rsidP="00717D4D">
      <w:pPr>
        <w:rPr>
          <w:rFonts w:asciiTheme="minorHAnsi" w:hAnsiTheme="minorHAnsi" w:cstheme="minorHAnsi"/>
          <w:color w:val="000000" w:themeColor="text1"/>
          <w:sz w:val="16"/>
          <w:szCs w:val="16"/>
          <w:lang w:val="en-US"/>
        </w:rPr>
      </w:pPr>
      <w:hyperlink r:id="rId249" w:tgtFrame="_blank" w:history="1">
        <w:r w:rsidR="008F6FFE" w:rsidRPr="00717D4D">
          <w:rPr>
            <w:rStyle w:val="Hyperlink"/>
            <w:rFonts w:asciiTheme="minorHAnsi" w:eastAsiaTheme="majorEastAsia" w:hAnsiTheme="minorHAnsi" w:cstheme="minorHAnsi"/>
            <w:color w:val="000000" w:themeColor="text1"/>
            <w:sz w:val="16"/>
            <w:szCs w:val="16"/>
            <w:u w:val="none"/>
          </w:rPr>
          <w:t>https://www.siapec.it/public/uploads/archiviodocumenti/PRD%20COVID-19-9%20rev001%20010420.pdf</w:t>
        </w:r>
      </w:hyperlink>
      <w:r w:rsidR="008F6FFE" w:rsidRPr="00717D4D">
        <w:rPr>
          <w:rFonts w:asciiTheme="minorHAnsi" w:hAnsiTheme="minorHAnsi" w:cstheme="minorHAnsi"/>
          <w:color w:val="000000" w:themeColor="text1"/>
          <w:sz w:val="16"/>
          <w:szCs w:val="16"/>
        </w:rPr>
        <w:t xml:space="preserve">. </w:t>
      </w:r>
      <w:r w:rsidR="008F6FFE" w:rsidRPr="00717D4D">
        <w:rPr>
          <w:rFonts w:asciiTheme="minorHAnsi" w:hAnsiTheme="minorHAnsi" w:cstheme="minorHAnsi"/>
          <w:color w:val="000000" w:themeColor="text1"/>
          <w:sz w:val="16"/>
          <w:szCs w:val="16"/>
          <w:lang w:val="en-US"/>
        </w:rPr>
        <w:t>Accessed 8 April 2020</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52743C" w:rsidP="00717D4D">
      <w:pPr>
        <w:jc w:val="both"/>
        <w:rPr>
          <w:rFonts w:asciiTheme="minorHAnsi" w:hAnsiTheme="minorHAnsi" w:cstheme="minorHAnsi"/>
          <w:color w:val="000000" w:themeColor="text1"/>
          <w:sz w:val="16"/>
          <w:szCs w:val="16"/>
          <w:lang w:val="en-US"/>
        </w:rPr>
      </w:pPr>
      <w:hyperlink r:id="rId250" w:tooltip="Pathologica." w:history="1">
        <w:r w:rsidR="008F6FFE" w:rsidRPr="00717D4D">
          <w:rPr>
            <w:rFonts w:asciiTheme="minorHAnsi" w:hAnsiTheme="minorHAnsi" w:cstheme="minorHAnsi"/>
            <w:color w:val="000000" w:themeColor="text1"/>
            <w:sz w:val="16"/>
            <w:szCs w:val="16"/>
            <w:lang w:val="en-US"/>
          </w:rPr>
          <w:t>Pathologica.</w:t>
        </w:r>
      </w:hyperlink>
      <w:r w:rsidR="008F6FFE" w:rsidRPr="00717D4D">
        <w:rPr>
          <w:rFonts w:asciiTheme="minorHAnsi" w:hAnsiTheme="minorHAnsi" w:cstheme="minorHAnsi"/>
          <w:color w:val="000000" w:themeColor="text1"/>
          <w:sz w:val="16"/>
          <w:szCs w:val="16"/>
          <w:lang w:val="en-US"/>
        </w:rPr>
        <w:t xml:space="preserve"> 2020 Mar 26. doi: 10.32074/1591-951X-13-20. </w:t>
      </w:r>
    </w:p>
    <w:p w:rsidR="008F6FFE" w:rsidRPr="00717D4D" w:rsidRDefault="008F6FFE" w:rsidP="00717D4D">
      <w:pPr>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Management of the corpse with suspect, probable or confirmed COVID-19 respiratory infection – Italian interim recommendations for personnel potentially exposed to material from corpses, including body fluids, in morgue structures, during autopsy practice</w:t>
      </w:r>
    </w:p>
    <w:p w:rsidR="008F6FFE" w:rsidRPr="00717D4D" w:rsidRDefault="0052743C" w:rsidP="00717D4D">
      <w:pPr>
        <w:jc w:val="both"/>
        <w:rPr>
          <w:rFonts w:asciiTheme="minorHAnsi" w:hAnsiTheme="minorHAnsi" w:cstheme="minorHAnsi"/>
          <w:color w:val="000000" w:themeColor="text1"/>
          <w:sz w:val="16"/>
          <w:szCs w:val="16"/>
          <w:lang w:val="en-US"/>
        </w:rPr>
      </w:pPr>
      <w:hyperlink r:id="rId251" w:history="1">
        <w:r w:rsidR="008F6FFE" w:rsidRPr="00717D4D">
          <w:rPr>
            <w:rFonts w:asciiTheme="minorHAnsi" w:hAnsiTheme="minorHAnsi" w:cstheme="minorHAnsi"/>
            <w:color w:val="000000" w:themeColor="text1"/>
            <w:sz w:val="16"/>
            <w:szCs w:val="16"/>
            <w:lang w:val="en-US"/>
          </w:rPr>
          <w:t>Fineschi V</w:t>
        </w:r>
      </w:hyperlink>
      <w:r w:rsidR="008F6FFE" w:rsidRPr="00717D4D">
        <w:rPr>
          <w:rFonts w:asciiTheme="minorHAnsi" w:hAnsiTheme="minorHAnsi" w:cstheme="minorHAnsi"/>
          <w:color w:val="000000" w:themeColor="text1"/>
          <w:sz w:val="16"/>
          <w:szCs w:val="16"/>
          <w:lang w:val="en-US"/>
        </w:rPr>
        <w:t xml:space="preserve"> et al ; </w:t>
      </w:r>
      <w:hyperlink r:id="rId252" w:history="1">
        <w:r w:rsidR="008F6FFE" w:rsidRPr="00717D4D">
          <w:rPr>
            <w:rFonts w:asciiTheme="minorHAnsi" w:hAnsiTheme="minorHAnsi" w:cstheme="minorHAnsi"/>
            <w:color w:val="000000" w:themeColor="text1"/>
            <w:sz w:val="16"/>
            <w:szCs w:val="16"/>
            <w:lang w:val="en-US"/>
          </w:rPr>
          <w:t>Scientific Society of Hospital Legal Medicine of the National Health System (COMLAS)</w:t>
        </w:r>
      </w:hyperlink>
      <w:r w:rsidR="008F6FFE" w:rsidRPr="00717D4D">
        <w:rPr>
          <w:rFonts w:asciiTheme="minorHAnsi" w:hAnsiTheme="minorHAnsi" w:cstheme="minorHAnsi"/>
          <w:color w:val="000000" w:themeColor="text1"/>
          <w:sz w:val="16"/>
          <w:szCs w:val="16"/>
          <w:lang w:val="en-US"/>
        </w:rPr>
        <w:t>, </w:t>
      </w:r>
      <w:hyperlink r:id="rId253" w:history="1">
        <w:r w:rsidR="008F6FFE" w:rsidRPr="00717D4D">
          <w:rPr>
            <w:rFonts w:asciiTheme="minorHAnsi" w:hAnsiTheme="minorHAnsi" w:cstheme="minorHAnsi"/>
            <w:color w:val="000000" w:themeColor="text1"/>
            <w:sz w:val="16"/>
            <w:szCs w:val="16"/>
            <w:lang w:val="en-US"/>
          </w:rPr>
          <w:t>Crivelli F</w:t>
        </w:r>
      </w:hyperlink>
      <w:r w:rsidR="008F6FFE" w:rsidRPr="00717D4D">
        <w:rPr>
          <w:rFonts w:asciiTheme="minorHAnsi" w:hAnsiTheme="minorHAnsi" w:cstheme="minorHAnsi"/>
          <w:color w:val="000000" w:themeColor="text1"/>
          <w:sz w:val="16"/>
          <w:szCs w:val="16"/>
          <w:lang w:val="en-US"/>
        </w:rPr>
        <w:t>20, </w:t>
      </w:r>
      <w:hyperlink r:id="rId254" w:history="1">
        <w:r w:rsidR="008F6FFE" w:rsidRPr="00717D4D">
          <w:rPr>
            <w:rFonts w:asciiTheme="minorHAnsi" w:hAnsiTheme="minorHAnsi" w:cstheme="minorHAnsi"/>
            <w:color w:val="000000" w:themeColor="text1"/>
            <w:sz w:val="16"/>
            <w:szCs w:val="16"/>
            <w:lang w:val="en-US"/>
          </w:rPr>
          <w:t>Bonoldi E</w:t>
        </w:r>
      </w:hyperlink>
      <w:r w:rsidR="008F6FFE" w:rsidRPr="00717D4D">
        <w:rPr>
          <w:rFonts w:asciiTheme="minorHAnsi" w:hAnsiTheme="minorHAnsi" w:cstheme="minorHAnsi"/>
          <w:color w:val="000000" w:themeColor="text1"/>
          <w:sz w:val="16"/>
          <w:szCs w:val="16"/>
          <w:lang w:val="en-US"/>
        </w:rPr>
        <w:t>21, </w:t>
      </w:r>
      <w:hyperlink r:id="rId255" w:history="1">
        <w:r w:rsidR="008F6FFE" w:rsidRPr="00717D4D">
          <w:rPr>
            <w:rFonts w:asciiTheme="minorHAnsi" w:hAnsiTheme="minorHAnsi" w:cstheme="minorHAnsi"/>
            <w:color w:val="000000" w:themeColor="text1"/>
            <w:sz w:val="16"/>
            <w:szCs w:val="16"/>
            <w:lang w:val="en-US"/>
          </w:rPr>
          <w:t>Facchetti F</w:t>
        </w:r>
      </w:hyperlink>
      <w:r w:rsidR="008F6FFE" w:rsidRPr="00717D4D">
        <w:rPr>
          <w:rFonts w:asciiTheme="minorHAnsi" w:hAnsiTheme="minorHAnsi" w:cstheme="minorHAnsi"/>
          <w:color w:val="000000" w:themeColor="text1"/>
          <w:sz w:val="16"/>
          <w:szCs w:val="16"/>
          <w:lang w:val="en-US"/>
        </w:rPr>
        <w:t>22, </w:t>
      </w:r>
      <w:hyperlink r:id="rId256" w:history="1">
        <w:r w:rsidR="008F6FFE" w:rsidRPr="00717D4D">
          <w:rPr>
            <w:rFonts w:asciiTheme="minorHAnsi" w:hAnsiTheme="minorHAnsi" w:cstheme="minorHAnsi"/>
            <w:color w:val="000000" w:themeColor="text1"/>
            <w:sz w:val="16"/>
            <w:szCs w:val="16"/>
            <w:lang w:val="en-US"/>
          </w:rPr>
          <w:t>Nebuloni M</w:t>
        </w:r>
      </w:hyperlink>
      <w:r w:rsidR="008F6FFE" w:rsidRPr="00717D4D">
        <w:rPr>
          <w:rFonts w:asciiTheme="minorHAnsi" w:hAnsiTheme="minorHAnsi" w:cstheme="minorHAnsi"/>
          <w:color w:val="000000" w:themeColor="text1"/>
          <w:sz w:val="16"/>
          <w:szCs w:val="16"/>
          <w:lang w:val="en-US"/>
        </w:rPr>
        <w:t>23, </w:t>
      </w:r>
      <w:hyperlink r:id="rId257" w:history="1">
        <w:r w:rsidR="008F6FFE" w:rsidRPr="00717D4D">
          <w:rPr>
            <w:rFonts w:asciiTheme="minorHAnsi" w:hAnsiTheme="minorHAnsi" w:cstheme="minorHAnsi"/>
            <w:color w:val="000000" w:themeColor="text1"/>
            <w:sz w:val="16"/>
            <w:szCs w:val="16"/>
            <w:lang w:val="en-US"/>
          </w:rPr>
          <w:t>Sapino A</w:t>
        </w:r>
      </w:hyperlink>
      <w:r w:rsidR="008F6FFE" w:rsidRPr="00717D4D">
        <w:rPr>
          <w:rFonts w:asciiTheme="minorHAnsi" w:hAnsiTheme="minorHAnsi" w:cstheme="minorHAnsi"/>
          <w:color w:val="000000" w:themeColor="text1"/>
          <w:sz w:val="16"/>
          <w:szCs w:val="16"/>
          <w:lang w:val="en-US"/>
        </w:rPr>
        <w:t>24,25; </w:t>
      </w:r>
      <w:hyperlink r:id="rId258" w:history="1">
        <w:r w:rsidR="008F6FFE" w:rsidRPr="00717D4D">
          <w:rPr>
            <w:rFonts w:asciiTheme="minorHAnsi" w:hAnsiTheme="minorHAnsi" w:cstheme="minorHAnsi"/>
            <w:color w:val="000000" w:themeColor="text1"/>
            <w:sz w:val="16"/>
            <w:szCs w:val="16"/>
            <w:lang w:val="en-US"/>
          </w:rPr>
          <w:t>Italian Society of Anatomical Pathology and Cytology (SIAPEC)</w:t>
        </w:r>
      </w:hyperlink>
      <w:r w:rsidR="008F6FFE" w:rsidRPr="00717D4D">
        <w:rPr>
          <w:rFonts w:asciiTheme="minorHAnsi" w:hAnsiTheme="minorHAnsi" w:cstheme="minorHAnsi"/>
          <w:color w:val="000000" w:themeColor="text1"/>
          <w:sz w:val="16"/>
          <w:szCs w:val="16"/>
          <w:lang w:val="en-US"/>
        </w:rPr>
        <w:t>.</w:t>
      </w:r>
    </w:p>
    <w:p w:rsidR="008F6FFE" w:rsidRPr="00A832DC" w:rsidRDefault="0052743C" w:rsidP="00717D4D">
      <w:pPr>
        <w:rPr>
          <w:rFonts w:asciiTheme="minorHAnsi" w:hAnsiTheme="minorHAnsi" w:cstheme="minorHAnsi"/>
          <w:color w:val="000000" w:themeColor="text1"/>
          <w:sz w:val="16"/>
          <w:szCs w:val="16"/>
          <w:lang w:val="en-US"/>
        </w:rPr>
      </w:pPr>
      <w:hyperlink r:id="rId259" w:history="1">
        <w:r w:rsidR="008F6FFE" w:rsidRPr="00A832DC">
          <w:rPr>
            <w:rStyle w:val="Hyperlink"/>
            <w:rFonts w:asciiTheme="minorHAnsi" w:eastAsiaTheme="majorEastAsia" w:hAnsiTheme="minorHAnsi" w:cstheme="minorHAnsi"/>
            <w:color w:val="000000" w:themeColor="text1"/>
            <w:sz w:val="16"/>
            <w:szCs w:val="16"/>
            <w:u w:val="none"/>
            <w:lang w:val="en-US"/>
          </w:rPr>
          <w:t>https://www.pathologica.it/article/view/101/132</w:t>
        </w:r>
      </w:hyperlink>
    </w:p>
    <w:p w:rsidR="008F6FFE" w:rsidRPr="00A832DC" w:rsidRDefault="008F6FFE" w:rsidP="00717D4D">
      <w:pPr>
        <w:jc w:val="both"/>
        <w:rPr>
          <w:rFonts w:asciiTheme="minorHAnsi" w:hAnsiTheme="minorHAnsi" w:cstheme="minorHAnsi"/>
          <w:color w:val="000000" w:themeColor="text1"/>
          <w:sz w:val="16"/>
          <w:szCs w:val="16"/>
          <w:lang w:val="en-US"/>
        </w:rPr>
      </w:pPr>
    </w:p>
    <w:p w:rsidR="008F6FFE" w:rsidRPr="00717D4D" w:rsidRDefault="0052743C" w:rsidP="00717D4D">
      <w:pPr>
        <w:jc w:val="both"/>
        <w:rPr>
          <w:rFonts w:asciiTheme="minorHAnsi" w:hAnsiTheme="minorHAnsi" w:cstheme="minorHAnsi"/>
          <w:color w:val="000000" w:themeColor="text1"/>
          <w:sz w:val="16"/>
          <w:szCs w:val="16"/>
          <w:lang w:val="en-US"/>
        </w:rPr>
      </w:pPr>
      <w:hyperlink r:id="rId260" w:tooltip="Annals of internal medicine." w:history="1">
        <w:r w:rsidR="008F6FFE" w:rsidRPr="00717D4D">
          <w:rPr>
            <w:rFonts w:asciiTheme="minorHAnsi" w:hAnsiTheme="minorHAnsi" w:cstheme="minorHAnsi"/>
            <w:color w:val="000000" w:themeColor="text1"/>
            <w:sz w:val="16"/>
            <w:szCs w:val="16"/>
            <w:lang w:val="en-US"/>
          </w:rPr>
          <w:t>Ann Intern Med.</w:t>
        </w:r>
      </w:hyperlink>
      <w:r w:rsidR="008F6FFE" w:rsidRPr="00717D4D">
        <w:rPr>
          <w:rFonts w:asciiTheme="minorHAnsi" w:hAnsiTheme="minorHAnsi" w:cstheme="minorHAnsi"/>
          <w:color w:val="000000" w:themeColor="text1"/>
          <w:sz w:val="16"/>
          <w:szCs w:val="16"/>
          <w:lang w:val="en-US"/>
        </w:rPr>
        <w:t> 2020 May 6. doi: 10.7326/M20-2003</w:t>
      </w:r>
    </w:p>
    <w:p w:rsidR="008F6FFE" w:rsidRPr="00717D4D" w:rsidRDefault="008F6FFE" w:rsidP="00717D4D">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Autopsy Findings and Venous Thromboembolism in Patients With COVID-19: A Prospective Cohort Study.</w:t>
      </w:r>
    </w:p>
    <w:p w:rsidR="008F6FFE" w:rsidRPr="00235A16" w:rsidRDefault="0052743C" w:rsidP="00717D4D">
      <w:pPr>
        <w:jc w:val="both"/>
        <w:rPr>
          <w:rFonts w:asciiTheme="minorHAnsi" w:hAnsiTheme="minorHAnsi" w:cstheme="minorHAnsi"/>
          <w:color w:val="000000" w:themeColor="text1"/>
          <w:sz w:val="16"/>
          <w:szCs w:val="16"/>
          <w:lang w:val="de-DE"/>
        </w:rPr>
      </w:pPr>
      <w:hyperlink r:id="rId261" w:history="1">
        <w:r w:rsidR="008F6FFE" w:rsidRPr="00235A16">
          <w:rPr>
            <w:rFonts w:asciiTheme="minorHAnsi" w:hAnsiTheme="minorHAnsi" w:cstheme="minorHAnsi"/>
            <w:color w:val="000000" w:themeColor="text1"/>
            <w:sz w:val="16"/>
            <w:szCs w:val="16"/>
            <w:lang w:val="de-DE"/>
          </w:rPr>
          <w:t>Wichmann D</w:t>
        </w:r>
      </w:hyperlink>
      <w:r w:rsidR="008F6FFE" w:rsidRPr="00235A16">
        <w:rPr>
          <w:rFonts w:asciiTheme="minorHAnsi" w:hAnsiTheme="minorHAnsi" w:cstheme="minorHAnsi"/>
          <w:color w:val="000000" w:themeColor="text1"/>
          <w:sz w:val="16"/>
          <w:szCs w:val="16"/>
          <w:lang w:val="de-DE"/>
        </w:rPr>
        <w:t xml:space="preserve"> et al</w:t>
      </w:r>
    </w:p>
    <w:p w:rsidR="008F6FFE" w:rsidRPr="00235A16" w:rsidRDefault="0052743C" w:rsidP="004C77C2">
      <w:pPr>
        <w:rPr>
          <w:rFonts w:asciiTheme="minorHAnsi" w:hAnsiTheme="minorHAnsi" w:cstheme="minorHAnsi"/>
          <w:color w:val="000000" w:themeColor="text1"/>
          <w:sz w:val="16"/>
          <w:szCs w:val="16"/>
          <w:lang w:val="de-DE"/>
        </w:rPr>
      </w:pPr>
      <w:hyperlink r:id="rId262" w:history="1">
        <w:r w:rsidR="008F6FFE" w:rsidRPr="00235A16">
          <w:rPr>
            <w:rFonts w:asciiTheme="minorHAnsi" w:hAnsiTheme="minorHAnsi" w:cstheme="minorHAnsi"/>
            <w:color w:val="000000" w:themeColor="text1"/>
            <w:sz w:val="16"/>
            <w:szCs w:val="16"/>
            <w:lang w:val="de-DE"/>
          </w:rPr>
          <w:t>https://www.ncbi.nlm.nih.gov/pmc/articles/PMC7240772/pdf/aim-olf-M202003.pdf</w:t>
        </w:r>
      </w:hyperlink>
    </w:p>
    <w:p w:rsidR="008F6FFE" w:rsidRPr="00235A16" w:rsidRDefault="008F6FFE" w:rsidP="00717D4D">
      <w:pPr>
        <w:jc w:val="both"/>
        <w:rPr>
          <w:rFonts w:asciiTheme="minorHAnsi" w:hAnsiTheme="minorHAnsi" w:cstheme="minorHAnsi"/>
          <w:color w:val="000000" w:themeColor="text1"/>
          <w:sz w:val="16"/>
          <w:szCs w:val="16"/>
          <w:lang w:val="de-DE"/>
        </w:rPr>
      </w:pPr>
    </w:p>
    <w:p w:rsidR="008F6FFE" w:rsidRPr="004C77C2" w:rsidRDefault="0052743C" w:rsidP="00717D4D">
      <w:pPr>
        <w:jc w:val="both"/>
        <w:rPr>
          <w:rFonts w:asciiTheme="minorHAnsi" w:hAnsiTheme="minorHAnsi" w:cstheme="minorHAnsi"/>
          <w:color w:val="000000" w:themeColor="text1"/>
          <w:sz w:val="16"/>
          <w:szCs w:val="16"/>
          <w:lang w:val="en-US"/>
        </w:rPr>
      </w:pPr>
      <w:hyperlink r:id="rId263" w:tooltip="Journal of clinical pathology." w:history="1">
        <w:r w:rsidR="008F6FFE" w:rsidRPr="004C77C2">
          <w:rPr>
            <w:rFonts w:asciiTheme="minorHAnsi" w:hAnsiTheme="minorHAnsi" w:cstheme="minorHAnsi"/>
            <w:color w:val="000000" w:themeColor="text1"/>
            <w:sz w:val="16"/>
            <w:szCs w:val="16"/>
            <w:lang w:val="en-US"/>
          </w:rPr>
          <w:t>J Clin Pathol.</w:t>
        </w:r>
      </w:hyperlink>
      <w:r w:rsidR="008F6FFE" w:rsidRPr="004C77C2">
        <w:rPr>
          <w:rFonts w:asciiTheme="minorHAnsi" w:hAnsiTheme="minorHAnsi" w:cstheme="minorHAnsi"/>
          <w:color w:val="000000" w:themeColor="text1"/>
          <w:sz w:val="16"/>
          <w:szCs w:val="16"/>
          <w:lang w:val="en-US"/>
        </w:rPr>
        <w:t> 2020 May;73(5):239-242. doi: 10.1136/jclinpath-2020-206522. Epub 2020 Mar 20.</w:t>
      </w:r>
    </w:p>
    <w:p w:rsidR="008F6FFE" w:rsidRPr="004C77C2" w:rsidRDefault="008F6FFE" w:rsidP="00717D4D">
      <w:pPr>
        <w:jc w:val="both"/>
        <w:rPr>
          <w:rFonts w:asciiTheme="minorHAnsi" w:hAnsiTheme="minorHAnsi" w:cstheme="minorHAnsi"/>
          <w:color w:val="000000" w:themeColor="text1"/>
          <w:sz w:val="16"/>
          <w:szCs w:val="16"/>
          <w:lang w:val="en-US"/>
        </w:rPr>
      </w:pPr>
      <w:r w:rsidRPr="004C77C2">
        <w:rPr>
          <w:rFonts w:asciiTheme="minorHAnsi" w:hAnsiTheme="minorHAnsi" w:cstheme="minorHAnsi"/>
          <w:color w:val="000000" w:themeColor="text1"/>
          <w:sz w:val="16"/>
          <w:szCs w:val="16"/>
          <w:lang w:val="en-US"/>
        </w:rPr>
        <w:t>Autopsy in suspected COVID-19 cases.</w:t>
      </w:r>
    </w:p>
    <w:p w:rsidR="008F6FFE" w:rsidRPr="004C77C2" w:rsidRDefault="0052743C" w:rsidP="00717D4D">
      <w:pPr>
        <w:jc w:val="both"/>
        <w:rPr>
          <w:rFonts w:asciiTheme="minorHAnsi" w:hAnsiTheme="minorHAnsi" w:cstheme="minorHAnsi"/>
          <w:color w:val="000000" w:themeColor="text1"/>
          <w:sz w:val="16"/>
          <w:szCs w:val="16"/>
          <w:lang w:val="en-US"/>
        </w:rPr>
      </w:pPr>
      <w:hyperlink r:id="rId264" w:history="1">
        <w:r w:rsidR="008F6FFE" w:rsidRPr="004C77C2">
          <w:rPr>
            <w:rFonts w:asciiTheme="minorHAnsi" w:hAnsiTheme="minorHAnsi" w:cstheme="minorHAnsi"/>
            <w:color w:val="000000" w:themeColor="text1"/>
            <w:sz w:val="16"/>
            <w:szCs w:val="16"/>
            <w:lang w:val="en-US"/>
          </w:rPr>
          <w:t>Hanley B</w:t>
        </w:r>
      </w:hyperlink>
      <w:r w:rsidR="008F6FFE" w:rsidRPr="004C77C2">
        <w:rPr>
          <w:rFonts w:asciiTheme="minorHAnsi" w:hAnsiTheme="minorHAnsi" w:cstheme="minorHAnsi"/>
          <w:color w:val="000000" w:themeColor="text1"/>
          <w:sz w:val="16"/>
          <w:szCs w:val="16"/>
          <w:lang w:val="en-US"/>
        </w:rPr>
        <w:t>1, </w:t>
      </w:r>
      <w:hyperlink r:id="rId265" w:history="1">
        <w:r w:rsidR="008F6FFE" w:rsidRPr="004C77C2">
          <w:rPr>
            <w:rFonts w:asciiTheme="minorHAnsi" w:hAnsiTheme="minorHAnsi" w:cstheme="minorHAnsi"/>
            <w:color w:val="000000" w:themeColor="text1"/>
            <w:sz w:val="16"/>
            <w:szCs w:val="16"/>
            <w:lang w:val="en-US"/>
          </w:rPr>
          <w:t>Lucas SB</w:t>
        </w:r>
      </w:hyperlink>
      <w:r w:rsidR="008F6FFE" w:rsidRPr="004C77C2">
        <w:rPr>
          <w:rFonts w:asciiTheme="minorHAnsi" w:hAnsiTheme="minorHAnsi" w:cstheme="minorHAnsi"/>
          <w:color w:val="000000" w:themeColor="text1"/>
          <w:sz w:val="16"/>
          <w:szCs w:val="16"/>
          <w:lang w:val="en-US"/>
        </w:rPr>
        <w:t>2, </w:t>
      </w:r>
      <w:hyperlink r:id="rId266" w:history="1">
        <w:r w:rsidR="008F6FFE" w:rsidRPr="004C77C2">
          <w:rPr>
            <w:rFonts w:asciiTheme="minorHAnsi" w:hAnsiTheme="minorHAnsi" w:cstheme="minorHAnsi"/>
            <w:color w:val="000000" w:themeColor="text1"/>
            <w:sz w:val="16"/>
            <w:szCs w:val="16"/>
            <w:lang w:val="en-US"/>
          </w:rPr>
          <w:t>Youd E</w:t>
        </w:r>
      </w:hyperlink>
      <w:r w:rsidR="008F6FFE" w:rsidRPr="004C77C2">
        <w:rPr>
          <w:rFonts w:asciiTheme="minorHAnsi" w:hAnsiTheme="minorHAnsi" w:cstheme="minorHAnsi"/>
          <w:color w:val="000000" w:themeColor="text1"/>
          <w:sz w:val="16"/>
          <w:szCs w:val="16"/>
          <w:lang w:val="en-US"/>
        </w:rPr>
        <w:t>3, </w:t>
      </w:r>
      <w:hyperlink r:id="rId267" w:history="1">
        <w:r w:rsidR="008F6FFE" w:rsidRPr="004C77C2">
          <w:rPr>
            <w:rFonts w:asciiTheme="minorHAnsi" w:hAnsiTheme="minorHAnsi" w:cstheme="minorHAnsi"/>
            <w:color w:val="000000" w:themeColor="text1"/>
            <w:sz w:val="16"/>
            <w:szCs w:val="16"/>
            <w:lang w:val="en-US"/>
          </w:rPr>
          <w:t>Swift B</w:t>
        </w:r>
      </w:hyperlink>
      <w:r w:rsidR="008F6FFE" w:rsidRPr="004C77C2">
        <w:rPr>
          <w:rFonts w:asciiTheme="minorHAnsi" w:hAnsiTheme="minorHAnsi" w:cstheme="minorHAnsi"/>
          <w:color w:val="000000" w:themeColor="text1"/>
          <w:sz w:val="16"/>
          <w:szCs w:val="16"/>
          <w:lang w:val="en-US"/>
        </w:rPr>
        <w:t>4, </w:t>
      </w:r>
      <w:hyperlink r:id="rId268" w:history="1">
        <w:r w:rsidR="008F6FFE" w:rsidRPr="004C77C2">
          <w:rPr>
            <w:rFonts w:asciiTheme="minorHAnsi" w:hAnsiTheme="minorHAnsi" w:cstheme="minorHAnsi"/>
            <w:color w:val="000000" w:themeColor="text1"/>
            <w:sz w:val="16"/>
            <w:szCs w:val="16"/>
            <w:lang w:val="en-US"/>
          </w:rPr>
          <w:t>Osborn M</w:t>
        </w:r>
      </w:hyperlink>
      <w:r w:rsidR="008F6FFE" w:rsidRPr="004C77C2">
        <w:rPr>
          <w:rFonts w:asciiTheme="minorHAnsi" w:hAnsiTheme="minorHAnsi" w:cstheme="minorHAnsi"/>
          <w:color w:val="000000" w:themeColor="text1"/>
          <w:sz w:val="16"/>
          <w:szCs w:val="16"/>
          <w:lang w:val="en-US"/>
        </w:rPr>
        <w:t>5.</w:t>
      </w:r>
    </w:p>
    <w:p w:rsidR="008F6FFE" w:rsidRPr="004C77C2" w:rsidRDefault="0052743C" w:rsidP="004C77C2">
      <w:pPr>
        <w:rPr>
          <w:rFonts w:asciiTheme="minorHAnsi" w:hAnsiTheme="minorHAnsi" w:cstheme="minorHAnsi"/>
          <w:color w:val="000000" w:themeColor="text1"/>
          <w:sz w:val="16"/>
          <w:szCs w:val="16"/>
          <w:lang w:val="en-US"/>
        </w:rPr>
      </w:pPr>
      <w:hyperlink r:id="rId269" w:history="1">
        <w:r w:rsidR="008F6FFE" w:rsidRPr="004C77C2">
          <w:rPr>
            <w:rFonts w:asciiTheme="minorHAnsi" w:hAnsiTheme="minorHAnsi" w:cstheme="minorHAnsi"/>
            <w:color w:val="000000" w:themeColor="text1"/>
            <w:sz w:val="16"/>
            <w:szCs w:val="16"/>
            <w:lang w:val="en-US"/>
          </w:rPr>
          <w:t>https://jcp.bmj.com/content/jclinpath/73/5/239.full.pdf</w:t>
        </w:r>
      </w:hyperlink>
    </w:p>
    <w:p w:rsidR="008F6FFE" w:rsidRPr="00717D4D" w:rsidRDefault="008F6FFE" w:rsidP="00717D4D">
      <w:pPr>
        <w:jc w:val="both"/>
        <w:rPr>
          <w:rFonts w:asciiTheme="minorHAnsi" w:hAnsiTheme="minorHAnsi" w:cstheme="minorHAnsi"/>
          <w:color w:val="000000" w:themeColor="text1"/>
          <w:sz w:val="16"/>
          <w:szCs w:val="16"/>
          <w:lang w:val="en-US"/>
        </w:rPr>
      </w:pPr>
    </w:p>
    <w:p w:rsidR="008F6FFE" w:rsidRPr="000547D3" w:rsidRDefault="0052743C" w:rsidP="00717D4D">
      <w:pPr>
        <w:jc w:val="both"/>
        <w:rPr>
          <w:rFonts w:asciiTheme="minorHAnsi" w:hAnsiTheme="minorHAnsi" w:cstheme="minorHAnsi"/>
          <w:color w:val="000000" w:themeColor="text1"/>
          <w:sz w:val="16"/>
          <w:szCs w:val="16"/>
          <w:lang w:val="en-US"/>
        </w:rPr>
      </w:pPr>
      <w:hyperlink r:id="rId270" w:tooltip="Annals of internal medicine." w:history="1">
        <w:r w:rsidR="008F6FFE" w:rsidRPr="000547D3">
          <w:rPr>
            <w:rFonts w:asciiTheme="minorHAnsi" w:hAnsiTheme="minorHAnsi" w:cstheme="minorHAnsi"/>
            <w:color w:val="000000" w:themeColor="text1"/>
            <w:sz w:val="16"/>
            <w:szCs w:val="16"/>
            <w:lang w:val="en-US"/>
          </w:rPr>
          <w:t>Ann Intern Med.</w:t>
        </w:r>
      </w:hyperlink>
      <w:r w:rsidR="008F6FFE" w:rsidRPr="000547D3">
        <w:rPr>
          <w:rFonts w:asciiTheme="minorHAnsi" w:hAnsiTheme="minorHAnsi" w:cstheme="minorHAnsi"/>
          <w:color w:val="000000" w:themeColor="text1"/>
          <w:sz w:val="16"/>
          <w:szCs w:val="16"/>
          <w:lang w:val="en-US"/>
        </w:rPr>
        <w:t xml:space="preserve"> 2020 May 14. doi: 10.7326/M20-2566. </w:t>
      </w:r>
    </w:p>
    <w:p w:rsidR="008F6FFE" w:rsidRPr="000547D3" w:rsidRDefault="008F6FFE" w:rsidP="00717D4D">
      <w:pPr>
        <w:jc w:val="both"/>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lang w:val="en-US"/>
        </w:rPr>
        <w:t>Pulmonary Arterial Thrombosis in COVID-19 With Fatal Outcome: Results From a Prospective, Single-Center, Clinicopathologic Case Series.</w:t>
      </w:r>
    </w:p>
    <w:p w:rsidR="008F6FFE" w:rsidRPr="00235A16" w:rsidRDefault="0052743C" w:rsidP="00717D4D">
      <w:pPr>
        <w:jc w:val="both"/>
        <w:rPr>
          <w:rFonts w:asciiTheme="minorHAnsi" w:hAnsiTheme="minorHAnsi" w:cstheme="minorHAnsi"/>
          <w:color w:val="000000" w:themeColor="text1"/>
          <w:sz w:val="16"/>
          <w:szCs w:val="16"/>
          <w:lang w:val="de-DE"/>
        </w:rPr>
      </w:pPr>
      <w:hyperlink r:id="rId271" w:history="1">
        <w:r w:rsidR="008F6FFE" w:rsidRPr="00235A16">
          <w:rPr>
            <w:rFonts w:asciiTheme="minorHAnsi" w:hAnsiTheme="minorHAnsi" w:cstheme="minorHAnsi"/>
            <w:color w:val="000000" w:themeColor="text1"/>
            <w:sz w:val="16"/>
            <w:szCs w:val="16"/>
            <w:lang w:val="de-DE"/>
          </w:rPr>
          <w:t>Lax SF</w:t>
        </w:r>
      </w:hyperlink>
      <w:r w:rsidR="008F6FFE" w:rsidRPr="00235A16">
        <w:rPr>
          <w:rFonts w:asciiTheme="minorHAnsi" w:hAnsiTheme="minorHAnsi" w:cstheme="minorHAnsi"/>
          <w:color w:val="000000" w:themeColor="text1"/>
          <w:sz w:val="16"/>
          <w:szCs w:val="16"/>
          <w:lang w:val="de-DE"/>
        </w:rPr>
        <w:t>1, </w:t>
      </w:r>
      <w:hyperlink r:id="rId272" w:history="1">
        <w:r w:rsidR="008F6FFE" w:rsidRPr="00235A16">
          <w:rPr>
            <w:rFonts w:asciiTheme="minorHAnsi" w:hAnsiTheme="minorHAnsi" w:cstheme="minorHAnsi"/>
            <w:color w:val="000000" w:themeColor="text1"/>
            <w:sz w:val="16"/>
            <w:szCs w:val="16"/>
            <w:lang w:val="de-DE"/>
          </w:rPr>
          <w:t>Skok K</w:t>
        </w:r>
      </w:hyperlink>
      <w:r w:rsidR="008F6FFE" w:rsidRPr="00235A16">
        <w:rPr>
          <w:rFonts w:asciiTheme="minorHAnsi" w:hAnsiTheme="minorHAnsi" w:cstheme="minorHAnsi"/>
          <w:color w:val="000000" w:themeColor="text1"/>
          <w:sz w:val="16"/>
          <w:szCs w:val="16"/>
          <w:lang w:val="de-DE"/>
        </w:rPr>
        <w:t>2, </w:t>
      </w:r>
      <w:hyperlink r:id="rId273" w:history="1">
        <w:r w:rsidR="008F6FFE" w:rsidRPr="00235A16">
          <w:rPr>
            <w:rFonts w:asciiTheme="minorHAnsi" w:hAnsiTheme="minorHAnsi" w:cstheme="minorHAnsi"/>
            <w:color w:val="000000" w:themeColor="text1"/>
            <w:sz w:val="16"/>
            <w:szCs w:val="16"/>
            <w:lang w:val="de-DE"/>
          </w:rPr>
          <w:t>Zechner P</w:t>
        </w:r>
      </w:hyperlink>
      <w:r w:rsidR="008F6FFE" w:rsidRPr="00235A16">
        <w:rPr>
          <w:rFonts w:asciiTheme="minorHAnsi" w:hAnsiTheme="minorHAnsi" w:cstheme="minorHAnsi"/>
          <w:color w:val="000000" w:themeColor="text1"/>
          <w:sz w:val="16"/>
          <w:szCs w:val="16"/>
          <w:lang w:val="de-DE"/>
        </w:rPr>
        <w:t>2, </w:t>
      </w:r>
      <w:hyperlink r:id="rId274" w:history="1">
        <w:r w:rsidR="008F6FFE" w:rsidRPr="00235A16">
          <w:rPr>
            <w:rFonts w:asciiTheme="minorHAnsi" w:hAnsiTheme="minorHAnsi" w:cstheme="minorHAnsi"/>
            <w:color w:val="000000" w:themeColor="text1"/>
            <w:sz w:val="16"/>
            <w:szCs w:val="16"/>
            <w:lang w:val="de-DE"/>
          </w:rPr>
          <w:t>Kessler HH</w:t>
        </w:r>
      </w:hyperlink>
      <w:r w:rsidR="008F6FFE" w:rsidRPr="00235A16">
        <w:rPr>
          <w:rFonts w:asciiTheme="minorHAnsi" w:hAnsiTheme="minorHAnsi" w:cstheme="minorHAnsi"/>
          <w:color w:val="000000" w:themeColor="text1"/>
          <w:sz w:val="16"/>
          <w:szCs w:val="16"/>
          <w:lang w:val="de-DE"/>
        </w:rPr>
        <w:t>3, </w:t>
      </w:r>
      <w:hyperlink r:id="rId275" w:history="1">
        <w:r w:rsidR="008F6FFE" w:rsidRPr="00235A16">
          <w:rPr>
            <w:rFonts w:asciiTheme="minorHAnsi" w:hAnsiTheme="minorHAnsi" w:cstheme="minorHAnsi"/>
            <w:color w:val="000000" w:themeColor="text1"/>
            <w:sz w:val="16"/>
            <w:szCs w:val="16"/>
            <w:lang w:val="de-DE"/>
          </w:rPr>
          <w:t>Kaufmann N</w:t>
        </w:r>
      </w:hyperlink>
      <w:r w:rsidR="008F6FFE" w:rsidRPr="00235A16">
        <w:rPr>
          <w:rFonts w:asciiTheme="minorHAnsi" w:hAnsiTheme="minorHAnsi" w:cstheme="minorHAnsi"/>
          <w:color w:val="000000" w:themeColor="text1"/>
          <w:sz w:val="16"/>
          <w:szCs w:val="16"/>
          <w:lang w:val="de-DE"/>
        </w:rPr>
        <w:t>2, </w:t>
      </w:r>
      <w:hyperlink r:id="rId276" w:history="1">
        <w:r w:rsidR="008F6FFE" w:rsidRPr="00235A16">
          <w:rPr>
            <w:rFonts w:asciiTheme="minorHAnsi" w:hAnsiTheme="minorHAnsi" w:cstheme="minorHAnsi"/>
            <w:color w:val="000000" w:themeColor="text1"/>
            <w:sz w:val="16"/>
            <w:szCs w:val="16"/>
            <w:lang w:val="de-DE"/>
          </w:rPr>
          <w:t>Koelblinger C</w:t>
        </w:r>
      </w:hyperlink>
      <w:r w:rsidR="008F6FFE" w:rsidRPr="00235A16">
        <w:rPr>
          <w:rFonts w:asciiTheme="minorHAnsi" w:hAnsiTheme="minorHAnsi" w:cstheme="minorHAnsi"/>
          <w:color w:val="000000" w:themeColor="text1"/>
          <w:sz w:val="16"/>
          <w:szCs w:val="16"/>
          <w:lang w:val="de-DE"/>
        </w:rPr>
        <w:t>2, </w:t>
      </w:r>
      <w:hyperlink r:id="rId277" w:history="1">
        <w:r w:rsidR="008F6FFE" w:rsidRPr="00235A16">
          <w:rPr>
            <w:rFonts w:asciiTheme="minorHAnsi" w:hAnsiTheme="minorHAnsi" w:cstheme="minorHAnsi"/>
            <w:color w:val="000000" w:themeColor="text1"/>
            <w:sz w:val="16"/>
            <w:szCs w:val="16"/>
            <w:lang w:val="de-DE"/>
          </w:rPr>
          <w:t>Vander K</w:t>
        </w:r>
      </w:hyperlink>
      <w:r w:rsidR="008F6FFE" w:rsidRPr="00235A16">
        <w:rPr>
          <w:rFonts w:asciiTheme="minorHAnsi" w:hAnsiTheme="minorHAnsi" w:cstheme="minorHAnsi"/>
          <w:color w:val="000000" w:themeColor="text1"/>
          <w:sz w:val="16"/>
          <w:szCs w:val="16"/>
          <w:lang w:val="de-DE"/>
        </w:rPr>
        <w:t>4, </w:t>
      </w:r>
      <w:hyperlink r:id="rId278" w:history="1">
        <w:r w:rsidR="008F6FFE" w:rsidRPr="00235A16">
          <w:rPr>
            <w:rFonts w:asciiTheme="minorHAnsi" w:hAnsiTheme="minorHAnsi" w:cstheme="minorHAnsi"/>
            <w:color w:val="000000" w:themeColor="text1"/>
            <w:sz w:val="16"/>
            <w:szCs w:val="16"/>
            <w:lang w:val="de-DE"/>
          </w:rPr>
          <w:t>Bargfrieder U</w:t>
        </w:r>
      </w:hyperlink>
      <w:r w:rsidR="008F6FFE" w:rsidRPr="00235A16">
        <w:rPr>
          <w:rFonts w:asciiTheme="minorHAnsi" w:hAnsiTheme="minorHAnsi" w:cstheme="minorHAnsi"/>
          <w:color w:val="000000" w:themeColor="text1"/>
          <w:sz w:val="16"/>
          <w:szCs w:val="16"/>
          <w:lang w:val="de-DE"/>
        </w:rPr>
        <w:t>2, </w:t>
      </w:r>
      <w:hyperlink r:id="rId279" w:history="1">
        <w:r w:rsidR="008F6FFE" w:rsidRPr="00235A16">
          <w:rPr>
            <w:rFonts w:asciiTheme="minorHAnsi" w:hAnsiTheme="minorHAnsi" w:cstheme="minorHAnsi"/>
            <w:color w:val="000000" w:themeColor="text1"/>
            <w:sz w:val="16"/>
            <w:szCs w:val="16"/>
            <w:lang w:val="de-DE"/>
          </w:rPr>
          <w:t>Trauner M</w:t>
        </w:r>
      </w:hyperlink>
      <w:r w:rsidR="008F6FFE" w:rsidRPr="00235A16">
        <w:rPr>
          <w:rFonts w:asciiTheme="minorHAnsi" w:hAnsiTheme="minorHAnsi" w:cstheme="minorHAnsi"/>
          <w:color w:val="000000" w:themeColor="text1"/>
          <w:sz w:val="16"/>
          <w:szCs w:val="16"/>
          <w:lang w:val="de-DE"/>
        </w:rPr>
        <w:t>5.</w:t>
      </w:r>
    </w:p>
    <w:p w:rsidR="008F6FFE" w:rsidRPr="00235A16" w:rsidRDefault="0052743C" w:rsidP="000547D3">
      <w:pPr>
        <w:rPr>
          <w:rFonts w:asciiTheme="minorHAnsi" w:hAnsiTheme="minorHAnsi" w:cstheme="minorHAnsi"/>
          <w:color w:val="000000" w:themeColor="text1"/>
          <w:sz w:val="16"/>
          <w:szCs w:val="16"/>
          <w:lang w:val="de-DE"/>
        </w:rPr>
      </w:pPr>
      <w:hyperlink r:id="rId280" w:history="1">
        <w:r w:rsidR="008F6FFE" w:rsidRPr="00235A16">
          <w:rPr>
            <w:rFonts w:asciiTheme="minorHAnsi" w:hAnsiTheme="minorHAnsi" w:cstheme="minorHAnsi"/>
            <w:color w:val="000000" w:themeColor="text1"/>
            <w:sz w:val="16"/>
            <w:szCs w:val="16"/>
            <w:lang w:val="de-DE"/>
          </w:rPr>
          <w:t>https://www.ncbi.nlm.nih.gov/pmc/articles/PMC7249507/pdf/aim-olf-M202566.pdf</w:t>
        </w:r>
      </w:hyperlink>
    </w:p>
    <w:p w:rsidR="008F6FFE" w:rsidRPr="00235A16" w:rsidRDefault="008F6FFE" w:rsidP="00717D4D">
      <w:pPr>
        <w:jc w:val="both"/>
        <w:rPr>
          <w:rFonts w:asciiTheme="minorHAnsi" w:hAnsiTheme="minorHAnsi" w:cstheme="minorHAnsi"/>
          <w:color w:val="000000" w:themeColor="text1"/>
          <w:sz w:val="16"/>
          <w:szCs w:val="16"/>
          <w:lang w:val="de-DE"/>
        </w:rPr>
      </w:pPr>
    </w:p>
    <w:p w:rsidR="008F6FFE" w:rsidRPr="000547D3" w:rsidRDefault="0052743C" w:rsidP="00717D4D">
      <w:pPr>
        <w:jc w:val="both"/>
        <w:rPr>
          <w:rFonts w:asciiTheme="minorHAnsi" w:hAnsiTheme="minorHAnsi" w:cstheme="minorHAnsi"/>
          <w:color w:val="000000" w:themeColor="text1"/>
          <w:sz w:val="16"/>
          <w:szCs w:val="16"/>
          <w:lang w:val="en-US"/>
        </w:rPr>
      </w:pPr>
      <w:hyperlink r:id="rId281" w:tooltip="Journal of thrombosis and haemostasis : JTH." w:history="1">
        <w:r w:rsidR="008F6FFE" w:rsidRPr="000547D3">
          <w:rPr>
            <w:rFonts w:asciiTheme="minorHAnsi" w:hAnsiTheme="minorHAnsi" w:cstheme="minorHAnsi"/>
            <w:color w:val="000000" w:themeColor="text1"/>
            <w:sz w:val="16"/>
            <w:szCs w:val="16"/>
            <w:lang w:val="en-US"/>
          </w:rPr>
          <w:t>J Thromb Haemost.</w:t>
        </w:r>
      </w:hyperlink>
      <w:r w:rsidR="008F6FFE" w:rsidRPr="000547D3">
        <w:rPr>
          <w:rFonts w:asciiTheme="minorHAnsi" w:hAnsiTheme="minorHAnsi" w:cstheme="minorHAnsi"/>
          <w:color w:val="000000" w:themeColor="text1"/>
          <w:sz w:val="16"/>
          <w:szCs w:val="16"/>
          <w:lang w:val="en-US"/>
        </w:rPr>
        <w:t> 2020 Apr 15. doi: 10.1111/jth.14844.</w:t>
      </w:r>
    </w:p>
    <w:p w:rsidR="008F6FFE" w:rsidRPr="000547D3" w:rsidRDefault="008F6FFE" w:rsidP="00717D4D">
      <w:pPr>
        <w:jc w:val="both"/>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lang w:val="en-US"/>
        </w:rPr>
        <w:t>Pathological evidence of pulmonary thrombotic phenomena in severe COVID-19.</w:t>
      </w:r>
    </w:p>
    <w:p w:rsidR="008F6FFE" w:rsidRPr="00235A16" w:rsidRDefault="0052743C" w:rsidP="00717D4D">
      <w:pPr>
        <w:jc w:val="both"/>
        <w:rPr>
          <w:rFonts w:asciiTheme="minorHAnsi" w:hAnsiTheme="minorHAnsi" w:cstheme="minorHAnsi"/>
          <w:color w:val="000000" w:themeColor="text1"/>
          <w:sz w:val="16"/>
          <w:szCs w:val="16"/>
          <w:lang w:val="de-DE"/>
        </w:rPr>
      </w:pPr>
      <w:hyperlink r:id="rId282" w:history="1">
        <w:r w:rsidR="008F6FFE" w:rsidRPr="00235A16">
          <w:rPr>
            <w:rFonts w:asciiTheme="minorHAnsi" w:hAnsiTheme="minorHAnsi" w:cstheme="minorHAnsi"/>
            <w:color w:val="000000" w:themeColor="text1"/>
            <w:sz w:val="16"/>
            <w:szCs w:val="16"/>
            <w:lang w:val="de-DE"/>
          </w:rPr>
          <w:t>Dolhnikoff M</w:t>
        </w:r>
      </w:hyperlink>
      <w:r w:rsidR="008F6FFE" w:rsidRPr="00235A16">
        <w:rPr>
          <w:rFonts w:asciiTheme="minorHAnsi" w:hAnsiTheme="minorHAnsi" w:cstheme="minorHAnsi"/>
          <w:color w:val="000000" w:themeColor="text1"/>
          <w:sz w:val="16"/>
          <w:szCs w:val="16"/>
          <w:lang w:val="de-DE"/>
        </w:rPr>
        <w:t xml:space="preserve"> et al</w:t>
      </w:r>
    </w:p>
    <w:p w:rsidR="008F6FFE" w:rsidRPr="00235A16" w:rsidRDefault="0052743C" w:rsidP="000547D3">
      <w:pPr>
        <w:rPr>
          <w:rFonts w:asciiTheme="minorHAnsi" w:hAnsiTheme="minorHAnsi" w:cstheme="minorHAnsi"/>
          <w:color w:val="000000" w:themeColor="text1"/>
          <w:sz w:val="16"/>
          <w:szCs w:val="16"/>
          <w:lang w:val="de-DE"/>
        </w:rPr>
      </w:pPr>
      <w:hyperlink r:id="rId283" w:history="1">
        <w:r w:rsidR="008F6FFE" w:rsidRPr="00235A16">
          <w:rPr>
            <w:rFonts w:asciiTheme="minorHAnsi" w:hAnsiTheme="minorHAnsi" w:cstheme="minorHAnsi"/>
            <w:color w:val="000000" w:themeColor="text1"/>
            <w:sz w:val="16"/>
            <w:szCs w:val="16"/>
            <w:lang w:val="de-DE"/>
          </w:rPr>
          <w:t>https://www.ncbi.nlm.nih.gov/pmc/articles/PMC7262093/pdf/JTH-9999-na.pdf</w:t>
        </w:r>
      </w:hyperlink>
    </w:p>
    <w:p w:rsidR="008F6FFE" w:rsidRPr="00235A16" w:rsidRDefault="008F6FFE" w:rsidP="00717D4D">
      <w:pPr>
        <w:jc w:val="both"/>
        <w:rPr>
          <w:rFonts w:asciiTheme="minorHAnsi" w:hAnsiTheme="minorHAnsi" w:cstheme="minorHAnsi"/>
          <w:color w:val="000000" w:themeColor="text1"/>
          <w:sz w:val="16"/>
          <w:szCs w:val="16"/>
          <w:lang w:val="de-DE"/>
        </w:rPr>
      </w:pPr>
    </w:p>
    <w:p w:rsidR="008F6FFE" w:rsidRPr="000547D3" w:rsidRDefault="0052743C" w:rsidP="00717D4D">
      <w:pPr>
        <w:jc w:val="both"/>
        <w:rPr>
          <w:rFonts w:asciiTheme="minorHAnsi" w:hAnsiTheme="minorHAnsi" w:cstheme="minorHAnsi"/>
          <w:color w:val="000000" w:themeColor="text1"/>
          <w:sz w:val="16"/>
          <w:szCs w:val="16"/>
          <w:lang w:val="en-US"/>
        </w:rPr>
      </w:pPr>
      <w:hyperlink r:id="rId284" w:tooltip="Nature." w:history="1">
        <w:r w:rsidR="008F6FFE" w:rsidRPr="000547D3">
          <w:rPr>
            <w:rFonts w:asciiTheme="minorHAnsi" w:hAnsiTheme="minorHAnsi" w:cstheme="minorHAnsi"/>
            <w:color w:val="000000" w:themeColor="text1"/>
            <w:sz w:val="16"/>
            <w:szCs w:val="16"/>
            <w:lang w:val="en-US"/>
          </w:rPr>
          <w:t>Nature.</w:t>
        </w:r>
      </w:hyperlink>
      <w:r w:rsidR="008F6FFE" w:rsidRPr="000547D3">
        <w:rPr>
          <w:rFonts w:asciiTheme="minorHAnsi" w:hAnsiTheme="minorHAnsi" w:cstheme="minorHAnsi"/>
          <w:color w:val="000000" w:themeColor="text1"/>
          <w:sz w:val="16"/>
          <w:szCs w:val="16"/>
          <w:lang w:val="en-US"/>
        </w:rPr>
        <w:t xml:space="preserve"> 2020 May 7. doi: 10.1038/d41586-020-01355-z. </w:t>
      </w:r>
    </w:p>
    <w:p w:rsidR="008F6FFE" w:rsidRPr="000547D3" w:rsidRDefault="008F6FFE" w:rsidP="00717D4D">
      <w:pPr>
        <w:jc w:val="both"/>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lang w:val="en-US"/>
        </w:rPr>
        <w:t>Autopsy slowdown hinders quest to determine how coronavirus kills.</w:t>
      </w:r>
    </w:p>
    <w:p w:rsidR="008F6FFE" w:rsidRPr="00235A16" w:rsidRDefault="0052743C" w:rsidP="00717D4D">
      <w:pPr>
        <w:jc w:val="both"/>
        <w:rPr>
          <w:rFonts w:asciiTheme="minorHAnsi" w:hAnsiTheme="minorHAnsi" w:cstheme="minorHAnsi"/>
          <w:color w:val="000000" w:themeColor="text1"/>
          <w:sz w:val="16"/>
          <w:szCs w:val="16"/>
          <w:lang w:val="de-DE"/>
        </w:rPr>
      </w:pPr>
      <w:hyperlink r:id="rId285" w:history="1">
        <w:r w:rsidR="008F6FFE" w:rsidRPr="00235A16">
          <w:rPr>
            <w:rFonts w:asciiTheme="minorHAnsi" w:hAnsiTheme="minorHAnsi" w:cstheme="minorHAnsi"/>
            <w:color w:val="000000" w:themeColor="text1"/>
            <w:sz w:val="16"/>
            <w:szCs w:val="16"/>
            <w:lang w:val="de-DE"/>
          </w:rPr>
          <w:t>Ledford H</w:t>
        </w:r>
      </w:hyperlink>
      <w:r w:rsidR="008F6FFE" w:rsidRPr="00235A16">
        <w:rPr>
          <w:rFonts w:asciiTheme="minorHAnsi" w:hAnsiTheme="minorHAnsi" w:cstheme="minorHAnsi"/>
          <w:color w:val="000000" w:themeColor="text1"/>
          <w:sz w:val="16"/>
          <w:szCs w:val="16"/>
          <w:lang w:val="de-DE"/>
        </w:rPr>
        <w:t>.</w:t>
      </w:r>
    </w:p>
    <w:p w:rsidR="008F6FFE" w:rsidRPr="00235A16" w:rsidRDefault="0052743C" w:rsidP="000547D3">
      <w:pPr>
        <w:rPr>
          <w:rFonts w:asciiTheme="minorHAnsi" w:hAnsiTheme="minorHAnsi" w:cstheme="minorHAnsi"/>
          <w:color w:val="000000" w:themeColor="text1"/>
          <w:sz w:val="16"/>
          <w:szCs w:val="16"/>
          <w:lang w:val="de-DE"/>
        </w:rPr>
      </w:pPr>
      <w:hyperlink r:id="rId286" w:history="1">
        <w:r w:rsidR="008F6FFE" w:rsidRPr="00235A16">
          <w:rPr>
            <w:rFonts w:asciiTheme="minorHAnsi" w:hAnsiTheme="minorHAnsi" w:cstheme="minorHAnsi"/>
            <w:color w:val="000000" w:themeColor="text1"/>
            <w:sz w:val="16"/>
            <w:szCs w:val="16"/>
            <w:lang w:val="de-DE"/>
          </w:rPr>
          <w:t>https://www.nature.com/articles/d41586-020-01355-z</w:t>
        </w:r>
      </w:hyperlink>
    </w:p>
    <w:p w:rsidR="008F6FFE" w:rsidRPr="00235A16" w:rsidRDefault="008F6FFE" w:rsidP="00717D4D">
      <w:pPr>
        <w:jc w:val="both"/>
        <w:rPr>
          <w:rFonts w:asciiTheme="minorHAnsi" w:hAnsiTheme="minorHAnsi" w:cstheme="minorHAnsi"/>
          <w:color w:val="000000" w:themeColor="text1"/>
          <w:sz w:val="16"/>
          <w:szCs w:val="16"/>
          <w:lang w:val="de-DE"/>
        </w:rPr>
      </w:pPr>
    </w:p>
    <w:p w:rsidR="008F6FFE" w:rsidRPr="000547D3" w:rsidRDefault="0052743C" w:rsidP="00717D4D">
      <w:pPr>
        <w:jc w:val="both"/>
        <w:rPr>
          <w:rFonts w:asciiTheme="minorHAnsi" w:hAnsiTheme="minorHAnsi" w:cstheme="minorHAnsi"/>
          <w:color w:val="000000" w:themeColor="text1"/>
          <w:sz w:val="16"/>
          <w:szCs w:val="16"/>
          <w:lang w:val="en-US"/>
        </w:rPr>
      </w:pPr>
      <w:hyperlink r:id="rId287" w:tooltip="Lancet (London, England)." w:history="1">
        <w:r w:rsidR="008F6FFE" w:rsidRPr="000547D3">
          <w:rPr>
            <w:rFonts w:asciiTheme="minorHAnsi" w:hAnsiTheme="minorHAnsi" w:cstheme="minorHAnsi"/>
            <w:color w:val="000000" w:themeColor="text1"/>
            <w:sz w:val="16"/>
            <w:szCs w:val="16"/>
            <w:lang w:val="en-US"/>
          </w:rPr>
          <w:t>Lancet.</w:t>
        </w:r>
      </w:hyperlink>
      <w:r w:rsidR="008F6FFE" w:rsidRPr="000547D3">
        <w:rPr>
          <w:rFonts w:asciiTheme="minorHAnsi" w:hAnsiTheme="minorHAnsi" w:cstheme="minorHAnsi"/>
          <w:color w:val="000000" w:themeColor="text1"/>
          <w:sz w:val="16"/>
          <w:szCs w:val="16"/>
          <w:lang w:val="en-US"/>
        </w:rPr>
        <w:t xml:space="preserve"> 2020 May 2;395(10234):1417-1418. doi: 10.1016/S0140-6736(20)30937-5. </w:t>
      </w:r>
    </w:p>
    <w:p w:rsidR="008F6FFE" w:rsidRPr="000547D3" w:rsidRDefault="008F6FFE" w:rsidP="00717D4D">
      <w:pPr>
        <w:jc w:val="both"/>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lang w:val="en-US"/>
        </w:rPr>
        <w:t>Endothelial cell infection and endotheliitis in COVID-19.</w:t>
      </w:r>
    </w:p>
    <w:p w:rsidR="008F6FFE" w:rsidRPr="00235A16" w:rsidRDefault="0052743C" w:rsidP="00717D4D">
      <w:pPr>
        <w:jc w:val="both"/>
        <w:rPr>
          <w:rFonts w:asciiTheme="minorHAnsi" w:hAnsiTheme="minorHAnsi" w:cstheme="minorHAnsi"/>
          <w:color w:val="000000" w:themeColor="text1"/>
          <w:sz w:val="16"/>
          <w:szCs w:val="16"/>
          <w:lang w:val="de-DE"/>
        </w:rPr>
      </w:pPr>
      <w:hyperlink r:id="rId288" w:history="1">
        <w:r w:rsidR="008F6FFE" w:rsidRPr="00235A16">
          <w:rPr>
            <w:rFonts w:asciiTheme="minorHAnsi" w:hAnsiTheme="minorHAnsi" w:cstheme="minorHAnsi"/>
            <w:color w:val="000000" w:themeColor="text1"/>
            <w:sz w:val="16"/>
            <w:szCs w:val="16"/>
            <w:lang w:val="de-DE"/>
          </w:rPr>
          <w:t>Varga Z</w:t>
        </w:r>
      </w:hyperlink>
      <w:r w:rsidR="008F6FFE" w:rsidRPr="00235A16">
        <w:rPr>
          <w:rFonts w:asciiTheme="minorHAnsi" w:hAnsiTheme="minorHAnsi" w:cstheme="minorHAnsi"/>
          <w:color w:val="000000" w:themeColor="text1"/>
          <w:sz w:val="16"/>
          <w:szCs w:val="16"/>
          <w:lang w:val="de-DE"/>
        </w:rPr>
        <w:t>1, </w:t>
      </w:r>
      <w:hyperlink r:id="rId289" w:history="1">
        <w:r w:rsidR="008F6FFE" w:rsidRPr="00235A16">
          <w:rPr>
            <w:rFonts w:asciiTheme="minorHAnsi" w:hAnsiTheme="minorHAnsi" w:cstheme="minorHAnsi"/>
            <w:color w:val="000000" w:themeColor="text1"/>
            <w:sz w:val="16"/>
            <w:szCs w:val="16"/>
            <w:lang w:val="de-DE"/>
          </w:rPr>
          <w:t>Flammer AJ</w:t>
        </w:r>
      </w:hyperlink>
      <w:r w:rsidR="008F6FFE" w:rsidRPr="00235A16">
        <w:rPr>
          <w:rFonts w:asciiTheme="minorHAnsi" w:hAnsiTheme="minorHAnsi" w:cstheme="minorHAnsi"/>
          <w:color w:val="000000" w:themeColor="text1"/>
          <w:sz w:val="16"/>
          <w:szCs w:val="16"/>
          <w:lang w:val="de-DE"/>
        </w:rPr>
        <w:t>2, </w:t>
      </w:r>
      <w:hyperlink r:id="rId290" w:history="1">
        <w:r w:rsidR="008F6FFE" w:rsidRPr="00235A16">
          <w:rPr>
            <w:rFonts w:asciiTheme="minorHAnsi" w:hAnsiTheme="minorHAnsi" w:cstheme="minorHAnsi"/>
            <w:color w:val="000000" w:themeColor="text1"/>
            <w:sz w:val="16"/>
            <w:szCs w:val="16"/>
            <w:lang w:val="de-DE"/>
          </w:rPr>
          <w:t>Steiger P</w:t>
        </w:r>
      </w:hyperlink>
      <w:r w:rsidR="008F6FFE" w:rsidRPr="00235A16">
        <w:rPr>
          <w:rFonts w:asciiTheme="minorHAnsi" w:hAnsiTheme="minorHAnsi" w:cstheme="minorHAnsi"/>
          <w:color w:val="000000" w:themeColor="text1"/>
          <w:sz w:val="16"/>
          <w:szCs w:val="16"/>
          <w:lang w:val="de-DE"/>
        </w:rPr>
        <w:t>3, </w:t>
      </w:r>
      <w:hyperlink r:id="rId291" w:history="1">
        <w:r w:rsidR="008F6FFE" w:rsidRPr="00235A16">
          <w:rPr>
            <w:rFonts w:asciiTheme="minorHAnsi" w:hAnsiTheme="minorHAnsi" w:cstheme="minorHAnsi"/>
            <w:color w:val="000000" w:themeColor="text1"/>
            <w:sz w:val="16"/>
            <w:szCs w:val="16"/>
            <w:lang w:val="de-DE"/>
          </w:rPr>
          <w:t>Haberecker M</w:t>
        </w:r>
      </w:hyperlink>
      <w:r w:rsidR="008F6FFE" w:rsidRPr="00235A16">
        <w:rPr>
          <w:rFonts w:asciiTheme="minorHAnsi" w:hAnsiTheme="minorHAnsi" w:cstheme="minorHAnsi"/>
          <w:color w:val="000000" w:themeColor="text1"/>
          <w:sz w:val="16"/>
          <w:szCs w:val="16"/>
          <w:lang w:val="de-DE"/>
        </w:rPr>
        <w:t>1, </w:t>
      </w:r>
      <w:hyperlink r:id="rId292" w:history="1">
        <w:r w:rsidR="008F6FFE" w:rsidRPr="00235A16">
          <w:rPr>
            <w:rFonts w:asciiTheme="minorHAnsi" w:hAnsiTheme="minorHAnsi" w:cstheme="minorHAnsi"/>
            <w:color w:val="000000" w:themeColor="text1"/>
            <w:sz w:val="16"/>
            <w:szCs w:val="16"/>
            <w:lang w:val="de-DE"/>
          </w:rPr>
          <w:t>Andermatt R</w:t>
        </w:r>
      </w:hyperlink>
      <w:r w:rsidR="008F6FFE" w:rsidRPr="00235A16">
        <w:rPr>
          <w:rFonts w:asciiTheme="minorHAnsi" w:hAnsiTheme="minorHAnsi" w:cstheme="minorHAnsi"/>
          <w:color w:val="000000" w:themeColor="text1"/>
          <w:sz w:val="16"/>
          <w:szCs w:val="16"/>
          <w:lang w:val="de-DE"/>
        </w:rPr>
        <w:t>3, </w:t>
      </w:r>
      <w:hyperlink r:id="rId293" w:history="1">
        <w:r w:rsidR="008F6FFE" w:rsidRPr="00235A16">
          <w:rPr>
            <w:rFonts w:asciiTheme="minorHAnsi" w:hAnsiTheme="minorHAnsi" w:cstheme="minorHAnsi"/>
            <w:color w:val="000000" w:themeColor="text1"/>
            <w:sz w:val="16"/>
            <w:szCs w:val="16"/>
            <w:lang w:val="de-DE"/>
          </w:rPr>
          <w:t>Zinkernagel AS</w:t>
        </w:r>
      </w:hyperlink>
      <w:r w:rsidR="008F6FFE" w:rsidRPr="00235A16">
        <w:rPr>
          <w:rFonts w:asciiTheme="minorHAnsi" w:hAnsiTheme="minorHAnsi" w:cstheme="minorHAnsi"/>
          <w:color w:val="000000" w:themeColor="text1"/>
          <w:sz w:val="16"/>
          <w:szCs w:val="16"/>
          <w:lang w:val="de-DE"/>
        </w:rPr>
        <w:t>4, </w:t>
      </w:r>
      <w:hyperlink r:id="rId294" w:history="1">
        <w:r w:rsidR="008F6FFE" w:rsidRPr="00235A16">
          <w:rPr>
            <w:rFonts w:asciiTheme="minorHAnsi" w:hAnsiTheme="minorHAnsi" w:cstheme="minorHAnsi"/>
            <w:color w:val="000000" w:themeColor="text1"/>
            <w:sz w:val="16"/>
            <w:szCs w:val="16"/>
            <w:lang w:val="de-DE"/>
          </w:rPr>
          <w:t>Mehra MR</w:t>
        </w:r>
      </w:hyperlink>
      <w:r w:rsidR="008F6FFE" w:rsidRPr="00235A16">
        <w:rPr>
          <w:rFonts w:asciiTheme="minorHAnsi" w:hAnsiTheme="minorHAnsi" w:cstheme="minorHAnsi"/>
          <w:color w:val="000000" w:themeColor="text1"/>
          <w:sz w:val="16"/>
          <w:szCs w:val="16"/>
          <w:lang w:val="de-DE"/>
        </w:rPr>
        <w:t>5, </w:t>
      </w:r>
      <w:hyperlink r:id="rId295" w:history="1">
        <w:r w:rsidR="008F6FFE" w:rsidRPr="00235A16">
          <w:rPr>
            <w:rFonts w:asciiTheme="minorHAnsi" w:hAnsiTheme="minorHAnsi" w:cstheme="minorHAnsi"/>
            <w:color w:val="000000" w:themeColor="text1"/>
            <w:sz w:val="16"/>
            <w:szCs w:val="16"/>
            <w:lang w:val="de-DE"/>
          </w:rPr>
          <w:t>Schuepbach RA</w:t>
        </w:r>
      </w:hyperlink>
      <w:r w:rsidR="008F6FFE" w:rsidRPr="00235A16">
        <w:rPr>
          <w:rFonts w:asciiTheme="minorHAnsi" w:hAnsiTheme="minorHAnsi" w:cstheme="minorHAnsi"/>
          <w:color w:val="000000" w:themeColor="text1"/>
          <w:sz w:val="16"/>
          <w:szCs w:val="16"/>
          <w:lang w:val="de-DE"/>
        </w:rPr>
        <w:t>3, </w:t>
      </w:r>
      <w:hyperlink r:id="rId296" w:history="1">
        <w:r w:rsidR="008F6FFE" w:rsidRPr="00235A16">
          <w:rPr>
            <w:rFonts w:asciiTheme="minorHAnsi" w:hAnsiTheme="minorHAnsi" w:cstheme="minorHAnsi"/>
            <w:color w:val="000000" w:themeColor="text1"/>
            <w:sz w:val="16"/>
            <w:szCs w:val="16"/>
            <w:lang w:val="de-DE"/>
          </w:rPr>
          <w:t>Ruschitzka F</w:t>
        </w:r>
      </w:hyperlink>
      <w:r w:rsidR="008F6FFE" w:rsidRPr="00235A16">
        <w:rPr>
          <w:rFonts w:asciiTheme="minorHAnsi" w:hAnsiTheme="minorHAnsi" w:cstheme="minorHAnsi"/>
          <w:color w:val="000000" w:themeColor="text1"/>
          <w:sz w:val="16"/>
          <w:szCs w:val="16"/>
          <w:lang w:val="de-DE"/>
        </w:rPr>
        <w:t>6, </w:t>
      </w:r>
      <w:hyperlink r:id="rId297" w:history="1">
        <w:r w:rsidR="008F6FFE" w:rsidRPr="00235A16">
          <w:rPr>
            <w:rFonts w:asciiTheme="minorHAnsi" w:hAnsiTheme="minorHAnsi" w:cstheme="minorHAnsi"/>
            <w:color w:val="000000" w:themeColor="text1"/>
            <w:sz w:val="16"/>
            <w:szCs w:val="16"/>
            <w:lang w:val="de-DE"/>
          </w:rPr>
          <w:t>Moch H</w:t>
        </w:r>
      </w:hyperlink>
      <w:r w:rsidR="008F6FFE" w:rsidRPr="00235A16">
        <w:rPr>
          <w:rFonts w:asciiTheme="minorHAnsi" w:hAnsiTheme="minorHAnsi" w:cstheme="minorHAnsi"/>
          <w:color w:val="000000" w:themeColor="text1"/>
          <w:sz w:val="16"/>
          <w:szCs w:val="16"/>
          <w:lang w:val="de-DE"/>
        </w:rPr>
        <w:t>1.</w:t>
      </w:r>
    </w:p>
    <w:p w:rsidR="008F6FFE" w:rsidRPr="00235A16" w:rsidRDefault="0052743C" w:rsidP="000547D3">
      <w:pPr>
        <w:rPr>
          <w:rFonts w:asciiTheme="minorHAnsi" w:hAnsiTheme="minorHAnsi" w:cstheme="minorHAnsi"/>
          <w:color w:val="000000" w:themeColor="text1"/>
          <w:sz w:val="16"/>
          <w:szCs w:val="16"/>
          <w:lang w:val="de-DE"/>
        </w:rPr>
      </w:pPr>
      <w:hyperlink r:id="rId298" w:history="1">
        <w:r w:rsidR="008F6FFE" w:rsidRPr="00235A16">
          <w:rPr>
            <w:rFonts w:asciiTheme="minorHAnsi" w:hAnsiTheme="minorHAnsi" w:cstheme="minorHAnsi"/>
            <w:color w:val="000000" w:themeColor="text1"/>
            <w:sz w:val="16"/>
            <w:szCs w:val="16"/>
            <w:lang w:val="de-DE"/>
          </w:rPr>
          <w:t>https://www.ncbi.nlm.nih.gov/pmc/articles/PMC7172722/pdf/main.pdf</w:t>
        </w:r>
      </w:hyperlink>
    </w:p>
    <w:p w:rsidR="008F6FFE" w:rsidRPr="00235A16" w:rsidRDefault="008F6FFE" w:rsidP="00717D4D">
      <w:pPr>
        <w:jc w:val="both"/>
        <w:rPr>
          <w:rFonts w:asciiTheme="minorHAnsi" w:hAnsiTheme="minorHAnsi" w:cstheme="minorHAnsi"/>
          <w:color w:val="000000" w:themeColor="text1"/>
          <w:sz w:val="16"/>
          <w:szCs w:val="16"/>
          <w:lang w:val="de-DE"/>
        </w:rPr>
      </w:pPr>
    </w:p>
    <w:p w:rsidR="008F6FFE" w:rsidRPr="000547D3" w:rsidRDefault="0052743C" w:rsidP="00717D4D">
      <w:pPr>
        <w:jc w:val="both"/>
        <w:rPr>
          <w:rFonts w:asciiTheme="minorHAnsi" w:hAnsiTheme="minorHAnsi" w:cstheme="minorHAnsi"/>
          <w:color w:val="000000" w:themeColor="text1"/>
          <w:sz w:val="16"/>
          <w:szCs w:val="16"/>
          <w:lang w:val="en-US"/>
        </w:rPr>
      </w:pPr>
      <w:hyperlink r:id="rId299" w:tooltip="Journal of thrombosis and haemostasis : JTH." w:history="1">
        <w:r w:rsidR="008F6FFE" w:rsidRPr="000547D3">
          <w:rPr>
            <w:rFonts w:asciiTheme="minorHAnsi" w:hAnsiTheme="minorHAnsi" w:cstheme="minorHAnsi"/>
            <w:color w:val="000000" w:themeColor="text1"/>
            <w:sz w:val="16"/>
            <w:szCs w:val="16"/>
            <w:lang w:val="en-US"/>
          </w:rPr>
          <w:t>J Thromb Haemost.</w:t>
        </w:r>
      </w:hyperlink>
      <w:r w:rsidR="008F6FFE" w:rsidRPr="000547D3">
        <w:rPr>
          <w:rFonts w:asciiTheme="minorHAnsi" w:hAnsiTheme="minorHAnsi" w:cstheme="minorHAnsi"/>
          <w:color w:val="000000" w:themeColor="text1"/>
          <w:sz w:val="16"/>
          <w:szCs w:val="16"/>
          <w:lang w:val="en-US"/>
        </w:rPr>
        <w:t xml:space="preserve"> 2020 Apr 15. doi: 10.1111/jth.14844. </w:t>
      </w:r>
    </w:p>
    <w:p w:rsidR="008F6FFE" w:rsidRPr="000547D3" w:rsidRDefault="008F6FFE" w:rsidP="00717D4D">
      <w:pPr>
        <w:jc w:val="both"/>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lang w:val="en-US"/>
        </w:rPr>
        <w:t>Pathological evidence of pulmonary thrombotic phenomena in severe COVID-19.</w:t>
      </w:r>
    </w:p>
    <w:p w:rsidR="008F6FFE" w:rsidRPr="00235A16" w:rsidRDefault="0052743C" w:rsidP="00717D4D">
      <w:pPr>
        <w:jc w:val="both"/>
        <w:rPr>
          <w:rFonts w:asciiTheme="minorHAnsi" w:hAnsiTheme="minorHAnsi" w:cstheme="minorHAnsi"/>
          <w:color w:val="000000" w:themeColor="text1"/>
          <w:sz w:val="16"/>
          <w:szCs w:val="16"/>
          <w:lang w:val="de-DE"/>
        </w:rPr>
      </w:pPr>
      <w:hyperlink r:id="rId300" w:history="1">
        <w:r w:rsidR="008F6FFE" w:rsidRPr="00235A16">
          <w:rPr>
            <w:rFonts w:asciiTheme="minorHAnsi" w:hAnsiTheme="minorHAnsi" w:cstheme="minorHAnsi"/>
            <w:color w:val="000000" w:themeColor="text1"/>
            <w:sz w:val="16"/>
            <w:szCs w:val="16"/>
            <w:lang w:val="de-DE"/>
          </w:rPr>
          <w:t>Dolhnikoff M</w:t>
        </w:r>
      </w:hyperlink>
      <w:r w:rsidR="008F6FFE" w:rsidRPr="00235A16">
        <w:rPr>
          <w:rFonts w:asciiTheme="minorHAnsi" w:hAnsiTheme="minorHAnsi" w:cstheme="minorHAnsi"/>
          <w:color w:val="000000" w:themeColor="text1"/>
          <w:sz w:val="16"/>
          <w:szCs w:val="16"/>
          <w:lang w:val="de-DE"/>
        </w:rPr>
        <w:t xml:space="preserve"> et al</w:t>
      </w:r>
    </w:p>
    <w:p w:rsidR="008F6FFE" w:rsidRPr="00235A16" w:rsidRDefault="0052743C" w:rsidP="000547D3">
      <w:pPr>
        <w:rPr>
          <w:rFonts w:asciiTheme="minorHAnsi" w:hAnsiTheme="minorHAnsi" w:cstheme="minorHAnsi"/>
          <w:color w:val="000000" w:themeColor="text1"/>
          <w:sz w:val="16"/>
          <w:szCs w:val="16"/>
          <w:lang w:val="de-DE"/>
        </w:rPr>
      </w:pPr>
      <w:hyperlink r:id="rId301" w:history="1">
        <w:r w:rsidR="008F6FFE" w:rsidRPr="00235A16">
          <w:rPr>
            <w:rFonts w:asciiTheme="minorHAnsi" w:hAnsiTheme="minorHAnsi" w:cstheme="minorHAnsi"/>
            <w:color w:val="000000" w:themeColor="text1"/>
            <w:sz w:val="16"/>
            <w:szCs w:val="16"/>
            <w:lang w:val="de-DE"/>
          </w:rPr>
          <w:t>https://www.ncbi.nlm.nih.gov/pmc/articles/PMC7262093/pdf/JTH-9999-na.pdf</w:t>
        </w:r>
      </w:hyperlink>
    </w:p>
    <w:p w:rsidR="008F6FFE" w:rsidRPr="00235A16" w:rsidRDefault="008F6FFE" w:rsidP="00717D4D">
      <w:pPr>
        <w:jc w:val="both"/>
        <w:rPr>
          <w:rFonts w:asciiTheme="minorHAnsi" w:hAnsiTheme="minorHAnsi" w:cstheme="minorHAnsi"/>
          <w:color w:val="000000" w:themeColor="text1"/>
          <w:sz w:val="16"/>
          <w:szCs w:val="16"/>
          <w:lang w:val="de-DE"/>
        </w:rPr>
      </w:pPr>
    </w:p>
    <w:p w:rsidR="008F6FFE" w:rsidRPr="000547D3" w:rsidRDefault="0052743C" w:rsidP="00717D4D">
      <w:pPr>
        <w:jc w:val="both"/>
        <w:rPr>
          <w:rFonts w:asciiTheme="minorHAnsi" w:hAnsiTheme="minorHAnsi" w:cstheme="minorHAnsi"/>
          <w:color w:val="000000" w:themeColor="text1"/>
          <w:sz w:val="16"/>
          <w:szCs w:val="16"/>
          <w:lang w:val="en-US"/>
        </w:rPr>
      </w:pPr>
      <w:hyperlink r:id="rId302" w:tooltip="Histopathology." w:history="1">
        <w:r w:rsidR="008F6FFE" w:rsidRPr="000547D3">
          <w:rPr>
            <w:rFonts w:asciiTheme="minorHAnsi" w:hAnsiTheme="minorHAnsi" w:cstheme="minorHAnsi"/>
            <w:color w:val="000000" w:themeColor="text1"/>
            <w:sz w:val="16"/>
            <w:szCs w:val="16"/>
            <w:lang w:val="en-US"/>
          </w:rPr>
          <w:t>Histopathology.</w:t>
        </w:r>
      </w:hyperlink>
      <w:r w:rsidR="008F6FFE" w:rsidRPr="000547D3">
        <w:rPr>
          <w:rFonts w:asciiTheme="minorHAnsi" w:hAnsiTheme="minorHAnsi" w:cstheme="minorHAnsi"/>
          <w:color w:val="000000" w:themeColor="text1"/>
          <w:sz w:val="16"/>
          <w:szCs w:val="16"/>
          <w:lang w:val="en-US"/>
        </w:rPr>
        <w:t xml:space="preserve"> 2020 May 4. doi: 10.1111/his.14134. </w:t>
      </w:r>
    </w:p>
    <w:p w:rsidR="008F6FFE" w:rsidRPr="000547D3" w:rsidRDefault="008F6FFE" w:rsidP="00717D4D">
      <w:pPr>
        <w:jc w:val="both"/>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lang w:val="en-US"/>
        </w:rPr>
        <w:t>Post‐mortem examination of COVID19 patients reveals diffuse alveolar damage with severe capillary congestion and variegated findings of lungs and other organs suggesting vascular dysfunction</w:t>
      </w:r>
    </w:p>
    <w:p w:rsidR="008F6FFE" w:rsidRPr="00235A16" w:rsidRDefault="0052743C" w:rsidP="00717D4D">
      <w:pPr>
        <w:jc w:val="both"/>
        <w:rPr>
          <w:rFonts w:asciiTheme="minorHAnsi" w:hAnsiTheme="minorHAnsi" w:cstheme="minorHAnsi"/>
          <w:color w:val="000000" w:themeColor="text1"/>
          <w:sz w:val="16"/>
          <w:szCs w:val="16"/>
          <w:lang w:val="de-DE"/>
        </w:rPr>
      </w:pPr>
      <w:hyperlink r:id="rId303" w:history="1">
        <w:r w:rsidR="008F6FFE" w:rsidRPr="00235A16">
          <w:rPr>
            <w:rFonts w:asciiTheme="minorHAnsi" w:hAnsiTheme="minorHAnsi" w:cstheme="minorHAnsi"/>
            <w:color w:val="000000" w:themeColor="text1"/>
            <w:sz w:val="16"/>
            <w:szCs w:val="16"/>
            <w:lang w:val="de-DE"/>
          </w:rPr>
          <w:t>Menter T</w:t>
        </w:r>
      </w:hyperlink>
      <w:r w:rsidR="008F6FFE" w:rsidRPr="00235A16">
        <w:rPr>
          <w:rFonts w:asciiTheme="minorHAnsi" w:hAnsiTheme="minorHAnsi" w:cstheme="minorHAnsi"/>
          <w:color w:val="000000" w:themeColor="text1"/>
          <w:sz w:val="16"/>
          <w:szCs w:val="16"/>
          <w:lang w:val="de-DE"/>
        </w:rPr>
        <w:t xml:space="preserve"> et al</w:t>
      </w:r>
    </w:p>
    <w:p w:rsidR="008F6FFE" w:rsidRPr="00235A16" w:rsidRDefault="0052743C" w:rsidP="000547D3">
      <w:pPr>
        <w:rPr>
          <w:rFonts w:asciiTheme="minorHAnsi" w:hAnsiTheme="minorHAnsi" w:cstheme="minorHAnsi"/>
          <w:color w:val="000000" w:themeColor="text1"/>
          <w:sz w:val="16"/>
          <w:szCs w:val="16"/>
          <w:lang w:val="de-DE"/>
        </w:rPr>
      </w:pPr>
      <w:hyperlink r:id="rId304" w:history="1">
        <w:r w:rsidR="008F6FFE" w:rsidRPr="00235A16">
          <w:rPr>
            <w:rFonts w:asciiTheme="minorHAnsi" w:hAnsiTheme="minorHAnsi" w:cstheme="minorHAnsi"/>
            <w:color w:val="000000" w:themeColor="text1"/>
            <w:sz w:val="16"/>
            <w:szCs w:val="16"/>
            <w:lang w:val="de-DE"/>
          </w:rPr>
          <w:t>https://onlinelibrary.wiley.com/doi/epdf/10.1111/his.14134</w:t>
        </w:r>
      </w:hyperlink>
    </w:p>
    <w:p w:rsidR="008F6FFE" w:rsidRPr="00235A16" w:rsidRDefault="008F6FFE" w:rsidP="00717D4D">
      <w:pPr>
        <w:jc w:val="both"/>
        <w:rPr>
          <w:rFonts w:asciiTheme="minorHAnsi" w:hAnsiTheme="minorHAnsi" w:cstheme="minorHAnsi"/>
          <w:color w:val="000000" w:themeColor="text1"/>
          <w:sz w:val="16"/>
          <w:szCs w:val="16"/>
          <w:lang w:val="de-DE"/>
        </w:rPr>
      </w:pPr>
    </w:p>
    <w:p w:rsidR="008F6FFE" w:rsidRPr="000547D3" w:rsidRDefault="0052743C" w:rsidP="00717D4D">
      <w:pPr>
        <w:jc w:val="both"/>
        <w:rPr>
          <w:rFonts w:asciiTheme="minorHAnsi" w:hAnsiTheme="minorHAnsi" w:cstheme="minorHAnsi"/>
          <w:color w:val="000000" w:themeColor="text1"/>
          <w:sz w:val="16"/>
          <w:szCs w:val="16"/>
          <w:lang w:val="en-US"/>
        </w:rPr>
      </w:pPr>
      <w:hyperlink r:id="rId305" w:tooltip="The American journal of forensic medicine and pathology." w:history="1">
        <w:r w:rsidR="008F6FFE" w:rsidRPr="000547D3">
          <w:rPr>
            <w:rFonts w:asciiTheme="minorHAnsi" w:hAnsiTheme="minorHAnsi" w:cstheme="minorHAnsi"/>
            <w:color w:val="000000" w:themeColor="text1"/>
            <w:sz w:val="16"/>
            <w:szCs w:val="16"/>
            <w:lang w:val="en-US"/>
          </w:rPr>
          <w:t>Am J Forensic Med Pathol.</w:t>
        </w:r>
      </w:hyperlink>
      <w:r w:rsidR="008F6FFE" w:rsidRPr="000547D3">
        <w:rPr>
          <w:rFonts w:asciiTheme="minorHAnsi" w:hAnsiTheme="minorHAnsi" w:cstheme="minorHAnsi"/>
          <w:color w:val="000000" w:themeColor="text1"/>
          <w:sz w:val="16"/>
          <w:szCs w:val="16"/>
          <w:lang w:val="en-US"/>
        </w:rPr>
        <w:t xml:space="preserve"> 2020 Apr 24. doi: 10.1097/PAF.0000000000000567. </w:t>
      </w:r>
    </w:p>
    <w:p w:rsidR="008F6FFE" w:rsidRPr="000547D3" w:rsidRDefault="008F6FFE" w:rsidP="00717D4D">
      <w:pPr>
        <w:jc w:val="both"/>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lang w:val="en-US"/>
        </w:rPr>
        <w:t>COVID-19: POSTMORTEM DIAGNOSTIC AND BIOSAFETY CONSIDERATIONS.</w:t>
      </w:r>
    </w:p>
    <w:p w:rsidR="008F6FFE" w:rsidRPr="000547D3" w:rsidRDefault="0052743C" w:rsidP="00717D4D">
      <w:pPr>
        <w:jc w:val="both"/>
        <w:rPr>
          <w:rFonts w:asciiTheme="minorHAnsi" w:hAnsiTheme="minorHAnsi" w:cstheme="minorHAnsi"/>
          <w:color w:val="000000" w:themeColor="text1"/>
          <w:sz w:val="16"/>
          <w:szCs w:val="16"/>
          <w:lang w:val="en-US"/>
        </w:rPr>
      </w:pPr>
      <w:hyperlink r:id="rId306" w:history="1">
        <w:r w:rsidR="008F6FFE" w:rsidRPr="000547D3">
          <w:rPr>
            <w:rFonts w:asciiTheme="minorHAnsi" w:hAnsiTheme="minorHAnsi" w:cstheme="minorHAnsi"/>
            <w:color w:val="000000" w:themeColor="text1"/>
            <w:sz w:val="16"/>
            <w:szCs w:val="16"/>
            <w:lang w:val="en-US"/>
          </w:rPr>
          <w:t>Lacy JM</w:t>
        </w:r>
      </w:hyperlink>
      <w:r w:rsidR="008F6FFE" w:rsidRPr="000547D3">
        <w:rPr>
          <w:rFonts w:asciiTheme="minorHAnsi" w:hAnsiTheme="minorHAnsi" w:cstheme="minorHAnsi"/>
          <w:color w:val="000000" w:themeColor="text1"/>
          <w:sz w:val="16"/>
          <w:szCs w:val="16"/>
          <w:lang w:val="en-US"/>
        </w:rPr>
        <w:t xml:space="preserve"> et al</w:t>
      </w:r>
    </w:p>
    <w:p w:rsidR="008F6FFE" w:rsidRPr="000547D3" w:rsidRDefault="0052743C" w:rsidP="000547D3">
      <w:pPr>
        <w:rPr>
          <w:rFonts w:asciiTheme="minorHAnsi" w:hAnsiTheme="minorHAnsi" w:cstheme="minorHAnsi"/>
          <w:color w:val="000000" w:themeColor="text1"/>
          <w:sz w:val="16"/>
          <w:szCs w:val="16"/>
          <w:lang w:val="en-US"/>
        </w:rPr>
      </w:pPr>
      <w:hyperlink r:id="rId307" w:history="1">
        <w:r w:rsidR="008F6FFE" w:rsidRPr="000547D3">
          <w:rPr>
            <w:rFonts w:asciiTheme="minorHAnsi" w:hAnsiTheme="minorHAnsi" w:cstheme="minorHAnsi"/>
            <w:color w:val="000000" w:themeColor="text1"/>
            <w:sz w:val="16"/>
            <w:szCs w:val="16"/>
            <w:lang w:val="en-US"/>
          </w:rPr>
          <w:t>https://www.ncbi.nlm.nih.gov/pmc/articles/PMC7202125/pdf/paf-publish-ahead-of-print-10.1097.paf.0000000000000567.pdf</w:t>
        </w:r>
      </w:hyperlink>
    </w:p>
    <w:p w:rsidR="008F6FFE" w:rsidRPr="000547D3" w:rsidRDefault="008F6FFE" w:rsidP="00717D4D">
      <w:pPr>
        <w:jc w:val="both"/>
        <w:rPr>
          <w:rFonts w:asciiTheme="minorHAnsi" w:hAnsiTheme="minorHAnsi" w:cstheme="minorHAnsi"/>
          <w:color w:val="000000" w:themeColor="text1"/>
          <w:sz w:val="16"/>
          <w:szCs w:val="16"/>
          <w:lang w:val="en-US"/>
        </w:rPr>
      </w:pPr>
    </w:p>
    <w:p w:rsidR="008F6FFE" w:rsidRPr="000547D3" w:rsidRDefault="008F6FFE" w:rsidP="000547D3">
      <w:pPr>
        <w:shd w:val="clear" w:color="auto" w:fill="FFFFFF"/>
        <w:jc w:val="both"/>
        <w:rPr>
          <w:rStyle w:val="Hyperlink"/>
          <w:rFonts w:asciiTheme="minorHAnsi" w:eastAsiaTheme="majorEastAsia" w:hAnsiTheme="minorHAnsi" w:cstheme="minorHAnsi"/>
          <w:color w:val="000000" w:themeColor="text1"/>
          <w:sz w:val="16"/>
          <w:szCs w:val="16"/>
          <w:u w:val="none"/>
        </w:rPr>
      </w:pPr>
      <w:r w:rsidRPr="009075A1">
        <w:rPr>
          <w:rStyle w:val="Hyperlink"/>
          <w:rFonts w:asciiTheme="minorHAnsi" w:eastAsiaTheme="majorEastAsia" w:hAnsiTheme="minorHAnsi" w:cstheme="minorHAnsi"/>
          <w:color w:val="000000" w:themeColor="text1"/>
          <w:sz w:val="16"/>
          <w:szCs w:val="16"/>
          <w:u w:val="none"/>
        </w:rPr>
        <w:t xml:space="preserve">Lisa M Barton, </w:t>
      </w:r>
      <w:r w:rsidRPr="000547D3">
        <w:rPr>
          <w:rStyle w:val="Hyperlink"/>
          <w:rFonts w:asciiTheme="minorHAnsi" w:eastAsiaTheme="majorEastAsia" w:hAnsiTheme="minorHAnsi" w:cstheme="minorHAnsi"/>
          <w:color w:val="000000" w:themeColor="text1"/>
          <w:sz w:val="16"/>
          <w:szCs w:val="16"/>
          <w:u w:val="none"/>
        </w:rPr>
        <w:t>et al</w:t>
      </w:r>
    </w:p>
    <w:p w:rsidR="008F6FFE" w:rsidRPr="000547D3" w:rsidRDefault="008F6FFE" w:rsidP="000547D3">
      <w:pPr>
        <w:shd w:val="clear" w:color="auto" w:fill="FFFFFF"/>
        <w:jc w:val="both"/>
        <w:rPr>
          <w:rStyle w:val="Hyperlink"/>
          <w:rFonts w:asciiTheme="minorHAnsi" w:eastAsiaTheme="majorEastAsia" w:hAnsiTheme="minorHAnsi" w:cstheme="minorHAnsi"/>
          <w:color w:val="000000" w:themeColor="text1"/>
          <w:sz w:val="16"/>
          <w:szCs w:val="16"/>
          <w:u w:val="none"/>
        </w:rPr>
      </w:pPr>
      <w:r w:rsidRPr="009075A1">
        <w:rPr>
          <w:rStyle w:val="Hyperlink"/>
          <w:rFonts w:asciiTheme="minorHAnsi" w:eastAsiaTheme="majorEastAsia" w:hAnsiTheme="minorHAnsi" w:cstheme="minorHAnsi"/>
          <w:color w:val="000000" w:themeColor="text1"/>
          <w:sz w:val="16"/>
          <w:szCs w:val="16"/>
          <w:u w:val="none"/>
        </w:rPr>
        <w:t>COVID-19 Autopsies, Oklahoma, USA, </w:t>
      </w:r>
    </w:p>
    <w:p w:rsidR="008F6FFE" w:rsidRPr="009075A1" w:rsidRDefault="008F6FFE" w:rsidP="000547D3">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0547D3">
        <w:rPr>
          <w:rStyle w:val="Hyperlink"/>
          <w:rFonts w:asciiTheme="minorHAnsi" w:eastAsiaTheme="majorEastAsia" w:hAnsiTheme="minorHAnsi" w:cstheme="minorHAnsi"/>
          <w:color w:val="000000" w:themeColor="text1"/>
          <w:sz w:val="16"/>
          <w:szCs w:val="16"/>
          <w:u w:val="none"/>
          <w:lang w:val="en-US"/>
        </w:rPr>
        <w:t>American Journal of Clinical Pathology, Volume 153, Issue 6, June 2020, Pages 725–733, </w:t>
      </w:r>
      <w:hyperlink r:id="rId308" w:history="1">
        <w:r w:rsidRPr="000547D3">
          <w:rPr>
            <w:rStyle w:val="Hyperlink"/>
            <w:rFonts w:asciiTheme="minorHAnsi" w:eastAsiaTheme="majorEastAsia" w:hAnsiTheme="minorHAnsi" w:cstheme="minorHAnsi"/>
            <w:color w:val="000000" w:themeColor="text1"/>
            <w:sz w:val="16"/>
            <w:szCs w:val="16"/>
            <w:u w:val="none"/>
            <w:lang w:val="en-US"/>
          </w:rPr>
          <w:t>https://doi.org/10.1093/ajcp/aqaa062</w:t>
        </w:r>
      </w:hyperlink>
    </w:p>
    <w:p w:rsidR="008F6FFE" w:rsidRPr="009075A1" w:rsidRDefault="0052743C" w:rsidP="000547D3">
      <w:pPr>
        <w:rPr>
          <w:rFonts w:asciiTheme="minorHAnsi" w:hAnsiTheme="minorHAnsi" w:cstheme="minorHAnsi"/>
          <w:color w:val="000000" w:themeColor="text1"/>
          <w:sz w:val="16"/>
          <w:szCs w:val="16"/>
          <w:lang w:val="en-US"/>
        </w:rPr>
      </w:pPr>
      <w:hyperlink r:id="rId309" w:history="1">
        <w:r w:rsidR="008F6FFE" w:rsidRPr="009075A1">
          <w:rPr>
            <w:rFonts w:asciiTheme="minorHAnsi" w:hAnsiTheme="minorHAnsi" w:cstheme="minorHAnsi"/>
            <w:color w:val="000000" w:themeColor="text1"/>
            <w:sz w:val="16"/>
            <w:szCs w:val="16"/>
            <w:lang w:val="en-US"/>
          </w:rPr>
          <w:t>https://www.ncbi.nlm.nih.gov/pmc/articles/PMC7184436/pdf/aqaa062.pdf</w:t>
        </w:r>
      </w:hyperlink>
    </w:p>
    <w:p w:rsidR="008F6FFE" w:rsidRPr="009075A1" w:rsidRDefault="008F6FFE" w:rsidP="00717D4D">
      <w:pPr>
        <w:pStyle w:val="FootnoteText"/>
        <w:rPr>
          <w:rFonts w:asciiTheme="minorHAnsi" w:hAnsiTheme="minorHAnsi" w:cstheme="minorHAnsi"/>
          <w:color w:val="000000" w:themeColor="text1"/>
          <w:sz w:val="16"/>
          <w:szCs w:val="16"/>
          <w:lang w:val="en-US"/>
        </w:rPr>
      </w:pPr>
    </w:p>
  </w:footnote>
  <w:footnote w:id="26">
    <w:p w:rsidR="008F6FFE" w:rsidRPr="009075A1"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r w:rsidRPr="000547D3">
        <w:rPr>
          <w:rStyle w:val="FootnoteReference"/>
          <w:rFonts w:asciiTheme="minorHAnsi" w:hAnsiTheme="minorHAnsi" w:cstheme="minorHAnsi"/>
          <w:color w:val="000000" w:themeColor="text1"/>
          <w:sz w:val="16"/>
          <w:szCs w:val="16"/>
        </w:rPr>
        <w:footnoteRef/>
      </w:r>
      <w:r w:rsidRPr="009075A1">
        <w:rPr>
          <w:rFonts w:asciiTheme="minorHAnsi" w:hAnsiTheme="minorHAnsi" w:cstheme="minorHAnsi"/>
          <w:color w:val="000000" w:themeColor="text1"/>
          <w:sz w:val="16"/>
          <w:szCs w:val="16"/>
        </w:rPr>
        <w:t xml:space="preserve"> </w:t>
      </w:r>
      <w:hyperlink r:id="rId310" w:tooltip="Journal of clinical medicine." w:history="1">
        <w:r w:rsidRPr="009075A1">
          <w:rPr>
            <w:rStyle w:val="Hyperlink"/>
            <w:rFonts w:asciiTheme="minorHAnsi" w:eastAsiaTheme="majorEastAsia" w:hAnsiTheme="minorHAnsi" w:cstheme="minorHAnsi"/>
            <w:color w:val="000000" w:themeColor="text1"/>
            <w:sz w:val="16"/>
            <w:szCs w:val="16"/>
            <w:u w:val="none"/>
          </w:rPr>
          <w:t>J Clin Med.</w:t>
        </w:r>
      </w:hyperlink>
      <w:r w:rsidRPr="009075A1">
        <w:rPr>
          <w:rStyle w:val="Hyperlink"/>
          <w:rFonts w:asciiTheme="minorHAnsi" w:eastAsiaTheme="majorEastAsia" w:hAnsiTheme="minorHAnsi" w:cstheme="minorHAnsi"/>
          <w:color w:val="000000" w:themeColor="text1"/>
          <w:sz w:val="16"/>
          <w:szCs w:val="16"/>
          <w:u w:val="none"/>
        </w:rPr>
        <w:t> 2020 Apr 26;9(5). pii: E1259. doi: 10.3390/jcm9051259.</w:t>
      </w:r>
    </w:p>
    <w:p w:rsidR="008F6FFE" w:rsidRPr="000547D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r w:rsidRPr="000547D3">
        <w:rPr>
          <w:rStyle w:val="Hyperlink"/>
          <w:rFonts w:asciiTheme="minorHAnsi" w:eastAsiaTheme="majorEastAsia" w:hAnsiTheme="minorHAnsi" w:cstheme="minorHAnsi"/>
          <w:color w:val="000000" w:themeColor="text1"/>
          <w:sz w:val="16"/>
          <w:szCs w:val="16"/>
          <w:u w:val="none"/>
          <w:lang w:val="en-US"/>
        </w:rPr>
        <w:t xml:space="preserve">COVID-19 Deaths: Are We Sure It Is Pneumonia? </w:t>
      </w:r>
      <w:r w:rsidRPr="000547D3">
        <w:rPr>
          <w:rStyle w:val="Hyperlink"/>
          <w:rFonts w:asciiTheme="minorHAnsi" w:eastAsiaTheme="majorEastAsia" w:hAnsiTheme="minorHAnsi" w:cstheme="minorHAnsi"/>
          <w:color w:val="000000" w:themeColor="text1"/>
          <w:sz w:val="16"/>
          <w:szCs w:val="16"/>
          <w:u w:val="none"/>
        </w:rPr>
        <w:t>Please, Autopsy, Autopsy, Autopsy!</w:t>
      </w:r>
    </w:p>
    <w:p w:rsidR="008F6FFE" w:rsidRPr="000547D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311" w:history="1">
        <w:r w:rsidR="008F6FFE" w:rsidRPr="000547D3">
          <w:rPr>
            <w:rStyle w:val="Hyperlink"/>
            <w:rFonts w:asciiTheme="minorHAnsi" w:eastAsiaTheme="majorEastAsia" w:hAnsiTheme="minorHAnsi" w:cstheme="minorHAnsi"/>
            <w:color w:val="000000" w:themeColor="text1"/>
            <w:sz w:val="16"/>
            <w:szCs w:val="16"/>
            <w:u w:val="none"/>
          </w:rPr>
          <w:t>Pomara C</w:t>
        </w:r>
      </w:hyperlink>
      <w:r w:rsidR="008F6FFE" w:rsidRPr="000547D3">
        <w:rPr>
          <w:rStyle w:val="Hyperlink"/>
          <w:rFonts w:asciiTheme="minorHAnsi" w:eastAsiaTheme="majorEastAsia" w:hAnsiTheme="minorHAnsi" w:cstheme="minorHAnsi"/>
          <w:color w:val="000000" w:themeColor="text1"/>
          <w:sz w:val="16"/>
          <w:szCs w:val="16"/>
          <w:u w:val="none"/>
        </w:rPr>
        <w:t>1,2, </w:t>
      </w:r>
      <w:hyperlink r:id="rId312" w:history="1">
        <w:r w:rsidR="008F6FFE" w:rsidRPr="000547D3">
          <w:rPr>
            <w:rStyle w:val="Hyperlink"/>
            <w:rFonts w:asciiTheme="minorHAnsi" w:eastAsiaTheme="majorEastAsia" w:hAnsiTheme="minorHAnsi" w:cstheme="minorHAnsi"/>
            <w:color w:val="000000" w:themeColor="text1"/>
            <w:sz w:val="16"/>
            <w:szCs w:val="16"/>
            <w:u w:val="none"/>
          </w:rPr>
          <w:t>Li Volti G</w:t>
        </w:r>
      </w:hyperlink>
      <w:r w:rsidR="008F6FFE" w:rsidRPr="000547D3">
        <w:rPr>
          <w:rStyle w:val="Hyperlink"/>
          <w:rFonts w:asciiTheme="minorHAnsi" w:eastAsiaTheme="majorEastAsia" w:hAnsiTheme="minorHAnsi" w:cstheme="minorHAnsi"/>
          <w:color w:val="000000" w:themeColor="text1"/>
          <w:sz w:val="16"/>
          <w:szCs w:val="16"/>
          <w:u w:val="none"/>
        </w:rPr>
        <w:t>3, </w:t>
      </w:r>
      <w:hyperlink r:id="rId313" w:history="1">
        <w:r w:rsidR="008F6FFE" w:rsidRPr="000547D3">
          <w:rPr>
            <w:rStyle w:val="Hyperlink"/>
            <w:rFonts w:asciiTheme="minorHAnsi" w:eastAsiaTheme="majorEastAsia" w:hAnsiTheme="minorHAnsi" w:cstheme="minorHAnsi"/>
            <w:color w:val="000000" w:themeColor="text1"/>
            <w:sz w:val="16"/>
            <w:szCs w:val="16"/>
            <w:u w:val="none"/>
          </w:rPr>
          <w:t>Cappello F</w:t>
        </w:r>
      </w:hyperlink>
      <w:r w:rsidR="008F6FFE" w:rsidRPr="000547D3">
        <w:rPr>
          <w:rStyle w:val="Hyperlink"/>
          <w:rFonts w:asciiTheme="minorHAnsi" w:eastAsiaTheme="majorEastAsia" w:hAnsiTheme="minorHAnsi" w:cstheme="minorHAnsi"/>
          <w:color w:val="000000" w:themeColor="text1"/>
          <w:sz w:val="16"/>
          <w:szCs w:val="16"/>
          <w:u w:val="none"/>
        </w:rPr>
        <w:t>4,5.</w:t>
      </w:r>
    </w:p>
    <w:p w:rsidR="008F6FFE" w:rsidRPr="009075A1" w:rsidRDefault="0052743C" w:rsidP="00717D4D">
      <w:pPr>
        <w:shd w:val="clear" w:color="auto" w:fill="FFFFFF"/>
        <w:jc w:val="both"/>
        <w:rPr>
          <w:rFonts w:asciiTheme="minorHAnsi" w:hAnsiTheme="minorHAnsi" w:cstheme="minorHAnsi"/>
          <w:color w:val="000000" w:themeColor="text1"/>
          <w:sz w:val="16"/>
          <w:szCs w:val="16"/>
        </w:rPr>
      </w:pPr>
      <w:hyperlink r:id="rId314" w:history="1">
        <w:r w:rsidR="008F6FFE" w:rsidRPr="009075A1">
          <w:rPr>
            <w:rStyle w:val="Hyperlink"/>
            <w:rFonts w:asciiTheme="minorHAnsi" w:eastAsiaTheme="majorEastAsia" w:hAnsiTheme="minorHAnsi" w:cstheme="minorHAnsi"/>
            <w:color w:val="000000" w:themeColor="text1"/>
            <w:sz w:val="16"/>
            <w:szCs w:val="16"/>
            <w:u w:val="none"/>
          </w:rPr>
          <w:t>https://www.mdpi.com/2077-0383/9/5/1259/htm</w:t>
        </w:r>
      </w:hyperlink>
    </w:p>
    <w:p w:rsidR="008F6FFE" w:rsidRPr="009075A1" w:rsidRDefault="0052743C" w:rsidP="000547D3">
      <w:pPr>
        <w:rPr>
          <w:rFonts w:asciiTheme="minorHAnsi" w:hAnsiTheme="minorHAnsi" w:cstheme="minorHAnsi"/>
          <w:color w:val="000000" w:themeColor="text1"/>
          <w:sz w:val="16"/>
          <w:szCs w:val="16"/>
        </w:rPr>
      </w:pPr>
      <w:hyperlink r:id="rId315" w:history="1">
        <w:r w:rsidR="008F6FFE" w:rsidRPr="009075A1">
          <w:rPr>
            <w:rFonts w:asciiTheme="minorHAnsi" w:hAnsiTheme="minorHAnsi" w:cstheme="minorHAnsi"/>
            <w:color w:val="000000" w:themeColor="text1"/>
            <w:sz w:val="16"/>
            <w:szCs w:val="16"/>
          </w:rPr>
          <w:t>https://www.ncbi.nlm.nih.gov/pmc/articles/PMC7287760/pdf/jcm-09-01259.pdf</w:t>
        </w:r>
      </w:hyperlink>
    </w:p>
    <w:p w:rsidR="008F6FFE" w:rsidRPr="009075A1" w:rsidRDefault="008F6FFE" w:rsidP="00717D4D">
      <w:pPr>
        <w:pStyle w:val="FootnoteText"/>
        <w:rPr>
          <w:rFonts w:asciiTheme="minorHAnsi" w:hAnsiTheme="minorHAnsi" w:cstheme="minorHAnsi"/>
          <w:color w:val="000000" w:themeColor="text1"/>
          <w:sz w:val="16"/>
          <w:szCs w:val="16"/>
        </w:rPr>
      </w:pPr>
    </w:p>
  </w:footnote>
  <w:footnote w:id="27">
    <w:p w:rsidR="008F6FFE" w:rsidRPr="000547D3" w:rsidRDefault="008F6FFE" w:rsidP="00717D4D">
      <w:pPr>
        <w:jc w:val="both"/>
        <w:rPr>
          <w:rFonts w:asciiTheme="minorHAnsi" w:hAnsiTheme="minorHAnsi" w:cstheme="minorHAnsi"/>
          <w:color w:val="000000" w:themeColor="text1"/>
          <w:sz w:val="16"/>
          <w:szCs w:val="16"/>
          <w:lang w:val="en-US"/>
        </w:rPr>
      </w:pPr>
      <w:r w:rsidRPr="000547D3">
        <w:rPr>
          <w:rStyle w:val="FootnoteReference"/>
          <w:rFonts w:asciiTheme="minorHAnsi" w:hAnsiTheme="minorHAnsi" w:cstheme="minorHAnsi"/>
          <w:color w:val="000000" w:themeColor="text1"/>
          <w:sz w:val="16"/>
          <w:szCs w:val="16"/>
        </w:rPr>
        <w:footnoteRef/>
      </w:r>
      <w:r w:rsidRPr="000547D3">
        <w:rPr>
          <w:rFonts w:asciiTheme="minorHAnsi" w:hAnsiTheme="minorHAnsi" w:cstheme="minorHAnsi"/>
          <w:color w:val="000000" w:themeColor="text1"/>
          <w:sz w:val="16"/>
          <w:szCs w:val="16"/>
          <w:lang w:val="en-US"/>
        </w:rPr>
        <w:t xml:space="preserve"> </w:t>
      </w:r>
      <w:hyperlink r:id="rId316" w:tooltip="Journal of thoracic oncology : official publication of the International Association for the Study of Lung Cancer." w:history="1">
        <w:r w:rsidRPr="000547D3">
          <w:rPr>
            <w:rFonts w:asciiTheme="minorHAnsi" w:hAnsiTheme="minorHAnsi" w:cstheme="minorHAnsi"/>
            <w:color w:val="000000" w:themeColor="text1"/>
            <w:sz w:val="16"/>
            <w:szCs w:val="16"/>
            <w:lang w:val="en-US"/>
          </w:rPr>
          <w:t>J Thorac Oncol.</w:t>
        </w:r>
      </w:hyperlink>
      <w:r w:rsidRPr="000547D3">
        <w:rPr>
          <w:rFonts w:asciiTheme="minorHAnsi" w:hAnsiTheme="minorHAnsi" w:cstheme="minorHAnsi"/>
          <w:color w:val="000000" w:themeColor="text1"/>
          <w:sz w:val="16"/>
          <w:szCs w:val="16"/>
          <w:lang w:val="en-US"/>
        </w:rPr>
        <w:t xml:space="preserve"> 2020 May;15(5):700-704. doi: 10.1016/j.jtho.2020.02.010. </w:t>
      </w:r>
    </w:p>
    <w:p w:rsidR="008F6FFE" w:rsidRPr="000547D3" w:rsidRDefault="008F6FFE" w:rsidP="00717D4D">
      <w:pPr>
        <w:jc w:val="both"/>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lang w:val="en-US"/>
        </w:rPr>
        <w:t>Pulmonary Pathology of Early-Phase 2019 Novel Coronavirus (COVID-19) Pneumonia in Two Patients With Lung Cancer.</w:t>
      </w:r>
    </w:p>
    <w:p w:rsidR="008F6FFE" w:rsidRPr="000547D3" w:rsidRDefault="0052743C" w:rsidP="00717D4D">
      <w:pPr>
        <w:jc w:val="both"/>
        <w:rPr>
          <w:rFonts w:asciiTheme="minorHAnsi" w:hAnsiTheme="minorHAnsi" w:cstheme="minorHAnsi"/>
          <w:color w:val="000000" w:themeColor="text1"/>
          <w:sz w:val="16"/>
          <w:szCs w:val="16"/>
          <w:lang w:val="en-US"/>
        </w:rPr>
      </w:pPr>
      <w:hyperlink r:id="rId317" w:history="1">
        <w:r w:rsidR="008F6FFE" w:rsidRPr="000547D3">
          <w:rPr>
            <w:rFonts w:asciiTheme="minorHAnsi" w:hAnsiTheme="minorHAnsi" w:cstheme="minorHAnsi"/>
            <w:color w:val="000000" w:themeColor="text1"/>
            <w:sz w:val="16"/>
            <w:szCs w:val="16"/>
            <w:lang w:val="en-US"/>
          </w:rPr>
          <w:t>Tian S</w:t>
        </w:r>
      </w:hyperlink>
      <w:r w:rsidR="008F6FFE" w:rsidRPr="000547D3">
        <w:rPr>
          <w:rFonts w:asciiTheme="minorHAnsi" w:hAnsiTheme="minorHAnsi" w:cstheme="minorHAnsi"/>
          <w:color w:val="000000" w:themeColor="text1"/>
          <w:sz w:val="16"/>
          <w:szCs w:val="16"/>
          <w:lang w:val="en-US"/>
        </w:rPr>
        <w:t>1, </w:t>
      </w:r>
      <w:hyperlink r:id="rId318" w:history="1">
        <w:r w:rsidR="008F6FFE" w:rsidRPr="000547D3">
          <w:rPr>
            <w:rFonts w:asciiTheme="minorHAnsi" w:hAnsiTheme="minorHAnsi" w:cstheme="minorHAnsi"/>
            <w:color w:val="000000" w:themeColor="text1"/>
            <w:sz w:val="16"/>
            <w:szCs w:val="16"/>
            <w:lang w:val="en-US"/>
          </w:rPr>
          <w:t>Hu W</w:t>
        </w:r>
      </w:hyperlink>
      <w:r w:rsidR="008F6FFE" w:rsidRPr="000547D3">
        <w:rPr>
          <w:rFonts w:asciiTheme="minorHAnsi" w:hAnsiTheme="minorHAnsi" w:cstheme="minorHAnsi"/>
          <w:color w:val="000000" w:themeColor="text1"/>
          <w:sz w:val="16"/>
          <w:szCs w:val="16"/>
          <w:lang w:val="en-US"/>
        </w:rPr>
        <w:t>2, </w:t>
      </w:r>
      <w:hyperlink r:id="rId319" w:history="1">
        <w:r w:rsidR="008F6FFE" w:rsidRPr="000547D3">
          <w:rPr>
            <w:rFonts w:asciiTheme="minorHAnsi" w:hAnsiTheme="minorHAnsi" w:cstheme="minorHAnsi"/>
            <w:color w:val="000000" w:themeColor="text1"/>
            <w:sz w:val="16"/>
            <w:szCs w:val="16"/>
            <w:lang w:val="en-US"/>
          </w:rPr>
          <w:t>Niu L</w:t>
        </w:r>
      </w:hyperlink>
      <w:r w:rsidR="008F6FFE" w:rsidRPr="000547D3">
        <w:rPr>
          <w:rFonts w:asciiTheme="minorHAnsi" w:hAnsiTheme="minorHAnsi" w:cstheme="minorHAnsi"/>
          <w:color w:val="000000" w:themeColor="text1"/>
          <w:sz w:val="16"/>
          <w:szCs w:val="16"/>
          <w:lang w:val="en-US"/>
        </w:rPr>
        <w:t>1, </w:t>
      </w:r>
      <w:hyperlink r:id="rId320" w:history="1">
        <w:r w:rsidR="008F6FFE" w:rsidRPr="000547D3">
          <w:rPr>
            <w:rFonts w:asciiTheme="minorHAnsi" w:hAnsiTheme="minorHAnsi" w:cstheme="minorHAnsi"/>
            <w:color w:val="000000" w:themeColor="text1"/>
            <w:sz w:val="16"/>
            <w:szCs w:val="16"/>
            <w:lang w:val="en-US"/>
          </w:rPr>
          <w:t>Liu H</w:t>
        </w:r>
      </w:hyperlink>
      <w:r w:rsidR="008F6FFE" w:rsidRPr="000547D3">
        <w:rPr>
          <w:rFonts w:asciiTheme="minorHAnsi" w:hAnsiTheme="minorHAnsi" w:cstheme="minorHAnsi"/>
          <w:color w:val="000000" w:themeColor="text1"/>
          <w:sz w:val="16"/>
          <w:szCs w:val="16"/>
          <w:lang w:val="en-US"/>
        </w:rPr>
        <w:t>1, </w:t>
      </w:r>
      <w:hyperlink r:id="rId321" w:history="1">
        <w:r w:rsidR="008F6FFE" w:rsidRPr="000547D3">
          <w:rPr>
            <w:rFonts w:asciiTheme="minorHAnsi" w:hAnsiTheme="minorHAnsi" w:cstheme="minorHAnsi"/>
            <w:color w:val="000000" w:themeColor="text1"/>
            <w:sz w:val="16"/>
            <w:szCs w:val="16"/>
            <w:lang w:val="en-US"/>
          </w:rPr>
          <w:t>Xu H</w:t>
        </w:r>
      </w:hyperlink>
      <w:r w:rsidR="008F6FFE" w:rsidRPr="000547D3">
        <w:rPr>
          <w:rFonts w:asciiTheme="minorHAnsi" w:hAnsiTheme="minorHAnsi" w:cstheme="minorHAnsi"/>
          <w:color w:val="000000" w:themeColor="text1"/>
          <w:sz w:val="16"/>
          <w:szCs w:val="16"/>
          <w:lang w:val="en-US"/>
        </w:rPr>
        <w:t>3, </w:t>
      </w:r>
      <w:hyperlink r:id="rId322" w:history="1">
        <w:r w:rsidR="008F6FFE" w:rsidRPr="000547D3">
          <w:rPr>
            <w:rFonts w:asciiTheme="minorHAnsi" w:hAnsiTheme="minorHAnsi" w:cstheme="minorHAnsi"/>
            <w:color w:val="000000" w:themeColor="text1"/>
            <w:sz w:val="16"/>
            <w:szCs w:val="16"/>
            <w:lang w:val="en-US"/>
          </w:rPr>
          <w:t>Xiao SY</w:t>
        </w:r>
      </w:hyperlink>
      <w:r w:rsidR="008F6FFE" w:rsidRPr="000547D3">
        <w:rPr>
          <w:rFonts w:asciiTheme="minorHAnsi" w:hAnsiTheme="minorHAnsi" w:cstheme="minorHAnsi"/>
          <w:color w:val="000000" w:themeColor="text1"/>
          <w:sz w:val="16"/>
          <w:szCs w:val="16"/>
          <w:lang w:val="en-US"/>
        </w:rPr>
        <w:t>4.</w:t>
      </w:r>
    </w:p>
    <w:p w:rsidR="008F6FFE" w:rsidRPr="000547D3" w:rsidRDefault="0052743C" w:rsidP="000547D3">
      <w:pPr>
        <w:rPr>
          <w:rFonts w:asciiTheme="minorHAnsi" w:hAnsiTheme="minorHAnsi" w:cstheme="minorHAnsi"/>
          <w:color w:val="000000" w:themeColor="text1"/>
          <w:sz w:val="16"/>
          <w:szCs w:val="16"/>
          <w:lang w:val="en-US"/>
        </w:rPr>
      </w:pPr>
      <w:hyperlink r:id="rId323" w:history="1">
        <w:r w:rsidR="008F6FFE" w:rsidRPr="000547D3">
          <w:rPr>
            <w:rFonts w:asciiTheme="minorHAnsi" w:hAnsiTheme="minorHAnsi" w:cstheme="minorHAnsi"/>
            <w:color w:val="000000" w:themeColor="text1"/>
            <w:sz w:val="16"/>
            <w:szCs w:val="16"/>
            <w:lang w:val="en-US"/>
          </w:rPr>
          <w:t>https://www.ncbi.nlm.nih.gov/pmc/articles/PMC7128866/pdf/main.pdf</w:t>
        </w:r>
      </w:hyperlink>
    </w:p>
    <w:p w:rsidR="008F6FFE" w:rsidRPr="000547D3" w:rsidRDefault="008F6FFE" w:rsidP="00717D4D">
      <w:pPr>
        <w:jc w:val="both"/>
        <w:rPr>
          <w:rFonts w:asciiTheme="minorHAnsi" w:hAnsiTheme="minorHAnsi" w:cstheme="minorHAnsi"/>
          <w:color w:val="000000" w:themeColor="text1"/>
          <w:sz w:val="16"/>
          <w:szCs w:val="16"/>
          <w:lang w:val="en-US"/>
        </w:rPr>
      </w:pPr>
    </w:p>
    <w:p w:rsidR="008F6FFE" w:rsidRPr="000547D3" w:rsidRDefault="0052743C" w:rsidP="00717D4D">
      <w:pPr>
        <w:jc w:val="both"/>
        <w:rPr>
          <w:rFonts w:asciiTheme="minorHAnsi" w:hAnsiTheme="minorHAnsi" w:cstheme="minorHAnsi"/>
          <w:color w:val="000000" w:themeColor="text1"/>
          <w:sz w:val="16"/>
          <w:szCs w:val="16"/>
          <w:lang w:val="en-US"/>
        </w:rPr>
      </w:pPr>
      <w:hyperlink r:id="rId324" w:tooltip="The Lancet. Respiratory medicine." w:history="1">
        <w:r w:rsidR="008F6FFE" w:rsidRPr="000547D3">
          <w:rPr>
            <w:rFonts w:asciiTheme="minorHAnsi" w:hAnsiTheme="minorHAnsi" w:cstheme="minorHAnsi"/>
            <w:color w:val="000000" w:themeColor="text1"/>
            <w:sz w:val="16"/>
            <w:szCs w:val="16"/>
            <w:lang w:val="en-US"/>
          </w:rPr>
          <w:t>Lancet Respir Med.</w:t>
        </w:r>
      </w:hyperlink>
      <w:r w:rsidR="008F6FFE" w:rsidRPr="000547D3">
        <w:rPr>
          <w:rFonts w:asciiTheme="minorHAnsi" w:hAnsiTheme="minorHAnsi" w:cstheme="minorHAnsi"/>
          <w:color w:val="000000" w:themeColor="text1"/>
          <w:sz w:val="16"/>
          <w:szCs w:val="16"/>
          <w:lang w:val="en-US"/>
        </w:rPr>
        <w:t xml:space="preserve"> 2020 Apr;8(4):420-422. doi: 10.1016/S2213-2600(20)30076-X. </w:t>
      </w:r>
    </w:p>
    <w:p w:rsidR="008F6FFE" w:rsidRPr="000547D3" w:rsidRDefault="008F6FFE" w:rsidP="00717D4D">
      <w:pPr>
        <w:jc w:val="both"/>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lang w:val="en-US"/>
        </w:rPr>
        <w:t>Pathological findings of COVID-19 associated with acute respiratory distress syndrome.</w:t>
      </w:r>
    </w:p>
    <w:p w:rsidR="008F6FFE" w:rsidRPr="00235A16" w:rsidRDefault="0052743C" w:rsidP="00717D4D">
      <w:pPr>
        <w:jc w:val="both"/>
        <w:rPr>
          <w:rFonts w:asciiTheme="minorHAnsi" w:hAnsiTheme="minorHAnsi" w:cstheme="minorHAnsi"/>
          <w:color w:val="000000" w:themeColor="text1"/>
          <w:sz w:val="16"/>
          <w:szCs w:val="16"/>
          <w:lang w:val="de-DE"/>
        </w:rPr>
      </w:pPr>
      <w:hyperlink r:id="rId325" w:history="1">
        <w:r w:rsidR="008F6FFE" w:rsidRPr="00235A16">
          <w:rPr>
            <w:rFonts w:asciiTheme="minorHAnsi" w:hAnsiTheme="minorHAnsi" w:cstheme="minorHAnsi"/>
            <w:color w:val="000000" w:themeColor="text1"/>
            <w:sz w:val="16"/>
            <w:szCs w:val="16"/>
            <w:lang w:val="de-DE"/>
          </w:rPr>
          <w:t>Xu Z</w:t>
        </w:r>
      </w:hyperlink>
      <w:r w:rsidR="008F6FFE" w:rsidRPr="00235A16">
        <w:rPr>
          <w:rFonts w:asciiTheme="minorHAnsi" w:hAnsiTheme="minorHAnsi" w:cstheme="minorHAnsi"/>
          <w:color w:val="000000" w:themeColor="text1"/>
          <w:sz w:val="16"/>
          <w:szCs w:val="16"/>
          <w:lang w:val="de-DE"/>
        </w:rPr>
        <w:t xml:space="preserve"> et al</w:t>
      </w:r>
    </w:p>
    <w:p w:rsidR="008F6FFE" w:rsidRPr="00235A16" w:rsidRDefault="0052743C" w:rsidP="000547D3">
      <w:pPr>
        <w:rPr>
          <w:rFonts w:asciiTheme="minorHAnsi" w:hAnsiTheme="minorHAnsi" w:cstheme="minorHAnsi"/>
          <w:color w:val="000000" w:themeColor="text1"/>
          <w:sz w:val="16"/>
          <w:szCs w:val="16"/>
          <w:lang w:val="de-DE"/>
        </w:rPr>
      </w:pPr>
      <w:hyperlink r:id="rId326" w:history="1">
        <w:r w:rsidR="008F6FFE" w:rsidRPr="00235A16">
          <w:rPr>
            <w:rFonts w:asciiTheme="minorHAnsi" w:hAnsiTheme="minorHAnsi" w:cstheme="minorHAnsi"/>
            <w:color w:val="000000" w:themeColor="text1"/>
            <w:sz w:val="16"/>
            <w:szCs w:val="16"/>
            <w:lang w:val="de-DE"/>
          </w:rPr>
          <w:t>https://www.ncbi.nlm.nih.gov/pmc/articles/PMC7164771/pdf/main.pdf</w:t>
        </w:r>
      </w:hyperlink>
    </w:p>
    <w:p w:rsidR="008F6FFE" w:rsidRPr="00235A16" w:rsidRDefault="008F6FFE" w:rsidP="00717D4D">
      <w:pPr>
        <w:pStyle w:val="FootnoteText"/>
        <w:rPr>
          <w:rFonts w:asciiTheme="minorHAnsi" w:hAnsiTheme="minorHAnsi" w:cstheme="minorHAnsi"/>
          <w:color w:val="000000" w:themeColor="text1"/>
          <w:sz w:val="16"/>
          <w:szCs w:val="16"/>
          <w:lang w:val="de-DE"/>
        </w:rPr>
      </w:pPr>
    </w:p>
  </w:footnote>
  <w:footnote w:id="28">
    <w:p w:rsidR="008F6FFE" w:rsidRPr="000547D3" w:rsidRDefault="008F6FFE" w:rsidP="00717D4D">
      <w:pPr>
        <w:jc w:val="both"/>
        <w:rPr>
          <w:rFonts w:asciiTheme="minorHAnsi" w:hAnsiTheme="minorHAnsi" w:cstheme="minorHAnsi"/>
          <w:color w:val="000000" w:themeColor="text1"/>
          <w:sz w:val="16"/>
          <w:szCs w:val="16"/>
          <w:lang w:val="en-US"/>
        </w:rPr>
      </w:pPr>
      <w:r w:rsidRPr="000547D3">
        <w:rPr>
          <w:rStyle w:val="FootnoteReference"/>
          <w:rFonts w:asciiTheme="minorHAnsi" w:hAnsiTheme="minorHAnsi" w:cstheme="minorHAnsi"/>
          <w:color w:val="000000" w:themeColor="text1"/>
          <w:sz w:val="16"/>
          <w:szCs w:val="16"/>
        </w:rPr>
        <w:footnoteRef/>
      </w:r>
      <w:r w:rsidRPr="009075A1">
        <w:rPr>
          <w:rFonts w:asciiTheme="minorHAnsi" w:hAnsiTheme="minorHAnsi" w:cstheme="minorHAnsi"/>
          <w:color w:val="000000" w:themeColor="text1"/>
          <w:sz w:val="16"/>
          <w:szCs w:val="16"/>
          <w:lang w:val="en-US"/>
        </w:rPr>
        <w:t xml:space="preserve"> </w:t>
      </w:r>
      <w:hyperlink r:id="rId327" w:tooltip="Lancet (London, England)." w:history="1">
        <w:r w:rsidRPr="009075A1">
          <w:rPr>
            <w:rFonts w:asciiTheme="minorHAnsi" w:hAnsiTheme="minorHAnsi" w:cstheme="minorHAnsi"/>
            <w:color w:val="000000" w:themeColor="text1"/>
            <w:sz w:val="16"/>
            <w:szCs w:val="16"/>
            <w:lang w:val="en-US"/>
          </w:rPr>
          <w:t>Lancet.</w:t>
        </w:r>
      </w:hyperlink>
      <w:r w:rsidRPr="009075A1">
        <w:rPr>
          <w:rFonts w:asciiTheme="minorHAnsi" w:hAnsiTheme="minorHAnsi" w:cstheme="minorHAnsi"/>
          <w:color w:val="000000" w:themeColor="text1"/>
          <w:sz w:val="16"/>
          <w:szCs w:val="16"/>
          <w:lang w:val="en-US"/>
        </w:rPr>
        <w:t> </w:t>
      </w:r>
      <w:r w:rsidRPr="000547D3">
        <w:rPr>
          <w:rFonts w:asciiTheme="minorHAnsi" w:hAnsiTheme="minorHAnsi" w:cstheme="minorHAnsi"/>
          <w:color w:val="000000" w:themeColor="text1"/>
          <w:sz w:val="16"/>
          <w:szCs w:val="16"/>
          <w:lang w:val="en-US"/>
        </w:rPr>
        <w:t xml:space="preserve">2020 May 9;395(10235):1517-1520. doi: 10.1016/S0140-6736(20)30920-X. </w:t>
      </w:r>
    </w:p>
    <w:p w:rsidR="008F6FFE" w:rsidRPr="000547D3" w:rsidRDefault="008F6FFE" w:rsidP="00717D4D">
      <w:pPr>
        <w:jc w:val="both"/>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lang w:val="en-US"/>
        </w:rPr>
        <w:t>SARS-CoV-2 and viral sepsis: observations and hypotheses.</w:t>
      </w:r>
    </w:p>
    <w:p w:rsidR="008F6FFE" w:rsidRPr="000547D3" w:rsidRDefault="0052743C" w:rsidP="00717D4D">
      <w:pPr>
        <w:jc w:val="both"/>
        <w:rPr>
          <w:rFonts w:asciiTheme="minorHAnsi" w:hAnsiTheme="minorHAnsi" w:cstheme="minorHAnsi"/>
          <w:color w:val="000000" w:themeColor="text1"/>
          <w:sz w:val="16"/>
          <w:szCs w:val="16"/>
        </w:rPr>
      </w:pPr>
      <w:hyperlink r:id="rId328" w:history="1">
        <w:r w:rsidR="008F6FFE" w:rsidRPr="000547D3">
          <w:rPr>
            <w:rFonts w:asciiTheme="minorHAnsi" w:hAnsiTheme="minorHAnsi" w:cstheme="minorHAnsi"/>
            <w:color w:val="000000" w:themeColor="text1"/>
            <w:sz w:val="16"/>
            <w:szCs w:val="16"/>
          </w:rPr>
          <w:t>Li H</w:t>
        </w:r>
      </w:hyperlink>
      <w:r w:rsidR="008F6FFE" w:rsidRPr="000547D3">
        <w:rPr>
          <w:rFonts w:asciiTheme="minorHAnsi" w:hAnsiTheme="minorHAnsi" w:cstheme="minorHAnsi"/>
          <w:color w:val="000000" w:themeColor="text1"/>
          <w:sz w:val="16"/>
          <w:szCs w:val="16"/>
        </w:rPr>
        <w:t>1, </w:t>
      </w:r>
      <w:hyperlink r:id="rId329" w:history="1">
        <w:r w:rsidR="008F6FFE" w:rsidRPr="000547D3">
          <w:rPr>
            <w:rFonts w:asciiTheme="minorHAnsi" w:hAnsiTheme="minorHAnsi" w:cstheme="minorHAnsi"/>
            <w:color w:val="000000" w:themeColor="text1"/>
            <w:sz w:val="16"/>
            <w:szCs w:val="16"/>
          </w:rPr>
          <w:t>Liu L</w:t>
        </w:r>
      </w:hyperlink>
      <w:r w:rsidR="008F6FFE" w:rsidRPr="000547D3">
        <w:rPr>
          <w:rFonts w:asciiTheme="minorHAnsi" w:hAnsiTheme="minorHAnsi" w:cstheme="minorHAnsi"/>
          <w:color w:val="000000" w:themeColor="text1"/>
          <w:sz w:val="16"/>
          <w:szCs w:val="16"/>
        </w:rPr>
        <w:t>2, </w:t>
      </w:r>
      <w:hyperlink r:id="rId330" w:history="1">
        <w:r w:rsidR="008F6FFE" w:rsidRPr="000547D3">
          <w:rPr>
            <w:rFonts w:asciiTheme="minorHAnsi" w:hAnsiTheme="minorHAnsi" w:cstheme="minorHAnsi"/>
            <w:color w:val="000000" w:themeColor="text1"/>
            <w:sz w:val="16"/>
            <w:szCs w:val="16"/>
          </w:rPr>
          <w:t>Zhang D</w:t>
        </w:r>
      </w:hyperlink>
      <w:r w:rsidR="008F6FFE" w:rsidRPr="000547D3">
        <w:rPr>
          <w:rFonts w:asciiTheme="minorHAnsi" w:hAnsiTheme="minorHAnsi" w:cstheme="minorHAnsi"/>
          <w:color w:val="000000" w:themeColor="text1"/>
          <w:sz w:val="16"/>
          <w:szCs w:val="16"/>
        </w:rPr>
        <w:t>3, </w:t>
      </w:r>
      <w:hyperlink r:id="rId331" w:history="1">
        <w:r w:rsidR="008F6FFE" w:rsidRPr="000547D3">
          <w:rPr>
            <w:rFonts w:asciiTheme="minorHAnsi" w:hAnsiTheme="minorHAnsi" w:cstheme="minorHAnsi"/>
            <w:color w:val="000000" w:themeColor="text1"/>
            <w:sz w:val="16"/>
            <w:szCs w:val="16"/>
          </w:rPr>
          <w:t>Xu J</w:t>
        </w:r>
      </w:hyperlink>
      <w:r w:rsidR="008F6FFE" w:rsidRPr="000547D3">
        <w:rPr>
          <w:rFonts w:asciiTheme="minorHAnsi" w:hAnsiTheme="minorHAnsi" w:cstheme="minorHAnsi"/>
          <w:color w:val="000000" w:themeColor="text1"/>
          <w:sz w:val="16"/>
          <w:szCs w:val="16"/>
        </w:rPr>
        <w:t>4, </w:t>
      </w:r>
      <w:hyperlink r:id="rId332" w:history="1">
        <w:r w:rsidR="008F6FFE" w:rsidRPr="000547D3">
          <w:rPr>
            <w:rFonts w:asciiTheme="minorHAnsi" w:hAnsiTheme="minorHAnsi" w:cstheme="minorHAnsi"/>
            <w:color w:val="000000" w:themeColor="text1"/>
            <w:sz w:val="16"/>
            <w:szCs w:val="16"/>
          </w:rPr>
          <w:t>Dai H</w:t>
        </w:r>
      </w:hyperlink>
      <w:r w:rsidR="008F6FFE" w:rsidRPr="000547D3">
        <w:rPr>
          <w:rFonts w:asciiTheme="minorHAnsi" w:hAnsiTheme="minorHAnsi" w:cstheme="minorHAnsi"/>
          <w:color w:val="000000" w:themeColor="text1"/>
          <w:sz w:val="16"/>
          <w:szCs w:val="16"/>
        </w:rPr>
        <w:t>1, </w:t>
      </w:r>
      <w:hyperlink r:id="rId333" w:history="1">
        <w:r w:rsidR="008F6FFE" w:rsidRPr="000547D3">
          <w:rPr>
            <w:rFonts w:asciiTheme="minorHAnsi" w:hAnsiTheme="minorHAnsi" w:cstheme="minorHAnsi"/>
            <w:color w:val="000000" w:themeColor="text1"/>
            <w:sz w:val="16"/>
            <w:szCs w:val="16"/>
          </w:rPr>
          <w:t>Tang N</w:t>
        </w:r>
      </w:hyperlink>
      <w:r w:rsidR="008F6FFE" w:rsidRPr="000547D3">
        <w:rPr>
          <w:rFonts w:asciiTheme="minorHAnsi" w:hAnsiTheme="minorHAnsi" w:cstheme="minorHAnsi"/>
          <w:color w:val="000000" w:themeColor="text1"/>
          <w:sz w:val="16"/>
          <w:szCs w:val="16"/>
        </w:rPr>
        <w:t>5, </w:t>
      </w:r>
      <w:hyperlink r:id="rId334" w:history="1">
        <w:r w:rsidR="008F6FFE" w:rsidRPr="000547D3">
          <w:rPr>
            <w:rFonts w:asciiTheme="minorHAnsi" w:hAnsiTheme="minorHAnsi" w:cstheme="minorHAnsi"/>
            <w:color w:val="000000" w:themeColor="text1"/>
            <w:sz w:val="16"/>
            <w:szCs w:val="16"/>
          </w:rPr>
          <w:t>Su X</w:t>
        </w:r>
      </w:hyperlink>
      <w:r w:rsidR="008F6FFE" w:rsidRPr="000547D3">
        <w:rPr>
          <w:rFonts w:asciiTheme="minorHAnsi" w:hAnsiTheme="minorHAnsi" w:cstheme="minorHAnsi"/>
          <w:color w:val="000000" w:themeColor="text1"/>
          <w:sz w:val="16"/>
          <w:szCs w:val="16"/>
        </w:rPr>
        <w:t>6, </w:t>
      </w:r>
      <w:hyperlink r:id="rId335" w:history="1">
        <w:r w:rsidR="008F6FFE" w:rsidRPr="000547D3">
          <w:rPr>
            <w:rFonts w:asciiTheme="minorHAnsi" w:hAnsiTheme="minorHAnsi" w:cstheme="minorHAnsi"/>
            <w:color w:val="000000" w:themeColor="text1"/>
            <w:sz w:val="16"/>
            <w:szCs w:val="16"/>
          </w:rPr>
          <w:t>Cao B</w:t>
        </w:r>
      </w:hyperlink>
      <w:r w:rsidR="008F6FFE" w:rsidRPr="000547D3">
        <w:rPr>
          <w:rFonts w:asciiTheme="minorHAnsi" w:hAnsiTheme="minorHAnsi" w:cstheme="minorHAnsi"/>
          <w:color w:val="000000" w:themeColor="text1"/>
          <w:sz w:val="16"/>
          <w:szCs w:val="16"/>
        </w:rPr>
        <w:t>7.</w:t>
      </w:r>
    </w:p>
    <w:p w:rsidR="008F6FFE" w:rsidRPr="000547D3" w:rsidRDefault="0052743C" w:rsidP="000547D3">
      <w:pPr>
        <w:rPr>
          <w:rFonts w:asciiTheme="minorHAnsi" w:hAnsiTheme="minorHAnsi" w:cstheme="minorHAnsi"/>
          <w:color w:val="000000" w:themeColor="text1"/>
          <w:sz w:val="16"/>
          <w:szCs w:val="16"/>
        </w:rPr>
      </w:pPr>
      <w:hyperlink r:id="rId336" w:history="1">
        <w:r w:rsidR="008F6FFE" w:rsidRPr="000547D3">
          <w:rPr>
            <w:rFonts w:asciiTheme="minorHAnsi" w:hAnsiTheme="minorHAnsi" w:cstheme="minorHAnsi"/>
            <w:color w:val="000000" w:themeColor="text1"/>
            <w:sz w:val="16"/>
            <w:szCs w:val="16"/>
          </w:rPr>
          <w:t>https://www.ncbi.nlm.nih.gov/pmc/articles/PMC7168017/</w:t>
        </w:r>
      </w:hyperlink>
    </w:p>
    <w:p w:rsidR="008F6FFE" w:rsidRPr="000547D3" w:rsidRDefault="008F6FFE" w:rsidP="00717D4D">
      <w:pPr>
        <w:pStyle w:val="FootnoteText"/>
        <w:rPr>
          <w:rFonts w:asciiTheme="minorHAnsi" w:hAnsiTheme="minorHAnsi" w:cstheme="minorHAnsi"/>
          <w:color w:val="000000" w:themeColor="text1"/>
          <w:sz w:val="16"/>
          <w:szCs w:val="16"/>
        </w:rPr>
      </w:pPr>
    </w:p>
  </w:footnote>
  <w:footnote w:id="29">
    <w:p w:rsidR="008F6FFE" w:rsidRPr="000547D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0547D3">
        <w:rPr>
          <w:rStyle w:val="FootnoteReference"/>
          <w:rFonts w:asciiTheme="minorHAnsi" w:hAnsiTheme="minorHAnsi" w:cstheme="minorHAnsi"/>
          <w:color w:val="000000" w:themeColor="text1"/>
          <w:sz w:val="16"/>
          <w:szCs w:val="16"/>
        </w:rPr>
        <w:footnoteRef/>
      </w:r>
      <w:r w:rsidRPr="000547D3">
        <w:rPr>
          <w:rFonts w:asciiTheme="minorHAnsi" w:hAnsiTheme="minorHAnsi" w:cstheme="minorHAnsi"/>
          <w:color w:val="000000" w:themeColor="text1"/>
          <w:sz w:val="16"/>
          <w:szCs w:val="16"/>
        </w:rPr>
        <w:t xml:space="preserve"> </w:t>
      </w:r>
      <w:hyperlink r:id="rId337" w:tooltip="Zhonghua bing li xue za zhi = Chinese journal of pathology." w:history="1">
        <w:r w:rsidRPr="000547D3">
          <w:rPr>
            <w:rStyle w:val="Hyperlink"/>
            <w:rFonts w:asciiTheme="minorHAnsi" w:eastAsiaTheme="majorEastAsia" w:hAnsiTheme="minorHAnsi" w:cstheme="minorHAnsi"/>
            <w:color w:val="000000" w:themeColor="text1"/>
            <w:sz w:val="16"/>
            <w:szCs w:val="16"/>
            <w:u w:val="none"/>
          </w:rPr>
          <w:t>Zhonghua Bing Li Xue Za Zhi.</w:t>
        </w:r>
      </w:hyperlink>
      <w:r w:rsidRPr="000547D3">
        <w:rPr>
          <w:rStyle w:val="Hyperlink"/>
          <w:rFonts w:asciiTheme="minorHAnsi" w:eastAsiaTheme="majorEastAsia" w:hAnsiTheme="minorHAnsi" w:cstheme="minorHAnsi"/>
          <w:color w:val="000000" w:themeColor="text1"/>
          <w:sz w:val="16"/>
          <w:szCs w:val="16"/>
          <w:u w:val="none"/>
        </w:rPr>
        <w:t> </w:t>
      </w:r>
      <w:r w:rsidRPr="000547D3">
        <w:rPr>
          <w:rStyle w:val="Hyperlink"/>
          <w:rFonts w:asciiTheme="minorHAnsi" w:eastAsiaTheme="majorEastAsia" w:hAnsiTheme="minorHAnsi" w:cstheme="minorHAnsi"/>
          <w:color w:val="000000" w:themeColor="text1"/>
          <w:sz w:val="16"/>
          <w:szCs w:val="16"/>
          <w:u w:val="none"/>
          <w:lang w:val="en-US"/>
        </w:rPr>
        <w:t>2020 Apr 8;49(4):291-293. doi: 10.3760/cma.j.cn112151-20200211-00114.</w:t>
      </w:r>
    </w:p>
    <w:p w:rsidR="008F6FFE" w:rsidRPr="000547D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0547D3">
        <w:rPr>
          <w:rStyle w:val="Hyperlink"/>
          <w:rFonts w:asciiTheme="minorHAnsi" w:eastAsiaTheme="majorEastAsia" w:hAnsiTheme="minorHAnsi" w:cstheme="minorHAnsi"/>
          <w:color w:val="000000" w:themeColor="text1"/>
          <w:sz w:val="16"/>
          <w:szCs w:val="16"/>
          <w:u w:val="none"/>
          <w:lang w:val="en-US"/>
        </w:rPr>
        <w:t>[Analysis of coronavirus disease-19 (COVID-19) based on SARS autopsy].</w:t>
      </w:r>
    </w:p>
    <w:p w:rsidR="008F6FFE" w:rsidRPr="000547D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0547D3">
        <w:rPr>
          <w:rStyle w:val="Hyperlink"/>
          <w:rFonts w:asciiTheme="minorHAnsi" w:eastAsiaTheme="majorEastAsia" w:hAnsiTheme="minorHAnsi" w:cstheme="minorHAnsi"/>
          <w:color w:val="000000" w:themeColor="text1"/>
          <w:sz w:val="16"/>
          <w:szCs w:val="16"/>
          <w:u w:val="none"/>
          <w:lang w:val="en-US"/>
        </w:rPr>
        <w:t>[Article in Chinese; Abstract available in Chinese from the publisher]</w:t>
      </w:r>
    </w:p>
    <w:p w:rsidR="008F6FFE" w:rsidRPr="000547D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338" w:history="1">
        <w:r w:rsidR="008F6FFE" w:rsidRPr="000547D3">
          <w:rPr>
            <w:rStyle w:val="Hyperlink"/>
            <w:rFonts w:asciiTheme="minorHAnsi" w:eastAsiaTheme="majorEastAsia" w:hAnsiTheme="minorHAnsi" w:cstheme="minorHAnsi"/>
            <w:color w:val="000000" w:themeColor="text1"/>
            <w:sz w:val="16"/>
            <w:szCs w:val="16"/>
            <w:u w:val="none"/>
            <w:lang w:val="en-US"/>
          </w:rPr>
          <w:t>Ding YQ</w:t>
        </w:r>
      </w:hyperlink>
      <w:r w:rsidR="008F6FFE" w:rsidRPr="000547D3">
        <w:rPr>
          <w:rStyle w:val="Hyperlink"/>
          <w:rFonts w:asciiTheme="minorHAnsi" w:eastAsiaTheme="majorEastAsia" w:hAnsiTheme="minorHAnsi" w:cstheme="minorHAnsi"/>
          <w:color w:val="000000" w:themeColor="text1"/>
          <w:sz w:val="16"/>
          <w:szCs w:val="16"/>
          <w:u w:val="none"/>
          <w:lang w:val="en-US"/>
        </w:rPr>
        <w:t>1, </w:t>
      </w:r>
      <w:hyperlink r:id="rId339" w:history="1">
        <w:r w:rsidR="008F6FFE" w:rsidRPr="000547D3">
          <w:rPr>
            <w:rStyle w:val="Hyperlink"/>
            <w:rFonts w:asciiTheme="minorHAnsi" w:eastAsiaTheme="majorEastAsia" w:hAnsiTheme="minorHAnsi" w:cstheme="minorHAnsi"/>
            <w:color w:val="000000" w:themeColor="text1"/>
            <w:sz w:val="16"/>
            <w:szCs w:val="16"/>
            <w:u w:val="none"/>
            <w:lang w:val="en-US"/>
          </w:rPr>
          <w:t>Bian XW</w:t>
        </w:r>
      </w:hyperlink>
      <w:r w:rsidR="008F6FFE" w:rsidRPr="000547D3">
        <w:rPr>
          <w:rStyle w:val="Hyperlink"/>
          <w:rFonts w:asciiTheme="minorHAnsi" w:eastAsiaTheme="majorEastAsia" w:hAnsiTheme="minorHAnsi" w:cstheme="minorHAnsi"/>
          <w:color w:val="000000" w:themeColor="text1"/>
          <w:sz w:val="16"/>
          <w:szCs w:val="16"/>
          <w:u w:val="none"/>
          <w:lang w:val="en-US"/>
        </w:rPr>
        <w:t>2.</w:t>
      </w:r>
    </w:p>
    <w:p w:rsidR="008F6FFE" w:rsidRPr="000547D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p>
    <w:p w:rsidR="008F6FFE" w:rsidRPr="000547D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340" w:tooltip="The Journal of pathology." w:history="1">
        <w:r w:rsidR="008F6FFE" w:rsidRPr="000547D3">
          <w:rPr>
            <w:rStyle w:val="Hyperlink"/>
            <w:rFonts w:asciiTheme="minorHAnsi" w:eastAsiaTheme="majorEastAsia" w:hAnsiTheme="minorHAnsi" w:cstheme="minorHAnsi"/>
            <w:color w:val="000000" w:themeColor="text1"/>
            <w:sz w:val="16"/>
            <w:szCs w:val="16"/>
            <w:u w:val="none"/>
            <w:lang w:val="en-US"/>
          </w:rPr>
          <w:t>J Pathol.</w:t>
        </w:r>
      </w:hyperlink>
      <w:r w:rsidR="008F6FFE" w:rsidRPr="000547D3">
        <w:rPr>
          <w:rStyle w:val="Hyperlink"/>
          <w:rFonts w:asciiTheme="minorHAnsi" w:eastAsiaTheme="majorEastAsia" w:hAnsiTheme="minorHAnsi" w:cstheme="minorHAnsi"/>
          <w:color w:val="000000" w:themeColor="text1"/>
          <w:sz w:val="16"/>
          <w:szCs w:val="16"/>
          <w:u w:val="none"/>
          <w:lang w:val="en-US"/>
        </w:rPr>
        <w:t> 2003 Jul;200(3):282-9.</w:t>
      </w:r>
    </w:p>
    <w:p w:rsidR="008F6FFE" w:rsidRPr="000547D3"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0547D3">
        <w:rPr>
          <w:rStyle w:val="Hyperlink"/>
          <w:rFonts w:asciiTheme="minorHAnsi" w:eastAsiaTheme="majorEastAsia" w:hAnsiTheme="minorHAnsi" w:cstheme="minorHAnsi"/>
          <w:color w:val="000000" w:themeColor="text1"/>
          <w:sz w:val="16"/>
          <w:szCs w:val="16"/>
          <w:u w:val="none"/>
          <w:lang w:val="en-US"/>
        </w:rPr>
        <w:t>The clinical pathology of severe acute respiratory syndrome (SARS): a report from China.</w:t>
      </w:r>
    </w:p>
    <w:p w:rsidR="008F6FFE" w:rsidRPr="000547D3"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341" w:history="1">
        <w:r w:rsidR="008F6FFE" w:rsidRPr="000547D3">
          <w:rPr>
            <w:rStyle w:val="Hyperlink"/>
            <w:rFonts w:asciiTheme="minorHAnsi" w:eastAsiaTheme="majorEastAsia" w:hAnsiTheme="minorHAnsi" w:cstheme="minorHAnsi"/>
            <w:color w:val="000000" w:themeColor="text1"/>
            <w:sz w:val="16"/>
            <w:szCs w:val="16"/>
            <w:u w:val="none"/>
            <w:lang w:val="en-US"/>
          </w:rPr>
          <w:t>Ding Y</w:t>
        </w:r>
      </w:hyperlink>
      <w:r w:rsidR="008F6FFE" w:rsidRPr="000547D3">
        <w:rPr>
          <w:rStyle w:val="Hyperlink"/>
          <w:rFonts w:asciiTheme="minorHAnsi" w:eastAsiaTheme="majorEastAsia" w:hAnsiTheme="minorHAnsi" w:cstheme="minorHAnsi"/>
          <w:color w:val="000000" w:themeColor="text1"/>
          <w:sz w:val="16"/>
          <w:szCs w:val="16"/>
          <w:u w:val="none"/>
          <w:lang w:val="en-US"/>
        </w:rPr>
        <w:t>1, </w:t>
      </w:r>
      <w:hyperlink r:id="rId342" w:history="1">
        <w:r w:rsidR="008F6FFE" w:rsidRPr="000547D3">
          <w:rPr>
            <w:rStyle w:val="Hyperlink"/>
            <w:rFonts w:asciiTheme="minorHAnsi" w:eastAsiaTheme="majorEastAsia" w:hAnsiTheme="minorHAnsi" w:cstheme="minorHAnsi"/>
            <w:color w:val="000000" w:themeColor="text1"/>
            <w:sz w:val="16"/>
            <w:szCs w:val="16"/>
            <w:u w:val="none"/>
            <w:lang w:val="en-US"/>
          </w:rPr>
          <w:t>Wang H</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43" w:history="1">
        <w:r w:rsidR="008F6FFE" w:rsidRPr="000547D3">
          <w:rPr>
            <w:rStyle w:val="Hyperlink"/>
            <w:rFonts w:asciiTheme="minorHAnsi" w:eastAsiaTheme="majorEastAsia" w:hAnsiTheme="minorHAnsi" w:cstheme="minorHAnsi"/>
            <w:color w:val="000000" w:themeColor="text1"/>
            <w:sz w:val="16"/>
            <w:szCs w:val="16"/>
            <w:u w:val="none"/>
            <w:lang w:val="en-US"/>
          </w:rPr>
          <w:t>Shen H</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44" w:history="1">
        <w:r w:rsidR="008F6FFE" w:rsidRPr="000547D3">
          <w:rPr>
            <w:rStyle w:val="Hyperlink"/>
            <w:rFonts w:asciiTheme="minorHAnsi" w:eastAsiaTheme="majorEastAsia" w:hAnsiTheme="minorHAnsi" w:cstheme="minorHAnsi"/>
            <w:color w:val="000000" w:themeColor="text1"/>
            <w:sz w:val="16"/>
            <w:szCs w:val="16"/>
            <w:u w:val="none"/>
            <w:lang w:val="en-US"/>
          </w:rPr>
          <w:t>Li Z</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45" w:history="1">
        <w:r w:rsidR="008F6FFE" w:rsidRPr="000547D3">
          <w:rPr>
            <w:rStyle w:val="Hyperlink"/>
            <w:rFonts w:asciiTheme="minorHAnsi" w:eastAsiaTheme="majorEastAsia" w:hAnsiTheme="minorHAnsi" w:cstheme="minorHAnsi"/>
            <w:color w:val="000000" w:themeColor="text1"/>
            <w:sz w:val="16"/>
            <w:szCs w:val="16"/>
            <w:u w:val="none"/>
            <w:lang w:val="en-US"/>
          </w:rPr>
          <w:t>Geng J</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46" w:history="1">
        <w:r w:rsidR="008F6FFE" w:rsidRPr="000547D3">
          <w:rPr>
            <w:rStyle w:val="Hyperlink"/>
            <w:rFonts w:asciiTheme="minorHAnsi" w:eastAsiaTheme="majorEastAsia" w:hAnsiTheme="minorHAnsi" w:cstheme="minorHAnsi"/>
            <w:color w:val="000000" w:themeColor="text1"/>
            <w:sz w:val="16"/>
            <w:szCs w:val="16"/>
            <w:u w:val="none"/>
            <w:lang w:val="en-US"/>
          </w:rPr>
          <w:t>Han H</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47" w:history="1">
        <w:r w:rsidR="008F6FFE" w:rsidRPr="000547D3">
          <w:rPr>
            <w:rStyle w:val="Hyperlink"/>
            <w:rFonts w:asciiTheme="minorHAnsi" w:eastAsiaTheme="majorEastAsia" w:hAnsiTheme="minorHAnsi" w:cstheme="minorHAnsi"/>
            <w:color w:val="000000" w:themeColor="text1"/>
            <w:sz w:val="16"/>
            <w:szCs w:val="16"/>
            <w:u w:val="none"/>
            <w:lang w:val="en-US"/>
          </w:rPr>
          <w:t>Cai J</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48" w:history="1">
        <w:r w:rsidR="008F6FFE" w:rsidRPr="000547D3">
          <w:rPr>
            <w:rStyle w:val="Hyperlink"/>
            <w:rFonts w:asciiTheme="minorHAnsi" w:eastAsiaTheme="majorEastAsia" w:hAnsiTheme="minorHAnsi" w:cstheme="minorHAnsi"/>
            <w:color w:val="000000" w:themeColor="text1"/>
            <w:sz w:val="16"/>
            <w:szCs w:val="16"/>
            <w:u w:val="none"/>
            <w:lang w:val="en-US"/>
          </w:rPr>
          <w:t>Li X</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49" w:history="1">
        <w:r w:rsidR="008F6FFE" w:rsidRPr="000547D3">
          <w:rPr>
            <w:rStyle w:val="Hyperlink"/>
            <w:rFonts w:asciiTheme="minorHAnsi" w:eastAsiaTheme="majorEastAsia" w:hAnsiTheme="minorHAnsi" w:cstheme="minorHAnsi"/>
            <w:color w:val="000000" w:themeColor="text1"/>
            <w:sz w:val="16"/>
            <w:szCs w:val="16"/>
            <w:u w:val="none"/>
            <w:lang w:val="en-US"/>
          </w:rPr>
          <w:t>Kang W</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50" w:history="1">
        <w:r w:rsidR="008F6FFE" w:rsidRPr="000547D3">
          <w:rPr>
            <w:rStyle w:val="Hyperlink"/>
            <w:rFonts w:asciiTheme="minorHAnsi" w:eastAsiaTheme="majorEastAsia" w:hAnsiTheme="minorHAnsi" w:cstheme="minorHAnsi"/>
            <w:color w:val="000000" w:themeColor="text1"/>
            <w:sz w:val="16"/>
            <w:szCs w:val="16"/>
            <w:u w:val="none"/>
            <w:lang w:val="en-US"/>
          </w:rPr>
          <w:t>Weng D</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51" w:history="1">
        <w:r w:rsidR="008F6FFE" w:rsidRPr="000547D3">
          <w:rPr>
            <w:rStyle w:val="Hyperlink"/>
            <w:rFonts w:asciiTheme="minorHAnsi" w:eastAsiaTheme="majorEastAsia" w:hAnsiTheme="minorHAnsi" w:cstheme="minorHAnsi"/>
            <w:color w:val="000000" w:themeColor="text1"/>
            <w:sz w:val="16"/>
            <w:szCs w:val="16"/>
            <w:u w:val="none"/>
            <w:lang w:val="en-US"/>
          </w:rPr>
          <w:t>Lu Y</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52" w:history="1">
        <w:r w:rsidR="008F6FFE" w:rsidRPr="000547D3">
          <w:rPr>
            <w:rStyle w:val="Hyperlink"/>
            <w:rFonts w:asciiTheme="minorHAnsi" w:eastAsiaTheme="majorEastAsia" w:hAnsiTheme="minorHAnsi" w:cstheme="minorHAnsi"/>
            <w:color w:val="000000" w:themeColor="text1"/>
            <w:sz w:val="16"/>
            <w:szCs w:val="16"/>
            <w:u w:val="none"/>
            <w:lang w:val="en-US"/>
          </w:rPr>
          <w:t>Wu D</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53" w:history="1">
        <w:r w:rsidR="008F6FFE" w:rsidRPr="000547D3">
          <w:rPr>
            <w:rStyle w:val="Hyperlink"/>
            <w:rFonts w:asciiTheme="minorHAnsi" w:eastAsiaTheme="majorEastAsia" w:hAnsiTheme="minorHAnsi" w:cstheme="minorHAnsi"/>
            <w:color w:val="000000" w:themeColor="text1"/>
            <w:sz w:val="16"/>
            <w:szCs w:val="16"/>
            <w:u w:val="none"/>
            <w:lang w:val="en-US"/>
          </w:rPr>
          <w:t>He L</w:t>
        </w:r>
      </w:hyperlink>
      <w:r w:rsidR="008F6FFE" w:rsidRPr="000547D3">
        <w:rPr>
          <w:rStyle w:val="Hyperlink"/>
          <w:rFonts w:asciiTheme="minorHAnsi" w:eastAsiaTheme="majorEastAsia" w:hAnsiTheme="minorHAnsi" w:cstheme="minorHAnsi"/>
          <w:color w:val="000000" w:themeColor="text1"/>
          <w:sz w:val="16"/>
          <w:szCs w:val="16"/>
          <w:u w:val="none"/>
          <w:lang w:val="en-US"/>
        </w:rPr>
        <w:t>, </w:t>
      </w:r>
      <w:hyperlink r:id="rId354" w:history="1">
        <w:r w:rsidR="008F6FFE" w:rsidRPr="000547D3">
          <w:rPr>
            <w:rStyle w:val="Hyperlink"/>
            <w:rFonts w:asciiTheme="minorHAnsi" w:eastAsiaTheme="majorEastAsia" w:hAnsiTheme="minorHAnsi" w:cstheme="minorHAnsi"/>
            <w:color w:val="000000" w:themeColor="text1"/>
            <w:sz w:val="16"/>
            <w:szCs w:val="16"/>
            <w:u w:val="none"/>
            <w:lang w:val="en-US"/>
          </w:rPr>
          <w:t>Yao K</w:t>
        </w:r>
      </w:hyperlink>
      <w:r w:rsidR="008F6FFE" w:rsidRPr="000547D3">
        <w:rPr>
          <w:rStyle w:val="Hyperlink"/>
          <w:rFonts w:asciiTheme="minorHAnsi" w:eastAsiaTheme="majorEastAsia" w:hAnsiTheme="minorHAnsi" w:cstheme="minorHAnsi"/>
          <w:color w:val="000000" w:themeColor="text1"/>
          <w:sz w:val="16"/>
          <w:szCs w:val="16"/>
          <w:u w:val="none"/>
          <w:lang w:val="en-US"/>
        </w:rPr>
        <w:t>.</w:t>
      </w:r>
    </w:p>
    <w:p w:rsidR="008F6FFE" w:rsidRPr="000547D3" w:rsidRDefault="0052743C" w:rsidP="000547D3">
      <w:pPr>
        <w:rPr>
          <w:rFonts w:asciiTheme="minorHAnsi" w:hAnsiTheme="minorHAnsi" w:cstheme="minorHAnsi"/>
          <w:color w:val="000000" w:themeColor="text1"/>
          <w:sz w:val="16"/>
          <w:szCs w:val="16"/>
          <w:lang w:val="en-US"/>
        </w:rPr>
      </w:pPr>
      <w:hyperlink r:id="rId355" w:history="1">
        <w:r w:rsidR="008F6FFE" w:rsidRPr="000547D3">
          <w:rPr>
            <w:rFonts w:asciiTheme="minorHAnsi" w:hAnsiTheme="minorHAnsi" w:cstheme="minorHAnsi"/>
            <w:color w:val="000000" w:themeColor="text1"/>
            <w:sz w:val="16"/>
            <w:szCs w:val="16"/>
            <w:lang w:val="en-US"/>
          </w:rPr>
          <w:t>https://www.ncbi.nlm.nih.gov/pmc/articles/PMC7168017/pdf/PATH-200-282.pdf</w:t>
        </w:r>
      </w:hyperlink>
    </w:p>
    <w:p w:rsidR="008F6FFE" w:rsidRPr="000547D3" w:rsidRDefault="008F6FFE" w:rsidP="00717D4D">
      <w:pPr>
        <w:pStyle w:val="FootnoteText"/>
        <w:rPr>
          <w:rFonts w:asciiTheme="minorHAnsi" w:hAnsiTheme="minorHAnsi" w:cstheme="minorHAnsi"/>
          <w:color w:val="000000" w:themeColor="text1"/>
          <w:sz w:val="16"/>
          <w:szCs w:val="16"/>
          <w:lang w:val="en-US"/>
        </w:rPr>
      </w:pPr>
    </w:p>
  </w:footnote>
  <w:footnote w:id="30">
    <w:p w:rsidR="008F6FFE" w:rsidRPr="000547D3" w:rsidRDefault="008F6FFE" w:rsidP="000547D3">
      <w:pPr>
        <w:rPr>
          <w:rFonts w:asciiTheme="minorHAnsi" w:hAnsiTheme="minorHAnsi" w:cstheme="minorHAnsi"/>
          <w:color w:val="000000" w:themeColor="text1"/>
          <w:sz w:val="16"/>
          <w:szCs w:val="16"/>
          <w:shd w:val="clear" w:color="auto" w:fill="FFFFFF"/>
          <w:lang w:val="en-US"/>
        </w:rPr>
      </w:pPr>
      <w:r w:rsidRPr="000547D3">
        <w:rPr>
          <w:rStyle w:val="FootnoteReference"/>
          <w:rFonts w:asciiTheme="minorHAnsi" w:hAnsiTheme="minorHAnsi" w:cstheme="minorHAnsi"/>
          <w:color w:val="000000" w:themeColor="text1"/>
          <w:sz w:val="16"/>
          <w:szCs w:val="16"/>
        </w:rPr>
        <w:footnoteRef/>
      </w:r>
      <w:r w:rsidRPr="000547D3">
        <w:rPr>
          <w:rFonts w:asciiTheme="minorHAnsi" w:hAnsiTheme="minorHAnsi" w:cstheme="minorHAnsi"/>
          <w:color w:val="000000" w:themeColor="text1"/>
          <w:sz w:val="16"/>
          <w:szCs w:val="16"/>
          <w:lang w:val="en-US"/>
        </w:rPr>
        <w:t xml:space="preserve"> </w:t>
      </w:r>
      <w:r w:rsidRPr="000547D3">
        <w:rPr>
          <w:rFonts w:asciiTheme="minorHAnsi" w:hAnsiTheme="minorHAnsi" w:cstheme="minorHAnsi"/>
          <w:color w:val="000000" w:themeColor="text1"/>
          <w:sz w:val="16"/>
          <w:szCs w:val="16"/>
          <w:shd w:val="clear" w:color="auto" w:fill="FFFFFF"/>
          <w:lang w:val="en-US"/>
        </w:rPr>
        <w:t xml:space="preserve">Ding Y, He L, Zhang Q, et al. </w:t>
      </w:r>
    </w:p>
    <w:p w:rsidR="008F6FFE" w:rsidRPr="000547D3" w:rsidRDefault="008F6FFE" w:rsidP="000547D3">
      <w:pPr>
        <w:rPr>
          <w:rFonts w:asciiTheme="minorHAnsi" w:hAnsiTheme="minorHAnsi" w:cstheme="minorHAnsi"/>
          <w:color w:val="000000" w:themeColor="text1"/>
          <w:sz w:val="16"/>
          <w:szCs w:val="16"/>
          <w:shd w:val="clear" w:color="auto" w:fill="FFFFFF"/>
          <w:lang w:val="en-US"/>
        </w:rPr>
      </w:pPr>
      <w:r w:rsidRPr="000547D3">
        <w:rPr>
          <w:rFonts w:asciiTheme="minorHAnsi" w:hAnsiTheme="minorHAnsi" w:cstheme="minorHAnsi"/>
          <w:color w:val="000000" w:themeColor="text1"/>
          <w:sz w:val="16"/>
          <w:szCs w:val="16"/>
          <w:shd w:val="clear" w:color="auto" w:fill="FFFFFF"/>
          <w:lang w:val="en-US"/>
        </w:rPr>
        <w:t>Organ distribution of severe acute respiratory syndrome (SARS) associated coronavirus (SARS-CoV) in SARS patients: implications for pathogenesis and virus transmission pathways. </w:t>
      </w:r>
    </w:p>
    <w:p w:rsidR="008F6FFE" w:rsidRPr="000547D3" w:rsidRDefault="008F6FFE" w:rsidP="000547D3">
      <w:pPr>
        <w:rPr>
          <w:rFonts w:asciiTheme="minorHAnsi" w:hAnsiTheme="minorHAnsi" w:cstheme="minorHAnsi"/>
          <w:color w:val="000000" w:themeColor="text1"/>
          <w:sz w:val="16"/>
          <w:szCs w:val="16"/>
          <w:lang w:val="en-US"/>
        </w:rPr>
      </w:pPr>
      <w:r w:rsidRPr="000547D3">
        <w:rPr>
          <w:rFonts w:asciiTheme="minorHAnsi" w:hAnsiTheme="minorHAnsi" w:cstheme="minorHAnsi"/>
          <w:color w:val="000000" w:themeColor="text1"/>
          <w:sz w:val="16"/>
          <w:szCs w:val="16"/>
          <w:shd w:val="clear" w:color="auto" w:fill="FFFFFF"/>
          <w:lang w:val="en-US"/>
        </w:rPr>
        <w:t>J Pathol. 2004;203(2):622-630. doi:10.1002/path.1560</w:t>
      </w:r>
    </w:p>
    <w:p w:rsidR="008F6FFE" w:rsidRPr="000547D3" w:rsidRDefault="0052743C" w:rsidP="000547D3">
      <w:pPr>
        <w:rPr>
          <w:rStyle w:val="Hyperlink"/>
          <w:rFonts w:asciiTheme="minorHAnsi" w:eastAsiaTheme="majorEastAsia" w:hAnsiTheme="minorHAnsi" w:cstheme="minorHAnsi"/>
          <w:color w:val="000000" w:themeColor="text1"/>
          <w:sz w:val="16"/>
          <w:szCs w:val="16"/>
          <w:u w:val="none"/>
          <w:lang w:val="en-US"/>
        </w:rPr>
      </w:pPr>
      <w:hyperlink r:id="rId356" w:history="1">
        <w:r w:rsidR="008F6FFE" w:rsidRPr="000547D3">
          <w:rPr>
            <w:rStyle w:val="Hyperlink"/>
            <w:rFonts w:asciiTheme="minorHAnsi" w:eastAsiaTheme="majorEastAsia" w:hAnsiTheme="minorHAnsi" w:cstheme="minorHAnsi"/>
            <w:color w:val="000000" w:themeColor="text1"/>
            <w:sz w:val="16"/>
            <w:szCs w:val="16"/>
            <w:u w:val="none"/>
            <w:lang w:val="en-US"/>
          </w:rPr>
          <w:t>https://www.ncbi.nlm.nih.gov/pmc/articles/PMC7167761/pdf/PATH-203-622.pdf</w:t>
        </w:r>
      </w:hyperlink>
    </w:p>
    <w:p w:rsidR="008F6FFE" w:rsidRPr="00717D4D" w:rsidRDefault="008F6FFE" w:rsidP="00717D4D">
      <w:pPr>
        <w:pStyle w:val="FootnoteText"/>
        <w:rPr>
          <w:rFonts w:asciiTheme="minorHAnsi" w:hAnsiTheme="minorHAnsi" w:cstheme="minorHAnsi"/>
          <w:sz w:val="16"/>
          <w:szCs w:val="16"/>
          <w:lang w:val="en-US"/>
        </w:rPr>
      </w:pPr>
    </w:p>
  </w:footnote>
  <w:footnote w:id="31">
    <w:p w:rsidR="008F6FFE" w:rsidRPr="00A342DB"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A342DB">
        <w:rPr>
          <w:rStyle w:val="FootnoteReference"/>
          <w:rFonts w:asciiTheme="minorHAnsi" w:hAnsiTheme="minorHAnsi" w:cstheme="minorHAnsi"/>
          <w:color w:val="000000" w:themeColor="text1"/>
          <w:sz w:val="16"/>
          <w:szCs w:val="16"/>
        </w:rPr>
        <w:footnoteRef/>
      </w:r>
      <w:r w:rsidRPr="00A342DB">
        <w:rPr>
          <w:rFonts w:asciiTheme="minorHAnsi" w:hAnsiTheme="minorHAnsi" w:cstheme="minorHAnsi"/>
          <w:color w:val="000000" w:themeColor="text1"/>
          <w:sz w:val="16"/>
          <w:szCs w:val="16"/>
          <w:lang w:val="en-US"/>
        </w:rPr>
        <w:t xml:space="preserve"> </w:t>
      </w:r>
      <w:hyperlink r:id="rId357" w:tooltip="Science advances." w:history="1">
        <w:r w:rsidRPr="00A342DB">
          <w:rPr>
            <w:rStyle w:val="Hyperlink"/>
            <w:rFonts w:asciiTheme="minorHAnsi" w:eastAsiaTheme="majorEastAsia" w:hAnsiTheme="minorHAnsi" w:cstheme="minorHAnsi"/>
            <w:color w:val="000000" w:themeColor="text1"/>
            <w:sz w:val="16"/>
            <w:szCs w:val="16"/>
            <w:u w:val="none"/>
            <w:lang w:val="en-US"/>
          </w:rPr>
          <w:t>Sci Adv.</w:t>
        </w:r>
      </w:hyperlink>
      <w:r w:rsidRPr="00A342DB">
        <w:rPr>
          <w:rStyle w:val="Hyperlink"/>
          <w:rFonts w:asciiTheme="minorHAnsi" w:eastAsiaTheme="majorEastAsia" w:hAnsiTheme="minorHAnsi" w:cstheme="minorHAnsi"/>
          <w:color w:val="000000" w:themeColor="text1"/>
          <w:sz w:val="16"/>
          <w:szCs w:val="16"/>
          <w:u w:val="none"/>
          <w:lang w:val="en-US"/>
        </w:rPr>
        <w:t xml:space="preserve"> 2017 Nov 15;3(11):eaao4966. doi: 10.1126/sciadv.aao4966. </w:t>
      </w:r>
    </w:p>
    <w:p w:rsidR="008F6FFE" w:rsidRPr="00A342DB"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A342DB">
        <w:rPr>
          <w:rStyle w:val="Hyperlink"/>
          <w:rFonts w:asciiTheme="minorHAnsi" w:eastAsiaTheme="majorEastAsia" w:hAnsiTheme="minorHAnsi" w:cstheme="minorHAnsi"/>
          <w:color w:val="000000" w:themeColor="text1"/>
          <w:sz w:val="16"/>
          <w:szCs w:val="16"/>
          <w:u w:val="none"/>
          <w:lang w:val="en-US"/>
        </w:rPr>
        <w:t>Human intestinal tract serves as an alternative infection route for Middle East respiratory syndrome coronavirus.</w:t>
      </w:r>
    </w:p>
    <w:p w:rsidR="008F6FFE" w:rsidRPr="00A342DB" w:rsidRDefault="0052743C" w:rsidP="00717D4D">
      <w:pPr>
        <w:shd w:val="clear" w:color="auto" w:fill="FFFFFF"/>
        <w:jc w:val="both"/>
        <w:rPr>
          <w:rFonts w:asciiTheme="minorHAnsi" w:hAnsiTheme="minorHAnsi" w:cstheme="minorHAnsi"/>
          <w:color w:val="000000" w:themeColor="text1"/>
          <w:sz w:val="16"/>
          <w:szCs w:val="16"/>
          <w:lang w:val="en-US"/>
        </w:rPr>
      </w:pPr>
      <w:hyperlink r:id="rId358" w:history="1">
        <w:r w:rsidR="008F6FFE" w:rsidRPr="00A342DB">
          <w:rPr>
            <w:rStyle w:val="Hyperlink"/>
            <w:rFonts w:asciiTheme="minorHAnsi" w:eastAsiaTheme="majorEastAsia" w:hAnsiTheme="minorHAnsi" w:cstheme="minorHAnsi"/>
            <w:color w:val="000000" w:themeColor="text1"/>
            <w:sz w:val="16"/>
            <w:szCs w:val="16"/>
            <w:u w:val="none"/>
            <w:lang w:val="en-US"/>
          </w:rPr>
          <w:t>Zhou J</w:t>
        </w:r>
      </w:hyperlink>
      <w:r w:rsidR="008F6FFE" w:rsidRPr="00A342DB">
        <w:rPr>
          <w:rStyle w:val="Hyperlink"/>
          <w:rFonts w:asciiTheme="minorHAnsi" w:eastAsiaTheme="majorEastAsia" w:hAnsiTheme="minorHAnsi" w:cstheme="minorHAnsi"/>
          <w:color w:val="000000" w:themeColor="text1"/>
          <w:sz w:val="16"/>
          <w:szCs w:val="16"/>
          <w:u w:val="none"/>
          <w:lang w:val="en-US"/>
        </w:rPr>
        <w:t xml:space="preserve"> et al</w:t>
      </w:r>
    </w:p>
    <w:p w:rsidR="008F6FFE" w:rsidRPr="00A342DB" w:rsidRDefault="0052743C" w:rsidP="00A342DB">
      <w:pPr>
        <w:rPr>
          <w:rFonts w:asciiTheme="minorHAnsi" w:hAnsiTheme="minorHAnsi" w:cstheme="minorHAnsi"/>
          <w:color w:val="000000" w:themeColor="text1"/>
          <w:sz w:val="16"/>
          <w:szCs w:val="16"/>
          <w:lang w:val="en-US"/>
        </w:rPr>
      </w:pPr>
      <w:hyperlink r:id="rId359" w:history="1">
        <w:r w:rsidR="008F6FFE" w:rsidRPr="00A342DB">
          <w:rPr>
            <w:rFonts w:asciiTheme="minorHAnsi" w:hAnsiTheme="minorHAnsi" w:cstheme="minorHAnsi"/>
            <w:color w:val="000000" w:themeColor="text1"/>
            <w:sz w:val="16"/>
            <w:szCs w:val="16"/>
            <w:lang w:val="en-US"/>
          </w:rPr>
          <w:t>https://www.ncbi.nlm.nih.gov/pmc/articles/PMC5687858/pdf/aao4966.pdf</w:t>
        </w:r>
      </w:hyperlink>
    </w:p>
    <w:p w:rsidR="008F6FFE" w:rsidRPr="00A342DB" w:rsidRDefault="008F6FFE" w:rsidP="00717D4D">
      <w:pPr>
        <w:shd w:val="clear" w:color="auto" w:fill="FFFFFF"/>
        <w:jc w:val="both"/>
        <w:rPr>
          <w:rFonts w:asciiTheme="minorHAnsi" w:hAnsiTheme="minorHAnsi" w:cstheme="minorHAnsi"/>
          <w:color w:val="000000" w:themeColor="text1"/>
          <w:sz w:val="16"/>
          <w:szCs w:val="16"/>
          <w:lang w:val="en-US"/>
        </w:rPr>
      </w:pPr>
    </w:p>
    <w:p w:rsidR="008F6FFE" w:rsidRPr="00A342DB"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360" w:tooltip="Gastroenterology." w:history="1">
        <w:r w:rsidR="008F6FFE" w:rsidRPr="00A342DB">
          <w:rPr>
            <w:rStyle w:val="Hyperlink"/>
            <w:rFonts w:asciiTheme="minorHAnsi" w:eastAsiaTheme="majorEastAsia" w:hAnsiTheme="minorHAnsi" w:cstheme="minorHAnsi"/>
            <w:color w:val="000000" w:themeColor="text1"/>
            <w:sz w:val="16"/>
            <w:szCs w:val="16"/>
            <w:u w:val="none"/>
            <w:lang w:val="en-US"/>
          </w:rPr>
          <w:t>Gastroenterology.</w:t>
        </w:r>
      </w:hyperlink>
      <w:r w:rsidR="008F6FFE" w:rsidRPr="00A342DB">
        <w:rPr>
          <w:rStyle w:val="Hyperlink"/>
          <w:rFonts w:asciiTheme="minorHAnsi" w:eastAsiaTheme="majorEastAsia" w:hAnsiTheme="minorHAnsi" w:cstheme="minorHAnsi"/>
          <w:color w:val="000000" w:themeColor="text1"/>
          <w:sz w:val="16"/>
          <w:szCs w:val="16"/>
          <w:u w:val="none"/>
          <w:lang w:val="en-US"/>
        </w:rPr>
        <w:t xml:space="preserve"> 2020 Apr 27. pii: S0016-5085(20)30571-0. doi: 10.1053/j.gastro.2020.04.052. </w:t>
      </w:r>
    </w:p>
    <w:p w:rsidR="008F6FFE" w:rsidRPr="00A342DB"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A342DB">
        <w:rPr>
          <w:rStyle w:val="Hyperlink"/>
          <w:rFonts w:asciiTheme="minorHAnsi" w:eastAsiaTheme="majorEastAsia" w:hAnsiTheme="minorHAnsi" w:cstheme="minorHAnsi"/>
          <w:color w:val="000000" w:themeColor="text1"/>
          <w:sz w:val="16"/>
          <w:szCs w:val="16"/>
          <w:u w:val="none"/>
          <w:lang w:val="en-US"/>
        </w:rPr>
        <w:t>Is SARS-CoV-2 Also an Enteric Pathogen with Potential Fecal-Oral Transmission: A COVID-19 Virological and Clinical Review.</w:t>
      </w:r>
    </w:p>
    <w:p w:rsidR="008F6FFE" w:rsidRPr="00A342DB"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361" w:history="1">
        <w:r w:rsidR="008F6FFE" w:rsidRPr="00A342DB">
          <w:rPr>
            <w:rStyle w:val="Hyperlink"/>
            <w:rFonts w:asciiTheme="minorHAnsi" w:eastAsiaTheme="majorEastAsia" w:hAnsiTheme="minorHAnsi" w:cstheme="minorHAnsi"/>
            <w:color w:val="000000" w:themeColor="text1"/>
            <w:sz w:val="16"/>
            <w:szCs w:val="16"/>
            <w:u w:val="none"/>
            <w:lang w:val="en-US"/>
          </w:rPr>
          <w:t>Ding S</w:t>
        </w:r>
      </w:hyperlink>
      <w:r w:rsidR="008F6FFE" w:rsidRPr="00A342DB">
        <w:rPr>
          <w:rStyle w:val="Hyperlink"/>
          <w:rFonts w:asciiTheme="minorHAnsi" w:eastAsiaTheme="majorEastAsia" w:hAnsiTheme="minorHAnsi" w:cstheme="minorHAnsi"/>
          <w:color w:val="000000" w:themeColor="text1"/>
          <w:sz w:val="16"/>
          <w:szCs w:val="16"/>
          <w:u w:val="none"/>
          <w:lang w:val="en-US"/>
        </w:rPr>
        <w:t>1, </w:t>
      </w:r>
      <w:hyperlink r:id="rId362" w:history="1">
        <w:r w:rsidR="008F6FFE" w:rsidRPr="00A342DB">
          <w:rPr>
            <w:rStyle w:val="Hyperlink"/>
            <w:rFonts w:asciiTheme="minorHAnsi" w:eastAsiaTheme="majorEastAsia" w:hAnsiTheme="minorHAnsi" w:cstheme="minorHAnsi"/>
            <w:color w:val="000000" w:themeColor="text1"/>
            <w:sz w:val="16"/>
            <w:szCs w:val="16"/>
            <w:u w:val="none"/>
            <w:lang w:val="en-US"/>
          </w:rPr>
          <w:t>Liang TJ</w:t>
        </w:r>
      </w:hyperlink>
      <w:r w:rsidR="008F6FFE" w:rsidRPr="00A342DB">
        <w:rPr>
          <w:rStyle w:val="Hyperlink"/>
          <w:rFonts w:asciiTheme="minorHAnsi" w:eastAsiaTheme="majorEastAsia" w:hAnsiTheme="minorHAnsi" w:cstheme="minorHAnsi"/>
          <w:color w:val="000000" w:themeColor="text1"/>
          <w:sz w:val="16"/>
          <w:szCs w:val="16"/>
          <w:u w:val="none"/>
          <w:lang w:val="en-US"/>
        </w:rPr>
        <w:t>2.</w:t>
      </w:r>
    </w:p>
    <w:p w:rsidR="008F6FFE" w:rsidRPr="00A342DB" w:rsidRDefault="0052743C" w:rsidP="00A342DB">
      <w:pPr>
        <w:rPr>
          <w:rFonts w:asciiTheme="minorHAnsi" w:hAnsiTheme="minorHAnsi" w:cstheme="minorHAnsi"/>
          <w:color w:val="000000" w:themeColor="text1"/>
          <w:sz w:val="16"/>
          <w:szCs w:val="16"/>
          <w:lang w:val="en-US"/>
        </w:rPr>
      </w:pPr>
      <w:hyperlink r:id="rId363" w:history="1">
        <w:r w:rsidR="008F6FFE" w:rsidRPr="00A342DB">
          <w:rPr>
            <w:rFonts w:asciiTheme="minorHAnsi" w:hAnsiTheme="minorHAnsi" w:cstheme="minorHAnsi"/>
            <w:color w:val="000000" w:themeColor="text1"/>
            <w:sz w:val="16"/>
            <w:szCs w:val="16"/>
            <w:lang w:val="en-US"/>
          </w:rPr>
          <w:t>https://www.ncbi.nlm.nih.gov/pmc/articles/PMC7184994/pdf/main.pdf</w:t>
        </w:r>
      </w:hyperlink>
    </w:p>
    <w:p w:rsidR="008F6FFE" w:rsidRPr="00A342DB" w:rsidRDefault="008F6FFE" w:rsidP="00717D4D">
      <w:pPr>
        <w:pStyle w:val="FootnoteText"/>
        <w:rPr>
          <w:rFonts w:asciiTheme="minorHAnsi" w:hAnsiTheme="minorHAnsi" w:cstheme="minorHAnsi"/>
          <w:color w:val="000000" w:themeColor="text1"/>
          <w:sz w:val="16"/>
          <w:szCs w:val="16"/>
          <w:lang w:val="en-US"/>
        </w:rPr>
      </w:pPr>
    </w:p>
    <w:p w:rsidR="008F6FFE" w:rsidRPr="00A342DB" w:rsidRDefault="0052743C" w:rsidP="00717D4D">
      <w:pPr>
        <w:jc w:val="both"/>
        <w:rPr>
          <w:rFonts w:asciiTheme="minorHAnsi" w:hAnsiTheme="minorHAnsi" w:cstheme="minorHAnsi"/>
          <w:color w:val="000000" w:themeColor="text1"/>
          <w:sz w:val="16"/>
          <w:szCs w:val="16"/>
          <w:lang w:val="en-US"/>
        </w:rPr>
      </w:pPr>
      <w:hyperlink r:id="rId364" w:tooltip="Microbial pathogenesis." w:history="1">
        <w:r w:rsidR="008F6FFE" w:rsidRPr="00A342DB">
          <w:rPr>
            <w:rFonts w:asciiTheme="minorHAnsi" w:hAnsiTheme="minorHAnsi" w:cstheme="minorHAnsi"/>
            <w:color w:val="000000" w:themeColor="text1"/>
            <w:sz w:val="16"/>
            <w:szCs w:val="16"/>
            <w:lang w:val="en-US"/>
          </w:rPr>
          <w:t>Microb Pathog.</w:t>
        </w:r>
      </w:hyperlink>
      <w:r w:rsidR="008F6FFE" w:rsidRPr="00A342DB">
        <w:rPr>
          <w:rFonts w:asciiTheme="minorHAnsi" w:hAnsiTheme="minorHAnsi" w:cstheme="minorHAnsi"/>
          <w:color w:val="000000" w:themeColor="text1"/>
          <w:sz w:val="16"/>
          <w:szCs w:val="16"/>
          <w:lang w:val="en-US"/>
        </w:rPr>
        <w:t xml:space="preserve"> 2020 Mar 31;144:104177. doi: 10.1016/j.micpath.2020.104177. </w:t>
      </w:r>
    </w:p>
    <w:p w:rsidR="008F6FFE" w:rsidRPr="00A342DB" w:rsidRDefault="008F6FFE" w:rsidP="00717D4D">
      <w:pPr>
        <w:jc w:val="both"/>
        <w:rPr>
          <w:rFonts w:asciiTheme="minorHAnsi" w:hAnsiTheme="minorHAnsi" w:cstheme="minorHAnsi"/>
          <w:color w:val="000000" w:themeColor="text1"/>
          <w:sz w:val="16"/>
          <w:szCs w:val="16"/>
          <w:lang w:val="en-US"/>
        </w:rPr>
      </w:pPr>
      <w:r w:rsidRPr="00A342DB">
        <w:rPr>
          <w:rFonts w:asciiTheme="minorHAnsi" w:hAnsiTheme="minorHAnsi" w:cstheme="minorHAnsi"/>
          <w:color w:val="000000" w:themeColor="text1"/>
          <w:sz w:val="16"/>
          <w:szCs w:val="16"/>
          <w:lang w:val="en-US"/>
        </w:rPr>
        <w:t>Shell disorder analysis predicts greater resilience of the SARS-CoV-2 (COVID-19) outside the body and in body fluids.</w:t>
      </w:r>
    </w:p>
    <w:p w:rsidR="008F6FFE" w:rsidRPr="00235A16" w:rsidRDefault="0052743C" w:rsidP="00717D4D">
      <w:pPr>
        <w:jc w:val="both"/>
        <w:rPr>
          <w:rFonts w:asciiTheme="minorHAnsi" w:hAnsiTheme="minorHAnsi" w:cstheme="minorHAnsi"/>
          <w:color w:val="000000" w:themeColor="text1"/>
          <w:sz w:val="16"/>
          <w:szCs w:val="16"/>
          <w:lang w:val="de-DE"/>
        </w:rPr>
      </w:pPr>
      <w:hyperlink r:id="rId365" w:history="1">
        <w:r w:rsidR="008F6FFE" w:rsidRPr="00235A16">
          <w:rPr>
            <w:rFonts w:asciiTheme="minorHAnsi" w:hAnsiTheme="minorHAnsi" w:cstheme="minorHAnsi"/>
            <w:color w:val="000000" w:themeColor="text1"/>
            <w:sz w:val="16"/>
            <w:szCs w:val="16"/>
            <w:lang w:val="de-DE"/>
          </w:rPr>
          <w:t>Goh GK</w:t>
        </w:r>
      </w:hyperlink>
      <w:r w:rsidR="008F6FFE" w:rsidRPr="00235A16">
        <w:rPr>
          <w:rFonts w:asciiTheme="minorHAnsi" w:hAnsiTheme="minorHAnsi" w:cstheme="minorHAnsi"/>
          <w:color w:val="000000" w:themeColor="text1"/>
          <w:sz w:val="16"/>
          <w:szCs w:val="16"/>
          <w:lang w:val="de-DE"/>
        </w:rPr>
        <w:t>1, </w:t>
      </w:r>
      <w:hyperlink r:id="rId366" w:history="1">
        <w:r w:rsidR="008F6FFE" w:rsidRPr="00235A16">
          <w:rPr>
            <w:rFonts w:asciiTheme="minorHAnsi" w:hAnsiTheme="minorHAnsi" w:cstheme="minorHAnsi"/>
            <w:color w:val="000000" w:themeColor="text1"/>
            <w:sz w:val="16"/>
            <w:szCs w:val="16"/>
            <w:lang w:val="de-DE"/>
          </w:rPr>
          <w:t>Dunker AK</w:t>
        </w:r>
      </w:hyperlink>
      <w:r w:rsidR="008F6FFE" w:rsidRPr="00235A16">
        <w:rPr>
          <w:rFonts w:asciiTheme="minorHAnsi" w:hAnsiTheme="minorHAnsi" w:cstheme="minorHAnsi"/>
          <w:color w:val="000000" w:themeColor="text1"/>
          <w:sz w:val="16"/>
          <w:szCs w:val="16"/>
          <w:lang w:val="de-DE"/>
        </w:rPr>
        <w:t>2, </w:t>
      </w:r>
      <w:hyperlink r:id="rId367" w:history="1">
        <w:r w:rsidR="008F6FFE" w:rsidRPr="00235A16">
          <w:rPr>
            <w:rFonts w:asciiTheme="minorHAnsi" w:hAnsiTheme="minorHAnsi" w:cstheme="minorHAnsi"/>
            <w:color w:val="000000" w:themeColor="text1"/>
            <w:sz w:val="16"/>
            <w:szCs w:val="16"/>
            <w:lang w:val="de-DE"/>
          </w:rPr>
          <w:t>Foster JA</w:t>
        </w:r>
      </w:hyperlink>
      <w:r w:rsidR="008F6FFE" w:rsidRPr="00235A16">
        <w:rPr>
          <w:rFonts w:asciiTheme="minorHAnsi" w:hAnsiTheme="minorHAnsi" w:cstheme="minorHAnsi"/>
          <w:color w:val="000000" w:themeColor="text1"/>
          <w:sz w:val="16"/>
          <w:szCs w:val="16"/>
          <w:lang w:val="de-DE"/>
        </w:rPr>
        <w:t>3, </w:t>
      </w:r>
      <w:hyperlink r:id="rId368" w:history="1">
        <w:r w:rsidR="008F6FFE" w:rsidRPr="00235A16">
          <w:rPr>
            <w:rFonts w:asciiTheme="minorHAnsi" w:hAnsiTheme="minorHAnsi" w:cstheme="minorHAnsi"/>
            <w:color w:val="000000" w:themeColor="text1"/>
            <w:sz w:val="16"/>
            <w:szCs w:val="16"/>
            <w:lang w:val="de-DE"/>
          </w:rPr>
          <w:t>Uversky VN</w:t>
        </w:r>
      </w:hyperlink>
      <w:r w:rsidR="008F6FFE" w:rsidRPr="00235A16">
        <w:rPr>
          <w:rFonts w:asciiTheme="minorHAnsi" w:hAnsiTheme="minorHAnsi" w:cstheme="minorHAnsi"/>
          <w:color w:val="000000" w:themeColor="text1"/>
          <w:sz w:val="16"/>
          <w:szCs w:val="16"/>
          <w:lang w:val="de-DE"/>
        </w:rPr>
        <w:t>4.</w:t>
      </w:r>
    </w:p>
    <w:p w:rsidR="008F6FFE" w:rsidRPr="00235A16" w:rsidRDefault="0052743C" w:rsidP="00A342DB">
      <w:pPr>
        <w:rPr>
          <w:rFonts w:asciiTheme="minorHAnsi" w:hAnsiTheme="minorHAnsi" w:cstheme="minorHAnsi"/>
          <w:color w:val="000000" w:themeColor="text1"/>
          <w:sz w:val="16"/>
          <w:szCs w:val="16"/>
          <w:lang w:val="de-DE"/>
        </w:rPr>
      </w:pPr>
      <w:hyperlink r:id="rId369" w:history="1">
        <w:r w:rsidR="008F6FFE" w:rsidRPr="00235A16">
          <w:rPr>
            <w:rFonts w:asciiTheme="minorHAnsi" w:hAnsiTheme="minorHAnsi" w:cstheme="minorHAnsi"/>
            <w:color w:val="000000" w:themeColor="text1"/>
            <w:sz w:val="16"/>
            <w:szCs w:val="16"/>
            <w:lang w:val="de-DE"/>
          </w:rPr>
          <w:t>https://www.ncbi.nlm.nih.gov/pmc/articles/PMC7118597/pdf/main.pdf</w:t>
        </w:r>
      </w:hyperlink>
    </w:p>
    <w:p w:rsidR="008F6FFE" w:rsidRPr="00235A16" w:rsidRDefault="008F6FFE" w:rsidP="00717D4D">
      <w:pPr>
        <w:pStyle w:val="FootnoteText"/>
        <w:rPr>
          <w:rFonts w:asciiTheme="minorHAnsi" w:hAnsiTheme="minorHAnsi" w:cstheme="minorHAnsi"/>
          <w:color w:val="000000" w:themeColor="text1"/>
          <w:sz w:val="16"/>
          <w:szCs w:val="16"/>
          <w:lang w:val="de-DE"/>
        </w:rPr>
      </w:pPr>
    </w:p>
  </w:footnote>
  <w:footnote w:id="32">
    <w:p w:rsidR="008F6FFE" w:rsidRPr="00235A16" w:rsidRDefault="008F6FFE" w:rsidP="00717D4D">
      <w:pPr>
        <w:jc w:val="both"/>
        <w:rPr>
          <w:rFonts w:asciiTheme="minorHAnsi" w:hAnsiTheme="minorHAnsi" w:cstheme="minorHAnsi"/>
          <w:color w:val="000000" w:themeColor="text1"/>
          <w:sz w:val="16"/>
          <w:szCs w:val="16"/>
          <w:lang w:val="de-DE"/>
        </w:rPr>
      </w:pPr>
      <w:r w:rsidRPr="00A342DB">
        <w:rPr>
          <w:rStyle w:val="FootnoteReference"/>
          <w:rFonts w:asciiTheme="minorHAnsi" w:hAnsiTheme="minorHAnsi" w:cstheme="minorHAnsi"/>
          <w:color w:val="000000" w:themeColor="text1"/>
          <w:sz w:val="16"/>
          <w:szCs w:val="16"/>
        </w:rPr>
        <w:footnoteRef/>
      </w:r>
      <w:r w:rsidRPr="00235A16">
        <w:rPr>
          <w:rFonts w:asciiTheme="minorHAnsi" w:hAnsiTheme="minorHAnsi" w:cstheme="minorHAnsi"/>
          <w:color w:val="000000" w:themeColor="text1"/>
          <w:sz w:val="16"/>
          <w:szCs w:val="16"/>
          <w:lang w:val="de-DE"/>
        </w:rPr>
        <w:t xml:space="preserve"> </w:t>
      </w:r>
      <w:hyperlink r:id="rId370" w:history="1">
        <w:r w:rsidRPr="00235A16">
          <w:rPr>
            <w:rFonts w:asciiTheme="minorHAnsi" w:hAnsiTheme="minorHAnsi" w:cstheme="minorHAnsi"/>
            <w:color w:val="000000" w:themeColor="text1"/>
            <w:sz w:val="16"/>
            <w:szCs w:val="16"/>
            <w:lang w:val="de-DE"/>
          </w:rPr>
          <w:t>https://www.bmj.com/content/368/bmj.m627/rr-32</w:t>
        </w:r>
      </w:hyperlink>
    </w:p>
    <w:p w:rsidR="008F6FFE" w:rsidRPr="00A342DB" w:rsidRDefault="008F6FFE" w:rsidP="00717D4D">
      <w:pPr>
        <w:jc w:val="both"/>
        <w:rPr>
          <w:rFonts w:asciiTheme="minorHAnsi" w:hAnsiTheme="minorHAnsi" w:cstheme="minorHAnsi"/>
          <w:color w:val="000000" w:themeColor="text1"/>
          <w:sz w:val="16"/>
          <w:szCs w:val="16"/>
          <w:lang w:val="en-US"/>
        </w:rPr>
      </w:pPr>
      <w:r w:rsidRPr="00A342DB">
        <w:rPr>
          <w:rFonts w:asciiTheme="minorHAnsi" w:hAnsiTheme="minorHAnsi" w:cstheme="minorHAnsi"/>
          <w:color w:val="000000" w:themeColor="text1"/>
          <w:sz w:val="16"/>
          <w:szCs w:val="16"/>
          <w:lang w:val="en-US"/>
        </w:rPr>
        <w:t>Rapid response to: Covid-19: a puzzle with many missing pieces</w:t>
      </w:r>
    </w:p>
    <w:p w:rsidR="008F6FFE" w:rsidRPr="00A342DB" w:rsidRDefault="008F6FFE" w:rsidP="00717D4D">
      <w:pPr>
        <w:jc w:val="both"/>
        <w:rPr>
          <w:rFonts w:asciiTheme="minorHAnsi" w:hAnsiTheme="minorHAnsi" w:cstheme="minorHAnsi"/>
          <w:color w:val="000000" w:themeColor="text1"/>
          <w:sz w:val="16"/>
          <w:szCs w:val="16"/>
          <w:lang w:val="en-US"/>
        </w:rPr>
      </w:pPr>
      <w:r w:rsidRPr="00A342DB">
        <w:rPr>
          <w:rFonts w:asciiTheme="minorHAnsi" w:hAnsiTheme="minorHAnsi" w:cstheme="minorHAnsi"/>
          <w:color w:val="000000" w:themeColor="text1"/>
          <w:sz w:val="16"/>
          <w:szCs w:val="16"/>
          <w:lang w:val="en-US"/>
        </w:rPr>
        <w:t>BMJ 2020; 368 doi: </w:t>
      </w:r>
      <w:hyperlink r:id="rId371" w:history="1">
        <w:r w:rsidRPr="00A342DB">
          <w:rPr>
            <w:rFonts w:asciiTheme="minorHAnsi" w:hAnsiTheme="minorHAnsi" w:cstheme="minorHAnsi"/>
            <w:color w:val="000000" w:themeColor="text1"/>
            <w:sz w:val="16"/>
            <w:szCs w:val="16"/>
            <w:lang w:val="en-US"/>
          </w:rPr>
          <w:t>https://doi.org/10.1136/bmj.m627</w:t>
        </w:r>
      </w:hyperlink>
      <w:r w:rsidRPr="00A342DB">
        <w:rPr>
          <w:rFonts w:asciiTheme="minorHAnsi" w:hAnsiTheme="minorHAnsi" w:cstheme="minorHAnsi"/>
          <w:color w:val="000000" w:themeColor="text1"/>
          <w:sz w:val="16"/>
          <w:szCs w:val="16"/>
          <w:lang w:val="en-US"/>
        </w:rPr>
        <w:t> </w:t>
      </w:r>
    </w:p>
    <w:p w:rsidR="008F6FFE" w:rsidRPr="00A342DB" w:rsidRDefault="008F6FFE" w:rsidP="00717D4D">
      <w:pPr>
        <w:jc w:val="both"/>
        <w:rPr>
          <w:rFonts w:asciiTheme="minorHAnsi" w:hAnsiTheme="minorHAnsi" w:cstheme="minorHAnsi"/>
          <w:color w:val="000000" w:themeColor="text1"/>
          <w:sz w:val="16"/>
          <w:szCs w:val="16"/>
          <w:lang w:val="en-US"/>
        </w:rPr>
      </w:pPr>
      <w:r w:rsidRPr="00A342DB">
        <w:rPr>
          <w:rFonts w:asciiTheme="minorHAnsi" w:hAnsiTheme="minorHAnsi" w:cstheme="minorHAnsi"/>
          <w:color w:val="000000" w:themeColor="text1"/>
          <w:sz w:val="16"/>
          <w:szCs w:val="16"/>
          <w:lang w:val="en-US"/>
        </w:rPr>
        <w:t>SARS-COV-2 lung infection could be acquired upon exposure to the virus through the gastrointestinal tract, one important missing piece</w:t>
      </w:r>
    </w:p>
    <w:p w:rsidR="008F6FFE" w:rsidRPr="00A342DB" w:rsidRDefault="008F6FFE" w:rsidP="00717D4D">
      <w:pPr>
        <w:pStyle w:val="FootnoteText"/>
        <w:rPr>
          <w:rFonts w:asciiTheme="minorHAnsi" w:hAnsiTheme="minorHAnsi" w:cstheme="minorHAnsi"/>
          <w:color w:val="000000" w:themeColor="text1"/>
          <w:sz w:val="16"/>
          <w:szCs w:val="16"/>
        </w:rPr>
      </w:pPr>
      <w:r w:rsidRPr="00A342DB">
        <w:rPr>
          <w:rFonts w:asciiTheme="minorHAnsi" w:hAnsiTheme="minorHAnsi" w:cstheme="minorHAnsi"/>
          <w:color w:val="000000" w:themeColor="text1"/>
          <w:sz w:val="16"/>
          <w:szCs w:val="16"/>
        </w:rPr>
        <w:t>Dott. G. Ghirga</w:t>
      </w:r>
    </w:p>
    <w:p w:rsidR="008F6FFE" w:rsidRPr="00A342DB" w:rsidRDefault="008F6FFE" w:rsidP="00717D4D">
      <w:pPr>
        <w:pStyle w:val="FootnoteText"/>
        <w:rPr>
          <w:rFonts w:asciiTheme="minorHAnsi" w:hAnsiTheme="minorHAnsi" w:cstheme="minorHAnsi"/>
          <w:color w:val="000000" w:themeColor="text1"/>
          <w:sz w:val="16"/>
          <w:szCs w:val="16"/>
        </w:rPr>
      </w:pPr>
    </w:p>
  </w:footnote>
  <w:footnote w:id="33">
    <w:p w:rsidR="008F6FFE" w:rsidRPr="00A342DB" w:rsidRDefault="008F6FFE" w:rsidP="00717D4D">
      <w:pPr>
        <w:jc w:val="both"/>
        <w:rPr>
          <w:rFonts w:asciiTheme="minorHAnsi" w:hAnsiTheme="minorHAnsi" w:cstheme="minorHAnsi"/>
          <w:color w:val="000000" w:themeColor="text1"/>
          <w:sz w:val="16"/>
          <w:szCs w:val="16"/>
          <w:lang w:val="en-US"/>
        </w:rPr>
      </w:pPr>
      <w:r w:rsidRPr="00A342DB">
        <w:rPr>
          <w:rStyle w:val="FootnoteReference"/>
          <w:rFonts w:asciiTheme="minorHAnsi" w:hAnsiTheme="minorHAnsi" w:cstheme="minorHAnsi"/>
          <w:color w:val="000000" w:themeColor="text1"/>
          <w:sz w:val="16"/>
          <w:szCs w:val="16"/>
        </w:rPr>
        <w:footnoteRef/>
      </w:r>
      <w:r w:rsidRPr="00A342DB">
        <w:rPr>
          <w:rFonts w:asciiTheme="minorHAnsi" w:hAnsiTheme="minorHAnsi" w:cstheme="minorHAnsi"/>
          <w:color w:val="000000" w:themeColor="text1"/>
          <w:sz w:val="16"/>
          <w:szCs w:val="16"/>
        </w:rPr>
        <w:t xml:space="preserve"> J. Virol.  </w:t>
      </w:r>
      <w:r w:rsidRPr="00A342DB">
        <w:rPr>
          <w:rFonts w:asciiTheme="minorHAnsi" w:hAnsiTheme="minorHAnsi" w:cstheme="minorHAnsi"/>
          <w:color w:val="000000" w:themeColor="text1"/>
          <w:sz w:val="16"/>
          <w:szCs w:val="16"/>
          <w:lang w:val="en-US"/>
        </w:rPr>
        <w:t xml:space="preserve">(2018) 92 (17),  e00404-18,  DOI: 10.1128/JVI.00404-18 </w:t>
      </w:r>
    </w:p>
    <w:p w:rsidR="008F6FFE" w:rsidRPr="00A342DB" w:rsidRDefault="008F6FFE" w:rsidP="00717D4D">
      <w:pPr>
        <w:jc w:val="both"/>
        <w:rPr>
          <w:rFonts w:asciiTheme="minorHAnsi" w:hAnsiTheme="minorHAnsi" w:cstheme="minorHAnsi"/>
          <w:color w:val="000000" w:themeColor="text1"/>
          <w:sz w:val="16"/>
          <w:szCs w:val="16"/>
          <w:lang w:val="en-US"/>
        </w:rPr>
      </w:pPr>
      <w:r w:rsidRPr="00A342DB">
        <w:rPr>
          <w:rFonts w:asciiTheme="minorHAnsi" w:hAnsiTheme="minorHAnsi" w:cstheme="minorHAnsi"/>
          <w:color w:val="000000" w:themeColor="text1"/>
          <w:sz w:val="16"/>
          <w:szCs w:val="16"/>
          <w:lang w:val="en-US"/>
        </w:rPr>
        <w:t>Axonal Transport Enables Neuron-to-Neuron Propagation of Human Coronavirus OC43. </w:t>
      </w:r>
    </w:p>
    <w:p w:rsidR="008F6FFE" w:rsidRPr="00A342DB" w:rsidRDefault="008F6FFE" w:rsidP="00717D4D">
      <w:pPr>
        <w:jc w:val="both"/>
        <w:rPr>
          <w:rFonts w:asciiTheme="minorHAnsi" w:hAnsiTheme="minorHAnsi" w:cstheme="minorHAnsi"/>
          <w:color w:val="000000" w:themeColor="text1"/>
          <w:sz w:val="16"/>
          <w:szCs w:val="16"/>
          <w:lang w:val="en-US"/>
        </w:rPr>
      </w:pPr>
      <w:r w:rsidRPr="00A342DB">
        <w:rPr>
          <w:rFonts w:asciiTheme="minorHAnsi" w:hAnsiTheme="minorHAnsi" w:cstheme="minorHAnsi"/>
          <w:color w:val="000000" w:themeColor="text1"/>
          <w:sz w:val="16"/>
          <w:szCs w:val="16"/>
          <w:lang w:val="en-US"/>
        </w:rPr>
        <w:t>Dubé, M., Le Coupanec, A., Wong, A. H. M., Rini, J. M., Desforges, M., Talbot, P. J., and Diamond, M. S. </w:t>
      </w:r>
    </w:p>
    <w:p w:rsidR="008F6FFE" w:rsidRPr="00A342DB" w:rsidRDefault="0052743C" w:rsidP="00A342DB">
      <w:pPr>
        <w:rPr>
          <w:rFonts w:asciiTheme="minorHAnsi" w:hAnsiTheme="minorHAnsi" w:cstheme="minorHAnsi"/>
          <w:color w:val="000000" w:themeColor="text1"/>
          <w:sz w:val="16"/>
          <w:szCs w:val="16"/>
          <w:lang w:val="en-US"/>
        </w:rPr>
      </w:pPr>
      <w:hyperlink r:id="rId372" w:history="1">
        <w:r w:rsidR="008F6FFE" w:rsidRPr="00A342DB">
          <w:rPr>
            <w:rFonts w:asciiTheme="minorHAnsi" w:hAnsiTheme="minorHAnsi" w:cstheme="minorHAnsi"/>
            <w:color w:val="000000" w:themeColor="text1"/>
            <w:sz w:val="16"/>
            <w:szCs w:val="16"/>
            <w:lang w:val="en-US"/>
          </w:rPr>
          <w:t>https://www.ncbi.nlm.nih.gov/pmc/articles/PMC6096804/pdf/e00404-18.pdf</w:t>
        </w:r>
      </w:hyperlink>
    </w:p>
    <w:p w:rsidR="008F6FFE" w:rsidRPr="00717D4D" w:rsidRDefault="008F6FFE" w:rsidP="00717D4D">
      <w:pPr>
        <w:pStyle w:val="FootnoteText"/>
        <w:rPr>
          <w:rFonts w:asciiTheme="minorHAnsi" w:hAnsiTheme="minorHAnsi"/>
          <w:sz w:val="16"/>
          <w:szCs w:val="16"/>
          <w:lang w:val="en-US"/>
        </w:rPr>
      </w:pPr>
    </w:p>
  </w:footnote>
  <w:footnote w:id="34">
    <w:p w:rsidR="008F6FFE" w:rsidRPr="00717D4D" w:rsidRDefault="008F6FFE" w:rsidP="00717D4D">
      <w:pPr>
        <w:rPr>
          <w:rStyle w:val="Hyperlink"/>
          <w:rFonts w:asciiTheme="minorHAnsi" w:eastAsiaTheme="majorEastAsia" w:hAnsiTheme="minorHAnsi" w:cstheme="minorHAnsi"/>
          <w:color w:val="000000" w:themeColor="text1"/>
          <w:sz w:val="16"/>
          <w:szCs w:val="16"/>
          <w:u w:val="none"/>
          <w:lang w:val="en-US"/>
        </w:rPr>
      </w:pPr>
      <w:r w:rsidRPr="00717D4D">
        <w:rPr>
          <w:rStyle w:val="FootnoteReference"/>
          <w:rFonts w:asciiTheme="minorHAnsi" w:hAnsiTheme="minorHAnsi" w:cstheme="minorHAnsi"/>
          <w:color w:val="000000" w:themeColor="text1"/>
          <w:sz w:val="16"/>
          <w:szCs w:val="16"/>
        </w:rPr>
        <w:footnoteRef/>
      </w:r>
      <w:r w:rsidRPr="00717D4D">
        <w:rPr>
          <w:rFonts w:asciiTheme="minorHAnsi" w:hAnsiTheme="minorHAnsi" w:cstheme="minorHAnsi"/>
          <w:color w:val="000000" w:themeColor="text1"/>
          <w:sz w:val="16"/>
          <w:szCs w:val="16"/>
          <w:lang w:val="en-US"/>
        </w:rPr>
        <w:t xml:space="preserve"> </w:t>
      </w:r>
      <w:hyperlink r:id="rId373" w:history="1">
        <w:r w:rsidRPr="00717D4D">
          <w:rPr>
            <w:rStyle w:val="Hyperlink"/>
            <w:rFonts w:asciiTheme="minorHAnsi" w:eastAsiaTheme="majorEastAsia" w:hAnsiTheme="minorHAnsi" w:cstheme="minorHAnsi"/>
            <w:color w:val="000000" w:themeColor="text1"/>
            <w:sz w:val="16"/>
            <w:szCs w:val="16"/>
            <w:u w:val="none"/>
            <w:lang w:val="en-US"/>
          </w:rPr>
          <w:t>https://www.covid19cellatlas.org/</w:t>
        </w:r>
      </w:hyperlink>
    </w:p>
    <w:p w:rsidR="008F6FFE" w:rsidRPr="00717D4D" w:rsidRDefault="008F6FFE" w:rsidP="00717D4D">
      <w:pPr>
        <w:rPr>
          <w:rStyle w:val="Hyperlink"/>
          <w:rFonts w:asciiTheme="minorHAnsi" w:eastAsiaTheme="majorEastAsia" w:hAnsiTheme="minorHAnsi" w:cstheme="minorHAnsi"/>
          <w:color w:val="000000" w:themeColor="text1"/>
          <w:sz w:val="16"/>
          <w:szCs w:val="16"/>
          <w:u w:val="none"/>
          <w:lang w:val="en-US"/>
        </w:rPr>
      </w:pPr>
    </w:p>
    <w:p w:rsidR="008F6FFE" w:rsidRPr="00717D4D" w:rsidRDefault="008F6FFE" w:rsidP="00717D4D">
      <w:pPr>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J Pathol. 2020 May 17. doi: 10.1002/path.5471.</w:t>
      </w:r>
    </w:p>
    <w:p w:rsidR="008F6FFE" w:rsidRPr="00717D4D" w:rsidRDefault="0052743C" w:rsidP="00717D4D">
      <w:pPr>
        <w:jc w:val="both"/>
        <w:rPr>
          <w:rFonts w:asciiTheme="minorHAnsi" w:hAnsiTheme="minorHAnsi" w:cstheme="minorHAnsi"/>
          <w:color w:val="000000" w:themeColor="text1"/>
          <w:sz w:val="16"/>
          <w:szCs w:val="16"/>
          <w:lang w:val="en-US"/>
        </w:rPr>
      </w:pPr>
      <w:hyperlink r:id="rId374" w:history="1">
        <w:r w:rsidR="008F6FFE" w:rsidRPr="00717D4D">
          <w:rPr>
            <w:rFonts w:asciiTheme="minorHAnsi" w:hAnsiTheme="minorHAnsi" w:cstheme="minorHAnsi"/>
            <w:color w:val="000000" w:themeColor="text1"/>
            <w:sz w:val="16"/>
            <w:szCs w:val="16"/>
            <w:lang w:val="en-US"/>
          </w:rPr>
          <w:t>Angiotensin-converting enzyme-2 (ACE2), SARS-CoV-2 and pathophysiology of coronavirus disease 2019 (COVID-19).</w:t>
        </w:r>
      </w:hyperlink>
    </w:p>
    <w:p w:rsidR="008F6FFE" w:rsidRPr="00235A16" w:rsidRDefault="008F6FFE" w:rsidP="00717D4D">
      <w:pPr>
        <w:jc w:val="both"/>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Bourgonje AR et al</w:t>
      </w:r>
    </w:p>
    <w:p w:rsidR="008F6FFE" w:rsidRPr="00235A16" w:rsidRDefault="0052743C" w:rsidP="00717D4D">
      <w:pPr>
        <w:rPr>
          <w:rFonts w:asciiTheme="minorHAnsi" w:hAnsiTheme="minorHAnsi" w:cstheme="minorHAnsi"/>
          <w:sz w:val="16"/>
          <w:szCs w:val="16"/>
          <w:lang w:val="de-DE"/>
        </w:rPr>
      </w:pPr>
      <w:hyperlink r:id="rId375" w:history="1">
        <w:r w:rsidR="008F6FFE" w:rsidRPr="00235A16">
          <w:rPr>
            <w:rStyle w:val="Hyperlink"/>
            <w:rFonts w:asciiTheme="minorHAnsi" w:eastAsiaTheme="majorEastAsia" w:hAnsiTheme="minorHAnsi" w:cstheme="minorHAnsi"/>
            <w:color w:val="000000" w:themeColor="text1"/>
            <w:sz w:val="16"/>
            <w:szCs w:val="16"/>
            <w:u w:val="none"/>
            <w:lang w:val="de-DE"/>
          </w:rPr>
          <w:t>https://onlinelibrary.wiley.com/doi/epdf/10.1002/path.5471</w:t>
        </w:r>
      </w:hyperlink>
    </w:p>
    <w:p w:rsidR="008F6FFE" w:rsidRPr="00235A16" w:rsidRDefault="008F6FFE" w:rsidP="00717D4D">
      <w:pPr>
        <w:jc w:val="both"/>
        <w:rPr>
          <w:rFonts w:asciiTheme="minorHAnsi" w:hAnsiTheme="minorHAnsi"/>
          <w:sz w:val="16"/>
          <w:szCs w:val="16"/>
          <w:lang w:val="de-DE"/>
        </w:rPr>
      </w:pPr>
    </w:p>
    <w:p w:rsidR="008F6FFE" w:rsidRPr="00235A16" w:rsidRDefault="0052743C" w:rsidP="00717D4D">
      <w:pPr>
        <w:jc w:val="both"/>
        <w:rPr>
          <w:rFonts w:asciiTheme="minorHAnsi" w:hAnsiTheme="minorHAnsi" w:cstheme="minorHAnsi"/>
          <w:color w:val="000000" w:themeColor="text1"/>
          <w:sz w:val="16"/>
          <w:szCs w:val="16"/>
          <w:lang w:val="de-DE"/>
        </w:rPr>
      </w:pPr>
      <w:hyperlink r:id="rId376" w:tooltip="Pathogens (Basel, Switzerland)." w:history="1">
        <w:r w:rsidR="008F6FFE" w:rsidRPr="00235A16">
          <w:rPr>
            <w:rFonts w:asciiTheme="minorHAnsi" w:hAnsiTheme="minorHAnsi" w:cstheme="minorHAnsi"/>
            <w:color w:val="000000" w:themeColor="text1"/>
            <w:sz w:val="16"/>
            <w:szCs w:val="16"/>
            <w:lang w:val="de-DE"/>
          </w:rPr>
          <w:t>Pathogens.</w:t>
        </w:r>
      </w:hyperlink>
      <w:r w:rsidR="008F6FFE" w:rsidRPr="00235A16">
        <w:rPr>
          <w:rFonts w:asciiTheme="minorHAnsi" w:hAnsiTheme="minorHAnsi" w:cstheme="minorHAnsi"/>
          <w:color w:val="000000" w:themeColor="text1"/>
          <w:sz w:val="16"/>
          <w:szCs w:val="16"/>
          <w:lang w:val="de-DE"/>
        </w:rPr>
        <w:t> 2020 Mar 20;9(3). pii: E231. doi: 10.3390/pathogens9030231.</w:t>
      </w:r>
    </w:p>
    <w:p w:rsidR="008F6FFE" w:rsidRPr="00717D4D" w:rsidRDefault="008F6FFE" w:rsidP="00717D4D">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SARS-CoV-2 and Coronavirus Disease 2019: What We Know So Far.</w:t>
      </w:r>
    </w:p>
    <w:p w:rsidR="008F6FFE" w:rsidRPr="00717D4D" w:rsidRDefault="0052743C" w:rsidP="00717D4D">
      <w:pPr>
        <w:jc w:val="both"/>
        <w:rPr>
          <w:rFonts w:asciiTheme="minorHAnsi" w:hAnsiTheme="minorHAnsi" w:cstheme="minorHAnsi"/>
          <w:color w:val="000000" w:themeColor="text1"/>
          <w:sz w:val="16"/>
          <w:szCs w:val="16"/>
        </w:rPr>
      </w:pPr>
      <w:hyperlink r:id="rId377" w:history="1">
        <w:r w:rsidR="008F6FFE" w:rsidRPr="00717D4D">
          <w:rPr>
            <w:rFonts w:asciiTheme="minorHAnsi" w:hAnsiTheme="minorHAnsi" w:cstheme="minorHAnsi"/>
            <w:color w:val="000000" w:themeColor="text1"/>
            <w:sz w:val="16"/>
            <w:szCs w:val="16"/>
          </w:rPr>
          <w:t>Rabi FA</w:t>
        </w:r>
      </w:hyperlink>
      <w:r w:rsidR="008F6FFE" w:rsidRPr="00717D4D">
        <w:rPr>
          <w:rFonts w:asciiTheme="minorHAnsi" w:hAnsiTheme="minorHAnsi" w:cstheme="minorHAnsi"/>
          <w:color w:val="000000" w:themeColor="text1"/>
          <w:sz w:val="16"/>
          <w:szCs w:val="16"/>
        </w:rPr>
        <w:t>1, </w:t>
      </w:r>
      <w:hyperlink r:id="rId378" w:history="1">
        <w:r w:rsidR="008F6FFE" w:rsidRPr="00717D4D">
          <w:rPr>
            <w:rFonts w:asciiTheme="minorHAnsi" w:hAnsiTheme="minorHAnsi" w:cstheme="minorHAnsi"/>
            <w:color w:val="000000" w:themeColor="text1"/>
            <w:sz w:val="16"/>
            <w:szCs w:val="16"/>
          </w:rPr>
          <w:t>Al Zoubi MS</w:t>
        </w:r>
      </w:hyperlink>
      <w:r w:rsidR="008F6FFE" w:rsidRPr="00717D4D">
        <w:rPr>
          <w:rFonts w:asciiTheme="minorHAnsi" w:hAnsiTheme="minorHAnsi" w:cstheme="minorHAnsi"/>
          <w:color w:val="000000" w:themeColor="text1"/>
          <w:sz w:val="16"/>
          <w:szCs w:val="16"/>
        </w:rPr>
        <w:t>2, </w:t>
      </w:r>
      <w:hyperlink r:id="rId379" w:history="1">
        <w:r w:rsidR="008F6FFE" w:rsidRPr="00717D4D">
          <w:rPr>
            <w:rFonts w:asciiTheme="minorHAnsi" w:hAnsiTheme="minorHAnsi" w:cstheme="minorHAnsi"/>
            <w:color w:val="000000" w:themeColor="text1"/>
            <w:sz w:val="16"/>
            <w:szCs w:val="16"/>
          </w:rPr>
          <w:t>Kasasbeh GA</w:t>
        </w:r>
      </w:hyperlink>
      <w:r w:rsidR="008F6FFE" w:rsidRPr="00717D4D">
        <w:rPr>
          <w:rFonts w:asciiTheme="minorHAnsi" w:hAnsiTheme="minorHAnsi" w:cstheme="minorHAnsi"/>
          <w:color w:val="000000" w:themeColor="text1"/>
          <w:sz w:val="16"/>
          <w:szCs w:val="16"/>
        </w:rPr>
        <w:t>3, </w:t>
      </w:r>
      <w:hyperlink r:id="rId380" w:history="1">
        <w:r w:rsidR="008F6FFE" w:rsidRPr="00717D4D">
          <w:rPr>
            <w:rFonts w:asciiTheme="minorHAnsi" w:hAnsiTheme="minorHAnsi" w:cstheme="minorHAnsi"/>
            <w:color w:val="000000" w:themeColor="text1"/>
            <w:sz w:val="16"/>
            <w:szCs w:val="16"/>
          </w:rPr>
          <w:t>Salameh DM</w:t>
        </w:r>
      </w:hyperlink>
      <w:r w:rsidR="008F6FFE" w:rsidRPr="00717D4D">
        <w:rPr>
          <w:rFonts w:asciiTheme="minorHAnsi" w:hAnsiTheme="minorHAnsi" w:cstheme="minorHAnsi"/>
          <w:color w:val="000000" w:themeColor="text1"/>
          <w:sz w:val="16"/>
          <w:szCs w:val="16"/>
        </w:rPr>
        <w:t>3, </w:t>
      </w:r>
      <w:hyperlink r:id="rId381" w:history="1">
        <w:r w:rsidR="008F6FFE" w:rsidRPr="00717D4D">
          <w:rPr>
            <w:rFonts w:asciiTheme="minorHAnsi" w:hAnsiTheme="minorHAnsi" w:cstheme="minorHAnsi"/>
            <w:color w:val="000000" w:themeColor="text1"/>
            <w:sz w:val="16"/>
            <w:szCs w:val="16"/>
          </w:rPr>
          <w:t>Al-Nasser AD</w:t>
        </w:r>
      </w:hyperlink>
      <w:r w:rsidR="008F6FFE" w:rsidRPr="00717D4D">
        <w:rPr>
          <w:rFonts w:asciiTheme="minorHAnsi" w:hAnsiTheme="minorHAnsi" w:cstheme="minorHAnsi"/>
          <w:color w:val="000000" w:themeColor="text1"/>
          <w:sz w:val="16"/>
          <w:szCs w:val="16"/>
        </w:rPr>
        <w:t>4.</w:t>
      </w:r>
    </w:p>
    <w:p w:rsidR="008F6FFE" w:rsidRPr="00A342DB" w:rsidRDefault="0052743C" w:rsidP="00A342DB">
      <w:pPr>
        <w:rPr>
          <w:rFonts w:asciiTheme="minorHAnsi" w:hAnsiTheme="minorHAnsi" w:cstheme="minorHAnsi"/>
          <w:color w:val="000000" w:themeColor="text1"/>
          <w:sz w:val="16"/>
          <w:szCs w:val="16"/>
        </w:rPr>
      </w:pPr>
      <w:hyperlink r:id="rId382" w:history="1">
        <w:r w:rsidR="008F6FFE" w:rsidRPr="00A342DB">
          <w:rPr>
            <w:rFonts w:asciiTheme="minorHAnsi" w:hAnsiTheme="minorHAnsi" w:cstheme="minorHAnsi"/>
            <w:color w:val="000000" w:themeColor="text1"/>
            <w:sz w:val="16"/>
            <w:szCs w:val="16"/>
          </w:rPr>
          <w:t>https://www.ncbi.nlm.nih.gov/pmc/articles/PMC7157541/pdf/pathogens-09-00231.pdf</w:t>
        </w:r>
      </w:hyperlink>
    </w:p>
    <w:p w:rsidR="008F6FFE" w:rsidRPr="00A342DB" w:rsidRDefault="008F6FFE" w:rsidP="00A342DB">
      <w:pPr>
        <w:rPr>
          <w:rFonts w:asciiTheme="minorHAnsi" w:hAnsiTheme="minorHAnsi" w:cstheme="minorHAnsi"/>
          <w:color w:val="000000" w:themeColor="text1"/>
          <w:sz w:val="16"/>
          <w:szCs w:val="16"/>
        </w:rPr>
      </w:pPr>
    </w:p>
    <w:p w:rsidR="008F6FFE" w:rsidRPr="00E35C51" w:rsidRDefault="008F6FFE" w:rsidP="00717D4D">
      <w:pPr>
        <w:jc w:val="both"/>
        <w:rPr>
          <w:rFonts w:asciiTheme="minorHAnsi" w:hAnsiTheme="minorHAnsi" w:cstheme="minorHAnsi"/>
          <w:color w:val="000000" w:themeColor="text1"/>
          <w:sz w:val="16"/>
          <w:szCs w:val="16"/>
          <w:lang w:val="en-US"/>
        </w:rPr>
      </w:pPr>
      <w:r w:rsidRPr="00E35C51">
        <w:rPr>
          <w:rFonts w:asciiTheme="minorHAnsi" w:hAnsiTheme="minorHAnsi" w:cstheme="minorHAnsi"/>
          <w:color w:val="000000" w:themeColor="text1"/>
          <w:sz w:val="16"/>
          <w:szCs w:val="16"/>
          <w:lang w:val="en-US"/>
        </w:rPr>
        <w:t>Cell. 2020 Apr 27:S0092-8674(20)30500-6. doi: 10.1016/j.cell.2020.04.035</w:t>
      </w:r>
    </w:p>
    <w:p w:rsidR="008F6FFE" w:rsidRPr="00E35C51" w:rsidRDefault="0052743C" w:rsidP="00717D4D">
      <w:pPr>
        <w:jc w:val="both"/>
        <w:rPr>
          <w:rFonts w:asciiTheme="minorHAnsi" w:hAnsiTheme="minorHAnsi" w:cstheme="minorHAnsi"/>
          <w:color w:val="000000" w:themeColor="text1"/>
          <w:sz w:val="16"/>
          <w:szCs w:val="16"/>
          <w:lang w:val="en-US"/>
        </w:rPr>
      </w:pPr>
      <w:hyperlink r:id="rId383" w:history="1">
        <w:r w:rsidR="008F6FFE" w:rsidRPr="00E35C51">
          <w:rPr>
            <w:rFonts w:asciiTheme="minorHAnsi" w:hAnsiTheme="minorHAnsi" w:cstheme="minorHAnsi"/>
            <w:color w:val="000000" w:themeColor="text1"/>
            <w:sz w:val="16"/>
            <w:szCs w:val="16"/>
            <w:lang w:val="en-US"/>
          </w:rPr>
          <w:t>SARS-CoV-2 Receptor ACE2 Is an Interferon-Stimulated Gene in Human Airway Epithelial Cells and Is Detected in Specific Cell Subsets across Tissues.</w:t>
        </w:r>
      </w:hyperlink>
    </w:p>
    <w:p w:rsidR="008F6FFE" w:rsidRPr="00E35C51" w:rsidRDefault="008F6FFE" w:rsidP="00717D4D">
      <w:pPr>
        <w:jc w:val="both"/>
        <w:rPr>
          <w:rFonts w:asciiTheme="minorHAnsi" w:hAnsiTheme="minorHAnsi" w:cstheme="minorHAnsi"/>
          <w:color w:val="000000" w:themeColor="text1"/>
          <w:sz w:val="16"/>
          <w:szCs w:val="16"/>
        </w:rPr>
      </w:pPr>
      <w:r w:rsidRPr="00E35C51">
        <w:rPr>
          <w:rFonts w:asciiTheme="minorHAnsi" w:hAnsiTheme="minorHAnsi" w:cstheme="minorHAnsi"/>
          <w:color w:val="000000" w:themeColor="text1"/>
          <w:sz w:val="16"/>
          <w:szCs w:val="16"/>
        </w:rPr>
        <w:t>Ziegler CGK et al</w:t>
      </w:r>
    </w:p>
    <w:p w:rsidR="008F6FFE" w:rsidRPr="00E35C51" w:rsidRDefault="0052743C" w:rsidP="00E35C51">
      <w:pPr>
        <w:rPr>
          <w:rFonts w:asciiTheme="minorHAnsi" w:hAnsiTheme="minorHAnsi" w:cstheme="minorHAnsi"/>
          <w:color w:val="000000" w:themeColor="text1"/>
          <w:sz w:val="16"/>
          <w:szCs w:val="16"/>
        </w:rPr>
      </w:pPr>
      <w:hyperlink r:id="rId384" w:history="1">
        <w:r w:rsidR="008F6FFE" w:rsidRPr="00E35C51">
          <w:rPr>
            <w:rFonts w:asciiTheme="minorHAnsi" w:hAnsiTheme="minorHAnsi" w:cstheme="minorHAnsi"/>
            <w:color w:val="000000" w:themeColor="text1"/>
            <w:sz w:val="16"/>
            <w:szCs w:val="16"/>
          </w:rPr>
          <w:t>https://www.ncbi.nlm.nih.gov/pmc/articles/PMC7252096/pdf/main.pdf</w:t>
        </w:r>
      </w:hyperlink>
    </w:p>
    <w:p w:rsidR="008F6FFE" w:rsidRPr="00E35C51" w:rsidRDefault="008F6FFE" w:rsidP="00717D4D">
      <w:pPr>
        <w:pStyle w:val="FootnoteText"/>
        <w:rPr>
          <w:rFonts w:asciiTheme="minorHAnsi" w:hAnsiTheme="minorHAnsi" w:cstheme="minorHAnsi"/>
          <w:color w:val="000000" w:themeColor="text1"/>
          <w:sz w:val="16"/>
          <w:szCs w:val="16"/>
        </w:rPr>
      </w:pPr>
    </w:p>
    <w:p w:rsidR="008F6FFE" w:rsidRPr="00E35C51" w:rsidRDefault="0052743C" w:rsidP="00717D4D">
      <w:pPr>
        <w:jc w:val="both"/>
        <w:rPr>
          <w:rFonts w:asciiTheme="minorHAnsi" w:hAnsiTheme="minorHAnsi" w:cstheme="minorHAnsi"/>
          <w:color w:val="000000" w:themeColor="text1"/>
          <w:sz w:val="16"/>
          <w:szCs w:val="16"/>
          <w:lang w:val="en-US"/>
        </w:rPr>
      </w:pPr>
      <w:hyperlink r:id="rId385" w:tooltip="Cell." w:history="1">
        <w:r w:rsidR="008F6FFE" w:rsidRPr="00DC48B4">
          <w:rPr>
            <w:rFonts w:asciiTheme="minorHAnsi" w:hAnsiTheme="minorHAnsi" w:cstheme="minorHAnsi"/>
            <w:color w:val="000000" w:themeColor="text1"/>
            <w:sz w:val="16"/>
            <w:szCs w:val="16"/>
            <w:lang w:val="en-US"/>
          </w:rPr>
          <w:t>Cell.</w:t>
        </w:r>
      </w:hyperlink>
      <w:r w:rsidR="008F6FFE" w:rsidRPr="00DC48B4">
        <w:rPr>
          <w:rFonts w:asciiTheme="minorHAnsi" w:hAnsiTheme="minorHAnsi" w:cstheme="minorHAnsi"/>
          <w:color w:val="000000" w:themeColor="text1"/>
          <w:sz w:val="16"/>
          <w:szCs w:val="16"/>
          <w:lang w:val="en-US"/>
        </w:rPr>
        <w:t> </w:t>
      </w:r>
      <w:r w:rsidR="008F6FFE" w:rsidRPr="00E35C51">
        <w:rPr>
          <w:rFonts w:asciiTheme="minorHAnsi" w:hAnsiTheme="minorHAnsi" w:cstheme="minorHAnsi"/>
          <w:color w:val="000000" w:themeColor="text1"/>
          <w:sz w:val="16"/>
          <w:szCs w:val="16"/>
          <w:lang w:val="en-US"/>
        </w:rPr>
        <w:t xml:space="preserve">2020 Apr 16;181(2):271-280.e8. doi: 10.1016/j.cell.2020.02.052. </w:t>
      </w:r>
    </w:p>
    <w:p w:rsidR="008F6FFE" w:rsidRPr="00E35C51" w:rsidRDefault="008F6FFE" w:rsidP="00717D4D">
      <w:pPr>
        <w:jc w:val="both"/>
        <w:rPr>
          <w:rFonts w:asciiTheme="minorHAnsi" w:hAnsiTheme="minorHAnsi" w:cstheme="minorHAnsi"/>
          <w:color w:val="000000" w:themeColor="text1"/>
          <w:sz w:val="16"/>
          <w:szCs w:val="16"/>
          <w:lang w:val="en-US"/>
        </w:rPr>
      </w:pPr>
      <w:r w:rsidRPr="00E35C51">
        <w:rPr>
          <w:rFonts w:asciiTheme="minorHAnsi" w:hAnsiTheme="minorHAnsi" w:cstheme="minorHAnsi"/>
          <w:color w:val="000000" w:themeColor="text1"/>
          <w:sz w:val="16"/>
          <w:szCs w:val="16"/>
          <w:lang w:val="en-US"/>
        </w:rPr>
        <w:t>SARS-CoV-2 Cell Entry Depends on ACE2 and TMPRSS2 and Is Blocked by a Clinically Proven Protease Inhibitor.</w:t>
      </w:r>
    </w:p>
    <w:p w:rsidR="008F6FFE" w:rsidRPr="00235A16" w:rsidRDefault="0052743C" w:rsidP="00717D4D">
      <w:pPr>
        <w:jc w:val="both"/>
        <w:rPr>
          <w:rFonts w:asciiTheme="minorHAnsi" w:hAnsiTheme="minorHAnsi" w:cstheme="minorHAnsi"/>
          <w:color w:val="000000" w:themeColor="text1"/>
          <w:sz w:val="16"/>
          <w:szCs w:val="16"/>
          <w:lang w:val="de-DE"/>
        </w:rPr>
      </w:pPr>
      <w:hyperlink r:id="rId386" w:history="1">
        <w:r w:rsidR="008F6FFE" w:rsidRPr="00235A16">
          <w:rPr>
            <w:rFonts w:asciiTheme="minorHAnsi" w:hAnsiTheme="minorHAnsi" w:cstheme="minorHAnsi"/>
            <w:color w:val="000000" w:themeColor="text1"/>
            <w:sz w:val="16"/>
            <w:szCs w:val="16"/>
            <w:lang w:val="de-DE"/>
          </w:rPr>
          <w:t>Hoffmann M</w:t>
        </w:r>
      </w:hyperlink>
      <w:r w:rsidR="008F6FFE" w:rsidRPr="00235A16">
        <w:rPr>
          <w:rFonts w:asciiTheme="minorHAnsi" w:hAnsiTheme="minorHAnsi" w:cstheme="minorHAnsi"/>
          <w:color w:val="000000" w:themeColor="text1"/>
          <w:sz w:val="16"/>
          <w:szCs w:val="16"/>
          <w:lang w:val="de-DE"/>
        </w:rPr>
        <w:t>1, et al</w:t>
      </w:r>
    </w:p>
    <w:p w:rsidR="008F6FFE" w:rsidRPr="00235A16" w:rsidRDefault="0052743C" w:rsidP="00E35C51">
      <w:pPr>
        <w:rPr>
          <w:rFonts w:asciiTheme="minorHAnsi" w:hAnsiTheme="minorHAnsi" w:cstheme="minorHAnsi"/>
          <w:color w:val="000000" w:themeColor="text1"/>
          <w:sz w:val="16"/>
          <w:szCs w:val="16"/>
          <w:lang w:val="de-DE"/>
        </w:rPr>
      </w:pPr>
      <w:hyperlink r:id="rId387" w:history="1">
        <w:r w:rsidR="008F6FFE" w:rsidRPr="00235A16">
          <w:rPr>
            <w:rFonts w:asciiTheme="minorHAnsi" w:hAnsiTheme="minorHAnsi" w:cstheme="minorHAnsi"/>
            <w:color w:val="000000" w:themeColor="text1"/>
            <w:sz w:val="16"/>
            <w:szCs w:val="16"/>
            <w:lang w:val="de-DE"/>
          </w:rPr>
          <w:t>https://www.ncbi.nlm.nih.gov/pmc/articles/PMC7102627/pdf/main.pdf</w:t>
        </w:r>
      </w:hyperlink>
    </w:p>
    <w:p w:rsidR="008F6FFE" w:rsidRPr="00235A16" w:rsidRDefault="008F6FFE" w:rsidP="00717D4D">
      <w:pPr>
        <w:jc w:val="both"/>
        <w:rPr>
          <w:rFonts w:asciiTheme="minorHAnsi" w:hAnsiTheme="minorHAnsi" w:cstheme="minorHAnsi"/>
          <w:color w:val="000000" w:themeColor="text1"/>
          <w:sz w:val="16"/>
          <w:szCs w:val="16"/>
          <w:lang w:val="de-DE"/>
        </w:rPr>
      </w:pPr>
    </w:p>
    <w:p w:rsidR="008F6FFE" w:rsidRPr="00235A16" w:rsidRDefault="008F6FFE" w:rsidP="00717D4D">
      <w:pPr>
        <w:jc w:val="both"/>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medRxiv 2020.03.30.20047878; doi: https://doi.org/10.1101/2020.03.30.20047878</w:t>
      </w:r>
    </w:p>
    <w:p w:rsidR="008F6FFE" w:rsidRPr="00E35C51" w:rsidRDefault="008F6FFE" w:rsidP="00717D4D">
      <w:pPr>
        <w:jc w:val="both"/>
        <w:rPr>
          <w:rFonts w:asciiTheme="minorHAnsi" w:hAnsiTheme="minorHAnsi" w:cstheme="minorHAnsi"/>
          <w:color w:val="000000" w:themeColor="text1"/>
          <w:sz w:val="16"/>
          <w:szCs w:val="16"/>
          <w:lang w:val="en-US"/>
        </w:rPr>
      </w:pPr>
      <w:r w:rsidRPr="00E35C51">
        <w:rPr>
          <w:rFonts w:asciiTheme="minorHAnsi" w:hAnsiTheme="minorHAnsi" w:cstheme="minorHAnsi"/>
          <w:color w:val="000000" w:themeColor="text1"/>
          <w:sz w:val="16"/>
          <w:szCs w:val="16"/>
          <w:lang w:val="en-US"/>
        </w:rPr>
        <w:t>ACE2 and TMPRSS2 variants and expression as candidates to sex and country differences in COVID-19 severity in Italy</w:t>
      </w:r>
    </w:p>
    <w:p w:rsidR="008F6FFE" w:rsidRPr="00E35C51" w:rsidRDefault="008F6FFE" w:rsidP="00717D4D">
      <w:pPr>
        <w:jc w:val="both"/>
        <w:rPr>
          <w:rFonts w:asciiTheme="minorHAnsi" w:hAnsiTheme="minorHAnsi" w:cstheme="minorHAnsi"/>
          <w:color w:val="000000" w:themeColor="text1"/>
          <w:sz w:val="16"/>
          <w:szCs w:val="16"/>
        </w:rPr>
      </w:pPr>
      <w:r w:rsidRPr="00E35C51">
        <w:rPr>
          <w:rFonts w:asciiTheme="minorHAnsi" w:hAnsiTheme="minorHAnsi" w:cstheme="minorHAnsi"/>
          <w:color w:val="000000" w:themeColor="text1"/>
          <w:sz w:val="16"/>
          <w:szCs w:val="16"/>
        </w:rPr>
        <w:t>Rosanna Asselta, Elvezia Maria Paraboschi, Alberto Mantovani, Stefano Duga</w:t>
      </w:r>
    </w:p>
    <w:p w:rsidR="008F6FFE" w:rsidRPr="00E35C51" w:rsidRDefault="008F6FFE" w:rsidP="00717D4D">
      <w:pPr>
        <w:rPr>
          <w:rFonts w:asciiTheme="minorHAnsi" w:hAnsiTheme="minorHAnsi" w:cstheme="minorHAnsi"/>
          <w:color w:val="000000" w:themeColor="text1"/>
          <w:sz w:val="16"/>
          <w:szCs w:val="16"/>
        </w:rPr>
      </w:pPr>
    </w:p>
    <w:p w:rsidR="008F6FFE" w:rsidRPr="00E35C51" w:rsidRDefault="008F6FFE" w:rsidP="00717D4D">
      <w:pPr>
        <w:jc w:val="both"/>
        <w:rPr>
          <w:rFonts w:asciiTheme="minorHAnsi" w:hAnsiTheme="minorHAnsi" w:cstheme="minorHAnsi"/>
          <w:color w:val="000000" w:themeColor="text1"/>
          <w:sz w:val="16"/>
          <w:szCs w:val="16"/>
        </w:rPr>
      </w:pPr>
      <w:r w:rsidRPr="00E35C51">
        <w:rPr>
          <w:rFonts w:asciiTheme="minorHAnsi" w:hAnsiTheme="minorHAnsi" w:cstheme="minorHAnsi"/>
          <w:color w:val="000000" w:themeColor="text1"/>
          <w:sz w:val="16"/>
          <w:szCs w:val="16"/>
        </w:rPr>
        <w:t>bioRxiv 2020.01.31.929042; doi: https://doi.org/10.1101/2020.01.31.929042</w:t>
      </w:r>
    </w:p>
    <w:p w:rsidR="008F6FFE" w:rsidRPr="00E35C51" w:rsidRDefault="008F6FFE" w:rsidP="00717D4D">
      <w:pPr>
        <w:jc w:val="both"/>
        <w:rPr>
          <w:rFonts w:asciiTheme="minorHAnsi" w:hAnsiTheme="minorHAnsi" w:cstheme="minorHAnsi"/>
          <w:color w:val="000000" w:themeColor="text1"/>
          <w:sz w:val="16"/>
          <w:szCs w:val="16"/>
          <w:lang w:val="en-US"/>
        </w:rPr>
      </w:pPr>
      <w:r w:rsidRPr="00E35C51">
        <w:rPr>
          <w:rFonts w:asciiTheme="minorHAnsi" w:hAnsiTheme="minorHAnsi" w:cstheme="minorHAnsi"/>
          <w:color w:val="000000" w:themeColor="text1"/>
          <w:sz w:val="16"/>
          <w:szCs w:val="16"/>
          <w:lang w:val="en-US"/>
        </w:rPr>
        <w:t>The novel coronavirus 2019 (2019-nCoV) uses the SARS-coronavirus receptor ACE2 and the cellular protease TMPRSS2 for entry into target cells</w:t>
      </w:r>
    </w:p>
    <w:p w:rsidR="008F6FFE" w:rsidRPr="00235A16" w:rsidRDefault="008F6FFE" w:rsidP="00717D4D">
      <w:pPr>
        <w:jc w:val="both"/>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Markus Hoffmann, Hannah Kleine-Weber, Nadine Krüger, Marcel Müller, Christian Drosten, Stefan Pöhlmann</w:t>
      </w:r>
    </w:p>
    <w:p w:rsidR="008F6FFE" w:rsidRPr="00235A16" w:rsidRDefault="0052743C" w:rsidP="00E35C51">
      <w:pPr>
        <w:rPr>
          <w:rFonts w:asciiTheme="minorHAnsi" w:hAnsiTheme="minorHAnsi" w:cstheme="minorHAnsi"/>
          <w:color w:val="000000" w:themeColor="text1"/>
          <w:sz w:val="16"/>
          <w:szCs w:val="16"/>
          <w:lang w:val="de-DE"/>
        </w:rPr>
      </w:pPr>
      <w:hyperlink r:id="rId388" w:history="1">
        <w:r w:rsidR="008F6FFE" w:rsidRPr="00235A16">
          <w:rPr>
            <w:rFonts w:asciiTheme="minorHAnsi" w:hAnsiTheme="minorHAnsi" w:cstheme="minorHAnsi"/>
            <w:color w:val="000000" w:themeColor="text1"/>
            <w:sz w:val="16"/>
            <w:szCs w:val="16"/>
            <w:lang w:val="de-DE"/>
          </w:rPr>
          <w:t>https://www.medrxiv.org/content/10.1101/2020.03.30.20047878v2.full.pdf</w:t>
        </w:r>
      </w:hyperlink>
    </w:p>
    <w:p w:rsidR="008F6FFE" w:rsidRPr="00235A16" w:rsidRDefault="008F6FFE" w:rsidP="00717D4D">
      <w:pPr>
        <w:pStyle w:val="FootnoteText"/>
        <w:rPr>
          <w:rFonts w:asciiTheme="minorHAnsi" w:hAnsiTheme="minorHAnsi" w:cstheme="minorHAnsi"/>
          <w:color w:val="000000" w:themeColor="text1"/>
          <w:sz w:val="16"/>
          <w:szCs w:val="16"/>
          <w:lang w:val="de-DE"/>
        </w:rPr>
      </w:pPr>
    </w:p>
  </w:footnote>
  <w:footnote w:id="35">
    <w:p w:rsidR="008F6FFE" w:rsidRPr="00E35C51" w:rsidRDefault="008F6FFE" w:rsidP="00717D4D">
      <w:pPr>
        <w:jc w:val="both"/>
        <w:rPr>
          <w:rFonts w:asciiTheme="minorHAnsi" w:hAnsiTheme="minorHAnsi" w:cstheme="minorHAnsi"/>
          <w:color w:val="000000" w:themeColor="text1"/>
          <w:sz w:val="16"/>
          <w:szCs w:val="16"/>
          <w:lang w:val="en-US"/>
        </w:rPr>
      </w:pPr>
      <w:r w:rsidRPr="00E35C51">
        <w:rPr>
          <w:rStyle w:val="FootnoteReference"/>
          <w:rFonts w:asciiTheme="minorHAnsi" w:hAnsiTheme="minorHAnsi" w:cstheme="minorHAnsi"/>
          <w:color w:val="000000" w:themeColor="text1"/>
          <w:sz w:val="16"/>
          <w:szCs w:val="16"/>
        </w:rPr>
        <w:footnoteRef/>
      </w:r>
      <w:r w:rsidRPr="00E35C51">
        <w:rPr>
          <w:rFonts w:asciiTheme="minorHAnsi" w:hAnsiTheme="minorHAnsi" w:cstheme="minorHAnsi"/>
          <w:color w:val="000000" w:themeColor="text1"/>
          <w:sz w:val="16"/>
          <w:szCs w:val="16"/>
          <w:lang w:val="en-US"/>
        </w:rPr>
        <w:t xml:space="preserve"> N Engl J Med 2020 Feb 20;382(8):727-733. doi: 10.1056/NEJMoa2001017. </w:t>
      </w:r>
    </w:p>
    <w:p w:rsidR="008F6FFE" w:rsidRPr="00E35C51" w:rsidRDefault="008F6FFE" w:rsidP="00717D4D">
      <w:pPr>
        <w:jc w:val="both"/>
        <w:rPr>
          <w:rFonts w:asciiTheme="minorHAnsi" w:hAnsiTheme="minorHAnsi" w:cstheme="minorHAnsi"/>
          <w:color w:val="000000" w:themeColor="text1"/>
          <w:sz w:val="16"/>
          <w:szCs w:val="16"/>
          <w:lang w:val="en-US"/>
        </w:rPr>
      </w:pPr>
      <w:r w:rsidRPr="00E35C51">
        <w:rPr>
          <w:rFonts w:asciiTheme="minorHAnsi" w:hAnsiTheme="minorHAnsi" w:cstheme="minorHAnsi"/>
          <w:color w:val="000000" w:themeColor="text1"/>
          <w:sz w:val="16"/>
          <w:szCs w:val="16"/>
          <w:lang w:val="en-US"/>
        </w:rPr>
        <w:t>A Novel Coronavirus from Patients with Pneumonia in China, 2019</w:t>
      </w:r>
    </w:p>
    <w:p w:rsidR="008F6FFE" w:rsidRPr="00E35C51" w:rsidRDefault="0052743C" w:rsidP="00717D4D">
      <w:pPr>
        <w:jc w:val="both"/>
        <w:rPr>
          <w:rFonts w:asciiTheme="minorHAnsi" w:hAnsiTheme="minorHAnsi" w:cstheme="minorHAnsi"/>
          <w:color w:val="000000" w:themeColor="text1"/>
          <w:sz w:val="16"/>
          <w:szCs w:val="16"/>
        </w:rPr>
      </w:pPr>
      <w:hyperlink r:id="rId389" w:history="1">
        <w:r w:rsidR="008F6FFE" w:rsidRPr="00E35C51">
          <w:rPr>
            <w:rFonts w:asciiTheme="minorHAnsi" w:hAnsiTheme="minorHAnsi" w:cstheme="minorHAnsi"/>
            <w:color w:val="000000" w:themeColor="text1"/>
            <w:sz w:val="16"/>
            <w:szCs w:val="16"/>
          </w:rPr>
          <w:t>Na Zhu</w:t>
        </w:r>
      </w:hyperlink>
      <w:r w:rsidR="008F6FFE" w:rsidRPr="00E35C51">
        <w:rPr>
          <w:rFonts w:asciiTheme="minorHAnsi" w:hAnsiTheme="minorHAnsi" w:cstheme="minorHAnsi"/>
          <w:color w:val="000000" w:themeColor="text1"/>
          <w:sz w:val="16"/>
          <w:szCs w:val="16"/>
        </w:rPr>
        <w:t> et al</w:t>
      </w:r>
    </w:p>
    <w:p w:rsidR="008F6FFE" w:rsidRPr="00E35C51" w:rsidRDefault="0052743C" w:rsidP="00E35C51">
      <w:pPr>
        <w:rPr>
          <w:rFonts w:asciiTheme="minorHAnsi" w:hAnsiTheme="minorHAnsi" w:cstheme="minorHAnsi"/>
          <w:color w:val="000000" w:themeColor="text1"/>
          <w:sz w:val="16"/>
          <w:szCs w:val="16"/>
        </w:rPr>
      </w:pPr>
      <w:hyperlink r:id="rId390" w:history="1">
        <w:r w:rsidR="008F6FFE" w:rsidRPr="00E35C51">
          <w:rPr>
            <w:rFonts w:asciiTheme="minorHAnsi" w:hAnsiTheme="minorHAnsi" w:cstheme="minorHAnsi"/>
            <w:color w:val="000000" w:themeColor="text1"/>
            <w:sz w:val="16"/>
            <w:szCs w:val="16"/>
          </w:rPr>
          <w:t>https://www.ncbi.nlm.nih.gov/pmc/articles/PMC7092803/pdf/NEJMoa2001017.pdf</w:t>
        </w:r>
      </w:hyperlink>
    </w:p>
    <w:p w:rsidR="008F6FFE" w:rsidRPr="00E35C51" w:rsidRDefault="008F6FFE" w:rsidP="00717D4D">
      <w:pPr>
        <w:jc w:val="both"/>
        <w:rPr>
          <w:rFonts w:asciiTheme="minorHAnsi" w:hAnsiTheme="minorHAnsi" w:cstheme="minorHAnsi"/>
          <w:color w:val="000000" w:themeColor="text1"/>
          <w:sz w:val="16"/>
          <w:szCs w:val="16"/>
        </w:rPr>
      </w:pPr>
    </w:p>
    <w:p w:rsidR="008F6FFE" w:rsidRPr="00E35C51" w:rsidRDefault="008F6FFE" w:rsidP="00717D4D">
      <w:pPr>
        <w:jc w:val="both"/>
        <w:rPr>
          <w:rFonts w:asciiTheme="minorHAnsi" w:hAnsiTheme="minorHAnsi" w:cstheme="minorHAnsi"/>
          <w:color w:val="000000" w:themeColor="text1"/>
          <w:sz w:val="16"/>
          <w:szCs w:val="16"/>
          <w:lang w:val="en-US"/>
        </w:rPr>
      </w:pPr>
      <w:r w:rsidRPr="00DC48B4">
        <w:rPr>
          <w:rFonts w:asciiTheme="minorHAnsi" w:hAnsiTheme="minorHAnsi" w:cstheme="minorHAnsi"/>
          <w:color w:val="000000" w:themeColor="text1"/>
          <w:sz w:val="16"/>
          <w:szCs w:val="16"/>
          <w:lang w:val="en-US"/>
        </w:rPr>
        <w:t xml:space="preserve">Cell. 2020 Apr 16;181(2):281-292.e6. doi: 10.1016/j.cell.2020.02.058. </w:t>
      </w:r>
      <w:r w:rsidRPr="00E35C51">
        <w:rPr>
          <w:rFonts w:asciiTheme="minorHAnsi" w:hAnsiTheme="minorHAnsi" w:cstheme="minorHAnsi"/>
          <w:color w:val="000000" w:themeColor="text1"/>
          <w:sz w:val="16"/>
          <w:szCs w:val="16"/>
          <w:lang w:val="en-US"/>
        </w:rPr>
        <w:t xml:space="preserve">PMCID: PMC7102599 </w:t>
      </w:r>
    </w:p>
    <w:p w:rsidR="008F6FFE" w:rsidRPr="00E35C51" w:rsidRDefault="008F6FFE" w:rsidP="00717D4D">
      <w:pPr>
        <w:jc w:val="both"/>
        <w:rPr>
          <w:rFonts w:asciiTheme="minorHAnsi" w:hAnsiTheme="minorHAnsi" w:cstheme="minorHAnsi"/>
          <w:color w:val="000000" w:themeColor="text1"/>
          <w:sz w:val="16"/>
          <w:szCs w:val="16"/>
          <w:lang w:val="en-US"/>
        </w:rPr>
      </w:pPr>
      <w:r w:rsidRPr="00E35C51">
        <w:rPr>
          <w:rFonts w:asciiTheme="minorHAnsi" w:hAnsiTheme="minorHAnsi" w:cstheme="minorHAnsi"/>
          <w:color w:val="000000" w:themeColor="text1"/>
          <w:sz w:val="16"/>
          <w:szCs w:val="16"/>
          <w:lang w:val="en-US"/>
        </w:rPr>
        <w:t xml:space="preserve">Structure, Function, and Antigenicity of the SARS-CoV-2 Spike Glycoprotein. </w:t>
      </w:r>
    </w:p>
    <w:p w:rsidR="008F6FFE" w:rsidRPr="00E35C51" w:rsidRDefault="008F6FFE" w:rsidP="00717D4D">
      <w:pPr>
        <w:jc w:val="both"/>
        <w:rPr>
          <w:rFonts w:asciiTheme="minorHAnsi" w:hAnsiTheme="minorHAnsi" w:cstheme="minorHAnsi"/>
          <w:color w:val="000000" w:themeColor="text1"/>
          <w:sz w:val="16"/>
          <w:szCs w:val="16"/>
          <w:lang w:val="en-US"/>
        </w:rPr>
      </w:pPr>
      <w:r w:rsidRPr="00E35C51">
        <w:rPr>
          <w:rFonts w:asciiTheme="minorHAnsi" w:hAnsiTheme="minorHAnsi" w:cstheme="minorHAnsi"/>
          <w:color w:val="000000" w:themeColor="text1"/>
          <w:sz w:val="16"/>
          <w:szCs w:val="16"/>
          <w:lang w:val="en-US"/>
        </w:rPr>
        <w:t>Walls AC, Park YJ, Tortorici MA, Wall A, McGuire AT, Veesler D.</w:t>
      </w:r>
    </w:p>
    <w:p w:rsidR="008F6FFE" w:rsidRPr="00717D4D" w:rsidRDefault="0052743C" w:rsidP="00DC0BA1">
      <w:pPr>
        <w:rPr>
          <w:rFonts w:asciiTheme="minorHAnsi" w:hAnsiTheme="minorHAnsi" w:cstheme="minorHAnsi"/>
          <w:sz w:val="16"/>
          <w:szCs w:val="16"/>
          <w:lang w:val="en-US"/>
        </w:rPr>
      </w:pPr>
      <w:hyperlink r:id="rId391" w:history="1">
        <w:r w:rsidR="008F6FFE" w:rsidRPr="00E35C51">
          <w:rPr>
            <w:rFonts w:asciiTheme="minorHAnsi" w:hAnsiTheme="minorHAnsi" w:cstheme="minorHAnsi"/>
            <w:color w:val="000000" w:themeColor="text1"/>
            <w:sz w:val="16"/>
            <w:szCs w:val="16"/>
            <w:lang w:val="en-US"/>
          </w:rPr>
          <w:t>https://www.ncbi.nlm.nih.gov/pmc/articles/PMC7102599/pdf/main.pdf</w:t>
        </w:r>
      </w:hyperlink>
    </w:p>
  </w:footnote>
  <w:footnote w:id="36">
    <w:p w:rsidR="008F6FFE" w:rsidRPr="00717D4D" w:rsidRDefault="008F6FFE" w:rsidP="00E35C51">
      <w:pPr>
        <w:rPr>
          <w:rStyle w:val="labs-docsum-journal-citation"/>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sz w:val="16"/>
          <w:szCs w:val="16"/>
          <w:lang w:val="en-US"/>
        </w:rPr>
        <w:t xml:space="preserve"> </w:t>
      </w:r>
      <w:r w:rsidRPr="00717D4D">
        <w:rPr>
          <w:rStyle w:val="labs-docsum-journal-citation"/>
          <w:rFonts w:asciiTheme="minorHAnsi" w:hAnsiTheme="minorHAnsi" w:cstheme="minorHAnsi"/>
          <w:color w:val="000000" w:themeColor="text1"/>
          <w:sz w:val="16"/>
          <w:szCs w:val="16"/>
          <w:lang w:val="en-US"/>
        </w:rPr>
        <w:t>Adv Virus Res. 2016;96:1-27. doi: 10.1016/bs.aivir.2016.08.005.</w:t>
      </w:r>
    </w:p>
    <w:p w:rsidR="008F6FFE" w:rsidRPr="00717D4D" w:rsidRDefault="0052743C" w:rsidP="00E35C51">
      <w:pPr>
        <w:rPr>
          <w:rFonts w:asciiTheme="minorHAnsi" w:hAnsiTheme="minorHAnsi" w:cstheme="minorHAnsi"/>
          <w:color w:val="000000" w:themeColor="text1"/>
          <w:sz w:val="16"/>
          <w:szCs w:val="16"/>
          <w:lang w:val="en-US"/>
        </w:rPr>
      </w:pPr>
      <w:hyperlink r:id="rId392" w:history="1">
        <w:r w:rsidR="008F6FFE" w:rsidRPr="00717D4D">
          <w:rPr>
            <w:rStyle w:val="Hyperlink"/>
            <w:rFonts w:asciiTheme="minorHAnsi" w:eastAsiaTheme="majorEastAsia" w:hAnsiTheme="minorHAnsi" w:cstheme="minorHAnsi"/>
            <w:bCs/>
            <w:color w:val="000000" w:themeColor="text1"/>
            <w:sz w:val="16"/>
            <w:szCs w:val="16"/>
            <w:u w:val="none"/>
            <w:shd w:val="clear" w:color="auto" w:fill="FFFFFF"/>
            <w:lang w:val="en-US"/>
          </w:rPr>
          <w:t>Supramolecular</w:t>
        </w:r>
        <w:r w:rsidR="008F6FFE" w:rsidRPr="00717D4D">
          <w:rPr>
            <w:rStyle w:val="Hyperlink"/>
            <w:rFonts w:asciiTheme="minorHAnsi" w:eastAsiaTheme="majorEastAsia" w:hAnsiTheme="minorHAnsi" w:cstheme="minorHAnsi"/>
            <w:color w:val="000000" w:themeColor="text1"/>
            <w:sz w:val="16"/>
            <w:szCs w:val="16"/>
            <w:u w:val="none"/>
            <w:shd w:val="clear" w:color="auto" w:fill="FFFFFF"/>
            <w:lang w:val="en-US"/>
          </w:rPr>
          <w:t> </w:t>
        </w:r>
        <w:r w:rsidR="008F6FFE" w:rsidRPr="00717D4D">
          <w:rPr>
            <w:rStyle w:val="Hyperlink"/>
            <w:rFonts w:asciiTheme="minorHAnsi" w:eastAsiaTheme="majorEastAsia" w:hAnsiTheme="minorHAnsi" w:cstheme="minorHAnsi"/>
            <w:bCs/>
            <w:color w:val="000000" w:themeColor="text1"/>
            <w:sz w:val="16"/>
            <w:szCs w:val="16"/>
            <w:u w:val="none"/>
            <w:shd w:val="clear" w:color="auto" w:fill="FFFFFF"/>
            <w:lang w:val="en-US"/>
          </w:rPr>
          <w:t>Architecture</w:t>
        </w:r>
        <w:r w:rsidR="008F6FFE" w:rsidRPr="00717D4D">
          <w:rPr>
            <w:rStyle w:val="Hyperlink"/>
            <w:rFonts w:asciiTheme="minorHAnsi" w:eastAsiaTheme="majorEastAsia" w:hAnsiTheme="minorHAnsi" w:cstheme="minorHAnsi"/>
            <w:color w:val="000000" w:themeColor="text1"/>
            <w:sz w:val="16"/>
            <w:szCs w:val="16"/>
            <w:u w:val="none"/>
            <w:shd w:val="clear" w:color="auto" w:fill="FFFFFF"/>
            <w:lang w:val="en-US"/>
          </w:rPr>
          <w:t> of the </w:t>
        </w:r>
        <w:r w:rsidR="008F6FFE" w:rsidRPr="00717D4D">
          <w:rPr>
            <w:rStyle w:val="Hyperlink"/>
            <w:rFonts w:asciiTheme="minorHAnsi" w:eastAsiaTheme="majorEastAsia" w:hAnsiTheme="minorHAnsi" w:cstheme="minorHAnsi"/>
            <w:bCs/>
            <w:color w:val="000000" w:themeColor="text1"/>
            <w:sz w:val="16"/>
            <w:szCs w:val="16"/>
            <w:u w:val="none"/>
            <w:shd w:val="clear" w:color="auto" w:fill="FFFFFF"/>
            <w:lang w:val="en-US"/>
          </w:rPr>
          <w:t>Coronavirus</w:t>
        </w:r>
        <w:r w:rsidR="008F6FFE" w:rsidRPr="00717D4D">
          <w:rPr>
            <w:rStyle w:val="Hyperlink"/>
            <w:rFonts w:asciiTheme="minorHAnsi" w:eastAsiaTheme="majorEastAsia" w:hAnsiTheme="minorHAnsi" w:cstheme="minorHAnsi"/>
            <w:color w:val="000000" w:themeColor="text1"/>
            <w:sz w:val="16"/>
            <w:szCs w:val="16"/>
            <w:u w:val="none"/>
            <w:shd w:val="clear" w:color="auto" w:fill="FFFFFF"/>
            <w:lang w:val="en-US"/>
          </w:rPr>
          <w:t> </w:t>
        </w:r>
        <w:r w:rsidR="008F6FFE" w:rsidRPr="00717D4D">
          <w:rPr>
            <w:rStyle w:val="Hyperlink"/>
            <w:rFonts w:asciiTheme="minorHAnsi" w:eastAsiaTheme="majorEastAsia" w:hAnsiTheme="minorHAnsi" w:cstheme="minorHAnsi"/>
            <w:bCs/>
            <w:color w:val="000000" w:themeColor="text1"/>
            <w:sz w:val="16"/>
            <w:szCs w:val="16"/>
            <w:u w:val="none"/>
            <w:shd w:val="clear" w:color="auto" w:fill="FFFFFF"/>
            <w:lang w:val="en-US"/>
          </w:rPr>
          <w:t>Particle</w:t>
        </w:r>
        <w:r w:rsidR="008F6FFE" w:rsidRPr="00717D4D">
          <w:rPr>
            <w:rStyle w:val="Hyperlink"/>
            <w:rFonts w:asciiTheme="minorHAnsi" w:eastAsiaTheme="majorEastAsia" w:hAnsiTheme="minorHAnsi" w:cstheme="minorHAnsi"/>
            <w:color w:val="000000" w:themeColor="text1"/>
            <w:sz w:val="16"/>
            <w:szCs w:val="16"/>
            <w:u w:val="none"/>
            <w:shd w:val="clear" w:color="auto" w:fill="FFFFFF"/>
            <w:lang w:val="en-US"/>
          </w:rPr>
          <w:t>.</w:t>
        </w:r>
      </w:hyperlink>
    </w:p>
    <w:p w:rsidR="008F6FFE" w:rsidRPr="00235A16" w:rsidRDefault="008F6FFE" w:rsidP="00E35C51">
      <w:pPr>
        <w:shd w:val="clear" w:color="auto" w:fill="FFFFFF"/>
        <w:rPr>
          <w:rFonts w:asciiTheme="minorHAnsi" w:hAnsiTheme="minorHAnsi" w:cstheme="minorHAnsi"/>
          <w:color w:val="000000" w:themeColor="text1"/>
          <w:sz w:val="16"/>
          <w:szCs w:val="16"/>
          <w:lang w:val="de-DE"/>
        </w:rPr>
      </w:pPr>
      <w:r w:rsidRPr="00235A16">
        <w:rPr>
          <w:rStyle w:val="labs-docsum-authors"/>
          <w:rFonts w:asciiTheme="minorHAnsi" w:eastAsiaTheme="majorEastAsia" w:hAnsiTheme="minorHAnsi" w:cstheme="minorHAnsi"/>
          <w:color w:val="000000" w:themeColor="text1"/>
          <w:sz w:val="16"/>
          <w:szCs w:val="16"/>
          <w:lang w:val="de-DE"/>
        </w:rPr>
        <w:t>Neuman BW, Buchmeier MJ.</w:t>
      </w:r>
    </w:p>
    <w:p w:rsidR="008F6FFE" w:rsidRPr="00235A16" w:rsidRDefault="0052743C" w:rsidP="00DC0BA1">
      <w:pPr>
        <w:rPr>
          <w:rFonts w:asciiTheme="minorHAnsi" w:hAnsiTheme="minorHAnsi" w:cstheme="minorHAnsi"/>
          <w:color w:val="000000" w:themeColor="text1"/>
          <w:sz w:val="16"/>
          <w:szCs w:val="16"/>
          <w:lang w:val="de-DE"/>
        </w:rPr>
      </w:pPr>
      <w:hyperlink r:id="rId393" w:history="1">
        <w:r w:rsidR="008F6FFE" w:rsidRPr="00235A16">
          <w:rPr>
            <w:rFonts w:asciiTheme="minorHAnsi" w:hAnsiTheme="minorHAnsi" w:cstheme="minorHAnsi"/>
            <w:color w:val="000000" w:themeColor="text1"/>
            <w:sz w:val="16"/>
            <w:szCs w:val="16"/>
            <w:lang w:val="de-DE"/>
          </w:rPr>
          <w:t>https://www.ncbi.nlm.nih.gov/pmc/articles/PMC7112365/pdf/main.pdf</w:t>
        </w:r>
      </w:hyperlink>
    </w:p>
    <w:p w:rsidR="008F6FFE" w:rsidRPr="00235A16" w:rsidRDefault="008F6FFE" w:rsidP="00E35C51">
      <w:pPr>
        <w:pStyle w:val="FootnoteText"/>
        <w:rPr>
          <w:rFonts w:asciiTheme="minorHAnsi" w:hAnsiTheme="minorHAnsi" w:cstheme="minorHAnsi"/>
          <w:color w:val="000000" w:themeColor="text1"/>
          <w:sz w:val="16"/>
          <w:szCs w:val="16"/>
          <w:lang w:val="de-DE"/>
        </w:rPr>
      </w:pPr>
    </w:p>
  </w:footnote>
  <w:footnote w:id="37">
    <w:p w:rsidR="008F6FFE" w:rsidRPr="00DC0BA1" w:rsidRDefault="008F6FFE" w:rsidP="00DC0BA1">
      <w:pPr>
        <w:rPr>
          <w:rFonts w:asciiTheme="minorHAnsi" w:hAnsiTheme="minorHAnsi" w:cstheme="minorHAnsi"/>
          <w:color w:val="000000" w:themeColor="text1"/>
          <w:sz w:val="16"/>
          <w:szCs w:val="16"/>
          <w:lang w:val="en-US"/>
        </w:rPr>
      </w:pPr>
      <w:r w:rsidRPr="00DC0BA1">
        <w:rPr>
          <w:rStyle w:val="FootnoteReference"/>
          <w:rFonts w:asciiTheme="minorHAnsi" w:hAnsiTheme="minorHAnsi" w:cstheme="minorHAnsi"/>
          <w:color w:val="000000" w:themeColor="text1"/>
          <w:sz w:val="16"/>
          <w:szCs w:val="16"/>
        </w:rPr>
        <w:footnoteRef/>
      </w:r>
      <w:r w:rsidRPr="00DC0BA1">
        <w:rPr>
          <w:rFonts w:asciiTheme="minorHAnsi" w:hAnsiTheme="minorHAnsi" w:cstheme="minorHAnsi"/>
          <w:color w:val="000000" w:themeColor="text1"/>
          <w:sz w:val="16"/>
          <w:szCs w:val="16"/>
          <w:lang w:val="en-US"/>
        </w:rPr>
        <w:t xml:space="preserve"> </w:t>
      </w:r>
      <w:hyperlink r:id="rId394" w:tooltip="The New England journal of medicine." w:history="1">
        <w:r w:rsidRPr="00DC0BA1">
          <w:rPr>
            <w:rFonts w:asciiTheme="minorHAnsi" w:hAnsiTheme="minorHAnsi" w:cstheme="minorHAnsi"/>
            <w:color w:val="000000" w:themeColor="text1"/>
            <w:sz w:val="16"/>
            <w:szCs w:val="16"/>
            <w:lang w:val="en-US"/>
          </w:rPr>
          <w:t>N Engl J Med.</w:t>
        </w:r>
      </w:hyperlink>
      <w:r w:rsidRPr="00DC0BA1">
        <w:rPr>
          <w:rFonts w:asciiTheme="minorHAnsi" w:hAnsiTheme="minorHAnsi" w:cstheme="minorHAnsi"/>
          <w:color w:val="000000" w:themeColor="text1"/>
          <w:sz w:val="16"/>
          <w:szCs w:val="16"/>
          <w:lang w:val="en-US"/>
        </w:rPr>
        <w:t> 2003 May 15;348(20):1948-51.</w:t>
      </w:r>
      <w:r w:rsidRPr="00DC0BA1">
        <w:rPr>
          <w:rFonts w:asciiTheme="minorHAnsi" w:hAnsiTheme="minorHAnsi" w:cstheme="minorHAnsi"/>
          <w:color w:val="000000" w:themeColor="text1"/>
          <w:sz w:val="16"/>
          <w:szCs w:val="16"/>
          <w:shd w:val="clear" w:color="auto" w:fill="FFFFFF"/>
          <w:lang w:val="en-US"/>
        </w:rPr>
        <w:t xml:space="preserve"> doi: 10.1056/NEJMp030078.</w:t>
      </w:r>
    </w:p>
    <w:p w:rsidR="008F6FFE" w:rsidRPr="00DC0BA1" w:rsidRDefault="008F6FFE" w:rsidP="00717D4D">
      <w:pPr>
        <w:jc w:val="both"/>
        <w:rPr>
          <w:rFonts w:asciiTheme="minorHAnsi" w:hAnsiTheme="minorHAnsi" w:cstheme="minorHAnsi"/>
          <w:color w:val="000000" w:themeColor="text1"/>
          <w:sz w:val="16"/>
          <w:szCs w:val="16"/>
          <w:lang w:val="en-US"/>
        </w:rPr>
      </w:pPr>
    </w:p>
    <w:p w:rsidR="008F6FFE" w:rsidRPr="00DC0BA1" w:rsidRDefault="008F6FFE" w:rsidP="00717D4D">
      <w:pPr>
        <w:jc w:val="both"/>
        <w:rPr>
          <w:rFonts w:asciiTheme="minorHAnsi" w:hAnsiTheme="minorHAnsi" w:cstheme="minorHAnsi"/>
          <w:color w:val="000000" w:themeColor="text1"/>
          <w:sz w:val="16"/>
          <w:szCs w:val="16"/>
          <w:lang w:val="en-US"/>
        </w:rPr>
      </w:pPr>
      <w:r w:rsidRPr="00DC0BA1">
        <w:rPr>
          <w:rFonts w:asciiTheme="minorHAnsi" w:hAnsiTheme="minorHAnsi" w:cstheme="minorHAnsi"/>
          <w:color w:val="000000" w:themeColor="text1"/>
          <w:sz w:val="16"/>
          <w:szCs w:val="16"/>
          <w:lang w:val="en-US"/>
        </w:rPr>
        <w:t>SARS-associated coronavirus.</w:t>
      </w:r>
    </w:p>
    <w:p w:rsidR="008F6FFE" w:rsidRPr="00DC0BA1" w:rsidRDefault="0052743C" w:rsidP="00717D4D">
      <w:pPr>
        <w:jc w:val="both"/>
        <w:rPr>
          <w:rFonts w:asciiTheme="minorHAnsi" w:hAnsiTheme="minorHAnsi" w:cstheme="minorHAnsi"/>
          <w:color w:val="000000" w:themeColor="text1"/>
          <w:sz w:val="16"/>
          <w:szCs w:val="16"/>
          <w:lang w:val="en-US"/>
        </w:rPr>
      </w:pPr>
      <w:hyperlink r:id="rId395" w:history="1">
        <w:r w:rsidR="008F6FFE" w:rsidRPr="00DC0BA1">
          <w:rPr>
            <w:rFonts w:asciiTheme="minorHAnsi" w:hAnsiTheme="minorHAnsi" w:cstheme="minorHAnsi"/>
            <w:color w:val="000000" w:themeColor="text1"/>
            <w:sz w:val="16"/>
            <w:szCs w:val="16"/>
            <w:lang w:val="en-US"/>
          </w:rPr>
          <w:t>Holmes KV</w:t>
        </w:r>
      </w:hyperlink>
      <w:r w:rsidR="008F6FFE" w:rsidRPr="00DC0BA1">
        <w:rPr>
          <w:rFonts w:asciiTheme="minorHAnsi" w:hAnsiTheme="minorHAnsi" w:cstheme="minorHAnsi"/>
          <w:color w:val="000000" w:themeColor="text1"/>
          <w:sz w:val="16"/>
          <w:szCs w:val="16"/>
          <w:lang w:val="en-US"/>
        </w:rPr>
        <w:t>1.</w:t>
      </w:r>
    </w:p>
    <w:p w:rsidR="008F6FFE" w:rsidRPr="00DC0BA1" w:rsidRDefault="0052743C" w:rsidP="00DC0BA1">
      <w:pPr>
        <w:rPr>
          <w:rFonts w:asciiTheme="minorHAnsi" w:hAnsiTheme="minorHAnsi" w:cstheme="minorHAnsi"/>
          <w:color w:val="000000" w:themeColor="text1"/>
          <w:sz w:val="16"/>
          <w:szCs w:val="16"/>
          <w:lang w:val="en-US"/>
        </w:rPr>
      </w:pPr>
      <w:hyperlink r:id="rId396" w:history="1">
        <w:r w:rsidR="008F6FFE" w:rsidRPr="00DC0BA1">
          <w:rPr>
            <w:rFonts w:asciiTheme="minorHAnsi" w:hAnsiTheme="minorHAnsi" w:cstheme="minorHAnsi"/>
            <w:color w:val="000000" w:themeColor="text1"/>
            <w:sz w:val="16"/>
            <w:szCs w:val="16"/>
            <w:lang w:val="en-US"/>
          </w:rPr>
          <w:t>https://www.nejm.org/doi/pdf/10.1056/NEJMp030078?articleTools=true</w:t>
        </w:r>
      </w:hyperlink>
    </w:p>
    <w:p w:rsidR="008F6FFE" w:rsidRPr="00717D4D" w:rsidRDefault="008F6FFE" w:rsidP="00717D4D">
      <w:pPr>
        <w:jc w:val="both"/>
        <w:rPr>
          <w:rFonts w:asciiTheme="minorHAnsi" w:hAnsiTheme="minorHAnsi" w:cstheme="minorHAnsi"/>
          <w:color w:val="000000" w:themeColor="text1"/>
          <w:sz w:val="16"/>
          <w:szCs w:val="16"/>
          <w:lang w:val="en-US"/>
        </w:rPr>
      </w:pPr>
    </w:p>
    <w:p w:rsidR="008F6FFE" w:rsidRPr="00717D4D" w:rsidRDefault="0052743C" w:rsidP="00717D4D">
      <w:pPr>
        <w:jc w:val="both"/>
        <w:rPr>
          <w:rFonts w:asciiTheme="minorHAnsi" w:hAnsiTheme="minorHAnsi" w:cstheme="minorHAnsi"/>
          <w:color w:val="000000" w:themeColor="text1"/>
          <w:sz w:val="16"/>
          <w:szCs w:val="16"/>
          <w:lang w:val="en-US"/>
        </w:rPr>
      </w:pPr>
      <w:hyperlink r:id="rId397" w:tooltip="Clinical immunology (Orlando, Fla.)." w:history="1">
        <w:r w:rsidR="008F6FFE" w:rsidRPr="00717D4D">
          <w:rPr>
            <w:rFonts w:asciiTheme="minorHAnsi" w:hAnsiTheme="minorHAnsi" w:cstheme="minorHAnsi"/>
            <w:color w:val="000000" w:themeColor="text1"/>
            <w:sz w:val="16"/>
            <w:szCs w:val="16"/>
            <w:lang w:val="en-US"/>
          </w:rPr>
          <w:t>Clin Immunol.</w:t>
        </w:r>
      </w:hyperlink>
      <w:r w:rsidR="008F6FFE" w:rsidRPr="00717D4D">
        <w:rPr>
          <w:rFonts w:asciiTheme="minorHAnsi" w:hAnsiTheme="minorHAnsi" w:cstheme="minorHAnsi"/>
          <w:color w:val="000000" w:themeColor="text1"/>
          <w:sz w:val="16"/>
          <w:szCs w:val="16"/>
          <w:lang w:val="en-US"/>
        </w:rPr>
        <w:t xml:space="preserve"> 2020 Apr 27;215:108448. doi: 10.1016/j.clim.2020.108448. </w:t>
      </w:r>
    </w:p>
    <w:p w:rsidR="008F6FFE" w:rsidRPr="00717D4D" w:rsidRDefault="008F6FFE" w:rsidP="00717D4D">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COVID-19: Immunology and treatment options.</w:t>
      </w:r>
    </w:p>
    <w:p w:rsidR="008F6FFE" w:rsidRPr="00235A16" w:rsidRDefault="0052743C" w:rsidP="00717D4D">
      <w:pPr>
        <w:jc w:val="both"/>
        <w:rPr>
          <w:rFonts w:asciiTheme="minorHAnsi" w:hAnsiTheme="minorHAnsi" w:cstheme="minorHAnsi"/>
          <w:color w:val="000000" w:themeColor="text1"/>
          <w:sz w:val="16"/>
          <w:szCs w:val="16"/>
          <w:lang w:val="de-DE"/>
        </w:rPr>
      </w:pPr>
      <w:hyperlink r:id="rId398" w:history="1">
        <w:r w:rsidR="008F6FFE" w:rsidRPr="00235A16">
          <w:rPr>
            <w:rFonts w:asciiTheme="minorHAnsi" w:hAnsiTheme="minorHAnsi" w:cstheme="minorHAnsi"/>
            <w:color w:val="000000" w:themeColor="text1"/>
            <w:sz w:val="16"/>
            <w:szCs w:val="16"/>
            <w:lang w:val="de-DE"/>
          </w:rPr>
          <w:t>Felsenstein S</w:t>
        </w:r>
      </w:hyperlink>
      <w:r w:rsidR="008F6FFE" w:rsidRPr="00235A16">
        <w:rPr>
          <w:rFonts w:asciiTheme="minorHAnsi" w:hAnsiTheme="minorHAnsi" w:cstheme="minorHAnsi"/>
          <w:color w:val="000000" w:themeColor="text1"/>
          <w:sz w:val="16"/>
          <w:szCs w:val="16"/>
          <w:lang w:val="de-DE"/>
        </w:rPr>
        <w:t>1, </w:t>
      </w:r>
      <w:hyperlink r:id="rId399" w:history="1">
        <w:r w:rsidR="008F6FFE" w:rsidRPr="00235A16">
          <w:rPr>
            <w:rFonts w:asciiTheme="minorHAnsi" w:hAnsiTheme="minorHAnsi" w:cstheme="minorHAnsi"/>
            <w:color w:val="000000" w:themeColor="text1"/>
            <w:sz w:val="16"/>
            <w:szCs w:val="16"/>
            <w:lang w:val="de-DE"/>
          </w:rPr>
          <w:t>Herbert JA</w:t>
        </w:r>
      </w:hyperlink>
      <w:r w:rsidR="008F6FFE" w:rsidRPr="00235A16">
        <w:rPr>
          <w:rFonts w:asciiTheme="minorHAnsi" w:hAnsiTheme="minorHAnsi" w:cstheme="minorHAnsi"/>
          <w:color w:val="000000" w:themeColor="text1"/>
          <w:sz w:val="16"/>
          <w:szCs w:val="16"/>
          <w:lang w:val="de-DE"/>
        </w:rPr>
        <w:t>2, </w:t>
      </w:r>
      <w:hyperlink r:id="rId400" w:history="1">
        <w:r w:rsidR="008F6FFE" w:rsidRPr="00235A16">
          <w:rPr>
            <w:rFonts w:asciiTheme="minorHAnsi" w:hAnsiTheme="minorHAnsi" w:cstheme="minorHAnsi"/>
            <w:color w:val="000000" w:themeColor="text1"/>
            <w:sz w:val="16"/>
            <w:szCs w:val="16"/>
            <w:lang w:val="de-DE"/>
          </w:rPr>
          <w:t>McNamara PS</w:t>
        </w:r>
      </w:hyperlink>
      <w:r w:rsidR="008F6FFE" w:rsidRPr="00235A16">
        <w:rPr>
          <w:rFonts w:asciiTheme="minorHAnsi" w:hAnsiTheme="minorHAnsi" w:cstheme="minorHAnsi"/>
          <w:color w:val="000000" w:themeColor="text1"/>
          <w:sz w:val="16"/>
          <w:szCs w:val="16"/>
          <w:lang w:val="de-DE"/>
        </w:rPr>
        <w:t>2, </w:t>
      </w:r>
      <w:hyperlink r:id="rId401" w:history="1">
        <w:r w:rsidR="008F6FFE" w:rsidRPr="00235A16">
          <w:rPr>
            <w:rFonts w:asciiTheme="minorHAnsi" w:hAnsiTheme="minorHAnsi" w:cstheme="minorHAnsi"/>
            <w:color w:val="000000" w:themeColor="text1"/>
            <w:sz w:val="16"/>
            <w:szCs w:val="16"/>
            <w:lang w:val="de-DE"/>
          </w:rPr>
          <w:t>Hedrich CM</w:t>
        </w:r>
      </w:hyperlink>
      <w:r w:rsidR="008F6FFE" w:rsidRPr="00235A16">
        <w:rPr>
          <w:rFonts w:asciiTheme="minorHAnsi" w:hAnsiTheme="minorHAnsi" w:cstheme="minorHAnsi"/>
          <w:color w:val="000000" w:themeColor="text1"/>
          <w:sz w:val="16"/>
          <w:szCs w:val="16"/>
          <w:lang w:val="de-DE"/>
        </w:rPr>
        <w:t>3.</w:t>
      </w:r>
    </w:p>
    <w:p w:rsidR="008F6FFE" w:rsidRPr="00235A16" w:rsidRDefault="0052743C" w:rsidP="005673DE">
      <w:pPr>
        <w:rPr>
          <w:rFonts w:asciiTheme="minorHAnsi" w:hAnsiTheme="minorHAnsi" w:cstheme="minorHAnsi"/>
          <w:color w:val="000000" w:themeColor="text1"/>
          <w:sz w:val="16"/>
          <w:szCs w:val="16"/>
          <w:lang w:val="de-DE"/>
        </w:rPr>
      </w:pPr>
      <w:hyperlink r:id="rId402" w:history="1">
        <w:r w:rsidR="008F6FFE" w:rsidRPr="00235A16">
          <w:rPr>
            <w:rFonts w:asciiTheme="minorHAnsi" w:hAnsiTheme="minorHAnsi" w:cstheme="minorHAnsi"/>
            <w:color w:val="000000" w:themeColor="text1"/>
            <w:sz w:val="16"/>
            <w:szCs w:val="16"/>
            <w:lang w:val="de-DE"/>
          </w:rPr>
          <w:t>https://www.ncbi.nlm.nih.gov/pmc/articles/PMC7185015/pdf/main.pdf</w:t>
        </w:r>
      </w:hyperlink>
    </w:p>
    <w:p w:rsidR="008F6FFE" w:rsidRPr="00235A16" w:rsidRDefault="008F6FFE" w:rsidP="00717D4D">
      <w:pPr>
        <w:pStyle w:val="FootnoteText"/>
        <w:rPr>
          <w:rFonts w:asciiTheme="minorHAnsi" w:hAnsiTheme="minorHAnsi" w:cstheme="minorHAnsi"/>
          <w:color w:val="000000" w:themeColor="text1"/>
          <w:sz w:val="16"/>
          <w:szCs w:val="16"/>
          <w:lang w:val="de-DE"/>
        </w:rPr>
      </w:pPr>
    </w:p>
  </w:footnote>
  <w:footnote w:id="38">
    <w:p w:rsidR="008F6FFE" w:rsidRPr="00235A16" w:rsidRDefault="008F6FFE" w:rsidP="005673DE">
      <w:pPr>
        <w:pStyle w:val="FootnoteText"/>
        <w:rPr>
          <w:rStyle w:val="Hyperlink"/>
          <w:rFonts w:asciiTheme="minorHAnsi" w:eastAsiaTheme="majorEastAsia" w:hAnsiTheme="minorHAnsi" w:cstheme="minorHAnsi"/>
          <w:color w:val="000000" w:themeColor="text1"/>
          <w:sz w:val="16"/>
          <w:szCs w:val="16"/>
          <w:u w:val="none"/>
          <w:lang w:val="de-DE"/>
        </w:rPr>
      </w:pPr>
      <w:r w:rsidRPr="00717D4D">
        <w:rPr>
          <w:rStyle w:val="FootnoteReference"/>
          <w:rFonts w:asciiTheme="minorHAnsi" w:hAnsiTheme="minorHAnsi"/>
          <w:sz w:val="16"/>
          <w:szCs w:val="16"/>
        </w:rPr>
        <w:footnoteRef/>
      </w:r>
      <w:r w:rsidRPr="00235A16">
        <w:rPr>
          <w:rFonts w:asciiTheme="minorHAnsi" w:hAnsiTheme="minorHAnsi"/>
          <w:sz w:val="16"/>
          <w:szCs w:val="16"/>
          <w:lang w:val="de-DE"/>
        </w:rPr>
        <w:t xml:space="preserve">  </w:t>
      </w:r>
      <w:hyperlink r:id="rId403" w:history="1">
        <w:r w:rsidRPr="00235A16">
          <w:rPr>
            <w:rStyle w:val="Hyperlink"/>
            <w:rFonts w:asciiTheme="minorHAnsi" w:eastAsiaTheme="majorEastAsia" w:hAnsiTheme="minorHAnsi" w:cstheme="minorHAnsi"/>
            <w:color w:val="000000" w:themeColor="text1"/>
            <w:sz w:val="16"/>
            <w:szCs w:val="16"/>
            <w:u w:val="none"/>
            <w:lang w:val="de-DE"/>
          </w:rPr>
          <w:t>https://onlinelearning.hms.harvard.edu/hmx/immunity/</w:t>
        </w:r>
      </w:hyperlink>
    </w:p>
    <w:p w:rsidR="008F6FFE" w:rsidRPr="00235A16" w:rsidRDefault="008F6FFE" w:rsidP="00717D4D">
      <w:pPr>
        <w:rPr>
          <w:rFonts w:asciiTheme="minorHAnsi" w:hAnsiTheme="minorHAnsi" w:cstheme="minorHAnsi"/>
          <w:color w:val="000000" w:themeColor="text1"/>
          <w:sz w:val="16"/>
          <w:szCs w:val="16"/>
          <w:lang w:val="de-DE"/>
        </w:rPr>
      </w:pPr>
    </w:p>
    <w:p w:rsidR="008F6FFE" w:rsidRPr="00717D4D" w:rsidRDefault="008F6FFE" w:rsidP="00717D4D">
      <w:pPr>
        <w:rPr>
          <w:rFonts w:asciiTheme="minorHAnsi" w:hAnsiTheme="minorHAnsi" w:cstheme="minorHAnsi"/>
          <w:color w:val="303030"/>
          <w:sz w:val="16"/>
          <w:szCs w:val="16"/>
          <w:shd w:val="clear" w:color="auto" w:fill="FFFFFF"/>
          <w:lang w:val="en-US"/>
        </w:rPr>
      </w:pPr>
      <w:r w:rsidRPr="00717D4D">
        <w:rPr>
          <w:rFonts w:asciiTheme="minorHAnsi" w:hAnsiTheme="minorHAnsi" w:cstheme="minorHAnsi"/>
          <w:color w:val="303030"/>
          <w:sz w:val="16"/>
          <w:szCs w:val="16"/>
          <w:shd w:val="clear" w:color="auto" w:fill="FFFFFF"/>
          <w:lang w:val="en-US"/>
        </w:rPr>
        <w:t>J Immunol Res. 2019 Apr 14;2019:1356540. doi: 10.1155/2019/1356540</w:t>
      </w:r>
    </w:p>
    <w:p w:rsidR="008F6FFE" w:rsidRPr="00717D4D" w:rsidRDefault="008F6FFE" w:rsidP="00717D4D">
      <w:pPr>
        <w:rPr>
          <w:rFonts w:asciiTheme="minorHAnsi" w:hAnsiTheme="minorHAnsi" w:cstheme="minorHAnsi"/>
          <w:color w:val="303030"/>
          <w:sz w:val="16"/>
          <w:szCs w:val="16"/>
          <w:shd w:val="clear" w:color="auto" w:fill="FFFFFF"/>
          <w:lang w:val="en-US"/>
        </w:rPr>
      </w:pPr>
      <w:r w:rsidRPr="00717D4D">
        <w:rPr>
          <w:rFonts w:asciiTheme="minorHAnsi" w:hAnsiTheme="minorHAnsi" w:cstheme="minorHAnsi"/>
          <w:color w:val="303030"/>
          <w:sz w:val="16"/>
          <w:szCs w:val="16"/>
          <w:shd w:val="clear" w:color="auto" w:fill="FFFFFF"/>
          <w:lang w:val="en-US"/>
        </w:rPr>
        <w:t xml:space="preserve">Intracellular Pathogens: Host Immunity and Microbial Persistence Strategies. </w:t>
      </w:r>
    </w:p>
    <w:p w:rsidR="008F6FFE" w:rsidRPr="00235A16" w:rsidRDefault="008F6FFE" w:rsidP="00717D4D">
      <w:pPr>
        <w:rPr>
          <w:rFonts w:asciiTheme="minorHAnsi" w:hAnsiTheme="minorHAnsi" w:cstheme="minorHAnsi"/>
          <w:color w:val="303030"/>
          <w:sz w:val="16"/>
          <w:szCs w:val="16"/>
          <w:shd w:val="clear" w:color="auto" w:fill="FFFFFF"/>
          <w:lang w:val="de-DE"/>
        </w:rPr>
      </w:pPr>
      <w:r w:rsidRPr="00235A16">
        <w:rPr>
          <w:rFonts w:asciiTheme="minorHAnsi" w:hAnsiTheme="minorHAnsi" w:cstheme="minorHAnsi"/>
          <w:color w:val="303030"/>
          <w:sz w:val="16"/>
          <w:szCs w:val="16"/>
          <w:shd w:val="clear" w:color="auto" w:fill="FFFFFF"/>
          <w:lang w:val="de-DE"/>
        </w:rPr>
        <w:t xml:space="preserve">Thakur A, Mikkelsen H, Jungersen G. </w:t>
      </w:r>
    </w:p>
    <w:p w:rsidR="008F6FFE" w:rsidRPr="00235A16" w:rsidRDefault="0052743C" w:rsidP="00717D4D">
      <w:pPr>
        <w:rPr>
          <w:rFonts w:asciiTheme="minorHAnsi" w:hAnsiTheme="minorHAnsi" w:cstheme="minorHAnsi"/>
          <w:color w:val="000000" w:themeColor="text1"/>
          <w:sz w:val="16"/>
          <w:szCs w:val="16"/>
          <w:lang w:val="de-DE"/>
        </w:rPr>
      </w:pPr>
      <w:hyperlink r:id="rId404" w:history="1">
        <w:r w:rsidR="008F6FFE" w:rsidRPr="00235A16">
          <w:rPr>
            <w:rStyle w:val="Hyperlink"/>
            <w:rFonts w:asciiTheme="minorHAnsi" w:eastAsiaTheme="majorEastAsia" w:hAnsiTheme="minorHAnsi" w:cstheme="minorHAnsi"/>
            <w:color w:val="000000" w:themeColor="text1"/>
            <w:sz w:val="16"/>
            <w:szCs w:val="16"/>
            <w:u w:val="none"/>
            <w:lang w:val="de-DE"/>
          </w:rPr>
          <w:t>https://www.ncbi.nlm.nih.gov/pmc/articles/PMC6487120/pdf/JIR2019-1356540.pdf</w:t>
        </w:r>
      </w:hyperlink>
    </w:p>
    <w:p w:rsidR="008F6FFE" w:rsidRPr="00235A16" w:rsidRDefault="008F6FFE" w:rsidP="00717D4D">
      <w:pPr>
        <w:pStyle w:val="FootnoteText"/>
        <w:rPr>
          <w:rFonts w:asciiTheme="minorHAnsi" w:hAnsiTheme="minorHAnsi"/>
          <w:sz w:val="16"/>
          <w:szCs w:val="16"/>
          <w:lang w:val="de-DE"/>
        </w:rPr>
      </w:pPr>
    </w:p>
  </w:footnote>
  <w:footnote w:id="39">
    <w:p w:rsidR="008F6FFE" w:rsidRPr="00235A16" w:rsidRDefault="008F6FFE" w:rsidP="00471D4A">
      <w:pPr>
        <w:rPr>
          <w:lang w:val="de-DE"/>
        </w:rPr>
      </w:pPr>
      <w:r w:rsidRPr="00471D4A">
        <w:rPr>
          <w:rStyle w:val="FootnoteReference"/>
          <w:rFonts w:asciiTheme="minorHAnsi" w:hAnsiTheme="minorHAnsi" w:cstheme="minorHAnsi"/>
          <w:sz w:val="16"/>
          <w:szCs w:val="16"/>
        </w:rPr>
        <w:footnoteRef/>
      </w:r>
      <w:r w:rsidRPr="00235A16">
        <w:rPr>
          <w:rFonts w:asciiTheme="minorHAnsi" w:hAnsiTheme="minorHAnsi" w:cstheme="minorHAnsi"/>
          <w:sz w:val="16"/>
          <w:szCs w:val="16"/>
          <w:lang w:val="de-DE"/>
        </w:rPr>
        <w:t xml:space="preserve"> </w:t>
      </w:r>
      <w:hyperlink r:id="rId405" w:history="1">
        <w:r w:rsidRPr="00235A16">
          <w:rPr>
            <w:rStyle w:val="Hyperlink"/>
            <w:rFonts w:asciiTheme="minorHAnsi" w:eastAsiaTheme="majorEastAsia" w:hAnsiTheme="minorHAnsi"/>
            <w:color w:val="000000" w:themeColor="text1"/>
            <w:sz w:val="16"/>
            <w:szCs w:val="16"/>
            <w:u w:val="none"/>
            <w:lang w:val="de-DE"/>
          </w:rPr>
          <w:t>https://www.uniba.it/docenti/coluccia-mauro/attivita-didattica/materiale-didattico/2-infiammazione.pdf</w:t>
        </w:r>
      </w:hyperlink>
    </w:p>
    <w:p w:rsidR="008F6FFE" w:rsidRPr="00235A16" w:rsidRDefault="008F6FFE">
      <w:pPr>
        <w:pStyle w:val="FootnoteText"/>
        <w:rPr>
          <w:rFonts w:asciiTheme="minorHAnsi" w:hAnsiTheme="minorHAnsi" w:cstheme="minorHAnsi"/>
          <w:sz w:val="16"/>
          <w:szCs w:val="16"/>
          <w:lang w:val="de-DE"/>
        </w:rPr>
      </w:pPr>
    </w:p>
  </w:footnote>
  <w:footnote w:id="40">
    <w:p w:rsidR="008F6FFE" w:rsidRDefault="008F6FFE">
      <w:pPr>
        <w:pStyle w:val="FootnoteText"/>
        <w:rPr>
          <w:rFonts w:asciiTheme="minorHAnsi" w:hAnsiTheme="minorHAnsi" w:cstheme="minorHAnsi"/>
          <w:sz w:val="16"/>
          <w:szCs w:val="16"/>
          <w:lang w:val="en-US"/>
        </w:rPr>
      </w:pPr>
      <w:r w:rsidRPr="00A55880">
        <w:rPr>
          <w:rStyle w:val="FootnoteReference"/>
          <w:rFonts w:asciiTheme="minorHAnsi" w:hAnsiTheme="minorHAnsi" w:cstheme="minorHAnsi"/>
          <w:sz w:val="16"/>
          <w:szCs w:val="16"/>
        </w:rPr>
        <w:footnoteRef/>
      </w:r>
      <w:r w:rsidRPr="00A55880">
        <w:rPr>
          <w:rFonts w:asciiTheme="minorHAnsi" w:hAnsiTheme="minorHAnsi" w:cstheme="minorHAnsi"/>
          <w:sz w:val="16"/>
          <w:szCs w:val="16"/>
          <w:lang w:val="en-US"/>
        </w:rPr>
        <w:t xml:space="preserve"> Lee, Kun</w:t>
      </w:r>
    </w:p>
    <w:p w:rsidR="008F6FFE" w:rsidRDefault="008F6FFE">
      <w:pPr>
        <w:pStyle w:val="FootnoteText"/>
        <w:rPr>
          <w:rFonts w:asciiTheme="minorHAnsi" w:hAnsiTheme="minorHAnsi" w:cstheme="minorHAnsi"/>
          <w:sz w:val="16"/>
          <w:szCs w:val="16"/>
          <w:lang w:val="en-US"/>
        </w:rPr>
      </w:pPr>
      <w:r w:rsidRPr="00A55880">
        <w:rPr>
          <w:rFonts w:asciiTheme="minorHAnsi" w:hAnsiTheme="minorHAnsi" w:cstheme="minorHAnsi"/>
          <w:sz w:val="16"/>
          <w:szCs w:val="16"/>
          <w:lang w:val="en-US"/>
        </w:rPr>
        <w:t xml:space="preserve"> M1 and M2 polarization of macrophages: a mini-review. </w:t>
      </w:r>
    </w:p>
    <w:p w:rsidR="008F6FFE" w:rsidRPr="006442E5" w:rsidRDefault="008F6FFE">
      <w:pPr>
        <w:pStyle w:val="FootnoteText"/>
        <w:rPr>
          <w:rFonts w:asciiTheme="minorHAnsi" w:hAnsiTheme="minorHAnsi" w:cstheme="minorHAnsi"/>
          <w:sz w:val="16"/>
          <w:szCs w:val="16"/>
        </w:rPr>
      </w:pPr>
      <w:r w:rsidRPr="00A55880">
        <w:rPr>
          <w:rFonts w:asciiTheme="minorHAnsi" w:hAnsiTheme="minorHAnsi" w:cstheme="minorHAnsi"/>
          <w:sz w:val="16"/>
          <w:szCs w:val="16"/>
          <w:lang w:val="en-US"/>
        </w:rPr>
        <w:t xml:space="preserve">Medical Biological Science and Engineering. </w:t>
      </w:r>
      <w:r w:rsidRPr="006442E5">
        <w:rPr>
          <w:rFonts w:asciiTheme="minorHAnsi" w:hAnsiTheme="minorHAnsi" w:cstheme="minorHAnsi"/>
          <w:sz w:val="16"/>
          <w:szCs w:val="16"/>
        </w:rPr>
        <w:t>(2019) 2. 1-5. 10.30579/mbse.2019.2.1.1.</w:t>
      </w:r>
    </w:p>
  </w:footnote>
  <w:footnote w:id="41">
    <w:p w:rsidR="008F6FFE" w:rsidRDefault="008F6FFE" w:rsidP="00892F48">
      <w:pPr>
        <w:rPr>
          <w:rFonts w:asciiTheme="minorHAnsi" w:hAnsiTheme="minorHAnsi" w:cstheme="minorHAnsi"/>
          <w:color w:val="000000" w:themeColor="text1"/>
          <w:sz w:val="16"/>
          <w:szCs w:val="16"/>
        </w:rPr>
      </w:pPr>
      <w:r w:rsidRPr="00717D4D">
        <w:rPr>
          <w:rStyle w:val="FootnoteReference"/>
          <w:rFonts w:asciiTheme="minorHAnsi" w:hAnsiTheme="minorHAnsi" w:cstheme="minorHAnsi"/>
          <w:sz w:val="16"/>
          <w:szCs w:val="16"/>
        </w:rPr>
        <w:footnoteRef/>
      </w:r>
      <w:r w:rsidRPr="00717D4D">
        <w:rPr>
          <w:rFonts w:asciiTheme="minorHAnsi" w:hAnsiTheme="minorHAnsi"/>
          <w:sz w:val="16"/>
          <w:szCs w:val="16"/>
        </w:rPr>
        <w:t xml:space="preserve"> </w:t>
      </w:r>
      <w:r w:rsidRPr="00717D4D">
        <w:rPr>
          <w:rFonts w:asciiTheme="minorHAnsi" w:hAnsiTheme="minorHAnsi" w:cstheme="minorHAnsi"/>
          <w:b/>
          <w:sz w:val="16"/>
          <w:szCs w:val="16"/>
        </w:rPr>
        <w:t>Pe</w:t>
      </w:r>
      <w:r w:rsidRPr="00717D4D">
        <w:rPr>
          <w:rFonts w:asciiTheme="minorHAnsi" w:hAnsiTheme="minorHAnsi" w:cstheme="minorHAnsi"/>
          <w:b/>
          <w:color w:val="000000" w:themeColor="text1"/>
          <w:sz w:val="16"/>
          <w:szCs w:val="16"/>
        </w:rPr>
        <w:t>r un approfondimento si veda</w:t>
      </w:r>
      <w:r w:rsidRPr="00717D4D">
        <w:rPr>
          <w:rFonts w:asciiTheme="minorHAnsi" w:hAnsiTheme="minorHAnsi" w:cstheme="minorHAnsi"/>
          <w:color w:val="000000" w:themeColor="text1"/>
          <w:sz w:val="16"/>
          <w:szCs w:val="16"/>
        </w:rPr>
        <w:t xml:space="preserve"> </w:t>
      </w:r>
    </w:p>
    <w:p w:rsidR="008F6FFE" w:rsidRPr="00F33942" w:rsidRDefault="0052743C" w:rsidP="00892F48">
      <w:pPr>
        <w:rPr>
          <w:rStyle w:val="Hyperlink"/>
          <w:rFonts w:asciiTheme="minorHAnsi" w:eastAsiaTheme="majorEastAsia" w:hAnsiTheme="minorHAnsi" w:cstheme="minorHAnsi"/>
          <w:color w:val="000000" w:themeColor="text1"/>
          <w:sz w:val="16"/>
          <w:szCs w:val="16"/>
          <w:u w:val="none"/>
        </w:rPr>
      </w:pPr>
      <w:hyperlink r:id="rId406" w:history="1">
        <w:r w:rsidR="008F6FFE" w:rsidRPr="00F33942">
          <w:rPr>
            <w:rStyle w:val="Hyperlink"/>
            <w:rFonts w:asciiTheme="minorHAnsi" w:eastAsiaTheme="majorEastAsia" w:hAnsiTheme="minorHAnsi" w:cstheme="minorHAnsi"/>
            <w:color w:val="000000" w:themeColor="text1"/>
            <w:sz w:val="16"/>
            <w:szCs w:val="16"/>
            <w:u w:val="none"/>
          </w:rPr>
          <w:t>http://amsacta.unibo.it/3437/18/17_fisiopatologia_delle_infezioni_II_ed_ebook.pdf</w:t>
        </w:r>
      </w:hyperlink>
    </w:p>
    <w:p w:rsidR="008F6FFE" w:rsidRPr="00717D4D" w:rsidRDefault="008F6FFE" w:rsidP="00892F48">
      <w:pPr>
        <w:rPr>
          <w:rFonts w:asciiTheme="minorHAnsi" w:hAnsiTheme="minorHAnsi" w:cstheme="minorHAnsi"/>
          <w:color w:val="000000" w:themeColor="text1"/>
          <w:sz w:val="16"/>
          <w:szCs w:val="16"/>
        </w:rPr>
      </w:pPr>
    </w:p>
    <w:p w:rsidR="008F6FFE" w:rsidRDefault="0052743C" w:rsidP="00892F48">
      <w:pPr>
        <w:rPr>
          <w:rStyle w:val="Hyperlink"/>
          <w:rFonts w:asciiTheme="minorHAnsi" w:eastAsiaTheme="majorEastAsia" w:hAnsiTheme="minorHAnsi" w:cstheme="minorHAnsi"/>
          <w:color w:val="000000" w:themeColor="text1"/>
          <w:sz w:val="16"/>
          <w:szCs w:val="16"/>
          <w:u w:val="none"/>
        </w:rPr>
      </w:pPr>
      <w:hyperlink r:id="rId407" w:history="1">
        <w:r w:rsidR="008F6FFE" w:rsidRPr="00717D4D">
          <w:rPr>
            <w:rStyle w:val="Hyperlink"/>
            <w:rFonts w:asciiTheme="minorHAnsi" w:eastAsiaTheme="majorEastAsia" w:hAnsiTheme="minorHAnsi" w:cstheme="minorHAnsi"/>
            <w:color w:val="000000" w:themeColor="text1"/>
            <w:sz w:val="16"/>
            <w:szCs w:val="16"/>
            <w:u w:val="none"/>
          </w:rPr>
          <w:t>https://www.immunopaedia.org.za/immunology/</w:t>
        </w:r>
      </w:hyperlink>
    </w:p>
    <w:p w:rsidR="008F6FFE" w:rsidRDefault="008F6FFE" w:rsidP="00892F48">
      <w:pPr>
        <w:rPr>
          <w:rStyle w:val="Hyperlink"/>
          <w:rFonts w:asciiTheme="minorHAnsi" w:eastAsiaTheme="majorEastAsia" w:hAnsiTheme="minorHAnsi" w:cstheme="minorHAnsi"/>
          <w:color w:val="000000" w:themeColor="text1"/>
          <w:sz w:val="16"/>
          <w:szCs w:val="16"/>
          <w:u w:val="none"/>
        </w:rPr>
      </w:pPr>
    </w:p>
    <w:p w:rsidR="008F6FFE" w:rsidRPr="00594288" w:rsidRDefault="0052743C" w:rsidP="00594288">
      <w:pPr>
        <w:rPr>
          <w:rFonts w:asciiTheme="minorHAnsi" w:hAnsiTheme="minorHAnsi" w:cstheme="minorHAnsi"/>
          <w:color w:val="000000" w:themeColor="text1"/>
          <w:sz w:val="16"/>
          <w:szCs w:val="16"/>
        </w:rPr>
      </w:pPr>
      <w:hyperlink r:id="rId408" w:history="1">
        <w:r w:rsidR="008F6FFE" w:rsidRPr="00594288">
          <w:rPr>
            <w:rStyle w:val="Hyperlink"/>
            <w:rFonts w:asciiTheme="minorHAnsi" w:eastAsiaTheme="majorEastAsia" w:hAnsiTheme="minorHAnsi" w:cstheme="minorHAnsi"/>
            <w:color w:val="000000" w:themeColor="text1"/>
            <w:sz w:val="16"/>
            <w:szCs w:val="16"/>
            <w:u w:val="none"/>
          </w:rPr>
          <w:t>https://www.uniba.it/docenti/coluccia-mauro/attivita-didattica/materiale-didattico/2-infiammazione.pdf</w:t>
        </w:r>
      </w:hyperlink>
    </w:p>
    <w:p w:rsidR="008F6FFE" w:rsidRPr="00717D4D" w:rsidRDefault="008F6FFE" w:rsidP="00892F48">
      <w:pPr>
        <w:pStyle w:val="FootnoteText"/>
        <w:rPr>
          <w:rFonts w:asciiTheme="minorHAnsi" w:hAnsiTheme="minorHAnsi"/>
          <w:color w:val="000000" w:themeColor="text1"/>
          <w:sz w:val="16"/>
          <w:szCs w:val="16"/>
        </w:rPr>
      </w:pPr>
    </w:p>
    <w:p w:rsidR="008F6FFE" w:rsidRPr="00717D4D" w:rsidRDefault="0052743C" w:rsidP="00892F48">
      <w:pPr>
        <w:rPr>
          <w:rStyle w:val="Hyperlink"/>
          <w:rFonts w:asciiTheme="minorHAnsi" w:eastAsiaTheme="majorEastAsia" w:hAnsiTheme="minorHAnsi" w:cstheme="minorHAnsi"/>
          <w:color w:val="000000" w:themeColor="text1"/>
          <w:sz w:val="16"/>
          <w:szCs w:val="16"/>
          <w:u w:val="none"/>
        </w:rPr>
      </w:pPr>
      <w:hyperlink r:id="rId409" w:history="1">
        <w:r w:rsidR="008F6FFE" w:rsidRPr="00717D4D">
          <w:rPr>
            <w:rStyle w:val="Hyperlink"/>
            <w:rFonts w:asciiTheme="minorHAnsi" w:eastAsiaTheme="majorEastAsia" w:hAnsiTheme="minorHAnsi" w:cstheme="minorHAnsi"/>
            <w:color w:val="000000" w:themeColor="text1"/>
            <w:sz w:val="16"/>
            <w:szCs w:val="16"/>
            <w:u w:val="none"/>
          </w:rPr>
          <w:t>http://www.informasalus.it/it/articoli/immunologia-th1-th2-infiammazione.php</w:t>
        </w:r>
      </w:hyperlink>
    </w:p>
    <w:p w:rsidR="008F6FFE" w:rsidRPr="00717D4D" w:rsidRDefault="008F6FFE" w:rsidP="00892F48">
      <w:pPr>
        <w:rPr>
          <w:rFonts w:asciiTheme="minorHAnsi" w:hAnsiTheme="minorHAnsi" w:cstheme="minorHAnsi"/>
          <w:color w:val="000000" w:themeColor="text1"/>
          <w:sz w:val="16"/>
          <w:szCs w:val="16"/>
        </w:rPr>
      </w:pPr>
    </w:p>
    <w:p w:rsidR="008F6FFE" w:rsidRDefault="0052743C" w:rsidP="00892F48">
      <w:pPr>
        <w:pStyle w:val="FootnoteText"/>
        <w:rPr>
          <w:rStyle w:val="Hyperlink"/>
          <w:rFonts w:asciiTheme="minorHAnsi" w:eastAsiaTheme="majorEastAsia" w:hAnsiTheme="minorHAnsi" w:cstheme="minorHAnsi"/>
          <w:color w:val="000000" w:themeColor="text1"/>
          <w:sz w:val="16"/>
          <w:szCs w:val="16"/>
          <w:u w:val="none"/>
        </w:rPr>
      </w:pPr>
      <w:hyperlink r:id="rId410" w:history="1">
        <w:r w:rsidR="008F6FFE" w:rsidRPr="00717D4D">
          <w:rPr>
            <w:rStyle w:val="Hyperlink"/>
            <w:rFonts w:asciiTheme="minorHAnsi" w:eastAsiaTheme="majorEastAsia" w:hAnsiTheme="minorHAnsi" w:cstheme="minorHAnsi"/>
            <w:color w:val="000000" w:themeColor="text1"/>
            <w:sz w:val="16"/>
            <w:szCs w:val="16"/>
            <w:u w:val="none"/>
          </w:rPr>
          <w:t>https://www.immunology.org/public-information/bitesized-immunology/pathogens-and-disease/immune-responses-viruses</w:t>
        </w:r>
      </w:hyperlink>
    </w:p>
    <w:p w:rsidR="008F6FFE" w:rsidRPr="00717D4D" w:rsidRDefault="008F6FFE" w:rsidP="00892F48">
      <w:pPr>
        <w:pStyle w:val="FootnoteText"/>
        <w:rPr>
          <w:rFonts w:asciiTheme="minorHAnsi" w:hAnsiTheme="minorHAnsi"/>
          <w:sz w:val="16"/>
          <w:szCs w:val="16"/>
        </w:rPr>
      </w:pPr>
    </w:p>
  </w:footnote>
  <w:footnote w:id="42">
    <w:p w:rsidR="008F6FFE" w:rsidRPr="00235A16" w:rsidRDefault="008F6FFE" w:rsidP="00717D4D">
      <w:pPr>
        <w:jc w:val="both"/>
        <w:rPr>
          <w:rFonts w:asciiTheme="minorHAnsi" w:hAnsiTheme="minorHAnsi" w:cstheme="minorHAnsi"/>
          <w:color w:val="000000" w:themeColor="text1"/>
          <w:sz w:val="16"/>
          <w:szCs w:val="16"/>
          <w:lang w:val="de-DE"/>
        </w:rPr>
      </w:pPr>
      <w:r w:rsidRPr="00F33942">
        <w:rPr>
          <w:rStyle w:val="FootnoteReference"/>
          <w:rFonts w:asciiTheme="minorHAnsi" w:hAnsiTheme="minorHAnsi" w:cstheme="minorHAnsi"/>
          <w:color w:val="000000" w:themeColor="text1"/>
          <w:sz w:val="16"/>
          <w:szCs w:val="16"/>
        </w:rPr>
        <w:footnoteRef/>
      </w:r>
      <w:r w:rsidRPr="00235A16">
        <w:rPr>
          <w:rFonts w:asciiTheme="minorHAnsi" w:hAnsiTheme="minorHAnsi" w:cstheme="minorHAnsi"/>
          <w:color w:val="000000" w:themeColor="text1"/>
          <w:sz w:val="16"/>
          <w:szCs w:val="16"/>
          <w:lang w:val="de-DE"/>
        </w:rPr>
        <w:t xml:space="preserve"> </w:t>
      </w:r>
      <w:hyperlink r:id="rId411" w:tooltip="The Journal of experimental medicine." w:history="1">
        <w:r w:rsidRPr="00235A16">
          <w:rPr>
            <w:rFonts w:asciiTheme="minorHAnsi" w:hAnsiTheme="minorHAnsi" w:cstheme="minorHAnsi"/>
            <w:color w:val="000000" w:themeColor="text1"/>
            <w:sz w:val="16"/>
            <w:szCs w:val="16"/>
            <w:lang w:val="de-DE"/>
          </w:rPr>
          <w:t>J Exp Med.</w:t>
        </w:r>
      </w:hyperlink>
      <w:r w:rsidRPr="00235A16">
        <w:rPr>
          <w:rFonts w:asciiTheme="minorHAnsi" w:hAnsiTheme="minorHAnsi" w:cstheme="minorHAnsi"/>
          <w:color w:val="000000" w:themeColor="text1"/>
          <w:sz w:val="16"/>
          <w:szCs w:val="16"/>
          <w:lang w:val="de-DE"/>
        </w:rPr>
        <w:t> 2020 Jun 1;217(6). pii: e20200678. doi: 10.1084/jem.20200678.</w:t>
      </w:r>
    </w:p>
    <w:p w:rsidR="008F6FFE" w:rsidRPr="00F33942" w:rsidRDefault="008F6FFE" w:rsidP="00717D4D">
      <w:pPr>
        <w:jc w:val="both"/>
        <w:rPr>
          <w:rFonts w:asciiTheme="minorHAnsi" w:hAnsiTheme="minorHAnsi" w:cstheme="minorHAnsi"/>
          <w:color w:val="000000" w:themeColor="text1"/>
          <w:sz w:val="16"/>
          <w:szCs w:val="16"/>
          <w:lang w:val="en-US"/>
        </w:rPr>
      </w:pPr>
      <w:r w:rsidRPr="00F33942">
        <w:rPr>
          <w:rFonts w:asciiTheme="minorHAnsi" w:hAnsiTheme="minorHAnsi" w:cstheme="minorHAnsi"/>
          <w:color w:val="000000" w:themeColor="text1"/>
          <w:sz w:val="16"/>
          <w:szCs w:val="16"/>
          <w:lang w:val="en-US"/>
        </w:rPr>
        <w:t>The many faces of the anti-COVID immune response.</w:t>
      </w:r>
    </w:p>
    <w:p w:rsidR="008F6FFE" w:rsidRPr="00DC48B4" w:rsidRDefault="0052743C" w:rsidP="00717D4D">
      <w:pPr>
        <w:jc w:val="both"/>
        <w:rPr>
          <w:rFonts w:asciiTheme="minorHAnsi" w:hAnsiTheme="minorHAnsi" w:cstheme="minorHAnsi"/>
          <w:color w:val="000000" w:themeColor="text1"/>
          <w:sz w:val="16"/>
          <w:szCs w:val="16"/>
        </w:rPr>
      </w:pPr>
      <w:hyperlink r:id="rId412" w:history="1">
        <w:r w:rsidR="008F6FFE" w:rsidRPr="00DC48B4">
          <w:rPr>
            <w:rFonts w:asciiTheme="minorHAnsi" w:hAnsiTheme="minorHAnsi" w:cstheme="minorHAnsi"/>
            <w:color w:val="000000" w:themeColor="text1"/>
            <w:sz w:val="16"/>
            <w:szCs w:val="16"/>
          </w:rPr>
          <w:t>Vardhana SA</w:t>
        </w:r>
      </w:hyperlink>
      <w:r w:rsidR="008F6FFE" w:rsidRPr="00DC48B4">
        <w:rPr>
          <w:rFonts w:asciiTheme="minorHAnsi" w:hAnsiTheme="minorHAnsi" w:cstheme="minorHAnsi"/>
          <w:color w:val="000000" w:themeColor="text1"/>
          <w:sz w:val="16"/>
          <w:szCs w:val="16"/>
        </w:rPr>
        <w:t>1,2,3, </w:t>
      </w:r>
      <w:hyperlink r:id="rId413" w:history="1">
        <w:r w:rsidR="008F6FFE" w:rsidRPr="00DC48B4">
          <w:rPr>
            <w:rFonts w:asciiTheme="minorHAnsi" w:hAnsiTheme="minorHAnsi" w:cstheme="minorHAnsi"/>
            <w:color w:val="000000" w:themeColor="text1"/>
            <w:sz w:val="16"/>
            <w:szCs w:val="16"/>
          </w:rPr>
          <w:t>Wolchok JD</w:t>
        </w:r>
      </w:hyperlink>
      <w:r w:rsidR="008F6FFE" w:rsidRPr="00DC48B4">
        <w:rPr>
          <w:rFonts w:asciiTheme="minorHAnsi" w:hAnsiTheme="minorHAnsi" w:cstheme="minorHAnsi"/>
          <w:color w:val="000000" w:themeColor="text1"/>
          <w:sz w:val="16"/>
          <w:szCs w:val="16"/>
        </w:rPr>
        <w:t>3,4,5.</w:t>
      </w:r>
    </w:p>
    <w:p w:rsidR="008F6FFE" w:rsidRPr="00DC48B4" w:rsidRDefault="0052743C" w:rsidP="00F33942">
      <w:pPr>
        <w:rPr>
          <w:rFonts w:asciiTheme="minorHAnsi" w:hAnsiTheme="minorHAnsi" w:cstheme="minorHAnsi"/>
          <w:color w:val="000000" w:themeColor="text1"/>
          <w:sz w:val="16"/>
          <w:szCs w:val="16"/>
        </w:rPr>
      </w:pPr>
      <w:hyperlink r:id="rId414" w:history="1">
        <w:r w:rsidR="008F6FFE" w:rsidRPr="00DC48B4">
          <w:rPr>
            <w:rStyle w:val="Hyperlink"/>
            <w:rFonts w:asciiTheme="minorHAnsi" w:eastAsiaTheme="majorEastAsia" w:hAnsiTheme="minorHAnsi" w:cstheme="minorHAnsi"/>
            <w:color w:val="000000" w:themeColor="text1"/>
            <w:sz w:val="16"/>
            <w:szCs w:val="16"/>
            <w:u w:val="none"/>
          </w:rPr>
          <w:t>https://www.ncbi.nlm.nih.gov/pmc/articles/PMC7191310/</w:t>
        </w:r>
      </w:hyperlink>
    </w:p>
    <w:p w:rsidR="008F6FFE" w:rsidRPr="00DC48B4" w:rsidRDefault="008F6FFE" w:rsidP="00717D4D">
      <w:pPr>
        <w:pStyle w:val="FootnoteText"/>
        <w:rPr>
          <w:rFonts w:asciiTheme="minorHAnsi" w:hAnsiTheme="minorHAnsi" w:cstheme="minorHAnsi"/>
          <w:color w:val="000000" w:themeColor="text1"/>
          <w:sz w:val="16"/>
          <w:szCs w:val="16"/>
        </w:rPr>
      </w:pPr>
    </w:p>
  </w:footnote>
  <w:footnote w:id="43">
    <w:p w:rsidR="008F6FFE" w:rsidRPr="00F33942" w:rsidRDefault="008F6FFE" w:rsidP="00717D4D">
      <w:pPr>
        <w:jc w:val="both"/>
        <w:rPr>
          <w:rFonts w:asciiTheme="minorHAnsi" w:hAnsiTheme="minorHAnsi" w:cstheme="minorHAnsi"/>
          <w:color w:val="000000" w:themeColor="text1"/>
          <w:sz w:val="16"/>
          <w:szCs w:val="16"/>
          <w:lang w:val="en-US"/>
        </w:rPr>
      </w:pPr>
      <w:r w:rsidRPr="00F33942">
        <w:rPr>
          <w:rStyle w:val="FootnoteReference"/>
          <w:rFonts w:asciiTheme="minorHAnsi" w:hAnsiTheme="minorHAnsi" w:cstheme="minorHAnsi"/>
          <w:color w:val="000000" w:themeColor="text1"/>
          <w:sz w:val="16"/>
          <w:szCs w:val="16"/>
        </w:rPr>
        <w:footnoteRef/>
      </w:r>
      <w:r w:rsidRPr="00F33942">
        <w:rPr>
          <w:rFonts w:asciiTheme="minorHAnsi" w:hAnsiTheme="minorHAnsi" w:cstheme="minorHAnsi"/>
          <w:color w:val="000000" w:themeColor="text1"/>
          <w:sz w:val="16"/>
          <w:szCs w:val="16"/>
          <w:lang w:val="en-US"/>
        </w:rPr>
        <w:t xml:space="preserve"> </w:t>
      </w:r>
      <w:hyperlink r:id="rId415" w:tooltip="The New England journal of medicine." w:history="1">
        <w:r w:rsidRPr="00F33942">
          <w:rPr>
            <w:rFonts w:asciiTheme="minorHAnsi" w:hAnsiTheme="minorHAnsi" w:cstheme="minorHAnsi"/>
            <w:color w:val="000000" w:themeColor="text1"/>
            <w:sz w:val="16"/>
            <w:szCs w:val="16"/>
            <w:lang w:val="en-US"/>
          </w:rPr>
          <w:t>N Engl J Med.</w:t>
        </w:r>
      </w:hyperlink>
      <w:r w:rsidRPr="00F33942">
        <w:rPr>
          <w:rFonts w:asciiTheme="minorHAnsi" w:hAnsiTheme="minorHAnsi" w:cstheme="minorHAnsi"/>
          <w:color w:val="000000" w:themeColor="text1"/>
          <w:sz w:val="16"/>
          <w:szCs w:val="16"/>
          <w:lang w:val="en-US"/>
        </w:rPr>
        <w:t xml:space="preserve"> 2010 May 6;362(18):1708-19. doi: 10.1056/NEJMra1000449.</w:t>
      </w:r>
    </w:p>
    <w:p w:rsidR="008F6FFE" w:rsidRPr="00F33942" w:rsidRDefault="008F6FFE" w:rsidP="00717D4D">
      <w:pPr>
        <w:jc w:val="both"/>
        <w:rPr>
          <w:rFonts w:asciiTheme="minorHAnsi" w:hAnsiTheme="minorHAnsi" w:cstheme="minorHAnsi"/>
          <w:color w:val="000000" w:themeColor="text1"/>
          <w:sz w:val="16"/>
          <w:szCs w:val="16"/>
          <w:lang w:val="en-US"/>
        </w:rPr>
      </w:pPr>
      <w:r w:rsidRPr="00F33942">
        <w:rPr>
          <w:rFonts w:asciiTheme="minorHAnsi" w:hAnsiTheme="minorHAnsi" w:cstheme="minorHAnsi"/>
          <w:color w:val="000000" w:themeColor="text1"/>
          <w:sz w:val="16"/>
          <w:szCs w:val="16"/>
          <w:lang w:val="en-US"/>
        </w:rPr>
        <w:t>Clinical aspects of pandemic 2009 influenza A (H1N1) virus infection.</w:t>
      </w:r>
    </w:p>
    <w:p w:rsidR="008F6FFE" w:rsidRPr="00F33942" w:rsidRDefault="0052743C" w:rsidP="00717D4D">
      <w:pPr>
        <w:jc w:val="both"/>
        <w:rPr>
          <w:rFonts w:asciiTheme="minorHAnsi" w:hAnsiTheme="minorHAnsi" w:cstheme="minorHAnsi"/>
          <w:color w:val="000000" w:themeColor="text1"/>
          <w:sz w:val="16"/>
          <w:szCs w:val="16"/>
          <w:lang w:val="en-US"/>
        </w:rPr>
      </w:pPr>
      <w:hyperlink r:id="rId416" w:history="1">
        <w:r w:rsidR="008F6FFE" w:rsidRPr="00F33942">
          <w:rPr>
            <w:rFonts w:asciiTheme="minorHAnsi" w:hAnsiTheme="minorHAnsi" w:cstheme="minorHAnsi"/>
            <w:color w:val="000000" w:themeColor="text1"/>
            <w:sz w:val="16"/>
            <w:szCs w:val="16"/>
            <w:lang w:val="en-US"/>
          </w:rPr>
          <w:t>Writing Committee of the WHO Consultation on Clinical Aspects of Pandemic (H1N1) 2009 Influenza</w:t>
        </w:r>
      </w:hyperlink>
      <w:r w:rsidR="008F6FFE" w:rsidRPr="00F33942">
        <w:rPr>
          <w:rFonts w:asciiTheme="minorHAnsi" w:hAnsiTheme="minorHAnsi" w:cstheme="minorHAnsi"/>
          <w:color w:val="000000" w:themeColor="text1"/>
          <w:sz w:val="16"/>
          <w:szCs w:val="16"/>
          <w:lang w:val="en-US"/>
        </w:rPr>
        <w:t xml:space="preserve">, </w:t>
      </w:r>
      <w:hyperlink r:id="rId417" w:history="1">
        <w:r w:rsidR="008F6FFE" w:rsidRPr="00F33942">
          <w:rPr>
            <w:rFonts w:asciiTheme="minorHAnsi" w:hAnsiTheme="minorHAnsi" w:cstheme="minorHAnsi"/>
            <w:color w:val="000000" w:themeColor="text1"/>
            <w:sz w:val="16"/>
            <w:szCs w:val="16"/>
            <w:lang w:val="en-US"/>
          </w:rPr>
          <w:t>Bautista E</w:t>
        </w:r>
      </w:hyperlink>
      <w:r w:rsidR="008F6FFE" w:rsidRPr="00F33942">
        <w:rPr>
          <w:rFonts w:asciiTheme="minorHAnsi" w:hAnsiTheme="minorHAnsi" w:cstheme="minorHAnsi"/>
          <w:color w:val="000000" w:themeColor="text1"/>
          <w:sz w:val="16"/>
          <w:szCs w:val="16"/>
          <w:lang w:val="en-US"/>
        </w:rPr>
        <w:t>. et al</w:t>
      </w:r>
    </w:p>
    <w:p w:rsidR="008F6FFE" w:rsidRPr="00F33942" w:rsidRDefault="0052743C" w:rsidP="00F33942">
      <w:pPr>
        <w:rPr>
          <w:rFonts w:asciiTheme="minorHAnsi" w:hAnsiTheme="minorHAnsi" w:cstheme="minorHAnsi"/>
          <w:color w:val="000000" w:themeColor="text1"/>
          <w:sz w:val="16"/>
          <w:szCs w:val="16"/>
          <w:lang w:val="en-US"/>
        </w:rPr>
      </w:pPr>
      <w:hyperlink r:id="rId418" w:history="1">
        <w:r w:rsidR="008F6FFE" w:rsidRPr="00F33942">
          <w:rPr>
            <w:rFonts w:asciiTheme="minorHAnsi" w:hAnsiTheme="minorHAnsi" w:cstheme="minorHAnsi"/>
            <w:color w:val="000000" w:themeColor="text1"/>
            <w:sz w:val="16"/>
            <w:szCs w:val="16"/>
            <w:lang w:val="en-US"/>
          </w:rPr>
          <w:t>https://www.nejm.org/doi/pdf/10.1056/NEJMra1000449?articleTools=true</w:t>
        </w:r>
      </w:hyperlink>
    </w:p>
    <w:p w:rsidR="008F6FFE" w:rsidRPr="00F33942" w:rsidRDefault="008F6FFE" w:rsidP="00717D4D">
      <w:pPr>
        <w:jc w:val="both"/>
        <w:rPr>
          <w:rFonts w:asciiTheme="minorHAnsi" w:hAnsiTheme="minorHAnsi" w:cstheme="minorHAnsi"/>
          <w:color w:val="000000" w:themeColor="text1"/>
          <w:sz w:val="16"/>
          <w:szCs w:val="16"/>
          <w:lang w:val="en-US"/>
        </w:rPr>
      </w:pPr>
    </w:p>
  </w:footnote>
  <w:footnote w:id="44">
    <w:p w:rsidR="008F6FFE" w:rsidRPr="00F33942" w:rsidRDefault="008F6FFE" w:rsidP="00717D4D">
      <w:pPr>
        <w:jc w:val="both"/>
        <w:rPr>
          <w:rFonts w:asciiTheme="minorHAnsi" w:hAnsiTheme="minorHAnsi" w:cstheme="minorHAnsi"/>
          <w:color w:val="000000" w:themeColor="text1"/>
          <w:sz w:val="16"/>
          <w:szCs w:val="16"/>
          <w:lang w:val="en-US"/>
        </w:rPr>
      </w:pPr>
      <w:r w:rsidRPr="00F33942">
        <w:rPr>
          <w:rFonts w:asciiTheme="minorHAnsi" w:hAnsiTheme="minorHAnsi" w:cstheme="minorHAnsi"/>
          <w:color w:val="000000" w:themeColor="text1"/>
          <w:sz w:val="16"/>
          <w:szCs w:val="16"/>
          <w:vertAlign w:val="superscript"/>
          <w:lang w:val="en-US"/>
        </w:rPr>
        <w:footnoteRef/>
      </w:r>
      <w:r w:rsidRPr="00F33942">
        <w:rPr>
          <w:rFonts w:asciiTheme="minorHAnsi" w:hAnsiTheme="minorHAnsi" w:cstheme="minorHAnsi"/>
          <w:color w:val="000000" w:themeColor="text1"/>
          <w:sz w:val="16"/>
          <w:szCs w:val="16"/>
          <w:vertAlign w:val="superscript"/>
          <w:lang w:val="en-US"/>
        </w:rPr>
        <w:t xml:space="preserve"> </w:t>
      </w:r>
      <w:hyperlink r:id="rId419" w:tooltip="Lancet (London, England)." w:history="1">
        <w:r w:rsidRPr="00F33942">
          <w:rPr>
            <w:rFonts w:asciiTheme="minorHAnsi" w:hAnsiTheme="minorHAnsi" w:cstheme="minorHAnsi"/>
            <w:color w:val="000000" w:themeColor="text1"/>
            <w:sz w:val="16"/>
            <w:szCs w:val="16"/>
            <w:lang w:val="en-US"/>
          </w:rPr>
          <w:t>Lancet.</w:t>
        </w:r>
      </w:hyperlink>
      <w:r w:rsidRPr="00F33942">
        <w:rPr>
          <w:rFonts w:asciiTheme="minorHAnsi" w:hAnsiTheme="minorHAnsi" w:cstheme="minorHAnsi"/>
          <w:color w:val="000000" w:themeColor="text1"/>
          <w:sz w:val="16"/>
          <w:szCs w:val="16"/>
          <w:lang w:val="en-US"/>
        </w:rPr>
        <w:t xml:space="preserve"> 2020 Feb 15;395(10223):497-506. doi: 10.1016/S0140-6736(20)30183-5. </w:t>
      </w:r>
    </w:p>
    <w:p w:rsidR="008F6FFE" w:rsidRPr="00F33942" w:rsidRDefault="008F6FFE" w:rsidP="00717D4D">
      <w:pPr>
        <w:jc w:val="both"/>
        <w:rPr>
          <w:rFonts w:asciiTheme="minorHAnsi" w:hAnsiTheme="minorHAnsi" w:cstheme="minorHAnsi"/>
          <w:color w:val="000000" w:themeColor="text1"/>
          <w:sz w:val="16"/>
          <w:szCs w:val="16"/>
          <w:lang w:val="en-US"/>
        </w:rPr>
      </w:pPr>
      <w:r w:rsidRPr="00F33942">
        <w:rPr>
          <w:rFonts w:asciiTheme="minorHAnsi" w:hAnsiTheme="minorHAnsi" w:cstheme="minorHAnsi"/>
          <w:color w:val="000000" w:themeColor="text1"/>
          <w:sz w:val="16"/>
          <w:szCs w:val="16"/>
          <w:lang w:val="en-US"/>
        </w:rPr>
        <w:t>Clinical features of patients infected with 2019 novel coronavirus in Wuhan, China.</w:t>
      </w:r>
    </w:p>
    <w:p w:rsidR="008F6FFE" w:rsidRPr="00235A16" w:rsidRDefault="0052743C" w:rsidP="00717D4D">
      <w:pPr>
        <w:jc w:val="both"/>
        <w:rPr>
          <w:rFonts w:asciiTheme="minorHAnsi" w:hAnsiTheme="minorHAnsi" w:cstheme="minorHAnsi"/>
          <w:color w:val="000000" w:themeColor="text1"/>
          <w:sz w:val="16"/>
          <w:szCs w:val="16"/>
          <w:lang w:val="de-DE"/>
        </w:rPr>
      </w:pPr>
      <w:hyperlink r:id="rId420" w:history="1">
        <w:r w:rsidR="008F6FFE" w:rsidRPr="00235A16">
          <w:rPr>
            <w:rFonts w:asciiTheme="minorHAnsi" w:hAnsiTheme="minorHAnsi" w:cstheme="minorHAnsi"/>
            <w:color w:val="000000" w:themeColor="text1"/>
            <w:sz w:val="16"/>
            <w:szCs w:val="16"/>
            <w:lang w:val="de-DE"/>
          </w:rPr>
          <w:t>Huang C</w:t>
        </w:r>
      </w:hyperlink>
      <w:r w:rsidR="008F6FFE" w:rsidRPr="00235A16">
        <w:rPr>
          <w:rFonts w:asciiTheme="minorHAnsi" w:hAnsiTheme="minorHAnsi" w:cstheme="minorHAnsi"/>
          <w:color w:val="000000" w:themeColor="text1"/>
          <w:sz w:val="16"/>
          <w:szCs w:val="16"/>
          <w:lang w:val="de-DE"/>
        </w:rPr>
        <w:t xml:space="preserve"> et al</w:t>
      </w:r>
    </w:p>
    <w:p w:rsidR="008F6FFE" w:rsidRPr="00235A16" w:rsidRDefault="0052743C" w:rsidP="00F33942">
      <w:pPr>
        <w:rPr>
          <w:rFonts w:asciiTheme="minorHAnsi" w:hAnsiTheme="minorHAnsi" w:cstheme="minorHAnsi"/>
          <w:color w:val="000000" w:themeColor="text1"/>
          <w:sz w:val="16"/>
          <w:szCs w:val="16"/>
          <w:lang w:val="de-DE"/>
        </w:rPr>
      </w:pPr>
      <w:hyperlink r:id="rId421" w:history="1">
        <w:r w:rsidR="008F6FFE" w:rsidRPr="00235A16">
          <w:rPr>
            <w:rFonts w:asciiTheme="minorHAnsi" w:hAnsiTheme="minorHAnsi" w:cstheme="minorHAnsi"/>
            <w:color w:val="000000" w:themeColor="text1"/>
            <w:sz w:val="16"/>
            <w:szCs w:val="16"/>
            <w:lang w:val="de-DE"/>
          </w:rPr>
          <w:t>https://www.ncbi.nlm.nih.gov/pmc/articles/PMC7159299/pdf/main.pdf</w:t>
        </w:r>
      </w:hyperlink>
    </w:p>
    <w:p w:rsidR="008F6FFE" w:rsidRPr="00235A16" w:rsidRDefault="008F6FFE" w:rsidP="00717D4D">
      <w:pPr>
        <w:jc w:val="both"/>
        <w:rPr>
          <w:rFonts w:asciiTheme="minorHAnsi" w:hAnsiTheme="minorHAnsi" w:cstheme="minorHAnsi"/>
          <w:color w:val="000000" w:themeColor="text1"/>
          <w:sz w:val="16"/>
          <w:szCs w:val="16"/>
          <w:lang w:val="de-DE"/>
        </w:rPr>
      </w:pPr>
    </w:p>
  </w:footnote>
  <w:footnote w:id="45">
    <w:p w:rsidR="008F6FFE" w:rsidRPr="00F33942" w:rsidRDefault="008F6FFE" w:rsidP="00717D4D">
      <w:pPr>
        <w:jc w:val="both"/>
        <w:rPr>
          <w:rFonts w:asciiTheme="minorHAnsi" w:hAnsiTheme="minorHAnsi" w:cstheme="minorHAnsi"/>
          <w:color w:val="000000" w:themeColor="text1"/>
          <w:sz w:val="16"/>
          <w:szCs w:val="16"/>
          <w:lang w:val="en-US"/>
        </w:rPr>
      </w:pPr>
      <w:r w:rsidRPr="00F33942">
        <w:rPr>
          <w:rFonts w:asciiTheme="minorHAnsi" w:hAnsiTheme="minorHAnsi" w:cstheme="minorHAnsi"/>
          <w:color w:val="000000" w:themeColor="text1"/>
          <w:sz w:val="16"/>
          <w:szCs w:val="16"/>
          <w:vertAlign w:val="superscript"/>
          <w:lang w:val="en-US"/>
        </w:rPr>
        <w:footnoteRef/>
      </w:r>
      <w:r w:rsidRPr="00F33942">
        <w:rPr>
          <w:rFonts w:asciiTheme="minorHAnsi" w:hAnsiTheme="minorHAnsi" w:cstheme="minorHAnsi"/>
          <w:color w:val="000000" w:themeColor="text1"/>
          <w:sz w:val="16"/>
          <w:szCs w:val="16"/>
          <w:lang w:val="en-US"/>
        </w:rPr>
        <w:t xml:space="preserve"> medRxiv 10.1101/2020.03.03.20030437 (Preprint posted March 6, 2020) </w:t>
      </w:r>
    </w:p>
    <w:p w:rsidR="008F6FFE" w:rsidRPr="00F33942" w:rsidRDefault="008F6FFE" w:rsidP="00717D4D">
      <w:pPr>
        <w:jc w:val="both"/>
        <w:rPr>
          <w:rFonts w:asciiTheme="minorHAnsi" w:hAnsiTheme="minorHAnsi" w:cstheme="minorHAnsi"/>
          <w:color w:val="000000" w:themeColor="text1"/>
          <w:sz w:val="16"/>
          <w:szCs w:val="16"/>
          <w:lang w:val="en-US"/>
        </w:rPr>
      </w:pPr>
      <w:r w:rsidRPr="00F33942">
        <w:rPr>
          <w:rFonts w:asciiTheme="minorHAnsi" w:hAnsiTheme="minorHAnsi" w:cstheme="minorHAnsi"/>
          <w:color w:val="000000" w:themeColor="text1"/>
          <w:sz w:val="16"/>
          <w:szCs w:val="16"/>
          <w:lang w:val="en-US"/>
        </w:rPr>
        <w:t xml:space="preserve">Restoration of leukomonocyte counts is associated with viral clearance in COVID-19 hospitalized patients. </w:t>
      </w:r>
    </w:p>
    <w:p w:rsidR="008F6FFE" w:rsidRPr="00235A16" w:rsidRDefault="008F6FFE" w:rsidP="00717D4D">
      <w:pPr>
        <w:jc w:val="both"/>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 xml:space="preserve">Chen X., Ling J., Mo P., Zhang Y., Jiang Q., Ma Z., Cao Q., Hu W., Zou S., Chen L., et al. . </w:t>
      </w:r>
    </w:p>
    <w:p w:rsidR="008F6FFE" w:rsidRPr="00235A16" w:rsidRDefault="0052743C" w:rsidP="00F33942">
      <w:pPr>
        <w:rPr>
          <w:rFonts w:asciiTheme="minorHAnsi" w:hAnsiTheme="minorHAnsi" w:cstheme="minorHAnsi"/>
          <w:color w:val="000000" w:themeColor="text1"/>
          <w:sz w:val="16"/>
          <w:szCs w:val="16"/>
          <w:lang w:val="de-DE"/>
        </w:rPr>
      </w:pPr>
      <w:hyperlink r:id="rId422" w:history="1">
        <w:r w:rsidR="008F6FFE" w:rsidRPr="00235A16">
          <w:rPr>
            <w:rFonts w:asciiTheme="minorHAnsi" w:hAnsiTheme="minorHAnsi" w:cstheme="minorHAnsi"/>
            <w:color w:val="000000" w:themeColor="text1"/>
            <w:sz w:val="16"/>
            <w:szCs w:val="16"/>
            <w:lang w:val="de-DE"/>
          </w:rPr>
          <w:t>https://www.medrxiv.org/content/10.1101/2020.03.03.20030437v1.full.pdf</w:t>
        </w:r>
      </w:hyperlink>
    </w:p>
    <w:p w:rsidR="008F6FFE" w:rsidRPr="00235A16" w:rsidRDefault="008F6FFE" w:rsidP="00717D4D">
      <w:pPr>
        <w:jc w:val="both"/>
        <w:rPr>
          <w:rFonts w:asciiTheme="minorHAnsi" w:hAnsiTheme="minorHAnsi" w:cstheme="minorHAnsi"/>
          <w:color w:val="000000" w:themeColor="text1"/>
          <w:sz w:val="16"/>
          <w:szCs w:val="16"/>
          <w:lang w:val="de-DE"/>
        </w:rPr>
      </w:pPr>
    </w:p>
  </w:footnote>
  <w:footnote w:id="46">
    <w:p w:rsidR="008F6FFE" w:rsidRPr="00F33942" w:rsidRDefault="008F6FFE" w:rsidP="00717D4D">
      <w:pPr>
        <w:jc w:val="both"/>
        <w:rPr>
          <w:rFonts w:asciiTheme="minorHAnsi" w:hAnsiTheme="minorHAnsi" w:cstheme="minorHAnsi"/>
          <w:color w:val="000000" w:themeColor="text1"/>
          <w:sz w:val="16"/>
          <w:szCs w:val="16"/>
          <w:lang w:val="en-US"/>
        </w:rPr>
      </w:pPr>
      <w:r w:rsidRPr="00F33942">
        <w:rPr>
          <w:rStyle w:val="FootnoteReference"/>
          <w:rFonts w:asciiTheme="minorHAnsi" w:hAnsiTheme="minorHAnsi" w:cstheme="minorHAnsi"/>
          <w:color w:val="000000" w:themeColor="text1"/>
          <w:sz w:val="16"/>
          <w:szCs w:val="16"/>
        </w:rPr>
        <w:footnoteRef/>
      </w:r>
      <w:r w:rsidRPr="00F33942">
        <w:rPr>
          <w:rFonts w:asciiTheme="minorHAnsi" w:hAnsiTheme="minorHAnsi" w:cstheme="minorHAnsi"/>
          <w:color w:val="000000" w:themeColor="text1"/>
          <w:sz w:val="16"/>
          <w:szCs w:val="16"/>
          <w:lang w:val="en-US"/>
        </w:rPr>
        <w:t xml:space="preserve"> Front. Immunol. 11:827. (2020)  doi: 10.3389/fimmu.2020.00827</w:t>
      </w:r>
    </w:p>
    <w:p w:rsidR="008F6FFE" w:rsidRPr="00F33942" w:rsidRDefault="008F6FFE" w:rsidP="00717D4D">
      <w:pPr>
        <w:jc w:val="both"/>
        <w:rPr>
          <w:rFonts w:asciiTheme="minorHAnsi" w:hAnsiTheme="minorHAnsi" w:cstheme="minorHAnsi"/>
          <w:color w:val="000000" w:themeColor="text1"/>
          <w:sz w:val="16"/>
          <w:szCs w:val="16"/>
          <w:lang w:val="en-US"/>
        </w:rPr>
      </w:pPr>
      <w:r w:rsidRPr="00F33942">
        <w:rPr>
          <w:rFonts w:asciiTheme="minorHAnsi" w:hAnsiTheme="minorHAnsi" w:cstheme="minorHAnsi"/>
          <w:color w:val="000000" w:themeColor="text1"/>
          <w:sz w:val="16"/>
          <w:szCs w:val="16"/>
          <w:lang w:val="en-US"/>
        </w:rPr>
        <w:t>Reduction and Functional Exhaustion of T Cells in Patients With Coronavirus Disease 2019 (COVID-19). </w:t>
      </w:r>
    </w:p>
    <w:p w:rsidR="008F6FFE" w:rsidRPr="00F33942" w:rsidRDefault="008F6FFE" w:rsidP="00717D4D">
      <w:pPr>
        <w:jc w:val="both"/>
        <w:rPr>
          <w:rFonts w:asciiTheme="minorHAnsi" w:hAnsiTheme="minorHAnsi" w:cstheme="minorHAnsi"/>
          <w:color w:val="000000" w:themeColor="text1"/>
          <w:sz w:val="16"/>
          <w:szCs w:val="16"/>
          <w:lang w:val="en-US"/>
        </w:rPr>
      </w:pPr>
      <w:r w:rsidRPr="00F33942">
        <w:rPr>
          <w:rFonts w:asciiTheme="minorHAnsi" w:hAnsiTheme="minorHAnsi" w:cstheme="minorHAnsi"/>
          <w:color w:val="000000" w:themeColor="text1"/>
          <w:sz w:val="16"/>
          <w:szCs w:val="16"/>
          <w:lang w:val="en-US"/>
        </w:rPr>
        <w:t>Diao B, Wang C, Tan Y, Chen X, Liu Y, Ning L, Chen L, Li M, Liu Y, Wang G, Yuan Z, Feng Z, Zhang Y, Wu Y and Chen Y</w:t>
      </w:r>
    </w:p>
    <w:p w:rsidR="008F6FFE" w:rsidRPr="00F33942" w:rsidRDefault="0052743C" w:rsidP="00717D4D">
      <w:pPr>
        <w:rPr>
          <w:rFonts w:asciiTheme="minorHAnsi" w:hAnsiTheme="minorHAnsi" w:cstheme="minorHAnsi"/>
          <w:color w:val="000000" w:themeColor="text1"/>
          <w:sz w:val="16"/>
          <w:szCs w:val="16"/>
          <w:lang w:val="en-US"/>
        </w:rPr>
      </w:pPr>
      <w:hyperlink r:id="rId423" w:history="1">
        <w:r w:rsidR="008F6FFE" w:rsidRPr="00F33942">
          <w:rPr>
            <w:rStyle w:val="Hyperlink"/>
            <w:rFonts w:asciiTheme="minorHAnsi" w:eastAsiaTheme="majorEastAsia" w:hAnsiTheme="minorHAnsi" w:cstheme="minorHAnsi"/>
            <w:color w:val="000000" w:themeColor="text1"/>
            <w:sz w:val="16"/>
            <w:szCs w:val="16"/>
            <w:u w:val="none"/>
            <w:lang w:val="en-US"/>
          </w:rPr>
          <w:t>https://www.frontiersin.org/articles/10.3389/fimmu.2020.00827/full</w:t>
        </w:r>
      </w:hyperlink>
    </w:p>
    <w:p w:rsidR="008F6FFE" w:rsidRPr="00F33942" w:rsidRDefault="008F6FFE" w:rsidP="00717D4D">
      <w:pPr>
        <w:pStyle w:val="FootnoteText"/>
        <w:rPr>
          <w:rFonts w:asciiTheme="minorHAnsi" w:hAnsiTheme="minorHAnsi" w:cstheme="minorHAnsi"/>
          <w:color w:val="000000" w:themeColor="text1"/>
          <w:sz w:val="16"/>
          <w:szCs w:val="16"/>
          <w:lang w:val="en-US"/>
        </w:rPr>
      </w:pPr>
    </w:p>
    <w:p w:rsidR="008F6FFE" w:rsidRPr="00F33942" w:rsidRDefault="0052743C" w:rsidP="00717D4D">
      <w:pPr>
        <w:jc w:val="both"/>
        <w:rPr>
          <w:rFonts w:asciiTheme="minorHAnsi" w:hAnsiTheme="minorHAnsi" w:cstheme="minorHAnsi"/>
          <w:color w:val="000000" w:themeColor="text1"/>
          <w:sz w:val="16"/>
          <w:szCs w:val="16"/>
          <w:lang w:val="en-US"/>
        </w:rPr>
      </w:pPr>
      <w:hyperlink r:id="rId424" w:tooltip="Frontiers in immunology." w:history="1">
        <w:r w:rsidR="008F6FFE" w:rsidRPr="00F33942">
          <w:rPr>
            <w:rFonts w:asciiTheme="minorHAnsi" w:hAnsiTheme="minorHAnsi" w:cstheme="minorHAnsi"/>
            <w:color w:val="000000" w:themeColor="text1"/>
            <w:sz w:val="16"/>
            <w:szCs w:val="16"/>
            <w:lang w:val="en-US"/>
          </w:rPr>
          <w:t>Front Immunol.</w:t>
        </w:r>
      </w:hyperlink>
      <w:r w:rsidR="008F6FFE" w:rsidRPr="00F33942">
        <w:rPr>
          <w:rFonts w:asciiTheme="minorHAnsi" w:hAnsiTheme="minorHAnsi" w:cstheme="minorHAnsi"/>
          <w:color w:val="000000" w:themeColor="text1"/>
          <w:sz w:val="16"/>
          <w:szCs w:val="16"/>
          <w:lang w:val="en-US"/>
        </w:rPr>
        <w:t xml:space="preserve"> 2018 Sep 27;9:2147. doi: 10.3389/fimmu.2018.02147. </w:t>
      </w:r>
    </w:p>
    <w:p w:rsidR="008F6FFE" w:rsidRPr="00F33942" w:rsidRDefault="008F6FFE" w:rsidP="00717D4D">
      <w:pPr>
        <w:jc w:val="both"/>
        <w:rPr>
          <w:rFonts w:asciiTheme="minorHAnsi" w:hAnsiTheme="minorHAnsi" w:cstheme="minorHAnsi"/>
          <w:color w:val="000000" w:themeColor="text1"/>
          <w:sz w:val="16"/>
          <w:szCs w:val="16"/>
          <w:lang w:val="en-US"/>
        </w:rPr>
      </w:pPr>
      <w:r w:rsidRPr="00F33942">
        <w:rPr>
          <w:rFonts w:asciiTheme="minorHAnsi" w:hAnsiTheme="minorHAnsi" w:cstheme="minorHAnsi"/>
          <w:color w:val="000000" w:themeColor="text1"/>
          <w:sz w:val="16"/>
          <w:szCs w:val="16"/>
          <w:lang w:val="en-US"/>
        </w:rPr>
        <w:t>Epidemiology and Immune Pathogenesis of Viral Sepsis.</w:t>
      </w:r>
    </w:p>
    <w:p w:rsidR="008F6FFE" w:rsidRPr="00F33942" w:rsidRDefault="0052743C" w:rsidP="00717D4D">
      <w:pPr>
        <w:jc w:val="both"/>
        <w:rPr>
          <w:rFonts w:asciiTheme="minorHAnsi" w:hAnsiTheme="minorHAnsi" w:cstheme="minorHAnsi"/>
          <w:color w:val="000000" w:themeColor="text1"/>
          <w:sz w:val="16"/>
          <w:szCs w:val="16"/>
          <w:lang w:val="en-US"/>
        </w:rPr>
      </w:pPr>
      <w:hyperlink r:id="rId425" w:history="1">
        <w:r w:rsidR="008F6FFE" w:rsidRPr="00F33942">
          <w:rPr>
            <w:rFonts w:asciiTheme="minorHAnsi" w:hAnsiTheme="minorHAnsi" w:cstheme="minorHAnsi"/>
            <w:color w:val="000000" w:themeColor="text1"/>
            <w:sz w:val="16"/>
            <w:szCs w:val="16"/>
            <w:lang w:val="en-US"/>
          </w:rPr>
          <w:t>Lin GL</w:t>
        </w:r>
      </w:hyperlink>
      <w:r w:rsidR="008F6FFE" w:rsidRPr="00F33942">
        <w:rPr>
          <w:rFonts w:asciiTheme="minorHAnsi" w:hAnsiTheme="minorHAnsi" w:cstheme="minorHAnsi"/>
          <w:color w:val="000000" w:themeColor="text1"/>
          <w:sz w:val="16"/>
          <w:szCs w:val="16"/>
          <w:lang w:val="en-US"/>
        </w:rPr>
        <w:t>1,2, </w:t>
      </w:r>
      <w:hyperlink r:id="rId426" w:history="1">
        <w:r w:rsidR="008F6FFE" w:rsidRPr="00F33942">
          <w:rPr>
            <w:rFonts w:asciiTheme="minorHAnsi" w:hAnsiTheme="minorHAnsi" w:cstheme="minorHAnsi"/>
            <w:color w:val="000000" w:themeColor="text1"/>
            <w:sz w:val="16"/>
            <w:szCs w:val="16"/>
            <w:lang w:val="en-US"/>
          </w:rPr>
          <w:t>McGinley JP</w:t>
        </w:r>
      </w:hyperlink>
      <w:r w:rsidR="008F6FFE" w:rsidRPr="00F33942">
        <w:rPr>
          <w:rFonts w:asciiTheme="minorHAnsi" w:hAnsiTheme="minorHAnsi" w:cstheme="minorHAnsi"/>
          <w:color w:val="000000" w:themeColor="text1"/>
          <w:sz w:val="16"/>
          <w:szCs w:val="16"/>
          <w:lang w:val="en-US"/>
        </w:rPr>
        <w:t>1,2, </w:t>
      </w:r>
      <w:hyperlink r:id="rId427" w:history="1">
        <w:r w:rsidR="008F6FFE" w:rsidRPr="00F33942">
          <w:rPr>
            <w:rFonts w:asciiTheme="minorHAnsi" w:hAnsiTheme="minorHAnsi" w:cstheme="minorHAnsi"/>
            <w:color w:val="000000" w:themeColor="text1"/>
            <w:sz w:val="16"/>
            <w:szCs w:val="16"/>
            <w:lang w:val="en-US"/>
          </w:rPr>
          <w:t>Drysdale SB</w:t>
        </w:r>
      </w:hyperlink>
      <w:r w:rsidR="008F6FFE" w:rsidRPr="00F33942">
        <w:rPr>
          <w:rFonts w:asciiTheme="minorHAnsi" w:hAnsiTheme="minorHAnsi" w:cstheme="minorHAnsi"/>
          <w:color w:val="000000" w:themeColor="text1"/>
          <w:sz w:val="16"/>
          <w:szCs w:val="16"/>
          <w:lang w:val="en-US"/>
        </w:rPr>
        <w:t>1,2,3, </w:t>
      </w:r>
      <w:hyperlink r:id="rId428" w:history="1">
        <w:r w:rsidR="008F6FFE" w:rsidRPr="00F33942">
          <w:rPr>
            <w:rFonts w:asciiTheme="minorHAnsi" w:hAnsiTheme="minorHAnsi" w:cstheme="minorHAnsi"/>
            <w:color w:val="000000" w:themeColor="text1"/>
            <w:sz w:val="16"/>
            <w:szCs w:val="16"/>
            <w:lang w:val="en-US"/>
          </w:rPr>
          <w:t>Pollard AJ</w:t>
        </w:r>
      </w:hyperlink>
      <w:r w:rsidR="008F6FFE" w:rsidRPr="00F33942">
        <w:rPr>
          <w:rFonts w:asciiTheme="minorHAnsi" w:hAnsiTheme="minorHAnsi" w:cstheme="minorHAnsi"/>
          <w:color w:val="000000" w:themeColor="text1"/>
          <w:sz w:val="16"/>
          <w:szCs w:val="16"/>
          <w:lang w:val="en-US"/>
        </w:rPr>
        <w:t>1,2.</w:t>
      </w:r>
    </w:p>
    <w:p w:rsidR="008F6FFE" w:rsidRPr="00717D4D" w:rsidRDefault="0052743C" w:rsidP="008F5CAC">
      <w:pPr>
        <w:rPr>
          <w:rFonts w:asciiTheme="minorHAnsi" w:hAnsiTheme="minorHAnsi"/>
          <w:sz w:val="16"/>
          <w:szCs w:val="16"/>
          <w:lang w:val="en-US"/>
        </w:rPr>
      </w:pPr>
      <w:hyperlink r:id="rId429" w:history="1">
        <w:r w:rsidR="008F6FFE" w:rsidRPr="00F33942">
          <w:rPr>
            <w:rFonts w:asciiTheme="minorHAnsi" w:hAnsiTheme="minorHAnsi" w:cstheme="minorHAnsi"/>
            <w:color w:val="000000" w:themeColor="text1"/>
            <w:sz w:val="16"/>
            <w:szCs w:val="16"/>
            <w:lang w:val="en-US"/>
          </w:rPr>
          <w:t>https://www.ncbi.nlm.nih.gov/pmc/articles/PMC6170629/</w:t>
        </w:r>
      </w:hyperlink>
    </w:p>
  </w:footnote>
  <w:footnote w:id="47">
    <w:p w:rsidR="008F6FFE" w:rsidRPr="00717D4D" w:rsidRDefault="008F6FFE" w:rsidP="00717D4D">
      <w:pPr>
        <w:rPr>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cstheme="minorHAnsi"/>
          <w:sz w:val="16"/>
          <w:szCs w:val="16"/>
          <w:lang w:val="en-US"/>
        </w:rPr>
        <w:t xml:space="preserve"> </w:t>
      </w:r>
      <w:hyperlink r:id="rId430" w:history="1">
        <w:r w:rsidRPr="00717D4D">
          <w:rPr>
            <w:rStyle w:val="Hyperlink"/>
            <w:rFonts w:asciiTheme="minorHAnsi" w:eastAsiaTheme="majorEastAsia" w:hAnsiTheme="minorHAnsi" w:cstheme="minorHAnsi"/>
            <w:color w:val="000000" w:themeColor="text1"/>
            <w:sz w:val="16"/>
            <w:szCs w:val="16"/>
            <w:u w:val="none"/>
            <w:lang w:val="en-US"/>
          </w:rPr>
          <w:t>http://www.medecovr.it/citochina.html</w:t>
        </w:r>
      </w:hyperlink>
    </w:p>
    <w:p w:rsidR="008F6FFE" w:rsidRPr="00717D4D" w:rsidRDefault="008F6FFE" w:rsidP="00717D4D">
      <w:pPr>
        <w:rPr>
          <w:rFonts w:asciiTheme="minorHAnsi" w:hAnsiTheme="minorHAnsi" w:cstheme="minorHAnsi"/>
          <w:color w:val="000000" w:themeColor="text1"/>
          <w:sz w:val="16"/>
          <w:szCs w:val="16"/>
          <w:lang w:val="en-US"/>
        </w:rPr>
      </w:pPr>
    </w:p>
  </w:footnote>
  <w:footnote w:id="48">
    <w:p w:rsidR="008F6FFE" w:rsidRPr="00717D4D" w:rsidRDefault="008F6FFE" w:rsidP="00717D4D">
      <w:pPr>
        <w:jc w:val="both"/>
        <w:rPr>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color w:val="000000" w:themeColor="text1"/>
          <w:sz w:val="16"/>
          <w:szCs w:val="16"/>
        </w:rPr>
        <w:footnoteRef/>
      </w:r>
      <w:r w:rsidRPr="00717D4D">
        <w:rPr>
          <w:rFonts w:asciiTheme="minorHAnsi" w:hAnsiTheme="minorHAnsi" w:cstheme="minorHAnsi"/>
          <w:color w:val="000000" w:themeColor="text1"/>
          <w:sz w:val="16"/>
          <w:szCs w:val="16"/>
          <w:lang w:val="en-US"/>
        </w:rPr>
        <w:t xml:space="preserve"> MOJ Immunology. 4. 10.15406/moji.2016.04.00121</w:t>
      </w:r>
    </w:p>
    <w:p w:rsidR="008F6FFE" w:rsidRPr="00717D4D" w:rsidRDefault="008F6FFE" w:rsidP="00717D4D">
      <w:pPr>
        <w:shd w:val="clear" w:color="auto" w:fill="FFFFFF"/>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Ray, Arunabha &amp; Joshi, Jagdish. (2016). </w:t>
      </w:r>
    </w:p>
    <w:p w:rsidR="008F6FFE" w:rsidRPr="00717D4D" w:rsidRDefault="008F6FFE" w:rsidP="00717D4D">
      <w:pPr>
        <w:shd w:val="clear" w:color="auto" w:fill="FFFFFF"/>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Cytokines and their Role in Health and Disease: A Brief Overview..</w:t>
      </w:r>
    </w:p>
    <w:p w:rsidR="008F6FFE" w:rsidRPr="00717D4D" w:rsidRDefault="0052743C" w:rsidP="00717D4D">
      <w:pPr>
        <w:jc w:val="both"/>
        <w:rPr>
          <w:rFonts w:asciiTheme="minorHAnsi" w:hAnsiTheme="minorHAnsi" w:cstheme="minorHAnsi"/>
          <w:color w:val="000000" w:themeColor="text1"/>
          <w:sz w:val="16"/>
          <w:szCs w:val="16"/>
          <w:lang w:val="en-US"/>
        </w:rPr>
      </w:pPr>
      <w:hyperlink r:id="rId431" w:history="1">
        <w:r w:rsidR="008F6FFE" w:rsidRPr="00717D4D">
          <w:rPr>
            <w:rStyle w:val="Hyperlink"/>
            <w:rFonts w:asciiTheme="minorHAnsi" w:eastAsiaTheme="majorEastAsia" w:hAnsiTheme="minorHAnsi" w:cstheme="minorHAnsi"/>
            <w:color w:val="000000" w:themeColor="text1"/>
            <w:sz w:val="16"/>
            <w:szCs w:val="16"/>
            <w:u w:val="none"/>
            <w:lang w:val="en-US"/>
          </w:rPr>
          <w:t>https://medcraveonline.com/MOJI/MOJI-04-00121.pdf</w:t>
        </w:r>
      </w:hyperlink>
    </w:p>
    <w:p w:rsidR="008F6FFE" w:rsidRPr="00717D4D" w:rsidRDefault="008F6FFE" w:rsidP="00717D4D">
      <w:pPr>
        <w:jc w:val="both"/>
        <w:rPr>
          <w:rFonts w:asciiTheme="minorHAnsi" w:hAnsiTheme="minorHAnsi" w:cstheme="minorHAnsi"/>
          <w:color w:val="000000" w:themeColor="text1"/>
          <w:sz w:val="16"/>
          <w:szCs w:val="16"/>
          <w:lang w:val="en-US"/>
        </w:rPr>
      </w:pPr>
    </w:p>
    <w:p w:rsidR="008F6FFE" w:rsidRPr="00717D4D" w:rsidRDefault="0052743C" w:rsidP="00717D4D">
      <w:pPr>
        <w:jc w:val="both"/>
        <w:rPr>
          <w:rFonts w:asciiTheme="minorHAnsi" w:hAnsiTheme="minorHAnsi" w:cstheme="minorHAnsi"/>
          <w:color w:val="000000" w:themeColor="text1"/>
          <w:sz w:val="16"/>
          <w:szCs w:val="16"/>
          <w:lang w:val="en-US"/>
        </w:rPr>
      </w:pPr>
      <w:hyperlink r:id="rId432" w:history="1">
        <w:r w:rsidR="008F6FFE" w:rsidRPr="00717D4D">
          <w:rPr>
            <w:rStyle w:val="Hyperlink"/>
            <w:rFonts w:asciiTheme="minorHAnsi" w:eastAsiaTheme="majorEastAsia" w:hAnsiTheme="minorHAnsi" w:cstheme="minorHAnsi"/>
            <w:color w:val="000000" w:themeColor="text1"/>
            <w:sz w:val="16"/>
            <w:szCs w:val="16"/>
            <w:u w:val="none"/>
            <w:lang w:val="en-US"/>
          </w:rPr>
          <w:t>https://www.sinobiological.com/resource/cytokines/what-are-cytokines</w:t>
        </w:r>
      </w:hyperlink>
    </w:p>
    <w:p w:rsidR="008F6FFE" w:rsidRDefault="0052743C" w:rsidP="00717D4D">
      <w:pPr>
        <w:jc w:val="both"/>
        <w:rPr>
          <w:rStyle w:val="Hyperlink"/>
          <w:rFonts w:asciiTheme="minorHAnsi" w:eastAsiaTheme="majorEastAsia" w:hAnsiTheme="minorHAnsi" w:cstheme="minorHAnsi"/>
          <w:color w:val="000000" w:themeColor="text1"/>
          <w:sz w:val="16"/>
          <w:szCs w:val="16"/>
          <w:u w:val="none"/>
          <w:lang w:val="en-US"/>
        </w:rPr>
      </w:pPr>
      <w:hyperlink r:id="rId433" w:history="1">
        <w:r w:rsidR="008F6FFE" w:rsidRPr="00717D4D">
          <w:rPr>
            <w:rStyle w:val="Hyperlink"/>
            <w:rFonts w:asciiTheme="minorHAnsi" w:eastAsiaTheme="majorEastAsia" w:hAnsiTheme="minorHAnsi" w:cstheme="minorHAnsi"/>
            <w:color w:val="000000" w:themeColor="text1"/>
            <w:sz w:val="16"/>
            <w:szCs w:val="16"/>
            <w:u w:val="none"/>
            <w:lang w:val="en-US"/>
          </w:rPr>
          <w:t>http://www2.nau.edu/~fpm/immunology/lectures/Chapter012.pdf</w:t>
        </w:r>
      </w:hyperlink>
    </w:p>
    <w:p w:rsidR="008F6FFE" w:rsidRPr="00717D4D" w:rsidRDefault="008F6FFE" w:rsidP="00717D4D">
      <w:pPr>
        <w:jc w:val="both"/>
        <w:rPr>
          <w:rFonts w:asciiTheme="minorHAnsi" w:hAnsiTheme="minorHAnsi" w:cstheme="minorHAnsi"/>
          <w:sz w:val="16"/>
          <w:szCs w:val="16"/>
          <w:lang w:val="en-US"/>
        </w:rPr>
      </w:pPr>
    </w:p>
  </w:footnote>
  <w:footnote w:id="49">
    <w:p w:rsidR="008F6FFE" w:rsidRPr="00717D4D" w:rsidRDefault="008F6FFE" w:rsidP="00717D4D">
      <w:pPr>
        <w:pStyle w:val="Heading1"/>
        <w:spacing w:before="0"/>
        <w:jc w:val="both"/>
        <w:rPr>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cstheme="minorHAnsi"/>
          <w:sz w:val="16"/>
          <w:szCs w:val="16"/>
          <w:lang w:val="en-US"/>
        </w:rPr>
        <w:t xml:space="preserve"> </w:t>
      </w:r>
      <w:r w:rsidRPr="00717D4D">
        <w:rPr>
          <w:rFonts w:asciiTheme="minorHAnsi" w:hAnsiTheme="minorHAnsi" w:cstheme="minorHAnsi"/>
          <w:bCs/>
          <w:color w:val="000000" w:themeColor="text1"/>
          <w:sz w:val="16"/>
          <w:szCs w:val="16"/>
          <w:lang w:val="en-US"/>
        </w:rPr>
        <w:t>Cytokine Profiling Plays a Crucial Role in Activating Immune System to Clear Infectious Pathogens</w:t>
      </w:r>
    </w:p>
    <w:p w:rsidR="008F6FFE" w:rsidRPr="00717D4D" w:rsidRDefault="008F6FFE" w:rsidP="00717D4D">
      <w:pPr>
        <w:pStyle w:val="text"/>
        <w:spacing w:before="0" w:beforeAutospacing="0" w:after="0" w:afterAutospacing="0"/>
        <w:jc w:val="both"/>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rPr>
        <w:t>José Luis Muñoz-Carrillo et al</w:t>
      </w:r>
    </w:p>
    <w:p w:rsidR="008F6FFE" w:rsidRPr="00717D4D" w:rsidRDefault="008F6FFE" w:rsidP="00717D4D">
      <w:pPr>
        <w:pStyle w:val="subtext"/>
        <w:spacing w:before="0" w:beforeAutospacing="0" w:after="0" w:afterAutospacing="0"/>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November 5th 2018 DOI: 10.5772/intechopen.80843</w:t>
      </w:r>
    </w:p>
    <w:p w:rsidR="008F6FFE" w:rsidRPr="00717D4D" w:rsidRDefault="0052743C" w:rsidP="00717D4D">
      <w:pPr>
        <w:pStyle w:val="FootnoteText"/>
        <w:jc w:val="both"/>
        <w:rPr>
          <w:rFonts w:asciiTheme="minorHAnsi" w:hAnsiTheme="minorHAnsi" w:cstheme="minorHAnsi"/>
          <w:sz w:val="16"/>
          <w:szCs w:val="16"/>
          <w:lang w:val="en-US"/>
        </w:rPr>
      </w:pPr>
      <w:hyperlink r:id="rId434" w:history="1">
        <w:r w:rsidR="008F6FFE" w:rsidRPr="00717D4D">
          <w:rPr>
            <w:rStyle w:val="Hyperlink"/>
            <w:rFonts w:asciiTheme="minorHAnsi" w:hAnsiTheme="minorHAnsi" w:cstheme="minorHAnsi"/>
            <w:color w:val="000000" w:themeColor="text1"/>
            <w:sz w:val="16"/>
            <w:szCs w:val="16"/>
            <w:u w:val="none"/>
            <w:lang w:val="en-US"/>
          </w:rPr>
          <w:t>https://www.intechopen.com/books/immune-response-activation-and-immunomodulation/cytokine-profiling-plays-a-crucial-role-in-activating-immune-system-to-clear-infectious-pathogens</w:t>
        </w:r>
      </w:hyperlink>
    </w:p>
  </w:footnote>
  <w:footnote w:id="50">
    <w:p w:rsidR="008F6FFE" w:rsidRPr="00717D4D" w:rsidRDefault="008F6FFE" w:rsidP="00717D4D">
      <w:pPr>
        <w:rPr>
          <w:rFonts w:asciiTheme="minorHAnsi" w:hAnsiTheme="minorHAnsi" w:cstheme="minorHAnsi"/>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cstheme="minorHAnsi"/>
          <w:color w:val="000000" w:themeColor="text1"/>
          <w:sz w:val="16"/>
          <w:szCs w:val="16"/>
          <w:lang w:val="en-US"/>
        </w:rPr>
        <w:t xml:space="preserve"> </w:t>
      </w:r>
      <w:hyperlink r:id="rId435" w:history="1">
        <w:r w:rsidRPr="00717D4D">
          <w:rPr>
            <w:rStyle w:val="Hyperlink"/>
            <w:rFonts w:asciiTheme="minorHAnsi" w:eastAsiaTheme="majorEastAsia" w:hAnsiTheme="minorHAnsi" w:cstheme="minorHAnsi"/>
            <w:color w:val="000000" w:themeColor="text1"/>
            <w:sz w:val="16"/>
            <w:szCs w:val="16"/>
            <w:u w:val="none"/>
            <w:lang w:val="en-US"/>
          </w:rPr>
          <w:t>https://www.chimica-online.it/biologia/endocitosi-mediata-da-recettori.htm</w:t>
        </w:r>
      </w:hyperlink>
    </w:p>
    <w:p w:rsidR="008F6FFE" w:rsidRPr="00717D4D" w:rsidRDefault="008F6FFE" w:rsidP="00717D4D">
      <w:pPr>
        <w:pStyle w:val="FootnoteText"/>
        <w:rPr>
          <w:rFonts w:asciiTheme="minorHAnsi" w:hAnsiTheme="minorHAnsi" w:cstheme="minorHAnsi"/>
          <w:sz w:val="16"/>
          <w:szCs w:val="16"/>
          <w:lang w:val="en-US"/>
        </w:rPr>
      </w:pPr>
    </w:p>
  </w:footnote>
  <w:footnote w:id="51">
    <w:p w:rsidR="008F6FFE" w:rsidRPr="00717D4D" w:rsidRDefault="008F6FFE" w:rsidP="00D921F9">
      <w:pPr>
        <w:rPr>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cstheme="minorHAnsi"/>
          <w:sz w:val="16"/>
          <w:szCs w:val="16"/>
          <w:lang w:val="en-US"/>
        </w:rPr>
        <w:t xml:space="preserve"> </w:t>
      </w:r>
      <w:hyperlink r:id="rId436" w:tooltip="Oncotarget." w:history="1">
        <w:r w:rsidRPr="00DB463C">
          <w:rPr>
            <w:rStyle w:val="Hyperlink"/>
            <w:rFonts w:asciiTheme="minorHAnsi" w:eastAsiaTheme="majorEastAsia" w:hAnsiTheme="minorHAnsi" w:cstheme="minorHAnsi"/>
            <w:color w:val="000000" w:themeColor="text1"/>
            <w:sz w:val="16"/>
            <w:szCs w:val="16"/>
            <w:u w:val="none"/>
            <w:lang w:val="en-US"/>
          </w:rPr>
          <w:t>Oncotarget</w:t>
        </w:r>
        <w:r w:rsidRPr="00717D4D">
          <w:rPr>
            <w:rStyle w:val="Hyperlink"/>
            <w:rFonts w:asciiTheme="minorHAnsi" w:eastAsiaTheme="majorEastAsia" w:hAnsiTheme="minorHAnsi" w:cstheme="minorHAnsi"/>
            <w:color w:val="000000" w:themeColor="text1"/>
            <w:sz w:val="16"/>
            <w:szCs w:val="16"/>
            <w:lang w:val="en-US"/>
          </w:rPr>
          <w:t>.</w:t>
        </w:r>
      </w:hyperlink>
      <w:r w:rsidRPr="00717D4D">
        <w:rPr>
          <w:rFonts w:asciiTheme="minorHAnsi" w:hAnsiTheme="minorHAnsi" w:cstheme="minorHAnsi"/>
          <w:color w:val="000000" w:themeColor="text1"/>
          <w:sz w:val="16"/>
          <w:szCs w:val="16"/>
          <w:lang w:val="en-US"/>
        </w:rPr>
        <w:t xml:space="preserve"> 2017 Dec 14;9(6):7204-7218. doi: 10.18632/oncotarget.23208. </w:t>
      </w:r>
    </w:p>
    <w:p w:rsidR="008F6FFE" w:rsidRPr="00717D4D" w:rsidRDefault="008F6FFE" w:rsidP="00D921F9">
      <w:pPr>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Inflammatory responses and inflammation-associated diseases in organs.</w:t>
      </w:r>
    </w:p>
    <w:p w:rsidR="008F6FFE" w:rsidRPr="00235A16" w:rsidRDefault="0052743C" w:rsidP="00D921F9">
      <w:pPr>
        <w:rPr>
          <w:rFonts w:asciiTheme="minorHAnsi" w:hAnsiTheme="minorHAnsi" w:cstheme="minorHAnsi"/>
          <w:color w:val="000000" w:themeColor="text1"/>
          <w:sz w:val="16"/>
          <w:szCs w:val="16"/>
          <w:lang w:val="de-DE"/>
        </w:rPr>
      </w:pPr>
      <w:hyperlink r:id="rId437" w:history="1">
        <w:r w:rsidR="008F6FFE" w:rsidRPr="00235A16">
          <w:rPr>
            <w:rStyle w:val="Hyperlink"/>
            <w:rFonts w:asciiTheme="minorHAnsi" w:eastAsiaTheme="majorEastAsia" w:hAnsiTheme="minorHAnsi" w:cstheme="minorHAnsi"/>
            <w:color w:val="000000" w:themeColor="text1"/>
            <w:sz w:val="16"/>
            <w:szCs w:val="16"/>
            <w:u w:val="none"/>
            <w:lang w:val="de-DE"/>
          </w:rPr>
          <w:t>Chen L</w:t>
        </w:r>
      </w:hyperlink>
      <w:r w:rsidR="008F6FFE" w:rsidRPr="00235A16">
        <w:rPr>
          <w:rFonts w:asciiTheme="minorHAnsi" w:hAnsiTheme="minorHAnsi" w:cstheme="minorHAnsi"/>
          <w:color w:val="000000" w:themeColor="text1"/>
          <w:sz w:val="16"/>
          <w:szCs w:val="16"/>
          <w:lang w:val="de-DE"/>
        </w:rPr>
        <w:t>#1, </w:t>
      </w:r>
      <w:hyperlink r:id="rId438" w:history="1">
        <w:r w:rsidR="008F6FFE" w:rsidRPr="00235A16">
          <w:rPr>
            <w:rStyle w:val="Hyperlink"/>
            <w:rFonts w:asciiTheme="minorHAnsi" w:eastAsiaTheme="majorEastAsia" w:hAnsiTheme="minorHAnsi" w:cstheme="minorHAnsi"/>
            <w:color w:val="000000" w:themeColor="text1"/>
            <w:sz w:val="16"/>
            <w:szCs w:val="16"/>
            <w:u w:val="none"/>
            <w:lang w:val="de-DE"/>
          </w:rPr>
          <w:t>Deng H</w:t>
        </w:r>
      </w:hyperlink>
      <w:r w:rsidR="008F6FFE" w:rsidRPr="00235A16">
        <w:rPr>
          <w:rFonts w:asciiTheme="minorHAnsi" w:hAnsiTheme="minorHAnsi" w:cstheme="minorHAnsi"/>
          <w:color w:val="000000" w:themeColor="text1"/>
          <w:sz w:val="16"/>
          <w:szCs w:val="16"/>
          <w:lang w:val="de-DE"/>
        </w:rPr>
        <w:t>#1, </w:t>
      </w:r>
      <w:hyperlink r:id="rId439" w:history="1">
        <w:r w:rsidR="008F6FFE" w:rsidRPr="00235A16">
          <w:rPr>
            <w:rStyle w:val="Hyperlink"/>
            <w:rFonts w:asciiTheme="minorHAnsi" w:eastAsiaTheme="majorEastAsia" w:hAnsiTheme="minorHAnsi" w:cstheme="minorHAnsi"/>
            <w:color w:val="000000" w:themeColor="text1"/>
            <w:sz w:val="16"/>
            <w:szCs w:val="16"/>
            <w:u w:val="none"/>
            <w:lang w:val="de-DE"/>
          </w:rPr>
          <w:t>Cui H</w:t>
        </w:r>
      </w:hyperlink>
      <w:r w:rsidR="008F6FFE" w:rsidRPr="00235A16">
        <w:rPr>
          <w:rFonts w:asciiTheme="minorHAnsi" w:hAnsiTheme="minorHAnsi" w:cstheme="minorHAnsi"/>
          <w:color w:val="000000" w:themeColor="text1"/>
          <w:sz w:val="16"/>
          <w:szCs w:val="16"/>
          <w:lang w:val="de-DE"/>
        </w:rPr>
        <w:t>1,2, </w:t>
      </w:r>
      <w:hyperlink r:id="rId440" w:history="1">
        <w:r w:rsidR="008F6FFE" w:rsidRPr="00235A16">
          <w:rPr>
            <w:rStyle w:val="Hyperlink"/>
            <w:rFonts w:asciiTheme="minorHAnsi" w:eastAsiaTheme="majorEastAsia" w:hAnsiTheme="minorHAnsi" w:cstheme="minorHAnsi"/>
            <w:color w:val="000000" w:themeColor="text1"/>
            <w:sz w:val="16"/>
            <w:szCs w:val="16"/>
            <w:u w:val="none"/>
            <w:lang w:val="de-DE"/>
          </w:rPr>
          <w:t>Fang J</w:t>
        </w:r>
      </w:hyperlink>
      <w:r w:rsidR="008F6FFE" w:rsidRPr="00235A16">
        <w:rPr>
          <w:rFonts w:asciiTheme="minorHAnsi" w:hAnsiTheme="minorHAnsi" w:cstheme="minorHAnsi"/>
          <w:color w:val="000000" w:themeColor="text1"/>
          <w:sz w:val="16"/>
          <w:szCs w:val="16"/>
          <w:lang w:val="de-DE"/>
        </w:rPr>
        <w:t>1,2, </w:t>
      </w:r>
      <w:hyperlink r:id="rId441" w:history="1">
        <w:r w:rsidR="008F6FFE" w:rsidRPr="00235A16">
          <w:rPr>
            <w:rStyle w:val="Hyperlink"/>
            <w:rFonts w:asciiTheme="minorHAnsi" w:eastAsiaTheme="majorEastAsia" w:hAnsiTheme="minorHAnsi" w:cstheme="minorHAnsi"/>
            <w:color w:val="000000" w:themeColor="text1"/>
            <w:sz w:val="16"/>
            <w:szCs w:val="16"/>
            <w:u w:val="none"/>
            <w:lang w:val="de-DE"/>
          </w:rPr>
          <w:t>Zuo Z</w:t>
        </w:r>
      </w:hyperlink>
      <w:r w:rsidR="008F6FFE" w:rsidRPr="00235A16">
        <w:rPr>
          <w:rFonts w:asciiTheme="minorHAnsi" w:hAnsiTheme="minorHAnsi" w:cstheme="minorHAnsi"/>
          <w:color w:val="000000" w:themeColor="text1"/>
          <w:sz w:val="16"/>
          <w:szCs w:val="16"/>
          <w:lang w:val="de-DE"/>
        </w:rPr>
        <w:t>1,2, </w:t>
      </w:r>
      <w:hyperlink r:id="rId442" w:history="1">
        <w:r w:rsidR="008F6FFE" w:rsidRPr="00235A16">
          <w:rPr>
            <w:rStyle w:val="Hyperlink"/>
            <w:rFonts w:asciiTheme="minorHAnsi" w:eastAsiaTheme="majorEastAsia" w:hAnsiTheme="minorHAnsi" w:cstheme="minorHAnsi"/>
            <w:color w:val="000000" w:themeColor="text1"/>
            <w:sz w:val="16"/>
            <w:szCs w:val="16"/>
            <w:u w:val="none"/>
            <w:lang w:val="de-DE"/>
          </w:rPr>
          <w:t>Deng J</w:t>
        </w:r>
      </w:hyperlink>
      <w:r w:rsidR="008F6FFE" w:rsidRPr="00235A16">
        <w:rPr>
          <w:rFonts w:asciiTheme="minorHAnsi" w:hAnsiTheme="minorHAnsi" w:cstheme="minorHAnsi"/>
          <w:color w:val="000000" w:themeColor="text1"/>
          <w:sz w:val="16"/>
          <w:szCs w:val="16"/>
          <w:lang w:val="de-DE"/>
        </w:rPr>
        <w:t>1,2, </w:t>
      </w:r>
      <w:hyperlink r:id="rId443" w:history="1">
        <w:r w:rsidR="008F6FFE" w:rsidRPr="00235A16">
          <w:rPr>
            <w:rStyle w:val="Hyperlink"/>
            <w:rFonts w:asciiTheme="minorHAnsi" w:eastAsiaTheme="majorEastAsia" w:hAnsiTheme="minorHAnsi" w:cstheme="minorHAnsi"/>
            <w:color w:val="000000" w:themeColor="text1"/>
            <w:sz w:val="16"/>
            <w:szCs w:val="16"/>
            <w:u w:val="none"/>
            <w:lang w:val="de-DE"/>
          </w:rPr>
          <w:t>Li Y</w:t>
        </w:r>
      </w:hyperlink>
      <w:r w:rsidR="008F6FFE" w:rsidRPr="00235A16">
        <w:rPr>
          <w:rFonts w:asciiTheme="minorHAnsi" w:hAnsiTheme="minorHAnsi" w:cstheme="minorHAnsi"/>
          <w:color w:val="000000" w:themeColor="text1"/>
          <w:sz w:val="16"/>
          <w:szCs w:val="16"/>
          <w:lang w:val="de-DE"/>
        </w:rPr>
        <w:t>1,2, </w:t>
      </w:r>
      <w:hyperlink r:id="rId444" w:history="1">
        <w:r w:rsidR="008F6FFE" w:rsidRPr="00235A16">
          <w:rPr>
            <w:rStyle w:val="Hyperlink"/>
            <w:rFonts w:asciiTheme="minorHAnsi" w:eastAsiaTheme="majorEastAsia" w:hAnsiTheme="minorHAnsi" w:cstheme="minorHAnsi"/>
            <w:color w:val="000000" w:themeColor="text1"/>
            <w:sz w:val="16"/>
            <w:szCs w:val="16"/>
            <w:u w:val="none"/>
            <w:lang w:val="de-DE"/>
          </w:rPr>
          <w:t>Wang X</w:t>
        </w:r>
      </w:hyperlink>
      <w:r w:rsidR="008F6FFE" w:rsidRPr="00235A16">
        <w:rPr>
          <w:rFonts w:asciiTheme="minorHAnsi" w:hAnsiTheme="minorHAnsi" w:cstheme="minorHAnsi"/>
          <w:color w:val="000000" w:themeColor="text1"/>
          <w:sz w:val="16"/>
          <w:szCs w:val="16"/>
          <w:lang w:val="de-DE"/>
        </w:rPr>
        <w:t>1,2, </w:t>
      </w:r>
      <w:hyperlink r:id="rId445" w:history="1">
        <w:r w:rsidR="008F6FFE" w:rsidRPr="00235A16">
          <w:rPr>
            <w:rStyle w:val="Hyperlink"/>
            <w:rFonts w:asciiTheme="minorHAnsi" w:eastAsiaTheme="majorEastAsia" w:hAnsiTheme="minorHAnsi" w:cstheme="minorHAnsi"/>
            <w:color w:val="000000" w:themeColor="text1"/>
            <w:sz w:val="16"/>
            <w:szCs w:val="16"/>
            <w:u w:val="none"/>
            <w:lang w:val="de-DE"/>
          </w:rPr>
          <w:t>Zhao L</w:t>
        </w:r>
      </w:hyperlink>
      <w:r w:rsidR="008F6FFE" w:rsidRPr="00235A16">
        <w:rPr>
          <w:rFonts w:asciiTheme="minorHAnsi" w:hAnsiTheme="minorHAnsi" w:cstheme="minorHAnsi"/>
          <w:color w:val="000000" w:themeColor="text1"/>
          <w:sz w:val="16"/>
          <w:szCs w:val="16"/>
          <w:lang w:val="de-DE"/>
        </w:rPr>
        <w:t>1,2.</w:t>
      </w:r>
    </w:p>
    <w:p w:rsidR="008F6FFE" w:rsidRPr="00235A16" w:rsidRDefault="0052743C" w:rsidP="00D921F9">
      <w:pPr>
        <w:rPr>
          <w:rFonts w:asciiTheme="minorHAnsi" w:hAnsiTheme="minorHAnsi" w:cstheme="minorHAnsi"/>
          <w:color w:val="000000" w:themeColor="text1"/>
          <w:sz w:val="16"/>
          <w:szCs w:val="16"/>
          <w:lang w:val="de-DE"/>
        </w:rPr>
      </w:pPr>
      <w:hyperlink r:id="rId446" w:history="1">
        <w:r w:rsidR="008F6FFE" w:rsidRPr="00235A16">
          <w:rPr>
            <w:rFonts w:asciiTheme="minorHAnsi" w:hAnsiTheme="minorHAnsi" w:cstheme="minorHAnsi"/>
            <w:color w:val="000000" w:themeColor="text1"/>
            <w:sz w:val="16"/>
            <w:szCs w:val="16"/>
            <w:lang w:val="de-DE"/>
          </w:rPr>
          <w:t>https://www.ncbi.nlm.nih.gov/pmc/articles/PMC5805548/pdf/oncotarget-09-7204.pdf</w:t>
        </w:r>
      </w:hyperlink>
    </w:p>
    <w:p w:rsidR="008F6FFE" w:rsidRPr="00235A16" w:rsidRDefault="008F6FFE" w:rsidP="00D921F9">
      <w:pPr>
        <w:pStyle w:val="FootnoteText"/>
        <w:rPr>
          <w:rFonts w:asciiTheme="minorHAnsi" w:hAnsiTheme="minorHAnsi"/>
          <w:sz w:val="16"/>
          <w:szCs w:val="16"/>
          <w:lang w:val="de-DE"/>
        </w:rPr>
      </w:pPr>
    </w:p>
  </w:footnote>
  <w:footnote w:id="52">
    <w:p w:rsidR="008F6FFE" w:rsidRPr="00DC48B4" w:rsidRDefault="008F6FFE" w:rsidP="00B43469">
      <w:pPr>
        <w:rPr>
          <w:rStyle w:val="Hyperlink"/>
          <w:rFonts w:asciiTheme="minorHAnsi" w:eastAsiaTheme="majorEastAsia" w:hAnsiTheme="minorHAnsi" w:cstheme="minorHAnsi"/>
          <w:color w:val="000000" w:themeColor="text1"/>
          <w:sz w:val="16"/>
          <w:szCs w:val="16"/>
          <w:u w:val="none"/>
          <w:lang w:val="en-US"/>
        </w:rPr>
      </w:pPr>
      <w:r w:rsidRPr="00717D4D">
        <w:rPr>
          <w:rStyle w:val="FootnoteReference"/>
          <w:rFonts w:asciiTheme="minorHAnsi" w:hAnsiTheme="minorHAnsi" w:cstheme="minorHAnsi"/>
          <w:sz w:val="16"/>
          <w:szCs w:val="16"/>
        </w:rPr>
        <w:footnoteRef/>
      </w:r>
      <w:r w:rsidRPr="00717D4D">
        <w:rPr>
          <w:rFonts w:asciiTheme="minorHAnsi" w:hAnsiTheme="minorHAnsi"/>
          <w:sz w:val="16"/>
          <w:szCs w:val="16"/>
          <w:lang w:val="en-US"/>
        </w:rPr>
        <w:t xml:space="preserve"> </w:t>
      </w:r>
      <w:r>
        <w:rPr>
          <w:rFonts w:asciiTheme="minorHAnsi" w:hAnsiTheme="minorHAnsi"/>
          <w:sz w:val="16"/>
          <w:szCs w:val="16"/>
          <w:lang w:val="en-US"/>
        </w:rPr>
        <w:t xml:space="preserve"> </w:t>
      </w:r>
      <w:r w:rsidRPr="00B43469">
        <w:rPr>
          <w:rStyle w:val="Hyperlink"/>
          <w:rFonts w:asciiTheme="minorHAnsi" w:eastAsiaTheme="majorEastAsia" w:hAnsiTheme="minorHAnsi" w:cstheme="minorHAnsi"/>
          <w:color w:val="000000" w:themeColor="text1"/>
          <w:sz w:val="16"/>
          <w:szCs w:val="16"/>
          <w:u w:val="none"/>
          <w:lang w:val="en-US"/>
        </w:rPr>
        <w:t xml:space="preserve">Ye Q, Wang B, Mao J. </w:t>
      </w:r>
    </w:p>
    <w:p w:rsidR="008F6FFE" w:rsidRPr="00DC48B4" w:rsidRDefault="008F6FFE" w:rsidP="00B43469">
      <w:pPr>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The pathogenesis and treatment of the `Cytokine Storm' in COVID-19.</w:t>
      </w:r>
    </w:p>
    <w:p w:rsidR="008F6FFE" w:rsidRPr="00B43469" w:rsidRDefault="008F6FFE" w:rsidP="00B43469">
      <w:pPr>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 J Infect. 2020;80(6):607-613. doi:10.1016/j.jinf.2020.03.037</w:t>
      </w:r>
    </w:p>
    <w:p w:rsidR="008F6FFE" w:rsidRPr="00B43469" w:rsidRDefault="0052743C" w:rsidP="00B43469">
      <w:pPr>
        <w:rPr>
          <w:rStyle w:val="Hyperlink"/>
          <w:rFonts w:asciiTheme="minorHAnsi" w:eastAsiaTheme="majorEastAsia" w:hAnsiTheme="minorHAnsi" w:cstheme="minorHAnsi"/>
          <w:color w:val="000000" w:themeColor="text1"/>
          <w:sz w:val="16"/>
          <w:szCs w:val="16"/>
          <w:u w:val="none"/>
          <w:lang w:val="en-US"/>
        </w:rPr>
      </w:pPr>
      <w:hyperlink r:id="rId447" w:history="1">
        <w:r w:rsidR="008F6FFE" w:rsidRPr="00B43469">
          <w:rPr>
            <w:rStyle w:val="Hyperlink"/>
            <w:rFonts w:asciiTheme="minorHAnsi" w:eastAsiaTheme="majorEastAsia" w:hAnsiTheme="minorHAnsi" w:cstheme="minorHAnsi"/>
            <w:color w:val="000000" w:themeColor="text1"/>
            <w:sz w:val="16"/>
            <w:szCs w:val="16"/>
            <w:u w:val="none"/>
            <w:lang w:val="en-US"/>
          </w:rPr>
          <w:t>https://www.ncbi.nlm.nih.gov/pmc/articles/PMC7194613/pdf/main.pdf</w:t>
        </w:r>
      </w:hyperlink>
    </w:p>
    <w:p w:rsidR="008F6FFE" w:rsidRDefault="008F6FFE" w:rsidP="00717D4D">
      <w:pPr>
        <w:rPr>
          <w:rFonts w:asciiTheme="minorHAnsi" w:hAnsiTheme="minorHAnsi"/>
          <w:sz w:val="16"/>
          <w:szCs w:val="16"/>
          <w:lang w:val="en-US"/>
        </w:rPr>
      </w:pPr>
    </w:p>
    <w:p w:rsidR="008F6FFE" w:rsidRPr="00717D4D" w:rsidRDefault="008F6FFE" w:rsidP="00717D4D">
      <w:pPr>
        <w:rPr>
          <w:rStyle w:val="Hyperlink"/>
          <w:rFonts w:asciiTheme="minorHAnsi" w:eastAsiaTheme="majorEastAsia" w:hAnsiTheme="minorHAnsi" w:cstheme="minorHAnsi"/>
          <w:color w:val="000000" w:themeColor="text1"/>
          <w:sz w:val="16"/>
          <w:szCs w:val="16"/>
          <w:u w:val="none"/>
          <w:lang w:val="en-US"/>
        </w:rPr>
      </w:pPr>
      <w:r w:rsidRPr="00717D4D">
        <w:rPr>
          <w:rStyle w:val="Hyperlink"/>
          <w:rFonts w:asciiTheme="minorHAnsi" w:eastAsiaTheme="majorEastAsia" w:hAnsiTheme="minorHAnsi" w:cstheme="minorHAnsi"/>
          <w:color w:val="000000" w:themeColor="text1"/>
          <w:sz w:val="16"/>
          <w:szCs w:val="16"/>
          <w:u w:val="none"/>
          <w:lang w:val="en-US"/>
        </w:rPr>
        <w:t>Immunity 2020 May 19;52(5):731-733. doi: 10.1016/j.immuni.2020.04.003. </w:t>
      </w:r>
    </w:p>
    <w:p w:rsidR="008F6FFE" w:rsidRPr="00717D4D" w:rsidRDefault="008F6FFE" w:rsidP="00717D4D">
      <w:pPr>
        <w:rPr>
          <w:rStyle w:val="Hyperlink"/>
          <w:rFonts w:asciiTheme="minorHAnsi" w:eastAsiaTheme="majorEastAsia" w:hAnsiTheme="minorHAnsi" w:cstheme="minorHAnsi"/>
          <w:color w:val="000000" w:themeColor="text1"/>
          <w:sz w:val="16"/>
          <w:szCs w:val="16"/>
          <w:u w:val="none"/>
          <w:lang w:val="en-US"/>
        </w:rPr>
      </w:pPr>
      <w:r w:rsidRPr="00717D4D">
        <w:rPr>
          <w:rStyle w:val="Hyperlink"/>
          <w:rFonts w:asciiTheme="minorHAnsi" w:eastAsiaTheme="majorEastAsia" w:hAnsiTheme="minorHAnsi" w:cstheme="minorHAnsi"/>
          <w:color w:val="000000" w:themeColor="text1"/>
          <w:sz w:val="16"/>
          <w:szCs w:val="16"/>
          <w:u w:val="none"/>
          <w:lang w:val="en-US"/>
        </w:rPr>
        <w:t>COVID-19: A New Virus, but a Familiar Receptor and Cytokine Release Syndrome</w:t>
      </w:r>
    </w:p>
    <w:p w:rsidR="008F6FFE" w:rsidRPr="00717D4D" w:rsidRDefault="0052743C" w:rsidP="00717D4D">
      <w:pPr>
        <w:rPr>
          <w:rStyle w:val="Hyperlink"/>
          <w:rFonts w:asciiTheme="minorHAnsi" w:eastAsiaTheme="majorEastAsia" w:hAnsiTheme="minorHAnsi" w:cstheme="minorHAnsi"/>
          <w:color w:val="000000" w:themeColor="text1"/>
          <w:sz w:val="16"/>
          <w:szCs w:val="16"/>
          <w:u w:val="none"/>
        </w:rPr>
      </w:pPr>
      <w:hyperlink r:id="rId448" w:history="1">
        <w:r w:rsidR="008F6FFE" w:rsidRPr="00717D4D">
          <w:rPr>
            <w:rStyle w:val="Hyperlink"/>
            <w:rFonts w:asciiTheme="minorHAnsi" w:eastAsiaTheme="majorEastAsia" w:hAnsiTheme="minorHAnsi" w:cstheme="minorHAnsi"/>
            <w:color w:val="000000" w:themeColor="text1"/>
            <w:sz w:val="16"/>
            <w:szCs w:val="16"/>
            <w:u w:val="none"/>
          </w:rPr>
          <w:t>Toshio Hirano</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449" w:anchor="affiliation-1" w:history="1">
        <w:r w:rsidR="008F6FFE" w:rsidRPr="00717D4D">
          <w:rPr>
            <w:rStyle w:val="Hyperlink"/>
            <w:rFonts w:asciiTheme="minorHAnsi" w:eastAsiaTheme="majorEastAsia" w:hAnsiTheme="minorHAnsi" w:cstheme="minorHAnsi"/>
            <w:color w:val="000000" w:themeColor="text1"/>
            <w:sz w:val="16"/>
            <w:szCs w:val="16"/>
            <w:u w:val="none"/>
          </w:rPr>
          <w:t>1</w:t>
        </w:r>
      </w:hyperlink>
      <w:r w:rsidR="008F6FFE" w:rsidRPr="00717D4D">
        <w:rPr>
          <w:rStyle w:val="Hyperlink"/>
          <w:rFonts w:asciiTheme="minorHAnsi" w:eastAsiaTheme="majorEastAsia" w:hAnsiTheme="minorHAnsi" w:cstheme="minorHAnsi"/>
          <w:color w:val="000000" w:themeColor="text1"/>
          <w:sz w:val="16"/>
          <w:szCs w:val="16"/>
          <w:u w:val="none"/>
        </w:rPr>
        <w:t>, </w:t>
      </w:r>
      <w:hyperlink r:id="rId450" w:history="1">
        <w:r w:rsidR="008F6FFE" w:rsidRPr="00717D4D">
          <w:rPr>
            <w:rStyle w:val="Hyperlink"/>
            <w:rFonts w:asciiTheme="minorHAnsi" w:eastAsiaTheme="majorEastAsia" w:hAnsiTheme="minorHAnsi" w:cstheme="minorHAnsi"/>
            <w:color w:val="000000" w:themeColor="text1"/>
            <w:sz w:val="16"/>
            <w:szCs w:val="16"/>
            <w:u w:val="none"/>
          </w:rPr>
          <w:t>Masaaki Murakami</w:t>
        </w:r>
      </w:hyperlink>
      <w:r w:rsidR="008F6FFE" w:rsidRPr="00717D4D">
        <w:rPr>
          <w:rStyle w:val="Hyperlink"/>
          <w:rFonts w:asciiTheme="minorHAnsi" w:eastAsiaTheme="majorEastAsia" w:hAnsiTheme="minorHAnsi" w:cstheme="minorHAnsi"/>
          <w:color w:val="000000" w:themeColor="text1"/>
          <w:sz w:val="16"/>
          <w:szCs w:val="16"/>
          <w:u w:val="none"/>
        </w:rPr>
        <w:t> </w:t>
      </w:r>
    </w:p>
    <w:p w:rsidR="008F6FFE" w:rsidRPr="00717D4D" w:rsidRDefault="0052743C" w:rsidP="00717D4D">
      <w:pPr>
        <w:rPr>
          <w:rFonts w:asciiTheme="minorHAnsi" w:hAnsiTheme="minorHAnsi"/>
          <w:color w:val="000000" w:themeColor="text1"/>
          <w:sz w:val="16"/>
          <w:szCs w:val="16"/>
        </w:rPr>
      </w:pPr>
      <w:hyperlink r:id="rId451" w:history="1">
        <w:r w:rsidR="008F6FFE" w:rsidRPr="00717D4D">
          <w:rPr>
            <w:rStyle w:val="Hyperlink"/>
            <w:rFonts w:asciiTheme="minorHAnsi" w:eastAsiaTheme="majorEastAsia" w:hAnsiTheme="minorHAnsi"/>
            <w:color w:val="000000" w:themeColor="text1"/>
            <w:sz w:val="16"/>
            <w:szCs w:val="16"/>
            <w:u w:val="none"/>
          </w:rPr>
          <w:t>https://www.ncbi.nlm.nih.gov/pmc/articles/PMC7175868/pdf/main.pdf</w:t>
        </w:r>
      </w:hyperlink>
    </w:p>
    <w:p w:rsidR="008F6FFE" w:rsidRPr="00717D4D" w:rsidRDefault="008F6FFE" w:rsidP="00717D4D">
      <w:pPr>
        <w:rPr>
          <w:rFonts w:asciiTheme="minorHAnsi" w:hAnsiTheme="minorHAnsi"/>
          <w:sz w:val="16"/>
          <w:szCs w:val="16"/>
        </w:rPr>
      </w:pPr>
    </w:p>
    <w:p w:rsidR="008F6FFE" w:rsidRPr="00B43469" w:rsidRDefault="0052743C" w:rsidP="00717D4D">
      <w:pPr>
        <w:rPr>
          <w:rStyle w:val="Hyperlink"/>
          <w:rFonts w:asciiTheme="minorHAnsi" w:eastAsiaTheme="majorEastAsia" w:hAnsiTheme="minorHAnsi" w:cstheme="minorHAnsi"/>
          <w:color w:val="000000" w:themeColor="text1"/>
          <w:sz w:val="16"/>
          <w:szCs w:val="16"/>
          <w:u w:val="none"/>
          <w:lang w:val="en-US"/>
        </w:rPr>
      </w:pPr>
      <w:hyperlink r:id="rId452" w:tooltip="EBioMedicine." w:history="1">
        <w:r w:rsidR="008F6FFE" w:rsidRPr="00B43469">
          <w:rPr>
            <w:rStyle w:val="Hyperlink"/>
            <w:rFonts w:asciiTheme="minorHAnsi" w:eastAsiaTheme="majorEastAsia" w:hAnsiTheme="minorHAnsi" w:cstheme="minorHAnsi"/>
            <w:color w:val="000000" w:themeColor="text1"/>
            <w:sz w:val="16"/>
            <w:szCs w:val="16"/>
            <w:u w:val="none"/>
            <w:lang w:val="en-US"/>
          </w:rPr>
          <w:t>EBioMedicine.</w:t>
        </w:r>
      </w:hyperlink>
      <w:r w:rsidR="008F6FFE" w:rsidRPr="00B43469">
        <w:rPr>
          <w:rStyle w:val="Hyperlink"/>
          <w:rFonts w:asciiTheme="minorHAnsi" w:eastAsiaTheme="majorEastAsia" w:hAnsiTheme="minorHAnsi" w:cstheme="minorHAnsi"/>
          <w:color w:val="000000" w:themeColor="text1"/>
          <w:sz w:val="16"/>
          <w:szCs w:val="16"/>
          <w:u w:val="none"/>
          <w:lang w:val="en-US"/>
        </w:rPr>
        <w:t xml:space="preserve"> 2020 May 7;55:102789. doi: 10.1016/j.ebiom.2020.102789. </w:t>
      </w:r>
    </w:p>
    <w:p w:rsidR="008F6FFE" w:rsidRPr="00B43469" w:rsidRDefault="008F6FFE" w:rsidP="00717D4D">
      <w:pPr>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A glimpse into the eye of the COVID-19 cytokine storm.</w:t>
      </w:r>
    </w:p>
    <w:p w:rsidR="008F6FFE" w:rsidRPr="00DC48B4" w:rsidRDefault="0052743C" w:rsidP="00717D4D">
      <w:pPr>
        <w:rPr>
          <w:rStyle w:val="Hyperlink"/>
          <w:rFonts w:asciiTheme="minorHAnsi" w:eastAsiaTheme="majorEastAsia" w:hAnsiTheme="minorHAnsi" w:cstheme="minorHAnsi"/>
          <w:color w:val="000000" w:themeColor="text1"/>
          <w:sz w:val="16"/>
          <w:szCs w:val="16"/>
          <w:u w:val="none"/>
        </w:rPr>
      </w:pPr>
      <w:hyperlink r:id="rId453" w:history="1">
        <w:r w:rsidR="008F6FFE" w:rsidRPr="00DC48B4">
          <w:rPr>
            <w:rStyle w:val="Hyperlink"/>
            <w:rFonts w:asciiTheme="minorHAnsi" w:eastAsiaTheme="majorEastAsia" w:hAnsiTheme="minorHAnsi" w:cstheme="minorHAnsi"/>
            <w:color w:val="000000" w:themeColor="text1"/>
            <w:sz w:val="16"/>
            <w:szCs w:val="16"/>
            <w:u w:val="none"/>
          </w:rPr>
          <w:t>Kuppalli K</w:t>
        </w:r>
      </w:hyperlink>
      <w:r w:rsidR="008F6FFE" w:rsidRPr="00DC48B4">
        <w:rPr>
          <w:rStyle w:val="Hyperlink"/>
          <w:rFonts w:asciiTheme="minorHAnsi" w:eastAsiaTheme="majorEastAsia" w:hAnsiTheme="minorHAnsi" w:cstheme="minorHAnsi"/>
          <w:color w:val="000000" w:themeColor="text1"/>
          <w:sz w:val="16"/>
          <w:szCs w:val="16"/>
          <w:u w:val="none"/>
        </w:rPr>
        <w:t>1, </w:t>
      </w:r>
      <w:hyperlink r:id="rId454" w:history="1">
        <w:r w:rsidR="008F6FFE" w:rsidRPr="00DC48B4">
          <w:rPr>
            <w:rStyle w:val="Hyperlink"/>
            <w:rFonts w:asciiTheme="minorHAnsi" w:eastAsiaTheme="majorEastAsia" w:hAnsiTheme="minorHAnsi" w:cstheme="minorHAnsi"/>
            <w:color w:val="000000" w:themeColor="text1"/>
            <w:sz w:val="16"/>
            <w:szCs w:val="16"/>
            <w:u w:val="none"/>
          </w:rPr>
          <w:t>Rasmussen AL</w:t>
        </w:r>
      </w:hyperlink>
      <w:r w:rsidR="008F6FFE" w:rsidRPr="00DC48B4">
        <w:rPr>
          <w:rStyle w:val="Hyperlink"/>
          <w:rFonts w:asciiTheme="minorHAnsi" w:eastAsiaTheme="majorEastAsia" w:hAnsiTheme="minorHAnsi" w:cstheme="minorHAnsi"/>
          <w:color w:val="000000" w:themeColor="text1"/>
          <w:sz w:val="16"/>
          <w:szCs w:val="16"/>
          <w:u w:val="none"/>
        </w:rPr>
        <w:t>2.</w:t>
      </w:r>
    </w:p>
    <w:p w:rsidR="008F6FFE" w:rsidRPr="00DC48B4" w:rsidRDefault="0052743C" w:rsidP="00B43469">
      <w:pPr>
        <w:rPr>
          <w:rFonts w:asciiTheme="minorHAnsi" w:hAnsiTheme="minorHAnsi" w:cstheme="minorHAnsi"/>
          <w:color w:val="000000" w:themeColor="text1"/>
          <w:sz w:val="16"/>
          <w:szCs w:val="16"/>
        </w:rPr>
      </w:pPr>
      <w:hyperlink r:id="rId455" w:history="1">
        <w:r w:rsidR="008F6FFE" w:rsidRPr="00DC48B4">
          <w:rPr>
            <w:rFonts w:asciiTheme="minorHAnsi" w:hAnsiTheme="minorHAnsi" w:cstheme="minorHAnsi"/>
            <w:color w:val="000000" w:themeColor="text1"/>
            <w:sz w:val="16"/>
            <w:szCs w:val="16"/>
          </w:rPr>
          <w:t>https://www.ncbi.nlm.nih.gov/pmc/articles/PMC7204696/pdf/main.pdf</w:t>
        </w:r>
      </w:hyperlink>
    </w:p>
    <w:p w:rsidR="008F6FFE" w:rsidRPr="00DC48B4" w:rsidRDefault="008F6FFE" w:rsidP="00717D4D">
      <w:pPr>
        <w:rPr>
          <w:rStyle w:val="Hyperlink"/>
          <w:rFonts w:asciiTheme="minorHAnsi" w:eastAsiaTheme="majorEastAsia" w:hAnsiTheme="minorHAnsi" w:cstheme="minorHAnsi"/>
          <w:color w:val="000000" w:themeColor="text1"/>
          <w:sz w:val="16"/>
          <w:szCs w:val="16"/>
          <w:u w:val="none"/>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56" w:tooltip="Seminars in immunopathology." w:history="1">
        <w:r w:rsidR="008F6FFE" w:rsidRPr="00B43469">
          <w:rPr>
            <w:rStyle w:val="Hyperlink"/>
            <w:rFonts w:asciiTheme="minorHAnsi" w:eastAsiaTheme="majorEastAsia" w:hAnsiTheme="minorHAnsi" w:cstheme="minorHAnsi"/>
            <w:color w:val="000000" w:themeColor="text1"/>
            <w:sz w:val="16"/>
            <w:szCs w:val="16"/>
            <w:u w:val="none"/>
            <w:lang w:val="en-US"/>
          </w:rPr>
          <w:t>Semin Immunopathol.</w:t>
        </w:r>
      </w:hyperlink>
      <w:r w:rsidR="008F6FFE" w:rsidRPr="00B43469">
        <w:rPr>
          <w:rStyle w:val="Hyperlink"/>
          <w:rFonts w:asciiTheme="minorHAnsi" w:eastAsiaTheme="majorEastAsia" w:hAnsiTheme="minorHAnsi" w:cstheme="minorHAnsi"/>
          <w:color w:val="000000" w:themeColor="text1"/>
          <w:sz w:val="16"/>
          <w:szCs w:val="16"/>
          <w:u w:val="none"/>
          <w:lang w:val="en-US"/>
        </w:rPr>
        <w:t> 2017 Jul;39(5):529-539. doi: 10.1007/s00281-017-0629-x</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Pathogenic human coronavirus infections: causes and consequences of cytokine storm and immunopathology.</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457" w:history="1">
        <w:r w:rsidR="008F6FFE" w:rsidRPr="00B43469">
          <w:rPr>
            <w:rStyle w:val="Hyperlink"/>
            <w:rFonts w:asciiTheme="minorHAnsi" w:eastAsiaTheme="majorEastAsia" w:hAnsiTheme="minorHAnsi" w:cstheme="minorHAnsi"/>
            <w:color w:val="000000" w:themeColor="text1"/>
            <w:sz w:val="16"/>
            <w:szCs w:val="16"/>
            <w:u w:val="none"/>
          </w:rPr>
          <w:t>Channappanavar R</w:t>
        </w:r>
      </w:hyperlink>
      <w:r w:rsidR="008F6FFE" w:rsidRPr="00B43469">
        <w:rPr>
          <w:rStyle w:val="Hyperlink"/>
          <w:rFonts w:asciiTheme="minorHAnsi" w:eastAsiaTheme="majorEastAsia" w:hAnsiTheme="minorHAnsi" w:cstheme="minorHAnsi"/>
          <w:color w:val="000000" w:themeColor="text1"/>
          <w:sz w:val="16"/>
          <w:szCs w:val="16"/>
          <w:u w:val="none"/>
        </w:rPr>
        <w:t>1, </w:t>
      </w:r>
      <w:hyperlink r:id="rId458" w:history="1">
        <w:r w:rsidR="008F6FFE" w:rsidRPr="00B43469">
          <w:rPr>
            <w:rStyle w:val="Hyperlink"/>
            <w:rFonts w:asciiTheme="minorHAnsi" w:eastAsiaTheme="majorEastAsia" w:hAnsiTheme="minorHAnsi" w:cstheme="minorHAnsi"/>
            <w:color w:val="000000" w:themeColor="text1"/>
            <w:sz w:val="16"/>
            <w:szCs w:val="16"/>
            <w:u w:val="none"/>
          </w:rPr>
          <w:t>Perlman S</w:t>
        </w:r>
      </w:hyperlink>
      <w:r w:rsidR="008F6FFE" w:rsidRPr="00B43469">
        <w:rPr>
          <w:rStyle w:val="Hyperlink"/>
          <w:rFonts w:asciiTheme="minorHAnsi" w:eastAsiaTheme="majorEastAsia" w:hAnsiTheme="minorHAnsi" w:cstheme="minorHAnsi"/>
          <w:color w:val="000000" w:themeColor="text1"/>
          <w:sz w:val="16"/>
          <w:szCs w:val="16"/>
          <w:u w:val="none"/>
        </w:rPr>
        <w:t>2.</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459" w:history="1">
        <w:r w:rsidR="008F6FFE" w:rsidRPr="00B43469">
          <w:rPr>
            <w:rStyle w:val="Hyperlink"/>
            <w:rFonts w:asciiTheme="minorHAnsi" w:eastAsiaTheme="majorEastAsia" w:hAnsiTheme="minorHAnsi" w:cstheme="minorHAnsi"/>
            <w:color w:val="000000" w:themeColor="text1"/>
            <w:sz w:val="16"/>
            <w:szCs w:val="16"/>
            <w:u w:val="none"/>
          </w:rPr>
          <w:t>https://www.ncbi.nlm.nih.gov/pmc/articles/PMC7079893/pdf/281_2017_Article_629.pdf</w:t>
        </w:r>
      </w:hyperlink>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60" w:tooltip="Respirology (Carlton, Vic.)." w:history="1">
        <w:r w:rsidR="008F6FFE" w:rsidRPr="00B43469">
          <w:rPr>
            <w:rStyle w:val="Hyperlink"/>
            <w:rFonts w:asciiTheme="minorHAnsi" w:eastAsiaTheme="majorEastAsia" w:hAnsiTheme="minorHAnsi" w:cstheme="minorHAnsi"/>
            <w:color w:val="000000" w:themeColor="text1"/>
            <w:sz w:val="16"/>
            <w:szCs w:val="16"/>
            <w:u w:val="none"/>
            <w:lang w:val="en-US"/>
          </w:rPr>
          <w:t>Respirology.</w:t>
        </w:r>
      </w:hyperlink>
      <w:r w:rsidR="008F6FFE" w:rsidRPr="00B43469">
        <w:rPr>
          <w:rStyle w:val="Hyperlink"/>
          <w:rFonts w:asciiTheme="minorHAnsi" w:eastAsiaTheme="majorEastAsia" w:hAnsiTheme="minorHAnsi" w:cstheme="minorHAnsi"/>
          <w:color w:val="000000" w:themeColor="text1"/>
          <w:sz w:val="16"/>
          <w:szCs w:val="16"/>
          <w:u w:val="none"/>
          <w:lang w:val="en-US"/>
        </w:rPr>
        <w:t> 2006 Nov;11(6):715-22.</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Temporal changes in cytokine/chemokine profiles and pulmonary involvement in severe acute respiratory syndrome.</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61" w:history="1">
        <w:r w:rsidR="008F6FFE" w:rsidRPr="00B43469">
          <w:rPr>
            <w:rStyle w:val="Hyperlink"/>
            <w:rFonts w:asciiTheme="minorHAnsi" w:eastAsiaTheme="majorEastAsia" w:hAnsiTheme="minorHAnsi" w:cstheme="minorHAnsi"/>
            <w:color w:val="000000" w:themeColor="text1"/>
            <w:sz w:val="16"/>
            <w:szCs w:val="16"/>
            <w:u w:val="none"/>
            <w:lang w:val="en-US"/>
          </w:rPr>
          <w:t>Chien JY</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462" w:history="1">
        <w:r w:rsidR="008F6FFE" w:rsidRPr="00B43469">
          <w:rPr>
            <w:rStyle w:val="Hyperlink"/>
            <w:rFonts w:asciiTheme="minorHAnsi" w:eastAsiaTheme="majorEastAsia" w:hAnsiTheme="minorHAnsi" w:cstheme="minorHAnsi"/>
            <w:color w:val="000000" w:themeColor="text1"/>
            <w:sz w:val="16"/>
            <w:szCs w:val="16"/>
            <w:u w:val="none"/>
            <w:lang w:val="en-US"/>
          </w:rPr>
          <w:t>Hsueh PR</w:t>
        </w:r>
      </w:hyperlink>
      <w:r w:rsidR="008F6FFE" w:rsidRPr="00B43469">
        <w:rPr>
          <w:rStyle w:val="Hyperlink"/>
          <w:rFonts w:asciiTheme="minorHAnsi" w:eastAsiaTheme="majorEastAsia" w:hAnsiTheme="minorHAnsi" w:cstheme="minorHAnsi"/>
          <w:color w:val="000000" w:themeColor="text1"/>
          <w:sz w:val="16"/>
          <w:szCs w:val="16"/>
          <w:u w:val="none"/>
          <w:lang w:val="en-US"/>
        </w:rPr>
        <w:t>, </w:t>
      </w:r>
      <w:hyperlink r:id="rId463" w:history="1">
        <w:r w:rsidR="008F6FFE" w:rsidRPr="00B43469">
          <w:rPr>
            <w:rStyle w:val="Hyperlink"/>
            <w:rFonts w:asciiTheme="minorHAnsi" w:eastAsiaTheme="majorEastAsia" w:hAnsiTheme="minorHAnsi" w:cstheme="minorHAnsi"/>
            <w:color w:val="000000" w:themeColor="text1"/>
            <w:sz w:val="16"/>
            <w:szCs w:val="16"/>
            <w:u w:val="none"/>
            <w:lang w:val="en-US"/>
          </w:rPr>
          <w:t>Cheng WC</w:t>
        </w:r>
      </w:hyperlink>
      <w:r w:rsidR="008F6FFE" w:rsidRPr="00B43469">
        <w:rPr>
          <w:rStyle w:val="Hyperlink"/>
          <w:rFonts w:asciiTheme="minorHAnsi" w:eastAsiaTheme="majorEastAsia" w:hAnsiTheme="minorHAnsi" w:cstheme="minorHAnsi"/>
          <w:color w:val="000000" w:themeColor="text1"/>
          <w:sz w:val="16"/>
          <w:szCs w:val="16"/>
          <w:u w:val="none"/>
          <w:lang w:val="en-US"/>
        </w:rPr>
        <w:t>, </w:t>
      </w:r>
      <w:hyperlink r:id="rId464" w:history="1">
        <w:r w:rsidR="008F6FFE" w:rsidRPr="00B43469">
          <w:rPr>
            <w:rStyle w:val="Hyperlink"/>
            <w:rFonts w:asciiTheme="minorHAnsi" w:eastAsiaTheme="majorEastAsia" w:hAnsiTheme="minorHAnsi" w:cstheme="minorHAnsi"/>
            <w:color w:val="000000" w:themeColor="text1"/>
            <w:sz w:val="16"/>
            <w:szCs w:val="16"/>
            <w:u w:val="none"/>
            <w:lang w:val="en-US"/>
          </w:rPr>
          <w:t>Yu CJ</w:t>
        </w:r>
      </w:hyperlink>
      <w:r w:rsidR="008F6FFE" w:rsidRPr="00B43469">
        <w:rPr>
          <w:rStyle w:val="Hyperlink"/>
          <w:rFonts w:asciiTheme="minorHAnsi" w:eastAsiaTheme="majorEastAsia" w:hAnsiTheme="minorHAnsi" w:cstheme="minorHAnsi"/>
          <w:color w:val="000000" w:themeColor="text1"/>
          <w:sz w:val="16"/>
          <w:szCs w:val="16"/>
          <w:u w:val="none"/>
          <w:lang w:val="en-US"/>
        </w:rPr>
        <w:t>, </w:t>
      </w:r>
      <w:hyperlink r:id="rId465" w:history="1">
        <w:r w:rsidR="008F6FFE" w:rsidRPr="00B43469">
          <w:rPr>
            <w:rStyle w:val="Hyperlink"/>
            <w:rFonts w:asciiTheme="minorHAnsi" w:eastAsiaTheme="majorEastAsia" w:hAnsiTheme="minorHAnsi" w:cstheme="minorHAnsi"/>
            <w:color w:val="000000" w:themeColor="text1"/>
            <w:sz w:val="16"/>
            <w:szCs w:val="16"/>
            <w:u w:val="none"/>
            <w:lang w:val="en-US"/>
          </w:rPr>
          <w:t>Yang PC</w:t>
        </w:r>
      </w:hyperlink>
      <w:r w:rsidR="008F6FFE" w:rsidRPr="00B43469">
        <w:rPr>
          <w:rStyle w:val="Hyperlink"/>
          <w:rFonts w:asciiTheme="minorHAnsi" w:eastAsiaTheme="majorEastAsia" w:hAnsiTheme="minorHAnsi" w:cstheme="minorHAnsi"/>
          <w:color w:val="000000" w:themeColor="text1"/>
          <w:sz w:val="16"/>
          <w:szCs w:val="16"/>
          <w:u w:val="none"/>
          <w:lang w:val="en-US"/>
        </w:rPr>
        <w:t>.</w:t>
      </w:r>
    </w:p>
    <w:p w:rsidR="008F6FFE" w:rsidRPr="00B43469" w:rsidRDefault="0052743C" w:rsidP="00B43469">
      <w:pPr>
        <w:rPr>
          <w:rFonts w:asciiTheme="minorHAnsi" w:hAnsiTheme="minorHAnsi" w:cstheme="minorHAnsi"/>
          <w:color w:val="000000" w:themeColor="text1"/>
          <w:sz w:val="16"/>
          <w:szCs w:val="16"/>
          <w:lang w:val="en-US"/>
        </w:rPr>
      </w:pPr>
      <w:hyperlink r:id="rId466" w:history="1">
        <w:r w:rsidR="008F6FFE" w:rsidRPr="00B43469">
          <w:rPr>
            <w:rFonts w:asciiTheme="minorHAnsi" w:hAnsiTheme="minorHAnsi" w:cstheme="minorHAnsi"/>
            <w:color w:val="000000" w:themeColor="text1"/>
            <w:sz w:val="16"/>
            <w:szCs w:val="16"/>
            <w:lang w:val="en-US"/>
          </w:rPr>
          <w:t>https://www.ncbi.nlm.nih.gov/pmc/articles/PMC7192207/pdf/RESP-11-715.pdf</w:t>
        </w:r>
      </w:hyperlink>
    </w:p>
    <w:p w:rsidR="008F6FFE" w:rsidRPr="00B43469" w:rsidRDefault="008F6FFE" w:rsidP="00717D4D">
      <w:pPr>
        <w:pStyle w:val="FootnoteText"/>
        <w:rPr>
          <w:rFonts w:asciiTheme="minorHAnsi" w:hAnsiTheme="minorHAnsi" w:cstheme="minorHAnsi"/>
          <w:color w:val="000000" w:themeColor="text1"/>
          <w:sz w:val="16"/>
          <w:szCs w:val="16"/>
          <w:lang w:val="en-US"/>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67" w:tooltip="Aging." w:history="1">
        <w:r w:rsidR="008F6FFE" w:rsidRPr="00B43469">
          <w:rPr>
            <w:rStyle w:val="Hyperlink"/>
            <w:rFonts w:asciiTheme="minorHAnsi" w:eastAsiaTheme="majorEastAsia" w:hAnsiTheme="minorHAnsi" w:cstheme="minorHAnsi"/>
            <w:color w:val="000000" w:themeColor="text1"/>
            <w:sz w:val="16"/>
            <w:szCs w:val="16"/>
            <w:u w:val="none"/>
            <w:lang w:val="en-US"/>
          </w:rPr>
          <w:t>Aging (Albany NY).</w:t>
        </w:r>
      </w:hyperlink>
      <w:r w:rsidR="008F6FFE" w:rsidRPr="00B43469">
        <w:rPr>
          <w:rStyle w:val="Hyperlink"/>
          <w:rFonts w:asciiTheme="minorHAnsi" w:eastAsiaTheme="majorEastAsia" w:hAnsiTheme="minorHAnsi" w:cstheme="minorHAnsi"/>
          <w:color w:val="000000" w:themeColor="text1"/>
          <w:sz w:val="16"/>
          <w:szCs w:val="16"/>
          <w:u w:val="none"/>
          <w:lang w:val="en-US"/>
        </w:rPr>
        <w:t xml:space="preserve"> 2020 May 2;12. doi: 10.18632/aging.103101. </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Immune environment modulation in pneumonia patients caused by coronavirus: SARS-CoV, MERS-CoV and SARS-CoV-2.</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68" w:history="1">
        <w:r w:rsidR="008F6FFE" w:rsidRPr="00B43469">
          <w:rPr>
            <w:rStyle w:val="Hyperlink"/>
            <w:rFonts w:asciiTheme="minorHAnsi" w:eastAsiaTheme="majorEastAsia" w:hAnsiTheme="minorHAnsi" w:cstheme="minorHAnsi"/>
            <w:color w:val="000000" w:themeColor="text1"/>
            <w:sz w:val="16"/>
            <w:szCs w:val="16"/>
            <w:u w:val="none"/>
            <w:lang w:val="en-US"/>
          </w:rPr>
          <w:t>Yao Z</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469" w:history="1">
        <w:r w:rsidR="008F6FFE" w:rsidRPr="00B43469">
          <w:rPr>
            <w:rStyle w:val="Hyperlink"/>
            <w:rFonts w:asciiTheme="minorHAnsi" w:eastAsiaTheme="majorEastAsia" w:hAnsiTheme="minorHAnsi" w:cstheme="minorHAnsi"/>
            <w:color w:val="000000" w:themeColor="text1"/>
            <w:sz w:val="16"/>
            <w:szCs w:val="16"/>
            <w:u w:val="none"/>
            <w:lang w:val="en-US"/>
          </w:rPr>
          <w:t>Zheng Z</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470" w:history="1">
        <w:r w:rsidR="008F6FFE" w:rsidRPr="00B43469">
          <w:rPr>
            <w:rStyle w:val="Hyperlink"/>
            <w:rFonts w:asciiTheme="minorHAnsi" w:eastAsiaTheme="majorEastAsia" w:hAnsiTheme="minorHAnsi" w:cstheme="minorHAnsi"/>
            <w:color w:val="000000" w:themeColor="text1"/>
            <w:sz w:val="16"/>
            <w:szCs w:val="16"/>
            <w:u w:val="none"/>
            <w:lang w:val="en-US"/>
          </w:rPr>
          <w:t>Wu K</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471" w:history="1">
        <w:r w:rsidR="008F6FFE" w:rsidRPr="00B43469">
          <w:rPr>
            <w:rStyle w:val="Hyperlink"/>
            <w:rFonts w:asciiTheme="minorHAnsi" w:eastAsiaTheme="majorEastAsia" w:hAnsiTheme="minorHAnsi" w:cstheme="minorHAnsi"/>
            <w:color w:val="000000" w:themeColor="text1"/>
            <w:sz w:val="16"/>
            <w:szCs w:val="16"/>
            <w:u w:val="none"/>
            <w:lang w:val="en-US"/>
          </w:rPr>
          <w:t>Junhua Z</w:t>
        </w:r>
      </w:hyperlink>
      <w:r w:rsidR="008F6FFE" w:rsidRPr="00B43469">
        <w:rPr>
          <w:rStyle w:val="Hyperlink"/>
          <w:rFonts w:asciiTheme="minorHAnsi" w:eastAsiaTheme="majorEastAsia" w:hAnsiTheme="minorHAnsi" w:cstheme="minorHAnsi"/>
          <w:color w:val="000000" w:themeColor="text1"/>
          <w:sz w:val="16"/>
          <w:szCs w:val="16"/>
          <w:u w:val="none"/>
          <w:lang w:val="en-US"/>
        </w:rPr>
        <w:t>1.</w:t>
      </w:r>
    </w:p>
    <w:p w:rsidR="008F6FFE" w:rsidRPr="00B43469" w:rsidRDefault="0052743C" w:rsidP="00717D4D">
      <w:pPr>
        <w:rPr>
          <w:rFonts w:asciiTheme="minorHAnsi" w:hAnsiTheme="minorHAnsi" w:cstheme="minorHAnsi"/>
          <w:color w:val="000000" w:themeColor="text1"/>
          <w:sz w:val="16"/>
          <w:szCs w:val="16"/>
          <w:lang w:val="en-US"/>
        </w:rPr>
      </w:pPr>
      <w:hyperlink r:id="rId472" w:history="1">
        <w:r w:rsidR="008F6FFE" w:rsidRPr="00B43469">
          <w:rPr>
            <w:rStyle w:val="Hyperlink"/>
            <w:rFonts w:asciiTheme="minorHAnsi" w:eastAsiaTheme="majorEastAsia" w:hAnsiTheme="minorHAnsi" w:cstheme="minorHAnsi"/>
            <w:color w:val="000000" w:themeColor="text1"/>
            <w:sz w:val="16"/>
            <w:szCs w:val="16"/>
            <w:u w:val="none"/>
            <w:lang w:val="en-US"/>
          </w:rPr>
          <w:t>https://paperchase-aging.s3-us-west-1.amazonaws.com/pdf/vgbdsA4AtLiNjLZgc.pdf</w:t>
        </w:r>
      </w:hyperlink>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73" w:tooltip="Autoimmunity reviews." w:history="1">
        <w:r w:rsidR="008F6FFE" w:rsidRPr="00B43469">
          <w:rPr>
            <w:rStyle w:val="Hyperlink"/>
            <w:rFonts w:asciiTheme="minorHAnsi" w:eastAsiaTheme="majorEastAsia" w:hAnsiTheme="minorHAnsi" w:cstheme="minorHAnsi"/>
            <w:color w:val="000000" w:themeColor="text1"/>
            <w:sz w:val="16"/>
            <w:szCs w:val="16"/>
            <w:u w:val="none"/>
            <w:lang w:val="en-US"/>
          </w:rPr>
          <w:t>Autoimmun Rev.</w:t>
        </w:r>
      </w:hyperlink>
      <w:r w:rsidR="008F6FFE" w:rsidRPr="00B43469">
        <w:rPr>
          <w:rStyle w:val="Hyperlink"/>
          <w:rFonts w:asciiTheme="minorHAnsi" w:eastAsiaTheme="majorEastAsia" w:hAnsiTheme="minorHAnsi" w:cstheme="minorHAnsi"/>
          <w:color w:val="000000" w:themeColor="text1"/>
          <w:sz w:val="16"/>
          <w:szCs w:val="16"/>
          <w:u w:val="none"/>
          <w:lang w:val="en-US"/>
        </w:rPr>
        <w:t xml:space="preserve"> 2020 Apr 3:102537. doi: 10.1016/j.autrev.2020.102537. </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The Role of Cytokines including Interleukin-6 in COVID-19 induced Pneumonia and Macrophage Activation Syndrome-Like Disease.</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74" w:history="1">
        <w:r w:rsidR="008F6FFE" w:rsidRPr="00B43469">
          <w:rPr>
            <w:rStyle w:val="Hyperlink"/>
            <w:rFonts w:asciiTheme="minorHAnsi" w:eastAsiaTheme="majorEastAsia" w:hAnsiTheme="minorHAnsi" w:cstheme="minorHAnsi"/>
            <w:color w:val="000000" w:themeColor="text1"/>
            <w:sz w:val="16"/>
            <w:szCs w:val="16"/>
            <w:u w:val="none"/>
            <w:lang w:val="en-US"/>
          </w:rPr>
          <w:t>McGonagle D</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475" w:history="1">
        <w:r w:rsidR="008F6FFE" w:rsidRPr="00B43469">
          <w:rPr>
            <w:rStyle w:val="Hyperlink"/>
            <w:rFonts w:asciiTheme="minorHAnsi" w:eastAsiaTheme="majorEastAsia" w:hAnsiTheme="minorHAnsi" w:cstheme="minorHAnsi"/>
            <w:color w:val="000000" w:themeColor="text1"/>
            <w:sz w:val="16"/>
            <w:szCs w:val="16"/>
            <w:u w:val="none"/>
            <w:lang w:val="en-US"/>
          </w:rPr>
          <w:t>Sharif K</w:t>
        </w:r>
      </w:hyperlink>
      <w:r w:rsidR="008F6FFE" w:rsidRPr="00B43469">
        <w:rPr>
          <w:rStyle w:val="Hyperlink"/>
          <w:rFonts w:asciiTheme="minorHAnsi" w:eastAsiaTheme="majorEastAsia" w:hAnsiTheme="minorHAnsi" w:cstheme="minorHAnsi"/>
          <w:color w:val="000000" w:themeColor="text1"/>
          <w:sz w:val="16"/>
          <w:szCs w:val="16"/>
          <w:u w:val="none"/>
          <w:lang w:val="en-US"/>
        </w:rPr>
        <w:t>2, </w:t>
      </w:r>
      <w:hyperlink r:id="rId476" w:history="1">
        <w:r w:rsidR="008F6FFE" w:rsidRPr="00B43469">
          <w:rPr>
            <w:rStyle w:val="Hyperlink"/>
            <w:rFonts w:asciiTheme="minorHAnsi" w:eastAsiaTheme="majorEastAsia" w:hAnsiTheme="minorHAnsi" w:cstheme="minorHAnsi"/>
            <w:color w:val="000000" w:themeColor="text1"/>
            <w:sz w:val="16"/>
            <w:szCs w:val="16"/>
            <w:u w:val="none"/>
            <w:lang w:val="en-US"/>
          </w:rPr>
          <w:t>O'Regan A</w:t>
        </w:r>
      </w:hyperlink>
      <w:r w:rsidR="008F6FFE" w:rsidRPr="00B43469">
        <w:rPr>
          <w:rStyle w:val="Hyperlink"/>
          <w:rFonts w:asciiTheme="minorHAnsi" w:eastAsiaTheme="majorEastAsia" w:hAnsiTheme="minorHAnsi" w:cstheme="minorHAnsi"/>
          <w:color w:val="000000" w:themeColor="text1"/>
          <w:sz w:val="16"/>
          <w:szCs w:val="16"/>
          <w:u w:val="none"/>
          <w:lang w:val="en-US"/>
        </w:rPr>
        <w:t>3, </w:t>
      </w:r>
      <w:hyperlink r:id="rId477" w:history="1">
        <w:r w:rsidR="008F6FFE" w:rsidRPr="00B43469">
          <w:rPr>
            <w:rStyle w:val="Hyperlink"/>
            <w:rFonts w:asciiTheme="minorHAnsi" w:eastAsiaTheme="majorEastAsia" w:hAnsiTheme="minorHAnsi" w:cstheme="minorHAnsi"/>
            <w:color w:val="000000" w:themeColor="text1"/>
            <w:sz w:val="16"/>
            <w:szCs w:val="16"/>
            <w:u w:val="none"/>
            <w:lang w:val="en-US"/>
          </w:rPr>
          <w:t>Bridgewood C</w:t>
        </w:r>
      </w:hyperlink>
      <w:r w:rsidR="008F6FFE" w:rsidRPr="00B43469">
        <w:rPr>
          <w:rStyle w:val="Hyperlink"/>
          <w:rFonts w:asciiTheme="minorHAnsi" w:eastAsiaTheme="majorEastAsia" w:hAnsiTheme="minorHAnsi" w:cstheme="minorHAnsi"/>
          <w:color w:val="000000" w:themeColor="text1"/>
          <w:sz w:val="16"/>
          <w:szCs w:val="16"/>
          <w:u w:val="none"/>
          <w:lang w:val="en-US"/>
        </w:rPr>
        <w:t>4.</w:t>
      </w:r>
    </w:p>
    <w:p w:rsidR="008F6FFE" w:rsidRPr="00B43469" w:rsidRDefault="0052743C" w:rsidP="00B43469">
      <w:pPr>
        <w:rPr>
          <w:rFonts w:asciiTheme="minorHAnsi" w:hAnsiTheme="minorHAnsi" w:cstheme="minorHAnsi"/>
          <w:color w:val="000000" w:themeColor="text1"/>
          <w:sz w:val="16"/>
          <w:szCs w:val="16"/>
          <w:lang w:val="en-US"/>
        </w:rPr>
      </w:pPr>
      <w:hyperlink r:id="rId478" w:history="1">
        <w:r w:rsidR="008F6FFE" w:rsidRPr="00B43469">
          <w:rPr>
            <w:rFonts w:asciiTheme="minorHAnsi" w:hAnsiTheme="minorHAnsi" w:cstheme="minorHAnsi"/>
            <w:color w:val="000000" w:themeColor="text1"/>
            <w:sz w:val="16"/>
            <w:szCs w:val="16"/>
            <w:lang w:val="en-US"/>
          </w:rPr>
          <w:t>https://www.ncbi.nlm.nih.gov/pmc/articles/PMC7195002/</w:t>
        </w:r>
      </w:hyperlink>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79" w:tooltip="Lancet (London, England)." w:history="1">
        <w:r w:rsidR="008F6FFE" w:rsidRPr="00B43469">
          <w:rPr>
            <w:rStyle w:val="Hyperlink"/>
            <w:rFonts w:asciiTheme="minorHAnsi" w:eastAsiaTheme="majorEastAsia" w:hAnsiTheme="minorHAnsi" w:cstheme="minorHAnsi"/>
            <w:color w:val="000000" w:themeColor="text1"/>
            <w:sz w:val="16"/>
            <w:szCs w:val="16"/>
            <w:u w:val="none"/>
            <w:lang w:val="en-US"/>
          </w:rPr>
          <w:t>Lancet.</w:t>
        </w:r>
      </w:hyperlink>
      <w:r w:rsidR="008F6FFE" w:rsidRPr="00B43469">
        <w:rPr>
          <w:rStyle w:val="Hyperlink"/>
          <w:rFonts w:asciiTheme="minorHAnsi" w:eastAsiaTheme="majorEastAsia" w:hAnsiTheme="minorHAnsi" w:cstheme="minorHAnsi"/>
          <w:color w:val="000000" w:themeColor="text1"/>
          <w:sz w:val="16"/>
          <w:szCs w:val="16"/>
          <w:u w:val="none"/>
          <w:lang w:val="en-US"/>
        </w:rPr>
        <w:t> 2020 Mar 28;395(10229):1033-1034. doi: 10.1016/S0140-6736(20)30628-0.</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COVID-19: consider cytokine storm syndromes and immunosuppression.</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80" w:history="1">
        <w:r w:rsidR="008F6FFE" w:rsidRPr="00B43469">
          <w:rPr>
            <w:rStyle w:val="Hyperlink"/>
            <w:rFonts w:asciiTheme="minorHAnsi" w:eastAsiaTheme="majorEastAsia" w:hAnsiTheme="minorHAnsi" w:cstheme="minorHAnsi"/>
            <w:color w:val="000000" w:themeColor="text1"/>
            <w:sz w:val="16"/>
            <w:szCs w:val="16"/>
            <w:u w:val="none"/>
            <w:lang w:val="en-US"/>
          </w:rPr>
          <w:t>Mehta P</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481" w:history="1">
        <w:r w:rsidR="008F6FFE" w:rsidRPr="00B43469">
          <w:rPr>
            <w:rStyle w:val="Hyperlink"/>
            <w:rFonts w:asciiTheme="minorHAnsi" w:eastAsiaTheme="majorEastAsia" w:hAnsiTheme="minorHAnsi" w:cstheme="minorHAnsi"/>
            <w:color w:val="000000" w:themeColor="text1"/>
            <w:sz w:val="16"/>
            <w:szCs w:val="16"/>
            <w:u w:val="none"/>
            <w:lang w:val="en-US"/>
          </w:rPr>
          <w:t>McAuley DF</w:t>
        </w:r>
      </w:hyperlink>
      <w:r w:rsidR="008F6FFE" w:rsidRPr="00B43469">
        <w:rPr>
          <w:rStyle w:val="Hyperlink"/>
          <w:rFonts w:asciiTheme="minorHAnsi" w:eastAsiaTheme="majorEastAsia" w:hAnsiTheme="minorHAnsi" w:cstheme="minorHAnsi"/>
          <w:color w:val="000000" w:themeColor="text1"/>
          <w:sz w:val="16"/>
          <w:szCs w:val="16"/>
          <w:u w:val="none"/>
          <w:lang w:val="en-US"/>
        </w:rPr>
        <w:t>2, </w:t>
      </w:r>
      <w:hyperlink r:id="rId482" w:history="1">
        <w:r w:rsidR="008F6FFE" w:rsidRPr="00B43469">
          <w:rPr>
            <w:rStyle w:val="Hyperlink"/>
            <w:rFonts w:asciiTheme="minorHAnsi" w:eastAsiaTheme="majorEastAsia" w:hAnsiTheme="minorHAnsi" w:cstheme="minorHAnsi"/>
            <w:color w:val="000000" w:themeColor="text1"/>
            <w:sz w:val="16"/>
            <w:szCs w:val="16"/>
            <w:u w:val="none"/>
            <w:lang w:val="en-US"/>
          </w:rPr>
          <w:t>Brown M</w:t>
        </w:r>
      </w:hyperlink>
      <w:r w:rsidR="008F6FFE" w:rsidRPr="00B43469">
        <w:rPr>
          <w:rStyle w:val="Hyperlink"/>
          <w:rFonts w:asciiTheme="minorHAnsi" w:eastAsiaTheme="majorEastAsia" w:hAnsiTheme="minorHAnsi" w:cstheme="minorHAnsi"/>
          <w:color w:val="000000" w:themeColor="text1"/>
          <w:sz w:val="16"/>
          <w:szCs w:val="16"/>
          <w:u w:val="none"/>
          <w:lang w:val="en-US"/>
        </w:rPr>
        <w:t>3, </w:t>
      </w:r>
      <w:hyperlink r:id="rId483" w:history="1">
        <w:r w:rsidR="008F6FFE" w:rsidRPr="00B43469">
          <w:rPr>
            <w:rStyle w:val="Hyperlink"/>
            <w:rFonts w:asciiTheme="minorHAnsi" w:eastAsiaTheme="majorEastAsia" w:hAnsiTheme="minorHAnsi" w:cstheme="minorHAnsi"/>
            <w:color w:val="000000" w:themeColor="text1"/>
            <w:sz w:val="16"/>
            <w:szCs w:val="16"/>
            <w:u w:val="none"/>
            <w:lang w:val="en-US"/>
          </w:rPr>
          <w:t>Sanchez E</w:t>
        </w:r>
      </w:hyperlink>
      <w:r w:rsidR="008F6FFE" w:rsidRPr="00B43469">
        <w:rPr>
          <w:rStyle w:val="Hyperlink"/>
          <w:rFonts w:asciiTheme="minorHAnsi" w:eastAsiaTheme="majorEastAsia" w:hAnsiTheme="minorHAnsi" w:cstheme="minorHAnsi"/>
          <w:color w:val="000000" w:themeColor="text1"/>
          <w:sz w:val="16"/>
          <w:szCs w:val="16"/>
          <w:u w:val="none"/>
          <w:lang w:val="en-US"/>
        </w:rPr>
        <w:t>4, </w:t>
      </w:r>
      <w:hyperlink r:id="rId484" w:history="1">
        <w:r w:rsidR="008F6FFE" w:rsidRPr="00B43469">
          <w:rPr>
            <w:rStyle w:val="Hyperlink"/>
            <w:rFonts w:asciiTheme="minorHAnsi" w:eastAsiaTheme="majorEastAsia" w:hAnsiTheme="minorHAnsi" w:cstheme="minorHAnsi"/>
            <w:color w:val="000000" w:themeColor="text1"/>
            <w:sz w:val="16"/>
            <w:szCs w:val="16"/>
            <w:u w:val="none"/>
            <w:lang w:val="en-US"/>
          </w:rPr>
          <w:t>Tattersall RS</w:t>
        </w:r>
      </w:hyperlink>
      <w:r w:rsidR="008F6FFE" w:rsidRPr="00B43469">
        <w:rPr>
          <w:rStyle w:val="Hyperlink"/>
          <w:rFonts w:asciiTheme="minorHAnsi" w:eastAsiaTheme="majorEastAsia" w:hAnsiTheme="minorHAnsi" w:cstheme="minorHAnsi"/>
          <w:color w:val="000000" w:themeColor="text1"/>
          <w:sz w:val="16"/>
          <w:szCs w:val="16"/>
          <w:u w:val="none"/>
          <w:lang w:val="en-US"/>
        </w:rPr>
        <w:t>5, </w:t>
      </w:r>
      <w:hyperlink r:id="rId485" w:history="1">
        <w:r w:rsidR="008F6FFE" w:rsidRPr="00B43469">
          <w:rPr>
            <w:rStyle w:val="Hyperlink"/>
            <w:rFonts w:asciiTheme="minorHAnsi" w:eastAsiaTheme="majorEastAsia" w:hAnsiTheme="minorHAnsi" w:cstheme="minorHAnsi"/>
            <w:color w:val="000000" w:themeColor="text1"/>
            <w:sz w:val="16"/>
            <w:szCs w:val="16"/>
            <w:u w:val="none"/>
            <w:lang w:val="en-US"/>
          </w:rPr>
          <w:t>Manson JJ</w:t>
        </w:r>
      </w:hyperlink>
      <w:r w:rsidR="008F6FFE" w:rsidRPr="00B43469">
        <w:rPr>
          <w:rStyle w:val="Hyperlink"/>
          <w:rFonts w:asciiTheme="minorHAnsi" w:eastAsiaTheme="majorEastAsia" w:hAnsiTheme="minorHAnsi" w:cstheme="minorHAnsi"/>
          <w:color w:val="000000" w:themeColor="text1"/>
          <w:sz w:val="16"/>
          <w:szCs w:val="16"/>
          <w:u w:val="none"/>
          <w:lang w:val="en-US"/>
        </w:rPr>
        <w:t>6; </w:t>
      </w:r>
      <w:hyperlink r:id="rId486" w:history="1">
        <w:r w:rsidR="008F6FFE" w:rsidRPr="00B43469">
          <w:rPr>
            <w:rStyle w:val="Hyperlink"/>
            <w:rFonts w:asciiTheme="minorHAnsi" w:eastAsiaTheme="majorEastAsia" w:hAnsiTheme="minorHAnsi" w:cstheme="minorHAnsi"/>
            <w:color w:val="000000" w:themeColor="text1"/>
            <w:sz w:val="16"/>
            <w:szCs w:val="16"/>
            <w:u w:val="none"/>
            <w:lang w:val="en-US"/>
          </w:rPr>
          <w:t>HLH Across Speciality Collaboration, UK</w:t>
        </w:r>
      </w:hyperlink>
      <w:r w:rsidR="008F6FFE" w:rsidRPr="00B43469">
        <w:rPr>
          <w:rStyle w:val="Hyperlink"/>
          <w:rFonts w:asciiTheme="minorHAnsi" w:eastAsiaTheme="majorEastAsia" w:hAnsiTheme="minorHAnsi" w:cstheme="minorHAnsi"/>
          <w:color w:val="000000" w:themeColor="text1"/>
          <w:sz w:val="16"/>
          <w:szCs w:val="16"/>
          <w:u w:val="none"/>
          <w:lang w:val="en-US"/>
        </w:rPr>
        <w:t>.</w:t>
      </w:r>
    </w:p>
    <w:p w:rsidR="008F6FFE" w:rsidRPr="00DC48B4" w:rsidRDefault="0052743C" w:rsidP="00B43469">
      <w:pPr>
        <w:rPr>
          <w:rFonts w:asciiTheme="minorHAnsi" w:hAnsiTheme="minorHAnsi" w:cstheme="minorHAnsi"/>
          <w:color w:val="000000" w:themeColor="text1"/>
          <w:sz w:val="16"/>
          <w:szCs w:val="16"/>
          <w:lang w:val="en-US"/>
        </w:rPr>
      </w:pPr>
      <w:hyperlink r:id="rId487" w:history="1">
        <w:r w:rsidR="008F6FFE" w:rsidRPr="00B43469">
          <w:rPr>
            <w:rFonts w:asciiTheme="minorHAnsi" w:hAnsiTheme="minorHAnsi" w:cstheme="minorHAnsi"/>
            <w:color w:val="000000" w:themeColor="text1"/>
            <w:sz w:val="16"/>
            <w:szCs w:val="16"/>
            <w:lang w:val="en-US"/>
          </w:rPr>
          <w:t>https://www.ncbi.nlm.nih.gov/pmc/articles/PMC7270045/pdf/main.pdf</w:t>
        </w:r>
      </w:hyperlink>
    </w:p>
    <w:p w:rsidR="008F6FFE" w:rsidRPr="00B43469" w:rsidRDefault="008F6FFE" w:rsidP="00B43469">
      <w:pPr>
        <w:rPr>
          <w:rFonts w:asciiTheme="minorHAnsi" w:hAnsiTheme="minorHAnsi" w:cstheme="minorHAnsi"/>
          <w:color w:val="000000" w:themeColor="text1"/>
          <w:sz w:val="16"/>
          <w:szCs w:val="16"/>
          <w:lang w:val="en-US"/>
        </w:rPr>
      </w:pPr>
    </w:p>
    <w:p w:rsidR="008F6FFE" w:rsidRPr="00B43469" w:rsidRDefault="0052743C" w:rsidP="00717D4D">
      <w:pPr>
        <w:shd w:val="clear" w:color="auto" w:fill="FFFFFF"/>
        <w:jc w:val="both"/>
        <w:rPr>
          <w:rFonts w:asciiTheme="minorHAnsi" w:hAnsiTheme="minorHAnsi" w:cstheme="minorHAnsi"/>
          <w:color w:val="000000" w:themeColor="text1"/>
          <w:sz w:val="16"/>
          <w:szCs w:val="16"/>
          <w:lang w:val="en-US"/>
        </w:rPr>
      </w:pPr>
      <w:hyperlink r:id="rId488" w:tooltip="Journal for immunotherapy of cancer." w:history="1">
        <w:r w:rsidR="008F6FFE" w:rsidRPr="00B43469">
          <w:rPr>
            <w:rStyle w:val="Hyperlink"/>
            <w:rFonts w:asciiTheme="minorHAnsi" w:eastAsiaTheme="majorEastAsia" w:hAnsiTheme="minorHAnsi" w:cstheme="minorHAnsi"/>
            <w:color w:val="000000" w:themeColor="text1"/>
            <w:sz w:val="16"/>
            <w:szCs w:val="16"/>
            <w:u w:val="none"/>
            <w:lang w:val="en-US"/>
          </w:rPr>
          <w:t>J Immunother Cancer.</w:t>
        </w:r>
      </w:hyperlink>
      <w:r w:rsidR="008F6FFE" w:rsidRPr="00B43469">
        <w:rPr>
          <w:rFonts w:asciiTheme="minorHAnsi" w:hAnsiTheme="minorHAnsi" w:cstheme="minorHAnsi"/>
          <w:color w:val="000000" w:themeColor="text1"/>
          <w:sz w:val="16"/>
          <w:szCs w:val="16"/>
          <w:lang w:val="en-US"/>
        </w:rPr>
        <w:t> 2018 Jun 15;6(1):56. doi: 10.1186/s40425-018-0343-9.</w:t>
      </w:r>
    </w:p>
    <w:p w:rsidR="008F6FFE" w:rsidRPr="00B43469" w:rsidRDefault="008F6FFE" w:rsidP="00717D4D">
      <w:pPr>
        <w:pStyle w:val="Heading1"/>
        <w:shd w:val="clear" w:color="auto" w:fill="FFFFFF"/>
        <w:spacing w:before="0"/>
        <w:jc w:val="both"/>
        <w:rPr>
          <w:rFonts w:asciiTheme="minorHAnsi" w:hAnsiTheme="minorHAnsi" w:cstheme="minorHAnsi"/>
          <w:color w:val="000000" w:themeColor="text1"/>
          <w:sz w:val="16"/>
          <w:szCs w:val="16"/>
          <w:lang w:val="en-US"/>
        </w:rPr>
      </w:pPr>
      <w:r w:rsidRPr="00B43469">
        <w:rPr>
          <w:rFonts w:asciiTheme="minorHAnsi" w:hAnsiTheme="minorHAnsi" w:cstheme="minorHAnsi"/>
          <w:color w:val="000000" w:themeColor="text1"/>
          <w:sz w:val="16"/>
          <w:szCs w:val="16"/>
          <w:lang w:val="en-US"/>
        </w:rPr>
        <w:t>Cytokine release syndrome.</w:t>
      </w:r>
    </w:p>
    <w:p w:rsidR="008F6FFE" w:rsidRPr="00B43469" w:rsidRDefault="0052743C" w:rsidP="00717D4D">
      <w:pPr>
        <w:shd w:val="clear" w:color="auto" w:fill="FFFFFF"/>
        <w:jc w:val="both"/>
        <w:rPr>
          <w:rFonts w:asciiTheme="minorHAnsi" w:hAnsiTheme="minorHAnsi" w:cstheme="minorHAnsi"/>
          <w:color w:val="000000" w:themeColor="text1"/>
          <w:sz w:val="16"/>
          <w:szCs w:val="16"/>
          <w:lang w:val="en-US"/>
        </w:rPr>
      </w:pPr>
      <w:hyperlink r:id="rId489" w:history="1">
        <w:r w:rsidR="008F6FFE" w:rsidRPr="00B43469">
          <w:rPr>
            <w:rStyle w:val="Hyperlink"/>
            <w:rFonts w:asciiTheme="minorHAnsi" w:eastAsiaTheme="majorEastAsia" w:hAnsiTheme="minorHAnsi" w:cstheme="minorHAnsi"/>
            <w:color w:val="000000" w:themeColor="text1"/>
            <w:sz w:val="16"/>
            <w:szCs w:val="16"/>
            <w:u w:val="none"/>
            <w:lang w:val="en-US"/>
          </w:rPr>
          <w:t>Shimabukuro-Vornhagen A</w:t>
        </w:r>
      </w:hyperlink>
      <w:r w:rsidR="008F6FFE" w:rsidRPr="00B43469">
        <w:rPr>
          <w:rFonts w:asciiTheme="minorHAnsi" w:hAnsiTheme="minorHAnsi" w:cstheme="minorHAnsi"/>
          <w:color w:val="000000" w:themeColor="text1"/>
          <w:sz w:val="16"/>
          <w:szCs w:val="16"/>
          <w:vertAlign w:val="superscript"/>
          <w:lang w:val="en-US"/>
        </w:rPr>
        <w:t xml:space="preserve"> </w:t>
      </w:r>
      <w:r w:rsidR="008F6FFE" w:rsidRPr="00B43469">
        <w:rPr>
          <w:rFonts w:asciiTheme="minorHAnsi" w:hAnsiTheme="minorHAnsi" w:cstheme="minorHAnsi"/>
          <w:color w:val="000000" w:themeColor="text1"/>
          <w:sz w:val="16"/>
          <w:szCs w:val="16"/>
          <w:lang w:val="en-US"/>
        </w:rPr>
        <w:t>et al.</w:t>
      </w:r>
    </w:p>
    <w:p w:rsidR="008F6FFE" w:rsidRPr="00B43469" w:rsidRDefault="0052743C" w:rsidP="00B43469">
      <w:pPr>
        <w:rPr>
          <w:rFonts w:asciiTheme="minorHAnsi" w:hAnsiTheme="minorHAnsi" w:cstheme="minorHAnsi"/>
          <w:color w:val="000000" w:themeColor="text1"/>
          <w:sz w:val="16"/>
          <w:szCs w:val="16"/>
          <w:lang w:val="en-US"/>
        </w:rPr>
      </w:pPr>
      <w:hyperlink r:id="rId490" w:history="1">
        <w:r w:rsidR="008F6FFE" w:rsidRPr="00B43469">
          <w:rPr>
            <w:rFonts w:asciiTheme="minorHAnsi" w:hAnsiTheme="minorHAnsi" w:cstheme="minorHAnsi"/>
            <w:color w:val="000000" w:themeColor="text1"/>
            <w:sz w:val="16"/>
            <w:szCs w:val="16"/>
            <w:lang w:val="en-US"/>
          </w:rPr>
          <w:t>https://www.ncbi.nlm.nih.gov/pmc/articles/PMC6003181/pdf/40425_2018_Article_343.pdf</w:t>
        </w:r>
      </w:hyperlink>
    </w:p>
    <w:p w:rsidR="008F6FFE" w:rsidRPr="00B43469" w:rsidRDefault="008F6FFE" w:rsidP="00717D4D">
      <w:pPr>
        <w:shd w:val="clear" w:color="auto" w:fill="FFFFFF"/>
        <w:jc w:val="both"/>
        <w:rPr>
          <w:rFonts w:asciiTheme="minorHAnsi" w:hAnsiTheme="minorHAnsi" w:cstheme="minorHAnsi"/>
          <w:color w:val="000000" w:themeColor="text1"/>
          <w:sz w:val="16"/>
          <w:szCs w:val="16"/>
          <w:lang w:val="en-US"/>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91" w:tooltip="Arthritis &amp; rheumatology (Hoboken, N.J.)." w:history="1">
        <w:r w:rsidR="008F6FFE" w:rsidRPr="00B43469">
          <w:rPr>
            <w:rStyle w:val="Hyperlink"/>
            <w:rFonts w:asciiTheme="minorHAnsi" w:eastAsiaTheme="majorEastAsia" w:hAnsiTheme="minorHAnsi" w:cstheme="minorHAnsi"/>
            <w:color w:val="000000" w:themeColor="text1"/>
            <w:sz w:val="16"/>
            <w:szCs w:val="16"/>
            <w:u w:val="none"/>
            <w:lang w:val="en-US"/>
          </w:rPr>
          <w:t>Arthritis Rheumatol.</w:t>
        </w:r>
      </w:hyperlink>
      <w:r w:rsidR="008F6FFE" w:rsidRPr="00B43469">
        <w:rPr>
          <w:rStyle w:val="Hyperlink"/>
          <w:rFonts w:asciiTheme="minorHAnsi" w:eastAsiaTheme="majorEastAsia" w:hAnsiTheme="minorHAnsi" w:cstheme="minorHAnsi"/>
          <w:color w:val="000000" w:themeColor="text1"/>
          <w:sz w:val="16"/>
          <w:szCs w:val="16"/>
          <w:u w:val="none"/>
          <w:lang w:val="en-US"/>
        </w:rPr>
        <w:t xml:space="preserve"> 2020 Apr 15. doi: 10.1002/art.41285. </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On the alert for cytokine storm: Immunopathology in COVID-19.</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492" w:history="1">
        <w:r w:rsidR="008F6FFE" w:rsidRPr="00B43469">
          <w:rPr>
            <w:rStyle w:val="Hyperlink"/>
            <w:rFonts w:asciiTheme="minorHAnsi" w:eastAsiaTheme="majorEastAsia" w:hAnsiTheme="minorHAnsi" w:cstheme="minorHAnsi"/>
            <w:color w:val="000000" w:themeColor="text1"/>
            <w:sz w:val="16"/>
            <w:szCs w:val="16"/>
            <w:u w:val="none"/>
          </w:rPr>
          <w:t>Henderson LA</w:t>
        </w:r>
      </w:hyperlink>
      <w:r w:rsidR="008F6FFE" w:rsidRPr="00B43469">
        <w:rPr>
          <w:rStyle w:val="Hyperlink"/>
          <w:rFonts w:asciiTheme="minorHAnsi" w:eastAsiaTheme="majorEastAsia" w:hAnsiTheme="minorHAnsi" w:cstheme="minorHAnsi"/>
          <w:color w:val="000000" w:themeColor="text1"/>
          <w:sz w:val="16"/>
          <w:szCs w:val="16"/>
          <w:u w:val="none"/>
        </w:rPr>
        <w:t xml:space="preserve"> et al.</w:t>
      </w:r>
    </w:p>
    <w:p w:rsidR="008F6FFE" w:rsidRPr="00B43469" w:rsidRDefault="0052743C" w:rsidP="00B43469">
      <w:pPr>
        <w:rPr>
          <w:rFonts w:asciiTheme="minorHAnsi" w:hAnsiTheme="minorHAnsi" w:cstheme="minorHAnsi"/>
          <w:color w:val="000000" w:themeColor="text1"/>
          <w:sz w:val="16"/>
          <w:szCs w:val="16"/>
        </w:rPr>
      </w:pPr>
      <w:hyperlink r:id="rId493" w:history="1">
        <w:r w:rsidR="008F6FFE" w:rsidRPr="00B43469">
          <w:rPr>
            <w:rFonts w:asciiTheme="minorHAnsi" w:hAnsiTheme="minorHAnsi" w:cstheme="minorHAnsi"/>
            <w:color w:val="000000" w:themeColor="text1"/>
            <w:sz w:val="16"/>
            <w:szCs w:val="16"/>
          </w:rPr>
          <w:t>https://www.ncbi.nlm.nih.gov/pmc/articles/PMC7262347/pdf/ART-9999-na.pdf</w:t>
        </w:r>
      </w:hyperlink>
    </w:p>
    <w:p w:rsidR="008F6FFE" w:rsidRPr="00B43469" w:rsidRDefault="008F6FFE" w:rsidP="00717D4D">
      <w:pPr>
        <w:jc w:val="both"/>
        <w:rPr>
          <w:rFonts w:asciiTheme="minorHAnsi" w:hAnsiTheme="minorHAnsi" w:cstheme="minorHAnsi"/>
          <w:color w:val="000000" w:themeColor="text1"/>
          <w:sz w:val="16"/>
          <w:szCs w:val="16"/>
        </w:rPr>
      </w:pPr>
    </w:p>
    <w:p w:rsidR="008F6FFE" w:rsidRPr="00DC48B4"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94" w:tooltip="Microbiology and molecular biology reviews : MMBR." w:history="1">
        <w:r w:rsidR="008F6FFE" w:rsidRPr="00DC48B4">
          <w:rPr>
            <w:rStyle w:val="Hyperlink"/>
            <w:rFonts w:asciiTheme="minorHAnsi" w:eastAsiaTheme="majorEastAsia" w:hAnsiTheme="minorHAnsi" w:cstheme="minorHAnsi"/>
            <w:color w:val="000000" w:themeColor="text1"/>
            <w:sz w:val="16"/>
            <w:szCs w:val="16"/>
            <w:u w:val="none"/>
            <w:lang w:val="en-US"/>
          </w:rPr>
          <w:t>Microbiol Mol Biol Rev.</w:t>
        </w:r>
      </w:hyperlink>
      <w:r w:rsidR="008F6FFE" w:rsidRPr="00DC48B4">
        <w:rPr>
          <w:rStyle w:val="Hyperlink"/>
          <w:rFonts w:asciiTheme="minorHAnsi" w:eastAsiaTheme="majorEastAsia" w:hAnsiTheme="minorHAnsi" w:cstheme="minorHAnsi"/>
          <w:color w:val="000000" w:themeColor="text1"/>
          <w:sz w:val="16"/>
          <w:szCs w:val="16"/>
          <w:u w:val="none"/>
          <w:lang w:val="en-US"/>
        </w:rPr>
        <w:t> 2012 Mar;76(1):16-32. doi: 10.1128/MMBR.05015-11.</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Into the eye of the cytokine storm.</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495" w:history="1">
        <w:r w:rsidR="008F6FFE" w:rsidRPr="00B43469">
          <w:rPr>
            <w:rStyle w:val="Hyperlink"/>
            <w:rFonts w:asciiTheme="minorHAnsi" w:eastAsiaTheme="majorEastAsia" w:hAnsiTheme="minorHAnsi" w:cstheme="minorHAnsi"/>
            <w:color w:val="000000" w:themeColor="text1"/>
            <w:sz w:val="16"/>
            <w:szCs w:val="16"/>
            <w:u w:val="none"/>
            <w:lang w:val="en-US"/>
          </w:rPr>
          <w:t>Tisoncik JR</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496" w:history="1">
        <w:r w:rsidR="008F6FFE" w:rsidRPr="00B43469">
          <w:rPr>
            <w:rStyle w:val="Hyperlink"/>
            <w:rFonts w:asciiTheme="minorHAnsi" w:eastAsiaTheme="majorEastAsia" w:hAnsiTheme="minorHAnsi" w:cstheme="minorHAnsi"/>
            <w:color w:val="000000" w:themeColor="text1"/>
            <w:sz w:val="16"/>
            <w:szCs w:val="16"/>
            <w:u w:val="none"/>
            <w:lang w:val="en-US"/>
          </w:rPr>
          <w:t>Korth MJ</w:t>
        </w:r>
      </w:hyperlink>
      <w:r w:rsidR="008F6FFE" w:rsidRPr="00B43469">
        <w:rPr>
          <w:rStyle w:val="Hyperlink"/>
          <w:rFonts w:asciiTheme="minorHAnsi" w:eastAsiaTheme="majorEastAsia" w:hAnsiTheme="minorHAnsi" w:cstheme="minorHAnsi"/>
          <w:color w:val="000000" w:themeColor="text1"/>
          <w:sz w:val="16"/>
          <w:szCs w:val="16"/>
          <w:u w:val="none"/>
          <w:lang w:val="en-US"/>
        </w:rPr>
        <w:t>, </w:t>
      </w:r>
      <w:hyperlink r:id="rId497" w:history="1">
        <w:r w:rsidR="008F6FFE" w:rsidRPr="00B43469">
          <w:rPr>
            <w:rStyle w:val="Hyperlink"/>
            <w:rFonts w:asciiTheme="minorHAnsi" w:eastAsiaTheme="majorEastAsia" w:hAnsiTheme="minorHAnsi" w:cstheme="minorHAnsi"/>
            <w:color w:val="000000" w:themeColor="text1"/>
            <w:sz w:val="16"/>
            <w:szCs w:val="16"/>
            <w:u w:val="none"/>
            <w:lang w:val="en-US"/>
          </w:rPr>
          <w:t>Simmons CP</w:t>
        </w:r>
      </w:hyperlink>
      <w:r w:rsidR="008F6FFE" w:rsidRPr="00B43469">
        <w:rPr>
          <w:rStyle w:val="Hyperlink"/>
          <w:rFonts w:asciiTheme="minorHAnsi" w:eastAsiaTheme="majorEastAsia" w:hAnsiTheme="minorHAnsi" w:cstheme="minorHAnsi"/>
          <w:color w:val="000000" w:themeColor="text1"/>
          <w:sz w:val="16"/>
          <w:szCs w:val="16"/>
          <w:u w:val="none"/>
          <w:lang w:val="en-US"/>
        </w:rPr>
        <w:t>, </w:t>
      </w:r>
      <w:hyperlink r:id="rId498" w:history="1">
        <w:r w:rsidR="008F6FFE" w:rsidRPr="00B43469">
          <w:rPr>
            <w:rStyle w:val="Hyperlink"/>
            <w:rFonts w:asciiTheme="minorHAnsi" w:eastAsiaTheme="majorEastAsia" w:hAnsiTheme="minorHAnsi" w:cstheme="minorHAnsi"/>
            <w:color w:val="000000" w:themeColor="text1"/>
            <w:sz w:val="16"/>
            <w:szCs w:val="16"/>
            <w:u w:val="none"/>
            <w:lang w:val="en-US"/>
          </w:rPr>
          <w:t>Farrar J</w:t>
        </w:r>
      </w:hyperlink>
      <w:r w:rsidR="008F6FFE" w:rsidRPr="00B43469">
        <w:rPr>
          <w:rStyle w:val="Hyperlink"/>
          <w:rFonts w:asciiTheme="minorHAnsi" w:eastAsiaTheme="majorEastAsia" w:hAnsiTheme="minorHAnsi" w:cstheme="minorHAnsi"/>
          <w:color w:val="000000" w:themeColor="text1"/>
          <w:sz w:val="16"/>
          <w:szCs w:val="16"/>
          <w:u w:val="none"/>
          <w:lang w:val="en-US"/>
        </w:rPr>
        <w:t>, </w:t>
      </w:r>
      <w:hyperlink r:id="rId499" w:history="1">
        <w:r w:rsidR="008F6FFE" w:rsidRPr="00B43469">
          <w:rPr>
            <w:rStyle w:val="Hyperlink"/>
            <w:rFonts w:asciiTheme="minorHAnsi" w:eastAsiaTheme="majorEastAsia" w:hAnsiTheme="minorHAnsi" w:cstheme="minorHAnsi"/>
            <w:color w:val="000000" w:themeColor="text1"/>
            <w:sz w:val="16"/>
            <w:szCs w:val="16"/>
            <w:u w:val="none"/>
            <w:lang w:val="en-US"/>
          </w:rPr>
          <w:t>Martin TR</w:t>
        </w:r>
      </w:hyperlink>
      <w:r w:rsidR="008F6FFE" w:rsidRPr="00B43469">
        <w:rPr>
          <w:rStyle w:val="Hyperlink"/>
          <w:rFonts w:asciiTheme="minorHAnsi" w:eastAsiaTheme="majorEastAsia" w:hAnsiTheme="minorHAnsi" w:cstheme="minorHAnsi"/>
          <w:color w:val="000000" w:themeColor="text1"/>
          <w:sz w:val="16"/>
          <w:szCs w:val="16"/>
          <w:u w:val="none"/>
          <w:lang w:val="en-US"/>
        </w:rPr>
        <w:t>, </w:t>
      </w:r>
      <w:hyperlink r:id="rId500" w:history="1">
        <w:r w:rsidR="008F6FFE" w:rsidRPr="00B43469">
          <w:rPr>
            <w:rStyle w:val="Hyperlink"/>
            <w:rFonts w:asciiTheme="minorHAnsi" w:eastAsiaTheme="majorEastAsia" w:hAnsiTheme="minorHAnsi" w:cstheme="minorHAnsi"/>
            <w:color w:val="000000" w:themeColor="text1"/>
            <w:sz w:val="16"/>
            <w:szCs w:val="16"/>
            <w:u w:val="none"/>
            <w:lang w:val="en-US"/>
          </w:rPr>
          <w:t>Katze MG</w:t>
        </w:r>
      </w:hyperlink>
      <w:r w:rsidR="008F6FFE" w:rsidRPr="00B43469">
        <w:rPr>
          <w:rStyle w:val="Hyperlink"/>
          <w:rFonts w:asciiTheme="minorHAnsi" w:eastAsiaTheme="majorEastAsia" w:hAnsiTheme="minorHAnsi" w:cstheme="minorHAnsi"/>
          <w:color w:val="000000" w:themeColor="text1"/>
          <w:sz w:val="16"/>
          <w:szCs w:val="16"/>
          <w:u w:val="none"/>
          <w:lang w:val="en-US"/>
        </w:rPr>
        <w:t>.</w:t>
      </w:r>
    </w:p>
    <w:p w:rsidR="008F6FFE" w:rsidRPr="00B43469" w:rsidRDefault="0052743C" w:rsidP="00B43469">
      <w:pPr>
        <w:rPr>
          <w:rFonts w:asciiTheme="minorHAnsi" w:hAnsiTheme="minorHAnsi" w:cstheme="minorHAnsi"/>
          <w:color w:val="000000" w:themeColor="text1"/>
          <w:sz w:val="16"/>
          <w:szCs w:val="16"/>
          <w:lang w:val="en-US"/>
        </w:rPr>
      </w:pPr>
      <w:hyperlink r:id="rId501" w:history="1">
        <w:r w:rsidR="008F6FFE" w:rsidRPr="00B43469">
          <w:rPr>
            <w:rStyle w:val="Hyperlink"/>
            <w:rFonts w:asciiTheme="minorHAnsi" w:eastAsiaTheme="majorEastAsia" w:hAnsiTheme="minorHAnsi" w:cstheme="minorHAnsi"/>
            <w:color w:val="000000" w:themeColor="text1"/>
            <w:sz w:val="16"/>
            <w:szCs w:val="16"/>
            <w:u w:val="none"/>
            <w:lang w:val="en-US"/>
          </w:rPr>
          <w:t>https://www.ncbi.nlm.nih.gov/pmc/articles/PMC3294426/pdf/zmr16.pdf</w:t>
        </w:r>
      </w:hyperlink>
    </w:p>
    <w:p w:rsidR="008F6FFE" w:rsidRPr="00B43469" w:rsidRDefault="008F6FFE" w:rsidP="00717D4D">
      <w:pPr>
        <w:jc w:val="both"/>
        <w:rPr>
          <w:rFonts w:asciiTheme="minorHAnsi" w:hAnsiTheme="minorHAnsi" w:cstheme="minorHAnsi"/>
          <w:color w:val="000000" w:themeColor="text1"/>
          <w:sz w:val="16"/>
          <w:szCs w:val="16"/>
          <w:lang w:val="en-US"/>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02" w:tooltip="Science (New York, N.Y.)." w:history="1">
        <w:r w:rsidR="008F6FFE" w:rsidRPr="00B43469">
          <w:rPr>
            <w:rStyle w:val="Hyperlink"/>
            <w:rFonts w:asciiTheme="minorHAnsi" w:eastAsiaTheme="majorEastAsia" w:hAnsiTheme="minorHAnsi" w:cstheme="minorHAnsi"/>
            <w:color w:val="000000" w:themeColor="text1"/>
            <w:sz w:val="16"/>
            <w:szCs w:val="16"/>
            <w:u w:val="none"/>
            <w:lang w:val="en-US"/>
          </w:rPr>
          <w:t>Science.</w:t>
        </w:r>
      </w:hyperlink>
      <w:r w:rsidR="008F6FFE" w:rsidRPr="00B43469">
        <w:rPr>
          <w:rStyle w:val="Hyperlink"/>
          <w:rFonts w:asciiTheme="minorHAnsi" w:eastAsiaTheme="majorEastAsia" w:hAnsiTheme="minorHAnsi" w:cstheme="minorHAnsi"/>
          <w:color w:val="000000" w:themeColor="text1"/>
          <w:sz w:val="16"/>
          <w:szCs w:val="16"/>
          <w:u w:val="none"/>
          <w:lang w:val="en-US"/>
        </w:rPr>
        <w:t xml:space="preserve"> 2020 Apr 17. pii: eabb8925. doi: 10.1126/science.abb8925. </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Cytokine release syndrome in severe COVID-19.</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03" w:history="1">
        <w:r w:rsidR="008F6FFE" w:rsidRPr="00B43469">
          <w:rPr>
            <w:rStyle w:val="Hyperlink"/>
            <w:rFonts w:asciiTheme="minorHAnsi" w:eastAsiaTheme="majorEastAsia" w:hAnsiTheme="minorHAnsi" w:cstheme="minorHAnsi"/>
            <w:color w:val="000000" w:themeColor="text1"/>
            <w:sz w:val="16"/>
            <w:szCs w:val="16"/>
            <w:u w:val="none"/>
            <w:lang w:val="en-US"/>
          </w:rPr>
          <w:t>Moore BJB</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504" w:history="1">
        <w:r w:rsidR="008F6FFE" w:rsidRPr="00B43469">
          <w:rPr>
            <w:rStyle w:val="Hyperlink"/>
            <w:rFonts w:asciiTheme="minorHAnsi" w:eastAsiaTheme="majorEastAsia" w:hAnsiTheme="minorHAnsi" w:cstheme="minorHAnsi"/>
            <w:color w:val="000000" w:themeColor="text1"/>
            <w:sz w:val="16"/>
            <w:szCs w:val="16"/>
            <w:u w:val="none"/>
            <w:lang w:val="en-US"/>
          </w:rPr>
          <w:t>June CH</w:t>
        </w:r>
      </w:hyperlink>
      <w:r w:rsidR="008F6FFE" w:rsidRPr="00B43469">
        <w:rPr>
          <w:rStyle w:val="Hyperlink"/>
          <w:rFonts w:asciiTheme="minorHAnsi" w:eastAsiaTheme="majorEastAsia" w:hAnsiTheme="minorHAnsi" w:cstheme="minorHAnsi"/>
          <w:color w:val="000000" w:themeColor="text1"/>
          <w:sz w:val="16"/>
          <w:szCs w:val="16"/>
          <w:u w:val="none"/>
          <w:lang w:val="en-US"/>
        </w:rPr>
        <w:t>1.</w:t>
      </w:r>
    </w:p>
    <w:p w:rsidR="008F6FFE" w:rsidRPr="00B43469" w:rsidRDefault="0052743C" w:rsidP="00B43469">
      <w:pPr>
        <w:rPr>
          <w:rFonts w:asciiTheme="minorHAnsi" w:hAnsiTheme="minorHAnsi" w:cstheme="minorHAnsi"/>
          <w:color w:val="000000" w:themeColor="text1"/>
          <w:sz w:val="16"/>
          <w:szCs w:val="16"/>
          <w:lang w:val="en-US"/>
        </w:rPr>
      </w:pPr>
      <w:hyperlink r:id="rId505" w:history="1">
        <w:r w:rsidR="008F6FFE" w:rsidRPr="00B43469">
          <w:rPr>
            <w:rFonts w:asciiTheme="minorHAnsi" w:hAnsiTheme="minorHAnsi" w:cstheme="minorHAnsi"/>
            <w:color w:val="000000" w:themeColor="text1"/>
            <w:sz w:val="16"/>
            <w:szCs w:val="16"/>
            <w:lang w:val="en-US"/>
          </w:rPr>
          <w:t>https://science.sciencemag.org/content/sci/368/6490/473.full.pdf</w:t>
        </w:r>
      </w:hyperlink>
    </w:p>
    <w:p w:rsidR="008F6FFE" w:rsidRPr="00B43469" w:rsidRDefault="008F6FFE" w:rsidP="00717D4D">
      <w:pPr>
        <w:jc w:val="both"/>
        <w:rPr>
          <w:rFonts w:asciiTheme="minorHAnsi" w:hAnsiTheme="minorHAnsi" w:cstheme="minorHAnsi"/>
          <w:color w:val="000000" w:themeColor="text1"/>
          <w:sz w:val="16"/>
          <w:szCs w:val="16"/>
          <w:lang w:val="en-US"/>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06" w:tooltip="Journal of thrombosis and haemostasis : JTH." w:history="1">
        <w:r w:rsidR="008F6FFE" w:rsidRPr="00B43469">
          <w:rPr>
            <w:rStyle w:val="Hyperlink"/>
            <w:rFonts w:asciiTheme="minorHAnsi" w:eastAsiaTheme="majorEastAsia" w:hAnsiTheme="minorHAnsi" w:cstheme="minorHAnsi"/>
            <w:color w:val="000000" w:themeColor="text1"/>
            <w:sz w:val="16"/>
            <w:szCs w:val="16"/>
            <w:u w:val="none"/>
            <w:lang w:val="en-US"/>
          </w:rPr>
          <w:t>J Thromb Haemost.</w:t>
        </w:r>
      </w:hyperlink>
      <w:r w:rsidR="008F6FFE" w:rsidRPr="00B43469">
        <w:rPr>
          <w:rStyle w:val="Hyperlink"/>
          <w:rFonts w:asciiTheme="minorHAnsi" w:eastAsiaTheme="majorEastAsia" w:hAnsiTheme="minorHAnsi" w:cstheme="minorHAnsi"/>
          <w:color w:val="000000" w:themeColor="text1"/>
          <w:sz w:val="16"/>
          <w:szCs w:val="16"/>
          <w:u w:val="none"/>
          <w:lang w:val="en-US"/>
        </w:rPr>
        <w:t xml:space="preserve"> 2020 Apr 15. doi: 10.1111/jth.14844. </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Pathological evidence of pulmonary thrombotic phenomena in severe COVID-19.</w:t>
      </w:r>
    </w:p>
    <w:p w:rsidR="008F6FFE" w:rsidRPr="00235A16"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de-DE"/>
        </w:rPr>
      </w:pPr>
      <w:hyperlink r:id="rId507" w:history="1">
        <w:r w:rsidR="008F6FFE" w:rsidRPr="00235A16">
          <w:rPr>
            <w:rStyle w:val="Hyperlink"/>
            <w:rFonts w:asciiTheme="minorHAnsi" w:eastAsiaTheme="majorEastAsia" w:hAnsiTheme="minorHAnsi" w:cstheme="minorHAnsi"/>
            <w:color w:val="000000" w:themeColor="text1"/>
            <w:sz w:val="16"/>
            <w:szCs w:val="16"/>
            <w:u w:val="none"/>
            <w:lang w:val="de-DE"/>
          </w:rPr>
          <w:t>Dolhnikoff M</w:t>
        </w:r>
      </w:hyperlink>
      <w:r w:rsidR="008F6FFE" w:rsidRPr="00235A16">
        <w:rPr>
          <w:rStyle w:val="Hyperlink"/>
          <w:rFonts w:asciiTheme="minorHAnsi" w:eastAsiaTheme="majorEastAsia" w:hAnsiTheme="minorHAnsi" w:cstheme="minorHAnsi"/>
          <w:color w:val="000000" w:themeColor="text1"/>
          <w:sz w:val="16"/>
          <w:szCs w:val="16"/>
          <w:u w:val="none"/>
          <w:lang w:val="de-DE"/>
        </w:rPr>
        <w:t>1, </w:t>
      </w:r>
      <w:hyperlink r:id="rId508" w:history="1">
        <w:r w:rsidR="008F6FFE" w:rsidRPr="00235A16">
          <w:rPr>
            <w:rStyle w:val="Hyperlink"/>
            <w:rFonts w:asciiTheme="minorHAnsi" w:eastAsiaTheme="majorEastAsia" w:hAnsiTheme="minorHAnsi" w:cstheme="minorHAnsi"/>
            <w:color w:val="000000" w:themeColor="text1"/>
            <w:sz w:val="16"/>
            <w:szCs w:val="16"/>
            <w:u w:val="none"/>
            <w:lang w:val="de-DE"/>
          </w:rPr>
          <w:t>Duarte-Neto AN</w:t>
        </w:r>
      </w:hyperlink>
      <w:r w:rsidR="008F6FFE" w:rsidRPr="00235A16">
        <w:rPr>
          <w:rStyle w:val="Hyperlink"/>
          <w:rFonts w:asciiTheme="minorHAnsi" w:eastAsiaTheme="majorEastAsia" w:hAnsiTheme="minorHAnsi" w:cstheme="minorHAnsi"/>
          <w:color w:val="000000" w:themeColor="text1"/>
          <w:sz w:val="16"/>
          <w:szCs w:val="16"/>
          <w:u w:val="none"/>
          <w:lang w:val="de-DE"/>
        </w:rPr>
        <w:t xml:space="preserve"> et al</w:t>
      </w:r>
    </w:p>
    <w:p w:rsidR="008F6FFE" w:rsidRPr="00235A16" w:rsidRDefault="0052743C" w:rsidP="00B43469">
      <w:pPr>
        <w:rPr>
          <w:rFonts w:asciiTheme="minorHAnsi" w:hAnsiTheme="minorHAnsi" w:cstheme="minorHAnsi"/>
          <w:color w:val="000000" w:themeColor="text1"/>
          <w:sz w:val="16"/>
          <w:szCs w:val="16"/>
          <w:lang w:val="de-DE"/>
        </w:rPr>
      </w:pPr>
      <w:hyperlink r:id="rId509" w:history="1">
        <w:r w:rsidR="008F6FFE" w:rsidRPr="00235A16">
          <w:rPr>
            <w:rStyle w:val="Hyperlink"/>
            <w:rFonts w:asciiTheme="minorHAnsi" w:eastAsiaTheme="majorEastAsia" w:hAnsiTheme="minorHAnsi" w:cstheme="minorHAnsi"/>
            <w:color w:val="000000" w:themeColor="text1"/>
            <w:sz w:val="16"/>
            <w:szCs w:val="16"/>
            <w:u w:val="none"/>
            <w:lang w:val="de-DE"/>
          </w:rPr>
          <w:t>https://www.ncbi.nlm.nih.gov/pmc/articles/PMC7262093/pdf/JTH-9999-na.pdf</w:t>
        </w:r>
      </w:hyperlink>
    </w:p>
    <w:p w:rsidR="008F6FFE" w:rsidRPr="00235A16" w:rsidRDefault="008F6FFE" w:rsidP="00B43469">
      <w:pPr>
        <w:rPr>
          <w:rFonts w:asciiTheme="minorHAnsi" w:hAnsiTheme="minorHAnsi" w:cstheme="minorHAnsi"/>
          <w:color w:val="000000" w:themeColor="text1"/>
          <w:sz w:val="16"/>
          <w:szCs w:val="16"/>
          <w:lang w:val="de-DE"/>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10" w:tooltip="Journal of medical virology." w:history="1">
        <w:r w:rsidR="008F6FFE" w:rsidRPr="00B43469">
          <w:rPr>
            <w:rStyle w:val="Hyperlink"/>
            <w:rFonts w:asciiTheme="minorHAnsi" w:eastAsiaTheme="majorEastAsia" w:hAnsiTheme="minorHAnsi" w:cstheme="minorHAnsi"/>
            <w:color w:val="000000" w:themeColor="text1"/>
            <w:sz w:val="16"/>
            <w:szCs w:val="16"/>
            <w:u w:val="none"/>
            <w:lang w:val="en-US"/>
          </w:rPr>
          <w:t>J Med Virol.</w:t>
        </w:r>
      </w:hyperlink>
      <w:r w:rsidR="008F6FFE" w:rsidRPr="00B43469">
        <w:rPr>
          <w:rStyle w:val="Hyperlink"/>
          <w:rFonts w:asciiTheme="minorHAnsi" w:eastAsiaTheme="majorEastAsia" w:hAnsiTheme="minorHAnsi" w:cstheme="minorHAnsi"/>
          <w:color w:val="000000" w:themeColor="text1"/>
          <w:sz w:val="16"/>
          <w:szCs w:val="16"/>
          <w:u w:val="none"/>
          <w:lang w:val="en-US"/>
        </w:rPr>
        <w:t xml:space="preserve"> 2020 Apr 16. doi: 10.1002/jmv.25900. </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High IL-6/IFN-γ ratio could be associated with severe disease in COVID-19 patients.</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rPr>
      </w:pPr>
      <w:hyperlink r:id="rId511" w:history="1">
        <w:r w:rsidR="008F6FFE" w:rsidRPr="00B43469">
          <w:rPr>
            <w:rStyle w:val="Hyperlink"/>
            <w:rFonts w:asciiTheme="minorHAnsi" w:eastAsiaTheme="majorEastAsia" w:hAnsiTheme="minorHAnsi" w:cstheme="minorHAnsi"/>
            <w:color w:val="000000" w:themeColor="text1"/>
            <w:sz w:val="16"/>
            <w:szCs w:val="16"/>
            <w:u w:val="none"/>
          </w:rPr>
          <w:t>Lagunas-Rangel FA</w:t>
        </w:r>
      </w:hyperlink>
      <w:r w:rsidR="008F6FFE" w:rsidRPr="00B43469">
        <w:rPr>
          <w:rStyle w:val="Hyperlink"/>
          <w:rFonts w:asciiTheme="minorHAnsi" w:eastAsiaTheme="majorEastAsia" w:hAnsiTheme="minorHAnsi" w:cstheme="minorHAnsi"/>
          <w:color w:val="000000" w:themeColor="text1"/>
          <w:sz w:val="16"/>
          <w:szCs w:val="16"/>
          <w:u w:val="none"/>
        </w:rPr>
        <w:t>1, </w:t>
      </w:r>
      <w:hyperlink r:id="rId512" w:history="1">
        <w:r w:rsidR="008F6FFE" w:rsidRPr="00B43469">
          <w:rPr>
            <w:rStyle w:val="Hyperlink"/>
            <w:rFonts w:asciiTheme="minorHAnsi" w:eastAsiaTheme="majorEastAsia" w:hAnsiTheme="minorHAnsi" w:cstheme="minorHAnsi"/>
            <w:color w:val="000000" w:themeColor="text1"/>
            <w:sz w:val="16"/>
            <w:szCs w:val="16"/>
            <w:u w:val="none"/>
          </w:rPr>
          <w:t>Chávez-Valencia V</w:t>
        </w:r>
      </w:hyperlink>
      <w:r w:rsidR="008F6FFE" w:rsidRPr="00B43469">
        <w:rPr>
          <w:rStyle w:val="Hyperlink"/>
          <w:rFonts w:asciiTheme="minorHAnsi" w:eastAsiaTheme="majorEastAsia" w:hAnsiTheme="minorHAnsi" w:cstheme="minorHAnsi"/>
          <w:color w:val="000000" w:themeColor="text1"/>
          <w:sz w:val="16"/>
          <w:szCs w:val="16"/>
          <w:u w:val="none"/>
        </w:rPr>
        <w:t>2.</w:t>
      </w:r>
    </w:p>
    <w:p w:rsidR="008F6FFE" w:rsidRPr="00B43469" w:rsidRDefault="0052743C" w:rsidP="00B43469">
      <w:pPr>
        <w:rPr>
          <w:rFonts w:asciiTheme="minorHAnsi" w:hAnsiTheme="minorHAnsi" w:cstheme="minorHAnsi"/>
          <w:color w:val="000000" w:themeColor="text1"/>
          <w:sz w:val="16"/>
          <w:szCs w:val="16"/>
        </w:rPr>
      </w:pPr>
      <w:hyperlink r:id="rId513" w:history="1">
        <w:r w:rsidR="008F6FFE" w:rsidRPr="00B43469">
          <w:rPr>
            <w:rFonts w:asciiTheme="minorHAnsi" w:hAnsiTheme="minorHAnsi" w:cstheme="minorHAnsi"/>
            <w:color w:val="000000" w:themeColor="text1"/>
            <w:sz w:val="16"/>
            <w:szCs w:val="16"/>
          </w:rPr>
          <w:t>https://www.ncbi.nlm.nih.gov/pmc/articles/PMC7262117/pdf/JMV-9999-na.pdf</w:t>
        </w:r>
      </w:hyperlink>
    </w:p>
    <w:p w:rsidR="008F6FFE" w:rsidRPr="00B43469" w:rsidRDefault="008F6FFE" w:rsidP="00717D4D">
      <w:pPr>
        <w:jc w:val="both"/>
        <w:rPr>
          <w:rFonts w:asciiTheme="minorHAnsi" w:hAnsiTheme="minorHAnsi" w:cstheme="minorHAnsi"/>
          <w:color w:val="000000" w:themeColor="text1"/>
          <w:sz w:val="16"/>
          <w:szCs w:val="16"/>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14" w:tooltip="Cell death and differentiation." w:history="1">
        <w:r w:rsidR="008F6FFE" w:rsidRPr="00B43469">
          <w:rPr>
            <w:rStyle w:val="Hyperlink"/>
            <w:rFonts w:asciiTheme="minorHAnsi" w:eastAsiaTheme="majorEastAsia" w:hAnsiTheme="minorHAnsi" w:cstheme="minorHAnsi"/>
            <w:color w:val="000000" w:themeColor="text1"/>
            <w:sz w:val="16"/>
            <w:szCs w:val="16"/>
            <w:u w:val="none"/>
            <w:lang w:val="en-US"/>
          </w:rPr>
          <w:t>Cell Death Differ.</w:t>
        </w:r>
      </w:hyperlink>
      <w:r w:rsidR="008F6FFE" w:rsidRPr="00B43469">
        <w:rPr>
          <w:rStyle w:val="Hyperlink"/>
          <w:rFonts w:asciiTheme="minorHAnsi" w:eastAsiaTheme="majorEastAsia" w:hAnsiTheme="minorHAnsi" w:cstheme="minorHAnsi"/>
          <w:color w:val="000000" w:themeColor="text1"/>
          <w:sz w:val="16"/>
          <w:szCs w:val="16"/>
          <w:u w:val="none"/>
          <w:lang w:val="en-US"/>
        </w:rPr>
        <w:t xml:space="preserve"> 2020 Mar 23. doi: 10.1038/s41418-020-0530-3. </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COVID-19 infection: the perspectives on immune responses.</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15" w:history="1">
        <w:r w:rsidR="008F6FFE" w:rsidRPr="00B43469">
          <w:rPr>
            <w:rStyle w:val="Hyperlink"/>
            <w:rFonts w:asciiTheme="minorHAnsi" w:eastAsiaTheme="majorEastAsia" w:hAnsiTheme="minorHAnsi" w:cstheme="minorHAnsi"/>
            <w:color w:val="000000" w:themeColor="text1"/>
            <w:sz w:val="16"/>
            <w:szCs w:val="16"/>
            <w:u w:val="none"/>
            <w:lang w:val="en-US"/>
          </w:rPr>
          <w:t>Shi Y</w:t>
        </w:r>
      </w:hyperlink>
      <w:r w:rsidR="008F6FFE" w:rsidRPr="00B43469">
        <w:rPr>
          <w:rStyle w:val="Hyperlink"/>
          <w:rFonts w:asciiTheme="minorHAnsi" w:eastAsiaTheme="majorEastAsia" w:hAnsiTheme="minorHAnsi" w:cstheme="minorHAnsi"/>
          <w:color w:val="000000" w:themeColor="text1"/>
          <w:sz w:val="16"/>
          <w:szCs w:val="16"/>
          <w:u w:val="none"/>
          <w:lang w:val="en-US"/>
        </w:rPr>
        <w:t>1,2, </w:t>
      </w:r>
      <w:hyperlink r:id="rId516" w:history="1">
        <w:r w:rsidR="008F6FFE" w:rsidRPr="00B43469">
          <w:rPr>
            <w:rStyle w:val="Hyperlink"/>
            <w:rFonts w:asciiTheme="minorHAnsi" w:eastAsiaTheme="majorEastAsia" w:hAnsiTheme="minorHAnsi" w:cstheme="minorHAnsi"/>
            <w:color w:val="000000" w:themeColor="text1"/>
            <w:sz w:val="16"/>
            <w:szCs w:val="16"/>
            <w:u w:val="none"/>
            <w:lang w:val="en-US"/>
          </w:rPr>
          <w:t>Wang Y</w:t>
        </w:r>
      </w:hyperlink>
      <w:r w:rsidR="008F6FFE" w:rsidRPr="00B43469">
        <w:rPr>
          <w:rStyle w:val="Hyperlink"/>
          <w:rFonts w:asciiTheme="minorHAnsi" w:eastAsiaTheme="majorEastAsia" w:hAnsiTheme="minorHAnsi" w:cstheme="minorHAnsi"/>
          <w:color w:val="000000" w:themeColor="text1"/>
          <w:sz w:val="16"/>
          <w:szCs w:val="16"/>
          <w:u w:val="none"/>
          <w:lang w:val="en-US"/>
        </w:rPr>
        <w:t>3, </w:t>
      </w:r>
      <w:hyperlink r:id="rId517" w:history="1">
        <w:r w:rsidR="008F6FFE" w:rsidRPr="00B43469">
          <w:rPr>
            <w:rStyle w:val="Hyperlink"/>
            <w:rFonts w:asciiTheme="minorHAnsi" w:eastAsiaTheme="majorEastAsia" w:hAnsiTheme="minorHAnsi" w:cstheme="minorHAnsi"/>
            <w:color w:val="000000" w:themeColor="text1"/>
            <w:sz w:val="16"/>
            <w:szCs w:val="16"/>
            <w:u w:val="none"/>
            <w:lang w:val="en-US"/>
          </w:rPr>
          <w:t>Shao C</w:t>
        </w:r>
      </w:hyperlink>
      <w:r w:rsidR="008F6FFE" w:rsidRPr="00B43469">
        <w:rPr>
          <w:rStyle w:val="Hyperlink"/>
          <w:rFonts w:asciiTheme="minorHAnsi" w:eastAsiaTheme="majorEastAsia" w:hAnsiTheme="minorHAnsi" w:cstheme="minorHAnsi"/>
          <w:color w:val="000000" w:themeColor="text1"/>
          <w:sz w:val="16"/>
          <w:szCs w:val="16"/>
          <w:u w:val="none"/>
          <w:lang w:val="en-US"/>
        </w:rPr>
        <w:t>4, </w:t>
      </w:r>
      <w:hyperlink r:id="rId518" w:history="1">
        <w:r w:rsidR="008F6FFE" w:rsidRPr="00B43469">
          <w:rPr>
            <w:rStyle w:val="Hyperlink"/>
            <w:rFonts w:asciiTheme="minorHAnsi" w:eastAsiaTheme="majorEastAsia" w:hAnsiTheme="minorHAnsi" w:cstheme="minorHAnsi"/>
            <w:color w:val="000000" w:themeColor="text1"/>
            <w:sz w:val="16"/>
            <w:szCs w:val="16"/>
            <w:u w:val="none"/>
            <w:lang w:val="en-US"/>
          </w:rPr>
          <w:t>Huang J</w:t>
        </w:r>
      </w:hyperlink>
      <w:r w:rsidR="008F6FFE" w:rsidRPr="00B43469">
        <w:rPr>
          <w:rStyle w:val="Hyperlink"/>
          <w:rFonts w:asciiTheme="minorHAnsi" w:eastAsiaTheme="majorEastAsia" w:hAnsiTheme="minorHAnsi" w:cstheme="minorHAnsi"/>
          <w:color w:val="000000" w:themeColor="text1"/>
          <w:sz w:val="16"/>
          <w:szCs w:val="16"/>
          <w:u w:val="none"/>
          <w:lang w:val="en-US"/>
        </w:rPr>
        <w:t>4, </w:t>
      </w:r>
      <w:hyperlink r:id="rId519" w:history="1">
        <w:r w:rsidR="008F6FFE" w:rsidRPr="00B43469">
          <w:rPr>
            <w:rStyle w:val="Hyperlink"/>
            <w:rFonts w:asciiTheme="minorHAnsi" w:eastAsiaTheme="majorEastAsia" w:hAnsiTheme="minorHAnsi" w:cstheme="minorHAnsi"/>
            <w:color w:val="000000" w:themeColor="text1"/>
            <w:sz w:val="16"/>
            <w:szCs w:val="16"/>
            <w:u w:val="none"/>
            <w:lang w:val="en-US"/>
          </w:rPr>
          <w:t>Gan J</w:t>
        </w:r>
      </w:hyperlink>
      <w:r w:rsidR="008F6FFE" w:rsidRPr="00B43469">
        <w:rPr>
          <w:rStyle w:val="Hyperlink"/>
          <w:rFonts w:asciiTheme="minorHAnsi" w:eastAsiaTheme="majorEastAsia" w:hAnsiTheme="minorHAnsi" w:cstheme="minorHAnsi"/>
          <w:color w:val="000000" w:themeColor="text1"/>
          <w:sz w:val="16"/>
          <w:szCs w:val="16"/>
          <w:u w:val="none"/>
          <w:lang w:val="en-US"/>
        </w:rPr>
        <w:t>4, </w:t>
      </w:r>
      <w:hyperlink r:id="rId520" w:history="1">
        <w:r w:rsidR="008F6FFE" w:rsidRPr="00B43469">
          <w:rPr>
            <w:rStyle w:val="Hyperlink"/>
            <w:rFonts w:asciiTheme="minorHAnsi" w:eastAsiaTheme="majorEastAsia" w:hAnsiTheme="minorHAnsi" w:cstheme="minorHAnsi"/>
            <w:color w:val="000000" w:themeColor="text1"/>
            <w:sz w:val="16"/>
            <w:szCs w:val="16"/>
            <w:u w:val="none"/>
            <w:lang w:val="en-US"/>
          </w:rPr>
          <w:t>Huang X</w:t>
        </w:r>
      </w:hyperlink>
      <w:r w:rsidR="008F6FFE" w:rsidRPr="00B43469">
        <w:rPr>
          <w:rStyle w:val="Hyperlink"/>
          <w:rFonts w:asciiTheme="minorHAnsi" w:eastAsiaTheme="majorEastAsia" w:hAnsiTheme="minorHAnsi" w:cstheme="minorHAnsi"/>
          <w:color w:val="000000" w:themeColor="text1"/>
          <w:sz w:val="16"/>
          <w:szCs w:val="16"/>
          <w:u w:val="none"/>
          <w:lang w:val="en-US"/>
        </w:rPr>
        <w:t>4, </w:t>
      </w:r>
      <w:hyperlink r:id="rId521" w:history="1">
        <w:r w:rsidR="008F6FFE" w:rsidRPr="00B43469">
          <w:rPr>
            <w:rStyle w:val="Hyperlink"/>
            <w:rFonts w:asciiTheme="minorHAnsi" w:eastAsiaTheme="majorEastAsia" w:hAnsiTheme="minorHAnsi" w:cstheme="minorHAnsi"/>
            <w:color w:val="000000" w:themeColor="text1"/>
            <w:sz w:val="16"/>
            <w:szCs w:val="16"/>
            <w:u w:val="none"/>
            <w:lang w:val="en-US"/>
          </w:rPr>
          <w:t>Bucci E</w:t>
        </w:r>
      </w:hyperlink>
      <w:r w:rsidR="008F6FFE" w:rsidRPr="00B43469">
        <w:rPr>
          <w:rStyle w:val="Hyperlink"/>
          <w:rFonts w:asciiTheme="minorHAnsi" w:eastAsiaTheme="majorEastAsia" w:hAnsiTheme="minorHAnsi" w:cstheme="minorHAnsi"/>
          <w:color w:val="000000" w:themeColor="text1"/>
          <w:sz w:val="16"/>
          <w:szCs w:val="16"/>
          <w:u w:val="none"/>
          <w:lang w:val="en-US"/>
        </w:rPr>
        <w:t>5,6, </w:t>
      </w:r>
      <w:hyperlink r:id="rId522" w:history="1">
        <w:r w:rsidR="008F6FFE" w:rsidRPr="00B43469">
          <w:rPr>
            <w:rStyle w:val="Hyperlink"/>
            <w:rFonts w:asciiTheme="minorHAnsi" w:eastAsiaTheme="majorEastAsia" w:hAnsiTheme="minorHAnsi" w:cstheme="minorHAnsi"/>
            <w:color w:val="000000" w:themeColor="text1"/>
            <w:sz w:val="16"/>
            <w:szCs w:val="16"/>
            <w:u w:val="none"/>
            <w:lang w:val="en-US"/>
          </w:rPr>
          <w:t>Piacentini M</w:t>
        </w:r>
      </w:hyperlink>
      <w:r w:rsidR="008F6FFE" w:rsidRPr="00B43469">
        <w:rPr>
          <w:rStyle w:val="Hyperlink"/>
          <w:rFonts w:asciiTheme="minorHAnsi" w:eastAsiaTheme="majorEastAsia" w:hAnsiTheme="minorHAnsi" w:cstheme="minorHAnsi"/>
          <w:color w:val="000000" w:themeColor="text1"/>
          <w:sz w:val="16"/>
          <w:szCs w:val="16"/>
          <w:u w:val="none"/>
          <w:lang w:val="en-US"/>
        </w:rPr>
        <w:t>7, </w:t>
      </w:r>
      <w:hyperlink r:id="rId523" w:history="1">
        <w:r w:rsidR="008F6FFE" w:rsidRPr="00B43469">
          <w:rPr>
            <w:rStyle w:val="Hyperlink"/>
            <w:rFonts w:asciiTheme="minorHAnsi" w:eastAsiaTheme="majorEastAsia" w:hAnsiTheme="minorHAnsi" w:cstheme="minorHAnsi"/>
            <w:color w:val="000000" w:themeColor="text1"/>
            <w:sz w:val="16"/>
            <w:szCs w:val="16"/>
            <w:u w:val="none"/>
            <w:lang w:val="en-US"/>
          </w:rPr>
          <w:t>Ippolito G</w:t>
        </w:r>
      </w:hyperlink>
      <w:r w:rsidR="008F6FFE" w:rsidRPr="00B43469">
        <w:rPr>
          <w:rStyle w:val="Hyperlink"/>
          <w:rFonts w:asciiTheme="minorHAnsi" w:eastAsiaTheme="majorEastAsia" w:hAnsiTheme="minorHAnsi" w:cstheme="minorHAnsi"/>
          <w:color w:val="000000" w:themeColor="text1"/>
          <w:sz w:val="16"/>
          <w:szCs w:val="16"/>
          <w:u w:val="none"/>
          <w:lang w:val="en-US"/>
        </w:rPr>
        <w:t>7, </w:t>
      </w:r>
      <w:hyperlink r:id="rId524" w:history="1">
        <w:r w:rsidR="008F6FFE" w:rsidRPr="00B43469">
          <w:rPr>
            <w:rStyle w:val="Hyperlink"/>
            <w:rFonts w:asciiTheme="minorHAnsi" w:eastAsiaTheme="majorEastAsia" w:hAnsiTheme="minorHAnsi" w:cstheme="minorHAnsi"/>
            <w:color w:val="000000" w:themeColor="text1"/>
            <w:sz w:val="16"/>
            <w:szCs w:val="16"/>
            <w:u w:val="none"/>
            <w:lang w:val="en-US"/>
          </w:rPr>
          <w:t>Melino G</w:t>
        </w:r>
      </w:hyperlink>
      <w:r w:rsidR="008F6FFE" w:rsidRPr="00B43469">
        <w:rPr>
          <w:rStyle w:val="Hyperlink"/>
          <w:rFonts w:asciiTheme="minorHAnsi" w:eastAsiaTheme="majorEastAsia" w:hAnsiTheme="minorHAnsi" w:cstheme="minorHAnsi"/>
          <w:color w:val="000000" w:themeColor="text1"/>
          <w:sz w:val="16"/>
          <w:szCs w:val="16"/>
          <w:u w:val="none"/>
          <w:lang w:val="en-US"/>
        </w:rPr>
        <w:t>8,9.</w:t>
      </w:r>
    </w:p>
    <w:p w:rsidR="008F6FFE" w:rsidRPr="00DC48B4" w:rsidRDefault="0052743C" w:rsidP="00B43469">
      <w:pPr>
        <w:rPr>
          <w:rFonts w:asciiTheme="minorHAnsi" w:hAnsiTheme="minorHAnsi" w:cstheme="minorHAnsi"/>
          <w:color w:val="000000" w:themeColor="text1"/>
          <w:sz w:val="16"/>
          <w:szCs w:val="16"/>
          <w:lang w:val="en-US"/>
        </w:rPr>
      </w:pPr>
      <w:hyperlink r:id="rId525" w:history="1">
        <w:r w:rsidR="008F6FFE" w:rsidRPr="00B43469">
          <w:rPr>
            <w:rFonts w:asciiTheme="minorHAnsi" w:hAnsiTheme="minorHAnsi" w:cstheme="minorHAnsi"/>
            <w:color w:val="000000" w:themeColor="text1"/>
            <w:sz w:val="16"/>
            <w:szCs w:val="16"/>
            <w:lang w:val="en-US"/>
          </w:rPr>
          <w:t>https://www.ncbi.nlm.nih.gov/pmc/articles/PMC7091918/pdf/41418_2020_Article_530.pdf</w:t>
        </w:r>
      </w:hyperlink>
    </w:p>
    <w:p w:rsidR="008F6FFE" w:rsidRPr="00B43469" w:rsidRDefault="008F6FFE" w:rsidP="00B43469">
      <w:pPr>
        <w:rPr>
          <w:rFonts w:asciiTheme="minorHAnsi" w:hAnsiTheme="minorHAnsi" w:cstheme="minorHAnsi"/>
          <w:color w:val="000000" w:themeColor="text1"/>
          <w:sz w:val="16"/>
          <w:szCs w:val="16"/>
          <w:lang w:val="en-US"/>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26" w:tooltip="Clinical infectious diseases : an official publication of the Infectious Diseases Society of America." w:history="1">
        <w:r w:rsidR="008F6FFE" w:rsidRPr="00B43469">
          <w:rPr>
            <w:rStyle w:val="Hyperlink"/>
            <w:rFonts w:asciiTheme="minorHAnsi" w:eastAsiaTheme="majorEastAsia" w:hAnsiTheme="minorHAnsi" w:cstheme="minorHAnsi"/>
            <w:color w:val="000000" w:themeColor="text1"/>
            <w:sz w:val="16"/>
            <w:szCs w:val="16"/>
            <w:u w:val="none"/>
            <w:lang w:val="en-US"/>
          </w:rPr>
          <w:t>Clin Infect Dis.</w:t>
        </w:r>
      </w:hyperlink>
      <w:r w:rsidR="008F6FFE" w:rsidRPr="00B43469">
        <w:rPr>
          <w:rStyle w:val="Hyperlink"/>
          <w:rFonts w:asciiTheme="minorHAnsi" w:eastAsiaTheme="majorEastAsia" w:hAnsiTheme="minorHAnsi" w:cstheme="minorHAnsi"/>
          <w:color w:val="000000" w:themeColor="text1"/>
          <w:sz w:val="16"/>
          <w:szCs w:val="16"/>
          <w:u w:val="none"/>
          <w:lang w:val="en-US"/>
        </w:rPr>
        <w:t xml:space="preserve"> 2020 Mar 12. pii: ciaa248. doi: 10.1093/cid/ciaa248. </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Dysregulation of immune response in patients with COVID-19 in Wuhan, China.</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27" w:history="1">
        <w:r w:rsidR="008F6FFE" w:rsidRPr="00B43469">
          <w:rPr>
            <w:rStyle w:val="Hyperlink"/>
            <w:rFonts w:asciiTheme="minorHAnsi" w:eastAsiaTheme="majorEastAsia" w:hAnsiTheme="minorHAnsi" w:cstheme="minorHAnsi"/>
            <w:color w:val="000000" w:themeColor="text1"/>
            <w:sz w:val="16"/>
            <w:szCs w:val="16"/>
            <w:u w:val="none"/>
            <w:lang w:val="en-US"/>
          </w:rPr>
          <w:t>Qin C</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528" w:history="1">
        <w:r w:rsidR="008F6FFE" w:rsidRPr="00B43469">
          <w:rPr>
            <w:rStyle w:val="Hyperlink"/>
            <w:rFonts w:asciiTheme="minorHAnsi" w:eastAsiaTheme="majorEastAsia" w:hAnsiTheme="minorHAnsi" w:cstheme="minorHAnsi"/>
            <w:color w:val="000000" w:themeColor="text1"/>
            <w:sz w:val="16"/>
            <w:szCs w:val="16"/>
            <w:u w:val="none"/>
            <w:lang w:val="en-US"/>
          </w:rPr>
          <w:t>Zhou L</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529" w:history="1">
        <w:r w:rsidR="008F6FFE" w:rsidRPr="00B43469">
          <w:rPr>
            <w:rStyle w:val="Hyperlink"/>
            <w:rFonts w:asciiTheme="minorHAnsi" w:eastAsiaTheme="majorEastAsia" w:hAnsiTheme="minorHAnsi" w:cstheme="minorHAnsi"/>
            <w:color w:val="000000" w:themeColor="text1"/>
            <w:sz w:val="16"/>
            <w:szCs w:val="16"/>
            <w:u w:val="none"/>
            <w:lang w:val="en-US"/>
          </w:rPr>
          <w:t>Hu Z</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530" w:history="1">
        <w:r w:rsidR="008F6FFE" w:rsidRPr="00B43469">
          <w:rPr>
            <w:rStyle w:val="Hyperlink"/>
            <w:rFonts w:asciiTheme="minorHAnsi" w:eastAsiaTheme="majorEastAsia" w:hAnsiTheme="minorHAnsi" w:cstheme="minorHAnsi"/>
            <w:color w:val="000000" w:themeColor="text1"/>
            <w:sz w:val="16"/>
            <w:szCs w:val="16"/>
            <w:u w:val="none"/>
            <w:lang w:val="en-US"/>
          </w:rPr>
          <w:t>Zhang S</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531" w:history="1">
        <w:r w:rsidR="008F6FFE" w:rsidRPr="00B43469">
          <w:rPr>
            <w:rStyle w:val="Hyperlink"/>
            <w:rFonts w:asciiTheme="minorHAnsi" w:eastAsiaTheme="majorEastAsia" w:hAnsiTheme="minorHAnsi" w:cstheme="minorHAnsi"/>
            <w:color w:val="000000" w:themeColor="text1"/>
            <w:sz w:val="16"/>
            <w:szCs w:val="16"/>
            <w:u w:val="none"/>
            <w:lang w:val="en-US"/>
          </w:rPr>
          <w:t>Yang S</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532" w:history="1">
        <w:r w:rsidR="008F6FFE" w:rsidRPr="00B43469">
          <w:rPr>
            <w:rStyle w:val="Hyperlink"/>
            <w:rFonts w:asciiTheme="minorHAnsi" w:eastAsiaTheme="majorEastAsia" w:hAnsiTheme="minorHAnsi" w:cstheme="minorHAnsi"/>
            <w:color w:val="000000" w:themeColor="text1"/>
            <w:sz w:val="16"/>
            <w:szCs w:val="16"/>
            <w:u w:val="none"/>
            <w:lang w:val="en-US"/>
          </w:rPr>
          <w:t>Tao Y</w:t>
        </w:r>
      </w:hyperlink>
      <w:r w:rsidR="008F6FFE" w:rsidRPr="00B43469">
        <w:rPr>
          <w:rStyle w:val="Hyperlink"/>
          <w:rFonts w:asciiTheme="minorHAnsi" w:eastAsiaTheme="majorEastAsia" w:hAnsiTheme="minorHAnsi" w:cstheme="minorHAnsi"/>
          <w:color w:val="000000" w:themeColor="text1"/>
          <w:sz w:val="16"/>
          <w:szCs w:val="16"/>
          <w:u w:val="none"/>
          <w:lang w:val="en-US"/>
        </w:rPr>
        <w:t>2, </w:t>
      </w:r>
      <w:hyperlink r:id="rId533" w:history="1">
        <w:r w:rsidR="008F6FFE" w:rsidRPr="00B43469">
          <w:rPr>
            <w:rStyle w:val="Hyperlink"/>
            <w:rFonts w:asciiTheme="minorHAnsi" w:eastAsiaTheme="majorEastAsia" w:hAnsiTheme="minorHAnsi" w:cstheme="minorHAnsi"/>
            <w:color w:val="000000" w:themeColor="text1"/>
            <w:sz w:val="16"/>
            <w:szCs w:val="16"/>
            <w:u w:val="none"/>
            <w:lang w:val="en-US"/>
          </w:rPr>
          <w:t>Xie C</w:t>
        </w:r>
      </w:hyperlink>
      <w:r w:rsidR="008F6FFE" w:rsidRPr="00B43469">
        <w:rPr>
          <w:rStyle w:val="Hyperlink"/>
          <w:rFonts w:asciiTheme="minorHAnsi" w:eastAsiaTheme="majorEastAsia" w:hAnsiTheme="minorHAnsi" w:cstheme="minorHAnsi"/>
          <w:color w:val="000000" w:themeColor="text1"/>
          <w:sz w:val="16"/>
          <w:szCs w:val="16"/>
          <w:u w:val="none"/>
          <w:lang w:val="en-US"/>
        </w:rPr>
        <w:t>3, </w:t>
      </w:r>
      <w:hyperlink r:id="rId534" w:history="1">
        <w:r w:rsidR="008F6FFE" w:rsidRPr="00B43469">
          <w:rPr>
            <w:rStyle w:val="Hyperlink"/>
            <w:rFonts w:asciiTheme="minorHAnsi" w:eastAsiaTheme="majorEastAsia" w:hAnsiTheme="minorHAnsi" w:cstheme="minorHAnsi"/>
            <w:color w:val="000000" w:themeColor="text1"/>
            <w:sz w:val="16"/>
            <w:szCs w:val="16"/>
            <w:u w:val="none"/>
            <w:lang w:val="en-US"/>
          </w:rPr>
          <w:t>Ma K</w:t>
        </w:r>
      </w:hyperlink>
      <w:r w:rsidR="008F6FFE" w:rsidRPr="00B43469">
        <w:rPr>
          <w:rStyle w:val="Hyperlink"/>
          <w:rFonts w:asciiTheme="minorHAnsi" w:eastAsiaTheme="majorEastAsia" w:hAnsiTheme="minorHAnsi" w:cstheme="minorHAnsi"/>
          <w:color w:val="000000" w:themeColor="text1"/>
          <w:sz w:val="16"/>
          <w:szCs w:val="16"/>
          <w:u w:val="none"/>
          <w:lang w:val="en-US"/>
        </w:rPr>
        <w:t>4, </w:t>
      </w:r>
      <w:hyperlink r:id="rId535" w:history="1">
        <w:r w:rsidR="008F6FFE" w:rsidRPr="00B43469">
          <w:rPr>
            <w:rStyle w:val="Hyperlink"/>
            <w:rFonts w:asciiTheme="minorHAnsi" w:eastAsiaTheme="majorEastAsia" w:hAnsiTheme="minorHAnsi" w:cstheme="minorHAnsi"/>
            <w:color w:val="000000" w:themeColor="text1"/>
            <w:sz w:val="16"/>
            <w:szCs w:val="16"/>
            <w:u w:val="none"/>
            <w:lang w:val="en-US"/>
          </w:rPr>
          <w:t>Shang K</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536" w:history="1">
        <w:r w:rsidR="008F6FFE" w:rsidRPr="00B43469">
          <w:rPr>
            <w:rStyle w:val="Hyperlink"/>
            <w:rFonts w:asciiTheme="minorHAnsi" w:eastAsiaTheme="majorEastAsia" w:hAnsiTheme="minorHAnsi" w:cstheme="minorHAnsi"/>
            <w:color w:val="000000" w:themeColor="text1"/>
            <w:sz w:val="16"/>
            <w:szCs w:val="16"/>
            <w:u w:val="none"/>
            <w:lang w:val="en-US"/>
          </w:rPr>
          <w:t>Wang W</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537" w:history="1">
        <w:r w:rsidR="008F6FFE" w:rsidRPr="00B43469">
          <w:rPr>
            <w:rStyle w:val="Hyperlink"/>
            <w:rFonts w:asciiTheme="minorHAnsi" w:eastAsiaTheme="majorEastAsia" w:hAnsiTheme="minorHAnsi" w:cstheme="minorHAnsi"/>
            <w:color w:val="000000" w:themeColor="text1"/>
            <w:sz w:val="16"/>
            <w:szCs w:val="16"/>
            <w:u w:val="none"/>
            <w:lang w:val="en-US"/>
          </w:rPr>
          <w:t>Tian DS</w:t>
        </w:r>
      </w:hyperlink>
      <w:r w:rsidR="008F6FFE" w:rsidRPr="00B43469">
        <w:rPr>
          <w:rStyle w:val="Hyperlink"/>
          <w:rFonts w:asciiTheme="minorHAnsi" w:eastAsiaTheme="majorEastAsia" w:hAnsiTheme="minorHAnsi" w:cstheme="minorHAnsi"/>
          <w:color w:val="000000" w:themeColor="text1"/>
          <w:sz w:val="16"/>
          <w:szCs w:val="16"/>
          <w:u w:val="none"/>
          <w:lang w:val="en-US"/>
        </w:rPr>
        <w:t>1.</w:t>
      </w:r>
    </w:p>
    <w:p w:rsidR="008F6FFE" w:rsidRPr="00B43469" w:rsidRDefault="0052743C" w:rsidP="00B43469">
      <w:pPr>
        <w:rPr>
          <w:rFonts w:asciiTheme="minorHAnsi" w:hAnsiTheme="minorHAnsi" w:cstheme="minorHAnsi"/>
          <w:color w:val="000000" w:themeColor="text1"/>
          <w:sz w:val="16"/>
          <w:szCs w:val="16"/>
          <w:lang w:val="en-US"/>
        </w:rPr>
      </w:pPr>
      <w:hyperlink r:id="rId538" w:history="1">
        <w:r w:rsidR="008F6FFE" w:rsidRPr="00B43469">
          <w:rPr>
            <w:rStyle w:val="Hyperlink"/>
            <w:rFonts w:asciiTheme="minorHAnsi" w:eastAsiaTheme="majorEastAsia" w:hAnsiTheme="minorHAnsi" w:cstheme="minorHAnsi"/>
            <w:color w:val="000000" w:themeColor="text1"/>
            <w:sz w:val="16"/>
            <w:szCs w:val="16"/>
            <w:u w:val="none"/>
            <w:lang w:val="en-US"/>
          </w:rPr>
          <w:t>https://www.ncbi.nlm.nih.gov/pmc/articles/PMC7108125/pdf/ciaa248.pdf</w:t>
        </w:r>
      </w:hyperlink>
    </w:p>
    <w:p w:rsidR="008F6FFE" w:rsidRPr="00B43469" w:rsidRDefault="008F6FFE" w:rsidP="00B43469">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39" w:tooltip="Autoimmunity reviews." w:history="1">
        <w:r w:rsidR="008F6FFE" w:rsidRPr="00B43469">
          <w:rPr>
            <w:rStyle w:val="Hyperlink"/>
            <w:rFonts w:asciiTheme="minorHAnsi" w:eastAsiaTheme="majorEastAsia" w:hAnsiTheme="minorHAnsi" w:cstheme="minorHAnsi"/>
            <w:color w:val="000000" w:themeColor="text1"/>
            <w:sz w:val="16"/>
            <w:szCs w:val="16"/>
            <w:u w:val="none"/>
            <w:lang w:val="en-US"/>
          </w:rPr>
          <w:t>Autoimmun Rev.</w:t>
        </w:r>
      </w:hyperlink>
      <w:r w:rsidR="008F6FFE" w:rsidRPr="00B43469">
        <w:rPr>
          <w:rStyle w:val="Hyperlink"/>
          <w:rFonts w:asciiTheme="minorHAnsi" w:eastAsiaTheme="majorEastAsia" w:hAnsiTheme="minorHAnsi" w:cstheme="minorHAnsi"/>
          <w:color w:val="000000" w:themeColor="text1"/>
          <w:sz w:val="16"/>
          <w:szCs w:val="16"/>
          <w:u w:val="none"/>
          <w:lang w:val="en-US"/>
        </w:rPr>
        <w:t> 2020 Apr 3:102537. doi: 10.1016/j.autrev.2020.102537.</w:t>
      </w:r>
    </w:p>
    <w:p w:rsidR="008F6FFE" w:rsidRPr="00B43469" w:rsidRDefault="008F6FFE"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r w:rsidRPr="00B43469">
        <w:rPr>
          <w:rStyle w:val="Hyperlink"/>
          <w:rFonts w:asciiTheme="minorHAnsi" w:eastAsiaTheme="majorEastAsia" w:hAnsiTheme="minorHAnsi" w:cstheme="minorHAnsi"/>
          <w:color w:val="000000" w:themeColor="text1"/>
          <w:sz w:val="16"/>
          <w:szCs w:val="16"/>
          <w:u w:val="none"/>
          <w:lang w:val="en-US"/>
        </w:rPr>
        <w:t>The Role of Cytokines including Interleukin-6 in COVID-19 induced Pneumonia and Macrophage Activation Syndrome-Like Disease.</w:t>
      </w:r>
    </w:p>
    <w:p w:rsidR="008F6FFE" w:rsidRPr="00B43469" w:rsidRDefault="0052743C" w:rsidP="00717D4D">
      <w:pPr>
        <w:shd w:val="clear" w:color="auto" w:fill="FFFFFF"/>
        <w:jc w:val="both"/>
        <w:rPr>
          <w:rStyle w:val="Hyperlink"/>
          <w:rFonts w:asciiTheme="minorHAnsi" w:eastAsiaTheme="majorEastAsia" w:hAnsiTheme="minorHAnsi" w:cstheme="minorHAnsi"/>
          <w:color w:val="000000" w:themeColor="text1"/>
          <w:sz w:val="16"/>
          <w:szCs w:val="16"/>
          <w:u w:val="none"/>
          <w:lang w:val="en-US"/>
        </w:rPr>
      </w:pPr>
      <w:hyperlink r:id="rId540" w:history="1">
        <w:r w:rsidR="008F6FFE" w:rsidRPr="00B43469">
          <w:rPr>
            <w:rStyle w:val="Hyperlink"/>
            <w:rFonts w:asciiTheme="minorHAnsi" w:eastAsiaTheme="majorEastAsia" w:hAnsiTheme="minorHAnsi" w:cstheme="minorHAnsi"/>
            <w:color w:val="000000" w:themeColor="text1"/>
            <w:sz w:val="16"/>
            <w:szCs w:val="16"/>
            <w:u w:val="none"/>
            <w:lang w:val="en-US"/>
          </w:rPr>
          <w:t>McGonagle D</w:t>
        </w:r>
      </w:hyperlink>
      <w:r w:rsidR="008F6FFE" w:rsidRPr="00B43469">
        <w:rPr>
          <w:rStyle w:val="Hyperlink"/>
          <w:rFonts w:asciiTheme="minorHAnsi" w:eastAsiaTheme="majorEastAsia" w:hAnsiTheme="minorHAnsi" w:cstheme="minorHAnsi"/>
          <w:color w:val="000000" w:themeColor="text1"/>
          <w:sz w:val="16"/>
          <w:szCs w:val="16"/>
          <w:u w:val="none"/>
          <w:lang w:val="en-US"/>
        </w:rPr>
        <w:t>1, </w:t>
      </w:r>
      <w:hyperlink r:id="rId541" w:history="1">
        <w:r w:rsidR="008F6FFE" w:rsidRPr="00B43469">
          <w:rPr>
            <w:rStyle w:val="Hyperlink"/>
            <w:rFonts w:asciiTheme="minorHAnsi" w:eastAsiaTheme="majorEastAsia" w:hAnsiTheme="minorHAnsi" w:cstheme="minorHAnsi"/>
            <w:color w:val="000000" w:themeColor="text1"/>
            <w:sz w:val="16"/>
            <w:szCs w:val="16"/>
            <w:u w:val="none"/>
            <w:lang w:val="en-US"/>
          </w:rPr>
          <w:t>Sharif K</w:t>
        </w:r>
      </w:hyperlink>
      <w:r w:rsidR="008F6FFE" w:rsidRPr="00B43469">
        <w:rPr>
          <w:rStyle w:val="Hyperlink"/>
          <w:rFonts w:asciiTheme="minorHAnsi" w:eastAsiaTheme="majorEastAsia" w:hAnsiTheme="minorHAnsi" w:cstheme="minorHAnsi"/>
          <w:color w:val="000000" w:themeColor="text1"/>
          <w:sz w:val="16"/>
          <w:szCs w:val="16"/>
          <w:u w:val="none"/>
          <w:lang w:val="en-US"/>
        </w:rPr>
        <w:t>2, </w:t>
      </w:r>
      <w:hyperlink r:id="rId542" w:history="1">
        <w:r w:rsidR="008F6FFE" w:rsidRPr="00B43469">
          <w:rPr>
            <w:rStyle w:val="Hyperlink"/>
            <w:rFonts w:asciiTheme="minorHAnsi" w:eastAsiaTheme="majorEastAsia" w:hAnsiTheme="minorHAnsi" w:cstheme="minorHAnsi"/>
            <w:color w:val="000000" w:themeColor="text1"/>
            <w:sz w:val="16"/>
            <w:szCs w:val="16"/>
            <w:u w:val="none"/>
            <w:lang w:val="en-US"/>
          </w:rPr>
          <w:t>O'Regan A</w:t>
        </w:r>
      </w:hyperlink>
      <w:r w:rsidR="008F6FFE" w:rsidRPr="00B43469">
        <w:rPr>
          <w:rStyle w:val="Hyperlink"/>
          <w:rFonts w:asciiTheme="minorHAnsi" w:eastAsiaTheme="majorEastAsia" w:hAnsiTheme="minorHAnsi" w:cstheme="minorHAnsi"/>
          <w:color w:val="000000" w:themeColor="text1"/>
          <w:sz w:val="16"/>
          <w:szCs w:val="16"/>
          <w:u w:val="none"/>
          <w:lang w:val="en-US"/>
        </w:rPr>
        <w:t>3, </w:t>
      </w:r>
      <w:hyperlink r:id="rId543" w:history="1">
        <w:r w:rsidR="008F6FFE" w:rsidRPr="00B43469">
          <w:rPr>
            <w:rStyle w:val="Hyperlink"/>
            <w:rFonts w:asciiTheme="minorHAnsi" w:eastAsiaTheme="majorEastAsia" w:hAnsiTheme="minorHAnsi" w:cstheme="minorHAnsi"/>
            <w:color w:val="000000" w:themeColor="text1"/>
            <w:sz w:val="16"/>
            <w:szCs w:val="16"/>
            <w:u w:val="none"/>
            <w:lang w:val="en-US"/>
          </w:rPr>
          <w:t>Bridgewood C</w:t>
        </w:r>
      </w:hyperlink>
      <w:r w:rsidR="008F6FFE" w:rsidRPr="00B43469">
        <w:rPr>
          <w:rStyle w:val="Hyperlink"/>
          <w:rFonts w:asciiTheme="minorHAnsi" w:eastAsiaTheme="majorEastAsia" w:hAnsiTheme="minorHAnsi" w:cstheme="minorHAnsi"/>
          <w:color w:val="000000" w:themeColor="text1"/>
          <w:sz w:val="16"/>
          <w:szCs w:val="16"/>
          <w:u w:val="none"/>
          <w:lang w:val="en-US"/>
        </w:rPr>
        <w:t>4.</w:t>
      </w:r>
    </w:p>
    <w:p w:rsidR="008F6FFE" w:rsidRPr="00B43469" w:rsidRDefault="0052743C" w:rsidP="00B43469">
      <w:pPr>
        <w:rPr>
          <w:rFonts w:asciiTheme="minorHAnsi" w:hAnsiTheme="minorHAnsi" w:cstheme="minorHAnsi"/>
          <w:color w:val="000000" w:themeColor="text1"/>
          <w:sz w:val="16"/>
          <w:szCs w:val="16"/>
          <w:lang w:val="en-US"/>
        </w:rPr>
      </w:pPr>
      <w:hyperlink r:id="rId544" w:history="1">
        <w:r w:rsidR="008F6FFE" w:rsidRPr="00B43469">
          <w:rPr>
            <w:rFonts w:asciiTheme="minorHAnsi" w:hAnsiTheme="minorHAnsi" w:cstheme="minorHAnsi"/>
            <w:color w:val="000000" w:themeColor="text1"/>
            <w:sz w:val="16"/>
            <w:szCs w:val="16"/>
            <w:lang w:val="en-US"/>
          </w:rPr>
          <w:t>https://www.ncbi.nlm.nih.gov/pmc/articles/PMC7195002/pdf/main.pdf</w:t>
        </w:r>
      </w:hyperlink>
    </w:p>
    <w:p w:rsidR="008F6FFE" w:rsidRPr="00B43469" w:rsidRDefault="008F6FFE" w:rsidP="00717D4D">
      <w:pPr>
        <w:shd w:val="clear" w:color="auto" w:fill="FFFFFF"/>
        <w:jc w:val="both"/>
        <w:rPr>
          <w:rFonts w:asciiTheme="minorHAnsi" w:hAnsiTheme="minorHAnsi" w:cstheme="minorHAnsi"/>
          <w:color w:val="000000" w:themeColor="text1"/>
          <w:sz w:val="16"/>
          <w:szCs w:val="16"/>
          <w:lang w:val="en-US"/>
        </w:rPr>
      </w:pPr>
    </w:p>
    <w:p w:rsidR="008F6FFE" w:rsidRPr="00B43469" w:rsidRDefault="0052743C" w:rsidP="00717D4D">
      <w:pPr>
        <w:pStyle w:val="Heading1"/>
        <w:spacing w:before="0"/>
        <w:jc w:val="both"/>
        <w:rPr>
          <w:rFonts w:asciiTheme="minorHAnsi" w:hAnsiTheme="minorHAnsi" w:cstheme="minorHAnsi"/>
          <w:color w:val="000000" w:themeColor="text1"/>
          <w:sz w:val="16"/>
          <w:szCs w:val="16"/>
          <w:lang w:val="en-US"/>
        </w:rPr>
      </w:pPr>
      <w:hyperlink r:id="rId545" w:history="1">
        <w:r w:rsidR="008F6FFE" w:rsidRPr="00B43469">
          <w:rPr>
            <w:rStyle w:val="Hyperlink"/>
            <w:rFonts w:asciiTheme="minorHAnsi" w:hAnsiTheme="minorHAnsi" w:cstheme="minorHAnsi"/>
            <w:color w:val="000000" w:themeColor="text1"/>
            <w:sz w:val="16"/>
            <w:szCs w:val="16"/>
            <w:u w:val="none"/>
            <w:lang w:val="en-US"/>
          </w:rPr>
          <w:t>Internet Book of Critical Care (IBCC)</w:t>
        </w:r>
      </w:hyperlink>
      <w:r w:rsidR="008F6FFE" w:rsidRPr="00B43469">
        <w:rPr>
          <w:rFonts w:asciiTheme="minorHAnsi" w:hAnsiTheme="minorHAnsi" w:cstheme="minorHAnsi"/>
          <w:b/>
          <w:bCs/>
          <w:color w:val="000000" w:themeColor="text1"/>
          <w:sz w:val="16"/>
          <w:szCs w:val="16"/>
          <w:lang w:val="en-US"/>
        </w:rPr>
        <w:t xml:space="preserve"> </w:t>
      </w:r>
      <w:r w:rsidR="008F6FFE" w:rsidRPr="00B43469">
        <w:rPr>
          <w:rFonts w:asciiTheme="minorHAnsi" w:hAnsiTheme="minorHAnsi" w:cstheme="minorHAnsi"/>
          <w:bCs/>
          <w:color w:val="000000" w:themeColor="text1"/>
          <w:sz w:val="16"/>
          <w:szCs w:val="16"/>
          <w:lang w:val="en-US"/>
        </w:rPr>
        <w:t>COVID-19</w:t>
      </w:r>
    </w:p>
    <w:p w:rsidR="008F6FFE" w:rsidRPr="00B43469" w:rsidRDefault="0052743C" w:rsidP="00717D4D">
      <w:pPr>
        <w:rPr>
          <w:rStyle w:val="Hyperlink"/>
          <w:rFonts w:asciiTheme="minorHAnsi" w:eastAsiaTheme="majorEastAsia" w:hAnsiTheme="minorHAnsi" w:cstheme="minorHAnsi"/>
          <w:color w:val="000000" w:themeColor="text1"/>
          <w:sz w:val="16"/>
          <w:szCs w:val="16"/>
          <w:u w:val="none"/>
          <w:lang w:val="en-US"/>
        </w:rPr>
      </w:pPr>
      <w:hyperlink r:id="rId546" w:history="1">
        <w:r w:rsidR="008F6FFE" w:rsidRPr="00B43469">
          <w:rPr>
            <w:rStyle w:val="Hyperlink"/>
            <w:rFonts w:asciiTheme="minorHAnsi" w:eastAsiaTheme="majorEastAsia" w:hAnsiTheme="minorHAnsi" w:cstheme="minorHAnsi"/>
            <w:color w:val="000000" w:themeColor="text1"/>
            <w:sz w:val="16"/>
            <w:szCs w:val="16"/>
            <w:u w:val="none"/>
            <w:lang w:val="en-US"/>
          </w:rPr>
          <w:t>https://emcrit.org/ibcc/covid19/</w:t>
        </w:r>
      </w:hyperlink>
    </w:p>
    <w:p w:rsidR="008F6FFE" w:rsidRPr="00B43469" w:rsidRDefault="008F6FFE" w:rsidP="00717D4D">
      <w:pPr>
        <w:rPr>
          <w:rFonts w:asciiTheme="minorHAnsi" w:hAnsiTheme="minorHAnsi" w:cstheme="minorHAnsi"/>
          <w:color w:val="000000" w:themeColor="text1"/>
          <w:sz w:val="16"/>
          <w:szCs w:val="16"/>
          <w:lang w:val="en-US"/>
        </w:rPr>
      </w:pPr>
    </w:p>
    <w:p w:rsidR="008F6FFE" w:rsidRPr="00B43469" w:rsidRDefault="008F6FFE" w:rsidP="00717D4D">
      <w:pPr>
        <w:pStyle w:val="Heading1"/>
        <w:spacing w:before="0"/>
        <w:jc w:val="both"/>
        <w:rPr>
          <w:rStyle w:val="Hyperlink"/>
          <w:rFonts w:asciiTheme="minorHAnsi" w:hAnsiTheme="minorHAnsi" w:cstheme="minorHAnsi"/>
          <w:color w:val="000000" w:themeColor="text1"/>
          <w:sz w:val="16"/>
          <w:szCs w:val="16"/>
          <w:u w:val="none"/>
          <w:lang w:val="en-US"/>
        </w:rPr>
      </w:pPr>
      <w:r w:rsidRPr="00B43469">
        <w:rPr>
          <w:rStyle w:val="Hyperlink"/>
          <w:rFonts w:asciiTheme="minorHAnsi" w:hAnsiTheme="minorHAnsi" w:cstheme="minorHAnsi"/>
          <w:color w:val="000000" w:themeColor="text1"/>
          <w:sz w:val="16"/>
          <w:szCs w:val="16"/>
          <w:u w:val="none"/>
          <w:lang w:val="en-US"/>
        </w:rPr>
        <w:t>Preventing ‘Cytokine Storm’ May Ease Severe COVID-19 Symptoms</w:t>
      </w:r>
    </w:p>
    <w:p w:rsidR="008F6FFE" w:rsidRPr="00717D4D" w:rsidRDefault="0052743C" w:rsidP="00B43469">
      <w:pPr>
        <w:pStyle w:val="Heading1"/>
        <w:spacing w:before="0"/>
        <w:jc w:val="both"/>
        <w:rPr>
          <w:rFonts w:asciiTheme="minorHAnsi" w:hAnsiTheme="minorHAnsi"/>
          <w:sz w:val="16"/>
          <w:szCs w:val="16"/>
          <w:lang w:val="en-US"/>
        </w:rPr>
      </w:pPr>
      <w:hyperlink r:id="rId547" w:history="1">
        <w:r w:rsidR="008F6FFE" w:rsidRPr="00B43469">
          <w:rPr>
            <w:rStyle w:val="Hyperlink"/>
            <w:rFonts w:asciiTheme="minorHAnsi" w:hAnsiTheme="minorHAnsi" w:cstheme="minorHAnsi"/>
            <w:color w:val="000000" w:themeColor="text1"/>
            <w:sz w:val="16"/>
            <w:szCs w:val="16"/>
            <w:u w:val="none"/>
            <w:lang w:val="en-US"/>
          </w:rPr>
          <w:t>https://www.hhmi.org/news/preventing-cytokine-storm-may-ease-severe-covid-19-symptoms</w:t>
        </w:r>
      </w:hyperlink>
    </w:p>
  </w:footnote>
  <w:footnote w:id="53">
    <w:p w:rsidR="008F6FFE" w:rsidRPr="00B43469"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sz w:val="16"/>
          <w:szCs w:val="16"/>
          <w:lang w:val="en-US"/>
        </w:rPr>
        <w:t xml:space="preserve"> </w:t>
      </w:r>
      <w:hyperlink r:id="rId548" w:tooltip="Annual review of immunology." w:history="1">
        <w:r w:rsidRPr="00B43469">
          <w:rPr>
            <w:rFonts w:asciiTheme="minorHAnsi" w:hAnsiTheme="minorHAnsi" w:cstheme="minorHAnsi"/>
            <w:bCs/>
            <w:color w:val="000000" w:themeColor="text1"/>
            <w:sz w:val="16"/>
            <w:szCs w:val="16"/>
            <w:lang w:val="en-US"/>
          </w:rPr>
          <w:t>Annu Rev Immunol.</w:t>
        </w:r>
      </w:hyperlink>
      <w:r w:rsidRPr="00B43469">
        <w:rPr>
          <w:rFonts w:asciiTheme="minorHAnsi" w:hAnsiTheme="minorHAnsi" w:cstheme="minorHAnsi"/>
          <w:bCs/>
          <w:color w:val="000000" w:themeColor="text1"/>
          <w:sz w:val="16"/>
          <w:szCs w:val="16"/>
          <w:lang w:val="en-US"/>
        </w:rPr>
        <w:t xml:space="preserve"> 2019 Apr 26;37:405-437. doi: 10.1146/annurev-immunol-042718-041739. </w:t>
      </w:r>
    </w:p>
    <w:p w:rsidR="008F6FFE" w:rsidRPr="00B43469"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B43469">
        <w:rPr>
          <w:rFonts w:asciiTheme="minorHAnsi" w:hAnsiTheme="minorHAnsi" w:cstheme="minorHAnsi"/>
          <w:bCs/>
          <w:color w:val="000000" w:themeColor="text1"/>
          <w:sz w:val="16"/>
          <w:szCs w:val="16"/>
          <w:lang w:val="en-US"/>
        </w:rPr>
        <w:t>Disease Tolerance as an Inherent Component of Immunity.</w:t>
      </w:r>
    </w:p>
    <w:p w:rsidR="008F6FFE" w:rsidRPr="00B43469" w:rsidRDefault="0052743C" w:rsidP="00717D4D">
      <w:pPr>
        <w:pStyle w:val="Heading2"/>
        <w:shd w:val="clear" w:color="auto" w:fill="FFFFFF"/>
        <w:spacing w:before="0"/>
        <w:rPr>
          <w:rFonts w:asciiTheme="minorHAnsi" w:hAnsiTheme="minorHAnsi" w:cstheme="minorHAnsi"/>
          <w:bCs/>
          <w:color w:val="000000" w:themeColor="text1"/>
          <w:sz w:val="16"/>
          <w:szCs w:val="16"/>
          <w:lang w:val="en-US"/>
        </w:rPr>
      </w:pPr>
      <w:hyperlink r:id="rId549" w:history="1">
        <w:r w:rsidR="008F6FFE" w:rsidRPr="00B43469">
          <w:rPr>
            <w:rFonts w:asciiTheme="minorHAnsi" w:hAnsiTheme="minorHAnsi" w:cstheme="minorHAnsi"/>
            <w:bCs/>
            <w:color w:val="000000" w:themeColor="text1"/>
            <w:sz w:val="16"/>
            <w:szCs w:val="16"/>
            <w:lang w:val="en-US"/>
          </w:rPr>
          <w:t>Martins R</w:t>
        </w:r>
      </w:hyperlink>
      <w:r w:rsidR="008F6FFE" w:rsidRPr="00B43469">
        <w:rPr>
          <w:rFonts w:asciiTheme="minorHAnsi" w:hAnsiTheme="minorHAnsi" w:cstheme="minorHAnsi"/>
          <w:bCs/>
          <w:color w:val="000000" w:themeColor="text1"/>
          <w:sz w:val="16"/>
          <w:szCs w:val="16"/>
          <w:lang w:val="en-US"/>
        </w:rPr>
        <w:t>1, </w:t>
      </w:r>
      <w:hyperlink r:id="rId550" w:history="1">
        <w:r w:rsidR="008F6FFE" w:rsidRPr="00B43469">
          <w:rPr>
            <w:rFonts w:asciiTheme="minorHAnsi" w:hAnsiTheme="minorHAnsi" w:cstheme="minorHAnsi"/>
            <w:bCs/>
            <w:color w:val="000000" w:themeColor="text1"/>
            <w:sz w:val="16"/>
            <w:szCs w:val="16"/>
            <w:lang w:val="en-US"/>
          </w:rPr>
          <w:t>Carlos AR</w:t>
        </w:r>
      </w:hyperlink>
      <w:r w:rsidR="008F6FFE" w:rsidRPr="00B43469">
        <w:rPr>
          <w:rFonts w:asciiTheme="minorHAnsi" w:hAnsiTheme="minorHAnsi" w:cstheme="minorHAnsi"/>
          <w:bCs/>
          <w:color w:val="000000" w:themeColor="text1"/>
          <w:sz w:val="16"/>
          <w:szCs w:val="16"/>
          <w:lang w:val="en-US"/>
        </w:rPr>
        <w:t>1, </w:t>
      </w:r>
      <w:hyperlink r:id="rId551" w:history="1">
        <w:r w:rsidR="008F6FFE" w:rsidRPr="00B43469">
          <w:rPr>
            <w:rFonts w:asciiTheme="minorHAnsi" w:hAnsiTheme="minorHAnsi" w:cstheme="minorHAnsi"/>
            <w:bCs/>
            <w:color w:val="000000" w:themeColor="text1"/>
            <w:sz w:val="16"/>
            <w:szCs w:val="16"/>
            <w:lang w:val="en-US"/>
          </w:rPr>
          <w:t>Braza F</w:t>
        </w:r>
      </w:hyperlink>
      <w:r w:rsidR="008F6FFE" w:rsidRPr="00B43469">
        <w:rPr>
          <w:rFonts w:asciiTheme="minorHAnsi" w:hAnsiTheme="minorHAnsi" w:cstheme="minorHAnsi"/>
          <w:bCs/>
          <w:color w:val="000000" w:themeColor="text1"/>
          <w:sz w:val="16"/>
          <w:szCs w:val="16"/>
          <w:lang w:val="en-US"/>
        </w:rPr>
        <w:t>1, </w:t>
      </w:r>
      <w:hyperlink r:id="rId552" w:history="1">
        <w:r w:rsidR="008F6FFE" w:rsidRPr="00B43469">
          <w:rPr>
            <w:rFonts w:asciiTheme="minorHAnsi" w:hAnsiTheme="minorHAnsi" w:cstheme="minorHAnsi"/>
            <w:bCs/>
            <w:color w:val="000000" w:themeColor="text1"/>
            <w:sz w:val="16"/>
            <w:szCs w:val="16"/>
            <w:lang w:val="en-US"/>
          </w:rPr>
          <w:t>Thompson JA</w:t>
        </w:r>
      </w:hyperlink>
      <w:r w:rsidR="008F6FFE" w:rsidRPr="00B43469">
        <w:rPr>
          <w:rFonts w:asciiTheme="minorHAnsi" w:hAnsiTheme="minorHAnsi" w:cstheme="minorHAnsi"/>
          <w:bCs/>
          <w:color w:val="000000" w:themeColor="text1"/>
          <w:sz w:val="16"/>
          <w:szCs w:val="16"/>
          <w:lang w:val="en-US"/>
        </w:rPr>
        <w:t>1, </w:t>
      </w:r>
      <w:hyperlink r:id="rId553" w:history="1">
        <w:r w:rsidR="008F6FFE" w:rsidRPr="00B43469">
          <w:rPr>
            <w:rFonts w:asciiTheme="minorHAnsi" w:hAnsiTheme="minorHAnsi" w:cstheme="minorHAnsi"/>
            <w:bCs/>
            <w:color w:val="000000" w:themeColor="text1"/>
            <w:sz w:val="16"/>
            <w:szCs w:val="16"/>
            <w:lang w:val="en-US"/>
          </w:rPr>
          <w:t>Bastos-Amador P</w:t>
        </w:r>
      </w:hyperlink>
      <w:r w:rsidR="008F6FFE" w:rsidRPr="00B43469">
        <w:rPr>
          <w:rFonts w:asciiTheme="minorHAnsi" w:hAnsiTheme="minorHAnsi" w:cstheme="minorHAnsi"/>
          <w:bCs/>
          <w:color w:val="000000" w:themeColor="text1"/>
          <w:sz w:val="16"/>
          <w:szCs w:val="16"/>
          <w:lang w:val="en-US"/>
        </w:rPr>
        <w:t>1, </w:t>
      </w:r>
      <w:hyperlink r:id="rId554" w:history="1">
        <w:r w:rsidR="008F6FFE" w:rsidRPr="00B43469">
          <w:rPr>
            <w:rFonts w:asciiTheme="minorHAnsi" w:hAnsiTheme="minorHAnsi" w:cstheme="minorHAnsi"/>
            <w:bCs/>
            <w:color w:val="000000" w:themeColor="text1"/>
            <w:sz w:val="16"/>
            <w:szCs w:val="16"/>
            <w:lang w:val="en-US"/>
          </w:rPr>
          <w:t>Ramos S</w:t>
        </w:r>
      </w:hyperlink>
      <w:r w:rsidR="008F6FFE" w:rsidRPr="00B43469">
        <w:rPr>
          <w:rFonts w:asciiTheme="minorHAnsi" w:hAnsiTheme="minorHAnsi" w:cstheme="minorHAnsi"/>
          <w:bCs/>
          <w:color w:val="000000" w:themeColor="text1"/>
          <w:sz w:val="16"/>
          <w:szCs w:val="16"/>
          <w:lang w:val="en-US"/>
        </w:rPr>
        <w:t>1, </w:t>
      </w:r>
      <w:hyperlink r:id="rId555" w:history="1">
        <w:r w:rsidR="008F6FFE" w:rsidRPr="00B43469">
          <w:rPr>
            <w:rFonts w:asciiTheme="minorHAnsi" w:hAnsiTheme="minorHAnsi" w:cstheme="minorHAnsi"/>
            <w:bCs/>
            <w:color w:val="000000" w:themeColor="text1"/>
            <w:sz w:val="16"/>
            <w:szCs w:val="16"/>
            <w:lang w:val="en-US"/>
          </w:rPr>
          <w:t>Soares MP</w:t>
        </w:r>
      </w:hyperlink>
      <w:r w:rsidR="008F6FFE" w:rsidRPr="00B43469">
        <w:rPr>
          <w:rFonts w:asciiTheme="minorHAnsi" w:hAnsiTheme="minorHAnsi" w:cstheme="minorHAnsi"/>
          <w:bCs/>
          <w:color w:val="000000" w:themeColor="text1"/>
          <w:sz w:val="16"/>
          <w:szCs w:val="16"/>
          <w:lang w:val="en-US"/>
        </w:rPr>
        <w:t>1.</w:t>
      </w:r>
    </w:p>
    <w:p w:rsidR="008F6FFE" w:rsidRPr="00B43469" w:rsidRDefault="0052743C" w:rsidP="00B43469">
      <w:pPr>
        <w:rPr>
          <w:rFonts w:asciiTheme="minorHAnsi" w:hAnsiTheme="minorHAnsi" w:cstheme="minorHAnsi"/>
          <w:color w:val="000000" w:themeColor="text1"/>
          <w:sz w:val="16"/>
          <w:szCs w:val="16"/>
          <w:lang w:val="en-US"/>
        </w:rPr>
      </w:pPr>
      <w:hyperlink r:id="rId556" w:history="1">
        <w:r w:rsidR="008F6FFE" w:rsidRPr="00B43469">
          <w:rPr>
            <w:rFonts w:asciiTheme="minorHAnsi" w:hAnsiTheme="minorHAnsi" w:cstheme="minorHAnsi"/>
            <w:color w:val="000000" w:themeColor="text1"/>
            <w:sz w:val="16"/>
            <w:szCs w:val="16"/>
            <w:lang w:val="en-US"/>
          </w:rPr>
          <w:t>https://www.annualreviews.org/doi/pdf/10.1146/annurev-immunol-042718-041739</w:t>
        </w:r>
      </w:hyperlink>
    </w:p>
    <w:p w:rsidR="008F6FFE" w:rsidRPr="00B43469" w:rsidRDefault="008F6FFE" w:rsidP="00717D4D">
      <w:pPr>
        <w:pStyle w:val="FootnoteText"/>
        <w:rPr>
          <w:rFonts w:asciiTheme="minorHAnsi" w:hAnsiTheme="minorHAnsi" w:cstheme="minorHAnsi"/>
          <w:color w:val="000000" w:themeColor="text1"/>
          <w:sz w:val="16"/>
          <w:szCs w:val="16"/>
          <w:lang w:val="en-US"/>
        </w:rPr>
      </w:pPr>
    </w:p>
  </w:footnote>
  <w:footnote w:id="54">
    <w:p w:rsidR="008F6FFE"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B43469">
        <w:rPr>
          <w:rStyle w:val="FootnoteReference"/>
          <w:rFonts w:asciiTheme="minorHAnsi" w:hAnsiTheme="minorHAnsi" w:cstheme="minorHAnsi"/>
          <w:color w:val="000000" w:themeColor="text1"/>
          <w:sz w:val="16"/>
          <w:szCs w:val="16"/>
        </w:rPr>
        <w:footnoteRef/>
      </w:r>
      <w:r w:rsidRPr="00B43469">
        <w:rPr>
          <w:rFonts w:asciiTheme="minorHAnsi" w:hAnsiTheme="minorHAnsi" w:cstheme="minorHAnsi"/>
          <w:color w:val="000000" w:themeColor="text1"/>
          <w:sz w:val="16"/>
          <w:szCs w:val="16"/>
          <w:lang w:val="en-US"/>
        </w:rPr>
        <w:t xml:space="preserve"> </w:t>
      </w:r>
      <w:hyperlink r:id="rId557" w:tooltip="Journal of clinical virology : the official publication of the Pan American Society for Clinical Virology." w:history="1">
        <w:r w:rsidRPr="00B43469">
          <w:rPr>
            <w:rFonts w:asciiTheme="minorHAnsi" w:hAnsiTheme="minorHAnsi" w:cstheme="minorHAnsi"/>
            <w:bCs/>
            <w:color w:val="000000" w:themeColor="text1"/>
            <w:sz w:val="16"/>
            <w:szCs w:val="16"/>
            <w:lang w:val="en-US"/>
          </w:rPr>
          <w:t>J Clin Virol.</w:t>
        </w:r>
      </w:hyperlink>
      <w:r w:rsidRPr="00B43469">
        <w:rPr>
          <w:rFonts w:asciiTheme="minorHAnsi" w:hAnsiTheme="minorHAnsi" w:cstheme="minorHAnsi"/>
          <w:bCs/>
          <w:color w:val="000000" w:themeColor="text1"/>
          <w:sz w:val="16"/>
          <w:szCs w:val="16"/>
          <w:lang w:val="en-US"/>
        </w:rPr>
        <w:t xml:space="preserve"> 2020 Apr 9;127:104362. doi: 10.1016/j.jcv.2020.104362. </w:t>
      </w:r>
    </w:p>
    <w:p w:rsidR="008F6FFE" w:rsidRPr="00B43469"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B43469">
        <w:rPr>
          <w:rFonts w:asciiTheme="minorHAnsi" w:hAnsiTheme="minorHAnsi" w:cstheme="minorHAnsi"/>
          <w:bCs/>
          <w:color w:val="000000" w:themeColor="text1"/>
          <w:sz w:val="16"/>
          <w:szCs w:val="16"/>
          <w:lang w:val="en-US"/>
        </w:rPr>
        <w:t>Coagulation disorders in coronavirus infected patients: COVID-19, SARS-CoV-1, MERS-CoV and lessons from the past.</w:t>
      </w:r>
    </w:p>
    <w:p w:rsidR="008F6FFE" w:rsidRPr="00B43469" w:rsidRDefault="0052743C" w:rsidP="00B43469">
      <w:pPr>
        <w:pStyle w:val="Heading2"/>
        <w:shd w:val="clear" w:color="auto" w:fill="FFFFFF"/>
        <w:spacing w:before="0"/>
        <w:rPr>
          <w:rFonts w:asciiTheme="minorHAnsi" w:hAnsiTheme="minorHAnsi" w:cstheme="minorHAnsi"/>
          <w:bCs/>
          <w:color w:val="000000" w:themeColor="text1"/>
          <w:sz w:val="16"/>
          <w:szCs w:val="16"/>
        </w:rPr>
      </w:pPr>
      <w:hyperlink r:id="rId558" w:history="1">
        <w:r w:rsidR="008F6FFE" w:rsidRPr="00B43469">
          <w:rPr>
            <w:rFonts w:asciiTheme="minorHAnsi" w:hAnsiTheme="minorHAnsi" w:cstheme="minorHAnsi"/>
            <w:bCs/>
            <w:color w:val="000000" w:themeColor="text1"/>
            <w:sz w:val="16"/>
            <w:szCs w:val="16"/>
          </w:rPr>
          <w:t>Giannis D</w:t>
        </w:r>
      </w:hyperlink>
      <w:r w:rsidR="008F6FFE" w:rsidRPr="00B43469">
        <w:rPr>
          <w:rFonts w:asciiTheme="minorHAnsi" w:hAnsiTheme="minorHAnsi" w:cstheme="minorHAnsi"/>
          <w:bCs/>
          <w:color w:val="000000" w:themeColor="text1"/>
          <w:sz w:val="16"/>
          <w:szCs w:val="16"/>
        </w:rPr>
        <w:t>1, </w:t>
      </w:r>
      <w:hyperlink r:id="rId559" w:history="1">
        <w:r w:rsidR="008F6FFE" w:rsidRPr="00B43469">
          <w:rPr>
            <w:rFonts w:asciiTheme="minorHAnsi" w:hAnsiTheme="minorHAnsi" w:cstheme="minorHAnsi"/>
            <w:bCs/>
            <w:color w:val="000000" w:themeColor="text1"/>
            <w:sz w:val="16"/>
            <w:szCs w:val="16"/>
          </w:rPr>
          <w:t>Ziogas IA</w:t>
        </w:r>
      </w:hyperlink>
      <w:r w:rsidR="008F6FFE" w:rsidRPr="00B43469">
        <w:rPr>
          <w:rFonts w:asciiTheme="minorHAnsi" w:hAnsiTheme="minorHAnsi" w:cstheme="minorHAnsi"/>
          <w:bCs/>
          <w:color w:val="000000" w:themeColor="text1"/>
          <w:sz w:val="16"/>
          <w:szCs w:val="16"/>
        </w:rPr>
        <w:t>2, </w:t>
      </w:r>
      <w:hyperlink r:id="rId560" w:history="1">
        <w:r w:rsidR="008F6FFE" w:rsidRPr="00B43469">
          <w:rPr>
            <w:rFonts w:asciiTheme="minorHAnsi" w:hAnsiTheme="minorHAnsi" w:cstheme="minorHAnsi"/>
            <w:bCs/>
            <w:color w:val="000000" w:themeColor="text1"/>
            <w:sz w:val="16"/>
            <w:szCs w:val="16"/>
          </w:rPr>
          <w:t>Gianni P</w:t>
        </w:r>
      </w:hyperlink>
      <w:r w:rsidR="008F6FFE" w:rsidRPr="00B43469">
        <w:rPr>
          <w:rFonts w:asciiTheme="minorHAnsi" w:hAnsiTheme="minorHAnsi" w:cstheme="minorHAnsi"/>
          <w:bCs/>
          <w:color w:val="000000" w:themeColor="text1"/>
          <w:sz w:val="16"/>
          <w:szCs w:val="16"/>
        </w:rPr>
        <w:t>3.</w:t>
      </w:r>
    </w:p>
    <w:p w:rsidR="008F6FFE" w:rsidRPr="00B43469" w:rsidRDefault="0052743C" w:rsidP="00B43469">
      <w:hyperlink r:id="rId561" w:history="1">
        <w:r w:rsidR="008F6FFE" w:rsidRPr="00B43469">
          <w:rPr>
            <w:rStyle w:val="Hyperlink"/>
            <w:rFonts w:asciiTheme="minorHAnsi" w:eastAsiaTheme="majorEastAsia" w:hAnsiTheme="minorHAnsi" w:cstheme="minorHAnsi"/>
            <w:color w:val="000000" w:themeColor="text1"/>
            <w:sz w:val="16"/>
            <w:szCs w:val="16"/>
            <w:u w:val="none"/>
          </w:rPr>
          <w:t>https://www.ncbi.nlm.nih.gov/pmc/articles/PMC7195278/pdf/main.pdf</w:t>
        </w:r>
      </w:hyperlink>
    </w:p>
  </w:footnote>
  <w:footnote w:id="55">
    <w:p w:rsidR="008F6FFE" w:rsidRPr="006642C1" w:rsidRDefault="008F6FFE" w:rsidP="006642C1">
      <w:pPr>
        <w:shd w:val="clear" w:color="auto" w:fill="FFFFFF"/>
        <w:jc w:val="both"/>
        <w:textAlignment w:val="top"/>
        <w:rPr>
          <w:rFonts w:asciiTheme="minorHAnsi" w:hAnsiTheme="minorHAnsi" w:cstheme="minorHAnsi"/>
          <w:color w:val="000000" w:themeColor="text1"/>
          <w:sz w:val="16"/>
          <w:szCs w:val="16"/>
          <w:lang w:val="en-US"/>
        </w:rPr>
      </w:pPr>
      <w:r w:rsidRPr="006642C1">
        <w:rPr>
          <w:rStyle w:val="FootnoteReference"/>
          <w:sz w:val="16"/>
          <w:szCs w:val="16"/>
        </w:rPr>
        <w:footnoteRef/>
      </w:r>
      <w:r w:rsidRPr="006642C1">
        <w:rPr>
          <w:sz w:val="16"/>
          <w:szCs w:val="16"/>
          <w:lang w:val="en-US"/>
        </w:rPr>
        <w:t xml:space="preserve"> </w:t>
      </w:r>
      <w:r w:rsidRPr="006642C1">
        <w:rPr>
          <w:rFonts w:asciiTheme="minorHAnsi" w:hAnsiTheme="minorHAnsi" w:cstheme="minorHAnsi"/>
          <w:color w:val="000000" w:themeColor="text1"/>
          <w:sz w:val="16"/>
          <w:szCs w:val="16"/>
          <w:lang w:val="en-US"/>
        </w:rPr>
        <w:t>Cell 2020 May 13;S0092-8674(20)30489-X.   doi: 10.1016/j.cell.2020.04.026. </w:t>
      </w:r>
    </w:p>
    <w:p w:rsidR="008F6FFE" w:rsidRPr="006642C1" w:rsidRDefault="008F6FFE" w:rsidP="006642C1">
      <w:pPr>
        <w:shd w:val="clear" w:color="auto" w:fill="FFFFFF"/>
        <w:jc w:val="both"/>
        <w:textAlignment w:val="top"/>
        <w:rPr>
          <w:rFonts w:asciiTheme="minorHAnsi" w:hAnsiTheme="minorHAnsi" w:cstheme="minorHAnsi"/>
          <w:color w:val="000000" w:themeColor="text1"/>
          <w:sz w:val="16"/>
          <w:szCs w:val="16"/>
          <w:lang w:val="en-US"/>
        </w:rPr>
      </w:pPr>
      <w:r w:rsidRPr="006642C1">
        <w:rPr>
          <w:rFonts w:asciiTheme="minorHAnsi" w:hAnsiTheme="minorHAnsi" w:cstheme="minorHAnsi"/>
          <w:color w:val="000000" w:themeColor="text1"/>
          <w:sz w:val="16"/>
          <w:szCs w:val="16"/>
          <w:lang w:val="en-US"/>
        </w:rPr>
        <w:t>Imbalanced Host Response to SARS-CoV-2 Drives Development of COVID-19</w:t>
      </w:r>
    </w:p>
    <w:p w:rsidR="008F6FFE" w:rsidRPr="006642C1" w:rsidRDefault="0052743C" w:rsidP="006642C1">
      <w:pPr>
        <w:shd w:val="clear" w:color="auto" w:fill="FFFFFF"/>
        <w:jc w:val="both"/>
        <w:textAlignment w:val="top"/>
        <w:rPr>
          <w:rFonts w:asciiTheme="minorHAnsi" w:hAnsiTheme="minorHAnsi" w:cstheme="minorHAnsi"/>
          <w:color w:val="000000" w:themeColor="text1"/>
          <w:sz w:val="16"/>
          <w:szCs w:val="16"/>
        </w:rPr>
      </w:pPr>
      <w:hyperlink r:id="rId562" w:history="1">
        <w:r w:rsidR="008F6FFE" w:rsidRPr="006642C1">
          <w:rPr>
            <w:rFonts w:asciiTheme="minorHAnsi" w:hAnsiTheme="minorHAnsi" w:cstheme="minorHAnsi"/>
            <w:color w:val="000000" w:themeColor="text1"/>
            <w:sz w:val="16"/>
            <w:szCs w:val="16"/>
          </w:rPr>
          <w:t>Daniel Blanco-Melo</w:t>
        </w:r>
      </w:hyperlink>
      <w:r w:rsidR="008F6FFE" w:rsidRPr="006642C1">
        <w:rPr>
          <w:rFonts w:asciiTheme="minorHAnsi" w:hAnsiTheme="minorHAnsi" w:cstheme="minorHAnsi"/>
          <w:sz w:val="16"/>
          <w:szCs w:val="16"/>
        </w:rPr>
        <w:t xml:space="preserve"> et al</w:t>
      </w:r>
    </w:p>
    <w:p w:rsidR="008F6FFE" w:rsidRPr="009E718E" w:rsidRDefault="0052743C" w:rsidP="006642C1">
      <w:pPr>
        <w:rPr>
          <w:rFonts w:asciiTheme="minorHAnsi" w:hAnsiTheme="minorHAnsi" w:cstheme="minorHAnsi"/>
          <w:color w:val="000000" w:themeColor="text1"/>
          <w:sz w:val="16"/>
          <w:szCs w:val="16"/>
        </w:rPr>
      </w:pPr>
      <w:hyperlink r:id="rId563" w:history="1">
        <w:r w:rsidR="008F6FFE" w:rsidRPr="009E718E">
          <w:rPr>
            <w:rStyle w:val="Hyperlink"/>
            <w:rFonts w:asciiTheme="minorHAnsi" w:eastAsiaTheme="majorEastAsia" w:hAnsiTheme="minorHAnsi" w:cstheme="minorHAnsi"/>
            <w:color w:val="000000" w:themeColor="text1"/>
            <w:sz w:val="16"/>
            <w:szCs w:val="16"/>
            <w:u w:val="none"/>
          </w:rPr>
          <w:t>https://www.ncbi.nlm.nih.gov/pmc/articles/PMC7227586/</w:t>
        </w:r>
      </w:hyperlink>
    </w:p>
    <w:p w:rsidR="008F6FFE" w:rsidRDefault="008F6FFE">
      <w:pPr>
        <w:pStyle w:val="FootnoteText"/>
      </w:pPr>
    </w:p>
  </w:footnote>
  <w:footnote w:id="56">
    <w:p w:rsidR="008F6FFE" w:rsidRPr="00DC2644" w:rsidRDefault="008F6FFE" w:rsidP="00DC2644">
      <w:pPr>
        <w:rPr>
          <w:rFonts w:asciiTheme="minorHAnsi" w:hAnsiTheme="minorHAnsi" w:cstheme="minorHAnsi"/>
          <w:color w:val="000000" w:themeColor="text1"/>
          <w:sz w:val="16"/>
          <w:szCs w:val="16"/>
        </w:rPr>
      </w:pPr>
      <w:r w:rsidRPr="00717D4D">
        <w:rPr>
          <w:rStyle w:val="FootnoteReference"/>
          <w:rFonts w:asciiTheme="minorHAnsi" w:hAnsiTheme="minorHAnsi"/>
          <w:sz w:val="16"/>
          <w:szCs w:val="16"/>
        </w:rPr>
        <w:footnoteRef/>
      </w:r>
      <w:r w:rsidRPr="00DC2644">
        <w:rPr>
          <w:rFonts w:asciiTheme="minorHAnsi" w:hAnsiTheme="minorHAnsi"/>
          <w:sz w:val="16"/>
          <w:szCs w:val="16"/>
        </w:rPr>
        <w:t xml:space="preserve"> </w:t>
      </w:r>
      <w:r w:rsidRPr="00DC2644">
        <w:rPr>
          <w:rFonts w:asciiTheme="minorHAnsi" w:hAnsiTheme="minorHAnsi" w:cstheme="minorHAnsi"/>
          <w:color w:val="000000" w:themeColor="text1"/>
          <w:sz w:val="16"/>
          <w:szCs w:val="16"/>
        </w:rPr>
        <w:t xml:space="preserve">Per approfondimento: </w:t>
      </w:r>
      <w:hyperlink r:id="rId564" w:history="1">
        <w:r w:rsidRPr="00DC2644">
          <w:rPr>
            <w:rStyle w:val="Hyperlink"/>
            <w:rFonts w:asciiTheme="minorHAnsi" w:eastAsiaTheme="majorEastAsia" w:hAnsiTheme="minorHAnsi" w:cstheme="minorHAnsi"/>
            <w:color w:val="000000" w:themeColor="text1"/>
            <w:sz w:val="16"/>
            <w:szCs w:val="16"/>
            <w:u w:val="none"/>
          </w:rPr>
          <w:t>http://amsacta.unibo.it/3067/124/41_fp_termoregolazione_I_ed_ebook.pdf</w:t>
        </w:r>
      </w:hyperlink>
    </w:p>
    <w:p w:rsidR="008F6FFE" w:rsidRPr="00DC2644" w:rsidRDefault="008F6FFE" w:rsidP="00717D4D">
      <w:pPr>
        <w:pStyle w:val="Heading2"/>
        <w:shd w:val="clear" w:color="auto" w:fill="FFFFFF"/>
        <w:spacing w:before="0"/>
        <w:rPr>
          <w:rFonts w:asciiTheme="minorHAnsi" w:hAnsiTheme="minorHAnsi" w:cstheme="minorHAnsi"/>
          <w:color w:val="000000" w:themeColor="text1"/>
          <w:sz w:val="16"/>
          <w:szCs w:val="16"/>
        </w:rPr>
      </w:pPr>
      <w:r w:rsidRPr="00DC2644">
        <w:rPr>
          <w:rFonts w:asciiTheme="minorHAnsi" w:hAnsiTheme="minorHAnsi" w:cstheme="minorHAnsi"/>
          <w:color w:val="000000" w:themeColor="text1"/>
          <w:sz w:val="16"/>
          <w:szCs w:val="16"/>
        </w:rPr>
        <w:t>Fisiopatologia della termoregolazione</w:t>
      </w:r>
    </w:p>
    <w:p w:rsidR="008F6FFE" w:rsidRPr="00DC2644" w:rsidRDefault="008F6FFE" w:rsidP="00717D4D">
      <w:pPr>
        <w:pStyle w:val="Heading2"/>
        <w:shd w:val="clear" w:color="auto" w:fill="FFFFFF"/>
        <w:spacing w:before="0"/>
        <w:rPr>
          <w:rFonts w:asciiTheme="minorHAnsi" w:hAnsiTheme="minorHAnsi"/>
          <w:sz w:val="16"/>
          <w:szCs w:val="16"/>
        </w:rPr>
      </w:pPr>
    </w:p>
    <w:p w:rsidR="008F6FFE" w:rsidRPr="00717D4D" w:rsidRDefault="0052743C" w:rsidP="00717D4D">
      <w:pPr>
        <w:pStyle w:val="Heading2"/>
        <w:shd w:val="clear" w:color="auto" w:fill="FFFFFF"/>
        <w:spacing w:before="0"/>
        <w:rPr>
          <w:rFonts w:asciiTheme="minorHAnsi" w:hAnsiTheme="minorHAnsi" w:cstheme="minorHAnsi"/>
          <w:bCs/>
          <w:color w:val="000000" w:themeColor="text1"/>
          <w:sz w:val="16"/>
          <w:szCs w:val="16"/>
          <w:lang w:val="en-US"/>
        </w:rPr>
      </w:pPr>
      <w:hyperlink r:id="rId565" w:tooltip="Critical care (London, England)." w:history="1">
        <w:r w:rsidR="008F6FFE" w:rsidRPr="00DC2644">
          <w:rPr>
            <w:rFonts w:asciiTheme="minorHAnsi" w:hAnsiTheme="minorHAnsi" w:cstheme="minorHAnsi"/>
            <w:bCs/>
            <w:color w:val="000000" w:themeColor="text1"/>
            <w:sz w:val="16"/>
            <w:szCs w:val="16"/>
          </w:rPr>
          <w:t>Crit Care.</w:t>
        </w:r>
      </w:hyperlink>
      <w:r w:rsidR="008F6FFE" w:rsidRPr="00DC2644">
        <w:rPr>
          <w:rFonts w:asciiTheme="minorHAnsi" w:hAnsiTheme="minorHAnsi" w:cstheme="minorHAnsi"/>
          <w:bCs/>
          <w:color w:val="000000" w:themeColor="text1"/>
          <w:sz w:val="16"/>
          <w:szCs w:val="16"/>
        </w:rPr>
        <w:t> </w:t>
      </w:r>
      <w:r w:rsidR="008F6FFE" w:rsidRPr="00717D4D">
        <w:rPr>
          <w:rFonts w:asciiTheme="minorHAnsi" w:hAnsiTheme="minorHAnsi" w:cstheme="minorHAnsi"/>
          <w:bCs/>
          <w:color w:val="000000" w:themeColor="text1"/>
          <w:sz w:val="16"/>
          <w:szCs w:val="16"/>
          <w:lang w:val="en-US"/>
        </w:rPr>
        <w:t>2016 Jul 14;20(1):200. doi: 10.1186/s13054-016-1375-5.</w:t>
      </w:r>
    </w:p>
    <w:p w:rsidR="008F6FFE" w:rsidRPr="00717D4D"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The pathophysiological basis and consequences of fever.</w:t>
      </w:r>
    </w:p>
    <w:p w:rsidR="008F6FFE" w:rsidRPr="00717D4D" w:rsidRDefault="0052743C" w:rsidP="00717D4D">
      <w:pPr>
        <w:pStyle w:val="Heading2"/>
        <w:shd w:val="clear" w:color="auto" w:fill="FFFFFF"/>
        <w:spacing w:before="0"/>
        <w:rPr>
          <w:rFonts w:asciiTheme="minorHAnsi" w:hAnsiTheme="minorHAnsi" w:cstheme="minorHAnsi"/>
          <w:bCs/>
          <w:color w:val="000000" w:themeColor="text1"/>
          <w:sz w:val="16"/>
          <w:szCs w:val="16"/>
        </w:rPr>
      </w:pPr>
      <w:hyperlink r:id="rId566" w:history="1">
        <w:r w:rsidR="008F6FFE" w:rsidRPr="00717D4D">
          <w:rPr>
            <w:rFonts w:asciiTheme="minorHAnsi" w:hAnsiTheme="minorHAnsi" w:cstheme="minorHAnsi"/>
            <w:bCs/>
            <w:color w:val="000000" w:themeColor="text1"/>
            <w:sz w:val="16"/>
            <w:szCs w:val="16"/>
          </w:rPr>
          <w:t>Walter EJ</w:t>
        </w:r>
      </w:hyperlink>
      <w:r w:rsidR="008F6FFE" w:rsidRPr="00717D4D">
        <w:rPr>
          <w:rFonts w:asciiTheme="minorHAnsi" w:hAnsiTheme="minorHAnsi" w:cstheme="minorHAnsi"/>
          <w:bCs/>
          <w:color w:val="000000" w:themeColor="text1"/>
          <w:sz w:val="16"/>
          <w:szCs w:val="16"/>
        </w:rPr>
        <w:t>1, </w:t>
      </w:r>
      <w:hyperlink r:id="rId567" w:history="1">
        <w:r w:rsidR="008F6FFE" w:rsidRPr="00717D4D">
          <w:rPr>
            <w:rFonts w:asciiTheme="minorHAnsi" w:hAnsiTheme="minorHAnsi" w:cstheme="minorHAnsi"/>
            <w:bCs/>
            <w:color w:val="000000" w:themeColor="text1"/>
            <w:sz w:val="16"/>
            <w:szCs w:val="16"/>
          </w:rPr>
          <w:t>Hanna-Jumma S</w:t>
        </w:r>
      </w:hyperlink>
      <w:r w:rsidR="008F6FFE" w:rsidRPr="00717D4D">
        <w:rPr>
          <w:rFonts w:asciiTheme="minorHAnsi" w:hAnsiTheme="minorHAnsi" w:cstheme="minorHAnsi"/>
          <w:bCs/>
          <w:color w:val="000000" w:themeColor="text1"/>
          <w:sz w:val="16"/>
          <w:szCs w:val="16"/>
        </w:rPr>
        <w:t>2, </w:t>
      </w:r>
      <w:hyperlink r:id="rId568" w:history="1">
        <w:r w:rsidR="008F6FFE" w:rsidRPr="00717D4D">
          <w:rPr>
            <w:rFonts w:asciiTheme="minorHAnsi" w:hAnsiTheme="minorHAnsi" w:cstheme="minorHAnsi"/>
            <w:bCs/>
            <w:color w:val="000000" w:themeColor="text1"/>
            <w:sz w:val="16"/>
            <w:szCs w:val="16"/>
          </w:rPr>
          <w:t>Carraretto M</w:t>
        </w:r>
      </w:hyperlink>
      <w:r w:rsidR="008F6FFE" w:rsidRPr="00717D4D">
        <w:rPr>
          <w:rFonts w:asciiTheme="minorHAnsi" w:hAnsiTheme="minorHAnsi" w:cstheme="minorHAnsi"/>
          <w:bCs/>
          <w:color w:val="000000" w:themeColor="text1"/>
          <w:sz w:val="16"/>
          <w:szCs w:val="16"/>
        </w:rPr>
        <w:t>2, </w:t>
      </w:r>
      <w:hyperlink r:id="rId569" w:history="1">
        <w:r w:rsidR="008F6FFE" w:rsidRPr="00717D4D">
          <w:rPr>
            <w:rFonts w:asciiTheme="minorHAnsi" w:hAnsiTheme="minorHAnsi" w:cstheme="minorHAnsi"/>
            <w:bCs/>
            <w:color w:val="000000" w:themeColor="text1"/>
            <w:sz w:val="16"/>
            <w:szCs w:val="16"/>
          </w:rPr>
          <w:t>Forni L</w:t>
        </w:r>
      </w:hyperlink>
      <w:r w:rsidR="008F6FFE" w:rsidRPr="00717D4D">
        <w:rPr>
          <w:rFonts w:asciiTheme="minorHAnsi" w:hAnsiTheme="minorHAnsi" w:cstheme="minorHAnsi"/>
          <w:bCs/>
          <w:color w:val="000000" w:themeColor="text1"/>
          <w:sz w:val="16"/>
          <w:szCs w:val="16"/>
        </w:rPr>
        <w:t>2.</w:t>
      </w:r>
    </w:p>
    <w:p w:rsidR="008F6FFE" w:rsidRPr="00717D4D" w:rsidRDefault="0052743C" w:rsidP="00717D4D">
      <w:pPr>
        <w:rPr>
          <w:rFonts w:asciiTheme="minorHAnsi" w:hAnsiTheme="minorHAnsi"/>
          <w:color w:val="000000" w:themeColor="text1"/>
          <w:sz w:val="16"/>
          <w:szCs w:val="16"/>
        </w:rPr>
      </w:pPr>
      <w:hyperlink r:id="rId570" w:history="1">
        <w:r w:rsidR="008F6FFE" w:rsidRPr="00717D4D">
          <w:rPr>
            <w:rStyle w:val="Hyperlink"/>
            <w:rFonts w:asciiTheme="minorHAnsi" w:eastAsiaTheme="majorEastAsia" w:hAnsiTheme="minorHAnsi" w:cstheme="minorHAnsi"/>
            <w:color w:val="000000" w:themeColor="text1"/>
            <w:sz w:val="16"/>
            <w:szCs w:val="16"/>
            <w:u w:val="none"/>
          </w:rPr>
          <w:t>https://www.ncbi.nlm.nih.gov/pmc/articles/PMC4944485/pdf/13054_2016_Article_1375.pdf</w:t>
        </w:r>
      </w:hyperlink>
    </w:p>
    <w:p w:rsidR="008F6FFE" w:rsidRPr="00717D4D" w:rsidRDefault="008F6FFE" w:rsidP="00717D4D">
      <w:pPr>
        <w:pStyle w:val="Heading2"/>
        <w:shd w:val="clear" w:color="auto" w:fill="FFFFFF"/>
        <w:spacing w:before="0"/>
        <w:rPr>
          <w:rFonts w:asciiTheme="minorHAnsi" w:hAnsiTheme="minorHAnsi" w:cstheme="minorHAnsi"/>
          <w:bCs/>
          <w:color w:val="000000" w:themeColor="text1"/>
          <w:sz w:val="16"/>
          <w:szCs w:val="16"/>
        </w:rPr>
      </w:pPr>
    </w:p>
    <w:p w:rsidR="008F6FFE" w:rsidRPr="009E718E" w:rsidRDefault="0052743C" w:rsidP="00717D4D">
      <w:pPr>
        <w:pStyle w:val="Heading2"/>
        <w:shd w:val="clear" w:color="auto" w:fill="FFFFFF"/>
        <w:spacing w:before="0"/>
        <w:rPr>
          <w:rFonts w:asciiTheme="minorHAnsi" w:hAnsiTheme="minorHAnsi" w:cstheme="minorHAnsi"/>
          <w:bCs/>
          <w:color w:val="000000" w:themeColor="text1"/>
          <w:sz w:val="16"/>
          <w:szCs w:val="16"/>
          <w:lang w:val="en-US"/>
        </w:rPr>
      </w:pPr>
      <w:hyperlink r:id="rId571" w:tooltip="Critical care medicine." w:history="1">
        <w:r w:rsidR="008F6FFE" w:rsidRPr="009E718E">
          <w:rPr>
            <w:rFonts w:asciiTheme="minorHAnsi" w:hAnsiTheme="minorHAnsi" w:cstheme="minorHAnsi"/>
            <w:bCs/>
            <w:color w:val="000000" w:themeColor="text1"/>
            <w:sz w:val="16"/>
            <w:szCs w:val="16"/>
            <w:lang w:val="en-US"/>
          </w:rPr>
          <w:t>Crit Care Med.</w:t>
        </w:r>
      </w:hyperlink>
      <w:r w:rsidR="008F6FFE" w:rsidRPr="009E718E">
        <w:rPr>
          <w:rFonts w:asciiTheme="minorHAnsi" w:hAnsiTheme="minorHAnsi" w:cstheme="minorHAnsi"/>
          <w:bCs/>
          <w:color w:val="000000" w:themeColor="text1"/>
          <w:sz w:val="16"/>
          <w:szCs w:val="16"/>
          <w:lang w:val="en-US"/>
        </w:rPr>
        <w:t> 2008 Apr;36(4):1330-49. doi: 10.1097/CCM.0b013e318169eda9.</w:t>
      </w:r>
    </w:p>
    <w:p w:rsidR="008F6FFE" w:rsidRPr="009E718E"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9E718E">
        <w:rPr>
          <w:rFonts w:asciiTheme="minorHAnsi" w:hAnsiTheme="minorHAnsi" w:cstheme="minorHAnsi"/>
          <w:bCs/>
          <w:color w:val="000000" w:themeColor="text1"/>
          <w:sz w:val="16"/>
          <w:szCs w:val="16"/>
          <w:lang w:val="en-US"/>
        </w:rPr>
        <w:t>Guidelines for evaluation of new fever in critically ill adult patients: 2008 update from the American College of Critical Care Medicine and the Infectious Diseases Society of America.</w:t>
      </w:r>
    </w:p>
    <w:p w:rsidR="008F6FFE" w:rsidRPr="009E718E" w:rsidRDefault="0052743C" w:rsidP="00717D4D">
      <w:pPr>
        <w:pStyle w:val="Heading2"/>
        <w:shd w:val="clear" w:color="auto" w:fill="FFFFFF"/>
        <w:spacing w:before="0"/>
        <w:rPr>
          <w:rFonts w:asciiTheme="minorHAnsi" w:hAnsiTheme="minorHAnsi" w:cstheme="minorHAnsi"/>
          <w:bCs/>
          <w:color w:val="000000" w:themeColor="text1"/>
          <w:sz w:val="16"/>
          <w:szCs w:val="16"/>
          <w:lang w:val="en-US"/>
        </w:rPr>
      </w:pPr>
      <w:hyperlink r:id="rId572" w:history="1">
        <w:r w:rsidR="008F6FFE" w:rsidRPr="009E718E">
          <w:rPr>
            <w:rFonts w:asciiTheme="minorHAnsi" w:hAnsiTheme="minorHAnsi" w:cstheme="minorHAnsi"/>
            <w:bCs/>
            <w:color w:val="000000" w:themeColor="text1"/>
            <w:sz w:val="16"/>
            <w:szCs w:val="16"/>
            <w:lang w:val="en-US"/>
          </w:rPr>
          <w:t>O'Grady NP</w:t>
        </w:r>
      </w:hyperlink>
      <w:r w:rsidR="008F6FFE" w:rsidRPr="009E718E">
        <w:rPr>
          <w:rFonts w:asciiTheme="minorHAnsi" w:hAnsiTheme="minorHAnsi" w:cstheme="minorHAnsi"/>
          <w:bCs/>
          <w:color w:val="000000" w:themeColor="text1"/>
          <w:sz w:val="16"/>
          <w:szCs w:val="16"/>
          <w:lang w:val="en-US"/>
        </w:rPr>
        <w:t>1, </w:t>
      </w:r>
      <w:hyperlink r:id="rId573" w:history="1">
        <w:r w:rsidR="008F6FFE" w:rsidRPr="009E718E">
          <w:rPr>
            <w:rFonts w:asciiTheme="minorHAnsi" w:hAnsiTheme="minorHAnsi" w:cstheme="minorHAnsi"/>
            <w:bCs/>
            <w:color w:val="000000" w:themeColor="text1"/>
            <w:sz w:val="16"/>
            <w:szCs w:val="16"/>
            <w:lang w:val="en-US"/>
          </w:rPr>
          <w:t>Barie PS</w:t>
        </w:r>
      </w:hyperlink>
      <w:r w:rsidR="008F6FFE" w:rsidRPr="009E718E">
        <w:rPr>
          <w:rFonts w:asciiTheme="minorHAnsi" w:hAnsiTheme="minorHAnsi" w:cstheme="minorHAnsi"/>
          <w:bCs/>
          <w:color w:val="000000" w:themeColor="text1"/>
          <w:sz w:val="16"/>
          <w:szCs w:val="16"/>
          <w:lang w:val="en-US"/>
        </w:rPr>
        <w:t>, </w:t>
      </w:r>
      <w:hyperlink r:id="rId574" w:history="1">
        <w:r w:rsidR="008F6FFE" w:rsidRPr="009E718E">
          <w:rPr>
            <w:rFonts w:asciiTheme="minorHAnsi" w:hAnsiTheme="minorHAnsi" w:cstheme="minorHAnsi"/>
            <w:bCs/>
            <w:color w:val="000000" w:themeColor="text1"/>
            <w:sz w:val="16"/>
            <w:szCs w:val="16"/>
            <w:lang w:val="en-US"/>
          </w:rPr>
          <w:t>Bartlett JG</w:t>
        </w:r>
      </w:hyperlink>
      <w:r w:rsidR="008F6FFE" w:rsidRPr="009E718E">
        <w:rPr>
          <w:rFonts w:asciiTheme="minorHAnsi" w:hAnsiTheme="minorHAnsi" w:cstheme="minorHAnsi"/>
          <w:bCs/>
          <w:color w:val="000000" w:themeColor="text1"/>
          <w:sz w:val="16"/>
          <w:szCs w:val="16"/>
          <w:lang w:val="en-US"/>
        </w:rPr>
        <w:t>, </w:t>
      </w:r>
      <w:hyperlink r:id="rId575" w:history="1">
        <w:r w:rsidR="008F6FFE" w:rsidRPr="009E718E">
          <w:rPr>
            <w:rFonts w:asciiTheme="minorHAnsi" w:hAnsiTheme="minorHAnsi" w:cstheme="minorHAnsi"/>
            <w:bCs/>
            <w:color w:val="000000" w:themeColor="text1"/>
            <w:sz w:val="16"/>
            <w:szCs w:val="16"/>
            <w:lang w:val="en-US"/>
          </w:rPr>
          <w:t>Bleck T</w:t>
        </w:r>
      </w:hyperlink>
      <w:r w:rsidR="008F6FFE" w:rsidRPr="009E718E">
        <w:rPr>
          <w:rFonts w:asciiTheme="minorHAnsi" w:hAnsiTheme="minorHAnsi" w:cstheme="minorHAnsi"/>
          <w:bCs/>
          <w:color w:val="000000" w:themeColor="text1"/>
          <w:sz w:val="16"/>
          <w:szCs w:val="16"/>
          <w:lang w:val="en-US"/>
        </w:rPr>
        <w:t>, </w:t>
      </w:r>
      <w:hyperlink r:id="rId576" w:history="1">
        <w:r w:rsidR="008F6FFE" w:rsidRPr="009E718E">
          <w:rPr>
            <w:rFonts w:asciiTheme="minorHAnsi" w:hAnsiTheme="minorHAnsi" w:cstheme="minorHAnsi"/>
            <w:bCs/>
            <w:color w:val="000000" w:themeColor="text1"/>
            <w:sz w:val="16"/>
            <w:szCs w:val="16"/>
            <w:lang w:val="en-US"/>
          </w:rPr>
          <w:t>Carroll K</w:t>
        </w:r>
      </w:hyperlink>
      <w:r w:rsidR="008F6FFE" w:rsidRPr="009E718E">
        <w:rPr>
          <w:rFonts w:asciiTheme="minorHAnsi" w:hAnsiTheme="minorHAnsi" w:cstheme="minorHAnsi"/>
          <w:bCs/>
          <w:color w:val="000000" w:themeColor="text1"/>
          <w:sz w:val="16"/>
          <w:szCs w:val="16"/>
          <w:lang w:val="en-US"/>
        </w:rPr>
        <w:t>, </w:t>
      </w:r>
      <w:hyperlink r:id="rId577" w:history="1">
        <w:r w:rsidR="008F6FFE" w:rsidRPr="009E718E">
          <w:rPr>
            <w:rFonts w:asciiTheme="minorHAnsi" w:hAnsiTheme="minorHAnsi" w:cstheme="minorHAnsi"/>
            <w:bCs/>
            <w:color w:val="000000" w:themeColor="text1"/>
            <w:sz w:val="16"/>
            <w:szCs w:val="16"/>
            <w:lang w:val="en-US"/>
          </w:rPr>
          <w:t>Kalil AC</w:t>
        </w:r>
      </w:hyperlink>
      <w:r w:rsidR="008F6FFE" w:rsidRPr="009E718E">
        <w:rPr>
          <w:rFonts w:asciiTheme="minorHAnsi" w:hAnsiTheme="minorHAnsi" w:cstheme="minorHAnsi"/>
          <w:bCs/>
          <w:color w:val="000000" w:themeColor="text1"/>
          <w:sz w:val="16"/>
          <w:szCs w:val="16"/>
          <w:lang w:val="en-US"/>
        </w:rPr>
        <w:t>, </w:t>
      </w:r>
      <w:hyperlink r:id="rId578" w:history="1">
        <w:r w:rsidR="008F6FFE" w:rsidRPr="009E718E">
          <w:rPr>
            <w:rFonts w:asciiTheme="minorHAnsi" w:hAnsiTheme="minorHAnsi" w:cstheme="minorHAnsi"/>
            <w:bCs/>
            <w:color w:val="000000" w:themeColor="text1"/>
            <w:sz w:val="16"/>
            <w:szCs w:val="16"/>
            <w:lang w:val="en-US"/>
          </w:rPr>
          <w:t>Linden P</w:t>
        </w:r>
      </w:hyperlink>
      <w:r w:rsidR="008F6FFE" w:rsidRPr="009E718E">
        <w:rPr>
          <w:rFonts w:asciiTheme="minorHAnsi" w:hAnsiTheme="minorHAnsi" w:cstheme="minorHAnsi"/>
          <w:bCs/>
          <w:color w:val="000000" w:themeColor="text1"/>
          <w:sz w:val="16"/>
          <w:szCs w:val="16"/>
          <w:lang w:val="en-US"/>
        </w:rPr>
        <w:t>, </w:t>
      </w:r>
      <w:hyperlink r:id="rId579" w:history="1">
        <w:r w:rsidR="008F6FFE" w:rsidRPr="009E718E">
          <w:rPr>
            <w:rFonts w:asciiTheme="minorHAnsi" w:hAnsiTheme="minorHAnsi" w:cstheme="minorHAnsi"/>
            <w:bCs/>
            <w:color w:val="000000" w:themeColor="text1"/>
            <w:sz w:val="16"/>
            <w:szCs w:val="16"/>
            <w:lang w:val="en-US"/>
          </w:rPr>
          <w:t>Maki DG</w:t>
        </w:r>
      </w:hyperlink>
      <w:r w:rsidR="008F6FFE" w:rsidRPr="009E718E">
        <w:rPr>
          <w:rFonts w:asciiTheme="minorHAnsi" w:hAnsiTheme="minorHAnsi" w:cstheme="minorHAnsi"/>
          <w:bCs/>
          <w:color w:val="000000" w:themeColor="text1"/>
          <w:sz w:val="16"/>
          <w:szCs w:val="16"/>
          <w:lang w:val="en-US"/>
        </w:rPr>
        <w:t>, </w:t>
      </w:r>
      <w:hyperlink r:id="rId580" w:history="1">
        <w:r w:rsidR="008F6FFE" w:rsidRPr="009E718E">
          <w:rPr>
            <w:rFonts w:asciiTheme="minorHAnsi" w:hAnsiTheme="minorHAnsi" w:cstheme="minorHAnsi"/>
            <w:bCs/>
            <w:color w:val="000000" w:themeColor="text1"/>
            <w:sz w:val="16"/>
            <w:szCs w:val="16"/>
            <w:lang w:val="en-US"/>
          </w:rPr>
          <w:t>Nierman D</w:t>
        </w:r>
      </w:hyperlink>
      <w:r w:rsidR="008F6FFE" w:rsidRPr="009E718E">
        <w:rPr>
          <w:rFonts w:asciiTheme="minorHAnsi" w:hAnsiTheme="minorHAnsi" w:cstheme="minorHAnsi"/>
          <w:bCs/>
          <w:color w:val="000000" w:themeColor="text1"/>
          <w:sz w:val="16"/>
          <w:szCs w:val="16"/>
          <w:lang w:val="en-US"/>
        </w:rPr>
        <w:t>, </w:t>
      </w:r>
      <w:hyperlink r:id="rId581" w:history="1">
        <w:r w:rsidR="008F6FFE" w:rsidRPr="009E718E">
          <w:rPr>
            <w:rFonts w:asciiTheme="minorHAnsi" w:hAnsiTheme="minorHAnsi" w:cstheme="minorHAnsi"/>
            <w:bCs/>
            <w:color w:val="000000" w:themeColor="text1"/>
            <w:sz w:val="16"/>
            <w:szCs w:val="16"/>
            <w:lang w:val="en-US"/>
          </w:rPr>
          <w:t>Pasculle W</w:t>
        </w:r>
      </w:hyperlink>
      <w:r w:rsidR="008F6FFE" w:rsidRPr="009E718E">
        <w:rPr>
          <w:rFonts w:asciiTheme="minorHAnsi" w:hAnsiTheme="minorHAnsi" w:cstheme="minorHAnsi"/>
          <w:bCs/>
          <w:color w:val="000000" w:themeColor="text1"/>
          <w:sz w:val="16"/>
          <w:szCs w:val="16"/>
          <w:lang w:val="en-US"/>
        </w:rPr>
        <w:t>, </w:t>
      </w:r>
      <w:hyperlink r:id="rId582" w:history="1">
        <w:r w:rsidR="008F6FFE" w:rsidRPr="009E718E">
          <w:rPr>
            <w:rFonts w:asciiTheme="minorHAnsi" w:hAnsiTheme="minorHAnsi" w:cstheme="minorHAnsi"/>
            <w:bCs/>
            <w:color w:val="000000" w:themeColor="text1"/>
            <w:sz w:val="16"/>
            <w:szCs w:val="16"/>
            <w:lang w:val="en-US"/>
          </w:rPr>
          <w:t>Masur H</w:t>
        </w:r>
      </w:hyperlink>
      <w:r w:rsidR="008F6FFE" w:rsidRPr="009E718E">
        <w:rPr>
          <w:rFonts w:asciiTheme="minorHAnsi" w:hAnsiTheme="minorHAnsi" w:cstheme="minorHAnsi"/>
          <w:bCs/>
          <w:color w:val="000000" w:themeColor="text1"/>
          <w:sz w:val="16"/>
          <w:szCs w:val="16"/>
          <w:lang w:val="en-US"/>
        </w:rPr>
        <w:t>; </w:t>
      </w:r>
      <w:hyperlink r:id="rId583" w:history="1">
        <w:r w:rsidR="008F6FFE" w:rsidRPr="009E718E">
          <w:rPr>
            <w:rFonts w:asciiTheme="minorHAnsi" w:hAnsiTheme="minorHAnsi" w:cstheme="minorHAnsi"/>
            <w:bCs/>
            <w:color w:val="000000" w:themeColor="text1"/>
            <w:sz w:val="16"/>
            <w:szCs w:val="16"/>
            <w:lang w:val="en-US"/>
          </w:rPr>
          <w:t>American College of Critical Care Medicine</w:t>
        </w:r>
      </w:hyperlink>
      <w:r w:rsidR="008F6FFE" w:rsidRPr="009E718E">
        <w:rPr>
          <w:rFonts w:asciiTheme="minorHAnsi" w:hAnsiTheme="minorHAnsi" w:cstheme="minorHAnsi"/>
          <w:bCs/>
          <w:color w:val="000000" w:themeColor="text1"/>
          <w:sz w:val="16"/>
          <w:szCs w:val="16"/>
          <w:lang w:val="en-US"/>
        </w:rPr>
        <w:t>; </w:t>
      </w:r>
      <w:hyperlink r:id="rId584" w:history="1">
        <w:r w:rsidR="008F6FFE" w:rsidRPr="009E718E">
          <w:rPr>
            <w:rFonts w:asciiTheme="minorHAnsi" w:hAnsiTheme="minorHAnsi" w:cstheme="minorHAnsi"/>
            <w:bCs/>
            <w:color w:val="000000" w:themeColor="text1"/>
            <w:sz w:val="16"/>
            <w:szCs w:val="16"/>
            <w:lang w:val="en-US"/>
          </w:rPr>
          <w:t>Infectious Diseases Society of America</w:t>
        </w:r>
      </w:hyperlink>
      <w:r w:rsidR="008F6FFE" w:rsidRPr="009E718E">
        <w:rPr>
          <w:rFonts w:asciiTheme="minorHAnsi" w:hAnsiTheme="minorHAnsi" w:cstheme="minorHAnsi"/>
          <w:bCs/>
          <w:color w:val="000000" w:themeColor="text1"/>
          <w:sz w:val="16"/>
          <w:szCs w:val="16"/>
          <w:lang w:val="en-US"/>
        </w:rPr>
        <w:t>.</w:t>
      </w:r>
    </w:p>
    <w:p w:rsidR="008F6FFE" w:rsidRPr="009E718E" w:rsidRDefault="0052743C" w:rsidP="009E718E">
      <w:pPr>
        <w:rPr>
          <w:rFonts w:asciiTheme="minorHAnsi" w:hAnsiTheme="minorHAnsi" w:cstheme="minorHAnsi"/>
          <w:color w:val="000000" w:themeColor="text1"/>
          <w:sz w:val="16"/>
          <w:szCs w:val="16"/>
          <w:lang w:val="en-US"/>
        </w:rPr>
      </w:pPr>
      <w:hyperlink r:id="rId585" w:history="1">
        <w:r w:rsidR="008F6FFE" w:rsidRPr="009E718E">
          <w:rPr>
            <w:rFonts w:asciiTheme="minorHAnsi" w:hAnsiTheme="minorHAnsi" w:cstheme="minorHAnsi"/>
            <w:color w:val="000000" w:themeColor="text1"/>
            <w:sz w:val="16"/>
            <w:szCs w:val="16"/>
            <w:lang w:val="en-US"/>
          </w:rPr>
          <w:t>https://journals.lww.com/ccmjournal/Fulltext/2008/04000/Guidelines_for_evaluation_of_new_fever_in.40.aspx</w:t>
        </w:r>
      </w:hyperlink>
    </w:p>
    <w:p w:rsidR="008F6FFE" w:rsidRPr="009E718E"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p>
    <w:p w:rsidR="008F6FFE" w:rsidRPr="009E718E"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9E718E">
        <w:rPr>
          <w:rFonts w:asciiTheme="minorHAnsi" w:hAnsiTheme="minorHAnsi" w:cstheme="minorHAnsi"/>
          <w:bCs/>
          <w:color w:val="000000" w:themeColor="text1"/>
          <w:sz w:val="16"/>
          <w:szCs w:val="16"/>
          <w:lang w:val="en-US"/>
        </w:rPr>
        <w:t xml:space="preserve"> </w:t>
      </w:r>
      <w:hyperlink r:id="rId586" w:tooltip="Journal of infection and public health." w:history="1">
        <w:r w:rsidRPr="009E718E">
          <w:rPr>
            <w:rFonts w:asciiTheme="minorHAnsi" w:hAnsiTheme="minorHAnsi" w:cstheme="minorHAnsi"/>
            <w:bCs/>
            <w:color w:val="000000" w:themeColor="text1"/>
            <w:sz w:val="16"/>
            <w:szCs w:val="16"/>
            <w:lang w:val="en-US"/>
          </w:rPr>
          <w:t>J Infect Public Health.</w:t>
        </w:r>
      </w:hyperlink>
      <w:r w:rsidRPr="009E718E">
        <w:rPr>
          <w:rFonts w:asciiTheme="minorHAnsi" w:hAnsiTheme="minorHAnsi" w:cstheme="minorHAnsi"/>
          <w:bCs/>
          <w:color w:val="000000" w:themeColor="text1"/>
          <w:sz w:val="16"/>
          <w:szCs w:val="16"/>
          <w:lang w:val="en-US"/>
        </w:rPr>
        <w:t xml:space="preserve"> 2011 Aug;4(3):108-24. doi: 10.1016/j.jiph.2011.05.002. </w:t>
      </w:r>
    </w:p>
    <w:p w:rsidR="008F6FFE" w:rsidRPr="009E718E"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9E718E">
        <w:rPr>
          <w:rFonts w:asciiTheme="minorHAnsi" w:hAnsiTheme="minorHAnsi" w:cstheme="minorHAnsi"/>
          <w:bCs/>
          <w:color w:val="000000" w:themeColor="text1"/>
          <w:sz w:val="16"/>
          <w:szCs w:val="16"/>
          <w:lang w:val="en-US"/>
        </w:rPr>
        <w:t>Fever, fever patterns and diseases called 'fever'--a review.</w:t>
      </w:r>
    </w:p>
    <w:p w:rsidR="008F6FFE" w:rsidRPr="009E718E" w:rsidRDefault="0052743C" w:rsidP="00717D4D">
      <w:pPr>
        <w:pStyle w:val="Heading2"/>
        <w:shd w:val="clear" w:color="auto" w:fill="FFFFFF"/>
        <w:spacing w:before="0"/>
        <w:rPr>
          <w:rFonts w:asciiTheme="minorHAnsi" w:hAnsiTheme="minorHAnsi" w:cstheme="minorHAnsi"/>
          <w:bCs/>
          <w:color w:val="000000" w:themeColor="text1"/>
          <w:sz w:val="16"/>
          <w:szCs w:val="16"/>
        </w:rPr>
      </w:pPr>
      <w:hyperlink r:id="rId587" w:history="1">
        <w:r w:rsidR="008F6FFE" w:rsidRPr="009E718E">
          <w:rPr>
            <w:rFonts w:asciiTheme="minorHAnsi" w:hAnsiTheme="minorHAnsi" w:cstheme="minorHAnsi"/>
            <w:bCs/>
            <w:color w:val="000000" w:themeColor="text1"/>
            <w:sz w:val="16"/>
            <w:szCs w:val="16"/>
          </w:rPr>
          <w:t>Ogoina D</w:t>
        </w:r>
      </w:hyperlink>
      <w:r w:rsidR="008F6FFE" w:rsidRPr="009E718E">
        <w:rPr>
          <w:rFonts w:asciiTheme="minorHAnsi" w:hAnsiTheme="minorHAnsi" w:cstheme="minorHAnsi"/>
          <w:bCs/>
          <w:color w:val="000000" w:themeColor="text1"/>
          <w:sz w:val="16"/>
          <w:szCs w:val="16"/>
        </w:rPr>
        <w:t>1.</w:t>
      </w:r>
    </w:p>
    <w:p w:rsidR="008F6FFE" w:rsidRPr="009E718E" w:rsidRDefault="0052743C" w:rsidP="009E718E">
      <w:pPr>
        <w:rPr>
          <w:rFonts w:asciiTheme="minorHAnsi" w:hAnsiTheme="minorHAnsi" w:cstheme="minorHAnsi"/>
          <w:color w:val="000000" w:themeColor="text1"/>
          <w:sz w:val="16"/>
          <w:szCs w:val="16"/>
        </w:rPr>
      </w:pPr>
      <w:hyperlink r:id="rId588" w:history="1">
        <w:r w:rsidR="008F6FFE" w:rsidRPr="009E718E">
          <w:rPr>
            <w:rFonts w:asciiTheme="minorHAnsi" w:hAnsiTheme="minorHAnsi" w:cstheme="minorHAnsi"/>
            <w:color w:val="000000" w:themeColor="text1"/>
            <w:sz w:val="16"/>
            <w:szCs w:val="16"/>
          </w:rPr>
          <w:t>https://www.sciencedirect.com/science/article/pii/S1876034111000256?via%3Dihub</w:t>
        </w:r>
      </w:hyperlink>
    </w:p>
    <w:p w:rsidR="008F6FFE" w:rsidRPr="00717D4D" w:rsidRDefault="008F6FFE" w:rsidP="00717D4D">
      <w:pPr>
        <w:pStyle w:val="Heading2"/>
        <w:shd w:val="clear" w:color="auto" w:fill="FFFFFF"/>
        <w:spacing w:before="0"/>
        <w:rPr>
          <w:rFonts w:asciiTheme="minorHAnsi" w:hAnsiTheme="minorHAnsi"/>
          <w:sz w:val="16"/>
          <w:szCs w:val="16"/>
        </w:rPr>
      </w:pPr>
    </w:p>
    <w:p w:rsidR="008F6FFE" w:rsidRPr="00717D4D" w:rsidRDefault="0052743C" w:rsidP="00717D4D">
      <w:pPr>
        <w:rPr>
          <w:rFonts w:asciiTheme="minorHAnsi" w:hAnsiTheme="minorHAnsi"/>
          <w:color w:val="000000" w:themeColor="text1"/>
          <w:sz w:val="16"/>
          <w:szCs w:val="16"/>
        </w:rPr>
      </w:pPr>
      <w:hyperlink r:id="rId589" w:history="1">
        <w:r w:rsidR="008F6FFE" w:rsidRPr="00717D4D">
          <w:rPr>
            <w:rStyle w:val="Hyperlink"/>
            <w:rFonts w:asciiTheme="minorHAnsi" w:eastAsiaTheme="majorEastAsia" w:hAnsiTheme="minorHAnsi"/>
            <w:color w:val="000000" w:themeColor="text1"/>
            <w:sz w:val="16"/>
            <w:szCs w:val="16"/>
            <w:u w:val="none"/>
          </w:rPr>
          <w:t>https://semmelweis.hu/belgyogyaszat3/files/2018/04/Patient-with-fever.pdf</w:t>
        </w:r>
      </w:hyperlink>
    </w:p>
    <w:p w:rsidR="008F6FFE" w:rsidRPr="00717D4D" w:rsidRDefault="008F6FFE" w:rsidP="00717D4D">
      <w:pPr>
        <w:rPr>
          <w:rFonts w:asciiTheme="minorHAnsi" w:hAnsiTheme="minorHAnsi"/>
          <w:color w:val="000000" w:themeColor="text1"/>
          <w:sz w:val="16"/>
          <w:szCs w:val="16"/>
        </w:rPr>
      </w:pPr>
    </w:p>
    <w:p w:rsidR="008F6FFE" w:rsidRPr="00717D4D" w:rsidRDefault="0052743C" w:rsidP="00717D4D">
      <w:pPr>
        <w:pStyle w:val="Heading2"/>
        <w:shd w:val="clear" w:color="auto" w:fill="FFFFFF"/>
        <w:spacing w:before="0"/>
        <w:rPr>
          <w:rFonts w:asciiTheme="minorHAnsi" w:hAnsiTheme="minorHAnsi" w:cstheme="minorHAnsi"/>
          <w:bCs/>
          <w:color w:val="000000" w:themeColor="text1"/>
          <w:sz w:val="16"/>
          <w:szCs w:val="16"/>
          <w:lang w:val="en-US"/>
        </w:rPr>
      </w:pPr>
      <w:hyperlink r:id="rId590" w:tooltip="Archives of internal medicine." w:history="1">
        <w:r w:rsidR="008F6FFE" w:rsidRPr="00717D4D">
          <w:rPr>
            <w:rFonts w:asciiTheme="minorHAnsi" w:hAnsiTheme="minorHAnsi" w:cstheme="minorHAnsi"/>
            <w:bCs/>
            <w:color w:val="000000" w:themeColor="text1"/>
            <w:sz w:val="16"/>
            <w:szCs w:val="16"/>
            <w:lang w:val="en-US"/>
          </w:rPr>
          <w:t>Arch Intern Med.</w:t>
        </w:r>
      </w:hyperlink>
      <w:r w:rsidR="008F6FFE" w:rsidRPr="00717D4D">
        <w:rPr>
          <w:rFonts w:asciiTheme="minorHAnsi" w:hAnsiTheme="minorHAnsi" w:cstheme="minorHAnsi"/>
          <w:bCs/>
          <w:color w:val="000000" w:themeColor="text1"/>
          <w:sz w:val="16"/>
          <w:szCs w:val="16"/>
          <w:lang w:val="en-US"/>
        </w:rPr>
        <w:t> 1998 Sep 28;158(17):1870-81.</w:t>
      </w:r>
    </w:p>
    <w:p w:rsidR="008F6FFE" w:rsidRPr="00717D4D"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Concepts of fever.</w:t>
      </w:r>
    </w:p>
    <w:p w:rsidR="008F6FFE" w:rsidRPr="00717D4D" w:rsidRDefault="0052743C" w:rsidP="00717D4D">
      <w:pPr>
        <w:pStyle w:val="Heading2"/>
        <w:shd w:val="clear" w:color="auto" w:fill="FFFFFF"/>
        <w:spacing w:before="0"/>
        <w:rPr>
          <w:rFonts w:asciiTheme="minorHAnsi" w:hAnsiTheme="minorHAnsi" w:cstheme="minorHAnsi"/>
          <w:bCs/>
          <w:color w:val="000000" w:themeColor="text1"/>
          <w:sz w:val="16"/>
          <w:szCs w:val="16"/>
          <w:lang w:val="en-US"/>
        </w:rPr>
      </w:pPr>
      <w:hyperlink r:id="rId591" w:history="1">
        <w:r w:rsidR="008F6FFE" w:rsidRPr="00717D4D">
          <w:rPr>
            <w:rFonts w:asciiTheme="minorHAnsi" w:hAnsiTheme="minorHAnsi" w:cstheme="minorHAnsi"/>
            <w:bCs/>
            <w:color w:val="000000" w:themeColor="text1"/>
            <w:sz w:val="16"/>
            <w:szCs w:val="16"/>
            <w:lang w:val="en-US"/>
          </w:rPr>
          <w:t>Mackowiak PA</w:t>
        </w:r>
      </w:hyperlink>
      <w:r w:rsidR="008F6FFE" w:rsidRPr="00717D4D">
        <w:rPr>
          <w:rFonts w:asciiTheme="minorHAnsi" w:hAnsiTheme="minorHAnsi" w:cstheme="minorHAnsi"/>
          <w:bCs/>
          <w:color w:val="000000" w:themeColor="text1"/>
          <w:sz w:val="16"/>
          <w:szCs w:val="16"/>
          <w:lang w:val="en-US"/>
        </w:rPr>
        <w:t>1.</w:t>
      </w:r>
    </w:p>
    <w:p w:rsidR="008F6FFE" w:rsidRPr="00717D4D" w:rsidRDefault="0052743C" w:rsidP="00717D4D">
      <w:pPr>
        <w:rPr>
          <w:rFonts w:asciiTheme="minorHAnsi" w:hAnsiTheme="minorHAnsi"/>
          <w:color w:val="000000" w:themeColor="text1"/>
          <w:sz w:val="16"/>
          <w:szCs w:val="16"/>
          <w:lang w:val="en-US"/>
        </w:rPr>
      </w:pPr>
      <w:hyperlink r:id="rId592" w:history="1">
        <w:r w:rsidR="008F6FFE" w:rsidRPr="00717D4D">
          <w:rPr>
            <w:rStyle w:val="Hyperlink"/>
            <w:rFonts w:asciiTheme="minorHAnsi" w:eastAsiaTheme="majorEastAsia" w:hAnsiTheme="minorHAnsi"/>
            <w:color w:val="000000" w:themeColor="text1"/>
            <w:sz w:val="16"/>
            <w:szCs w:val="16"/>
            <w:u w:val="none"/>
            <w:lang w:val="en-US"/>
          </w:rPr>
          <w:t>https://jamanetwork.com/journals/jamainternalmedicine/fullarticle/209609</w:t>
        </w:r>
      </w:hyperlink>
    </w:p>
    <w:p w:rsidR="008F6FFE" w:rsidRPr="00717D4D" w:rsidRDefault="008F6FFE" w:rsidP="00717D4D">
      <w:pPr>
        <w:rPr>
          <w:rFonts w:asciiTheme="minorHAnsi" w:hAnsiTheme="minorHAnsi"/>
          <w:sz w:val="16"/>
          <w:szCs w:val="16"/>
          <w:lang w:val="en-US"/>
        </w:rPr>
      </w:pPr>
    </w:p>
    <w:p w:rsidR="008F6FFE" w:rsidRPr="00717D4D" w:rsidRDefault="0052743C" w:rsidP="00717D4D">
      <w:pPr>
        <w:shd w:val="clear" w:color="auto" w:fill="FFFFFF"/>
        <w:rPr>
          <w:rFonts w:asciiTheme="minorHAnsi" w:hAnsiTheme="minorHAnsi"/>
          <w:color w:val="333333"/>
          <w:spacing w:val="4"/>
          <w:sz w:val="16"/>
          <w:szCs w:val="16"/>
          <w:lang w:val="en-US"/>
        </w:rPr>
      </w:pPr>
      <w:hyperlink r:id="rId593" w:history="1">
        <w:r w:rsidR="008F6FFE" w:rsidRPr="00717D4D">
          <w:rPr>
            <w:rStyle w:val="bibliographic-informationtitle"/>
            <w:rFonts w:asciiTheme="minorHAnsi" w:hAnsiTheme="minorHAnsi"/>
            <w:color w:val="4500A7"/>
            <w:spacing w:val="4"/>
            <w:sz w:val="16"/>
            <w:szCs w:val="16"/>
            <w:shd w:val="clear" w:color="auto" w:fill="FFFFFF"/>
            <w:lang w:val="en-US"/>
          </w:rPr>
          <w:t>Patient Assessment in Clinical Pharmacy</w:t>
        </w:r>
      </w:hyperlink>
      <w:r w:rsidR="008F6FFE" w:rsidRPr="00717D4D">
        <w:rPr>
          <w:rStyle w:val="page-numbers-info"/>
          <w:rFonts w:asciiTheme="minorHAnsi" w:hAnsiTheme="minorHAnsi"/>
          <w:color w:val="333333"/>
          <w:spacing w:val="4"/>
          <w:sz w:val="16"/>
          <w:szCs w:val="16"/>
          <w:shd w:val="clear" w:color="auto" w:fill="FFFFFF"/>
          <w:lang w:val="en-US"/>
        </w:rPr>
        <w:t xml:space="preserve"> pp 121-132 </w:t>
      </w:r>
      <w:r w:rsidR="008F6FFE" w:rsidRPr="00717D4D">
        <w:rPr>
          <w:rFonts w:asciiTheme="minorHAnsi" w:hAnsiTheme="minorHAnsi"/>
          <w:color w:val="333333"/>
          <w:spacing w:val="4"/>
          <w:sz w:val="16"/>
          <w:szCs w:val="16"/>
          <w:shd w:val="clear" w:color="auto" w:fill="FFFFFF"/>
          <w:lang w:val="en-US"/>
        </w:rPr>
        <w:t>29 March 2019 D</w:t>
      </w:r>
      <w:r w:rsidR="008F6FFE" w:rsidRPr="00717D4D">
        <w:rPr>
          <w:rFonts w:asciiTheme="minorHAnsi" w:hAnsiTheme="minorHAnsi"/>
          <w:bCs/>
          <w:color w:val="333333"/>
          <w:spacing w:val="4"/>
          <w:sz w:val="16"/>
          <w:szCs w:val="16"/>
          <w:lang w:val="en-US"/>
        </w:rPr>
        <w:t>OI</w:t>
      </w:r>
      <w:r w:rsidR="008F6FFE" w:rsidRPr="00717D4D">
        <w:rPr>
          <w:rFonts w:asciiTheme="minorHAnsi" w:hAnsiTheme="minorHAnsi"/>
          <w:color w:val="333333"/>
          <w:spacing w:val="4"/>
          <w:sz w:val="16"/>
          <w:szCs w:val="16"/>
          <w:lang w:val="en-US"/>
        </w:rPr>
        <w:t>https://doi.org/10.1007/978-3-030-11775-7_10</w:t>
      </w:r>
    </w:p>
    <w:p w:rsidR="008F6FFE" w:rsidRPr="00717D4D" w:rsidRDefault="008F6FFE" w:rsidP="00717D4D">
      <w:pPr>
        <w:rPr>
          <w:rFonts w:asciiTheme="minorHAnsi" w:hAnsiTheme="minorHAnsi"/>
          <w:sz w:val="16"/>
          <w:szCs w:val="16"/>
          <w:lang w:val="en-US"/>
        </w:rPr>
      </w:pPr>
      <w:r w:rsidRPr="00717D4D">
        <w:rPr>
          <w:rFonts w:asciiTheme="minorHAnsi" w:hAnsiTheme="minorHAnsi"/>
          <w:color w:val="333333"/>
          <w:spacing w:val="4"/>
          <w:sz w:val="16"/>
          <w:szCs w:val="16"/>
          <w:shd w:val="clear" w:color="auto" w:fill="FFFFFF"/>
          <w:lang w:val="en-US"/>
        </w:rPr>
        <w:t>Diachinsky M. (2019) Fever. In: Mahmoud S. (eds) Patient Assessment in Clinical Pharmacy. Springer, Cham</w:t>
      </w:r>
    </w:p>
    <w:p w:rsidR="008F6FFE" w:rsidRPr="00717D4D" w:rsidRDefault="008F6FFE" w:rsidP="00717D4D">
      <w:pPr>
        <w:rPr>
          <w:rFonts w:asciiTheme="minorHAnsi" w:hAnsiTheme="minorHAnsi"/>
          <w:sz w:val="16"/>
          <w:szCs w:val="16"/>
          <w:lang w:val="en-US"/>
        </w:rPr>
      </w:pPr>
    </w:p>
    <w:p w:rsidR="008F6FFE" w:rsidRPr="00717D4D" w:rsidRDefault="008F6FFE" w:rsidP="00717D4D">
      <w:pPr>
        <w:rPr>
          <w:rFonts w:asciiTheme="minorHAnsi" w:hAnsiTheme="minorHAnsi"/>
          <w:sz w:val="16"/>
          <w:szCs w:val="16"/>
          <w:lang w:val="en-US"/>
        </w:rPr>
      </w:pPr>
    </w:p>
  </w:footnote>
  <w:footnote w:id="57">
    <w:p w:rsidR="008F6FFE" w:rsidRPr="005D6923" w:rsidRDefault="008F6FFE" w:rsidP="005D6923">
      <w:pPr>
        <w:rPr>
          <w:rFonts w:asciiTheme="minorHAnsi" w:hAnsiTheme="minorHAnsi" w:cstheme="minorHAnsi"/>
          <w:color w:val="000000" w:themeColor="text1"/>
          <w:sz w:val="16"/>
          <w:szCs w:val="16"/>
          <w:lang w:val="en-US"/>
        </w:rPr>
      </w:pPr>
      <w:r w:rsidRPr="005D6923">
        <w:rPr>
          <w:rStyle w:val="FootnoteReference"/>
          <w:rFonts w:asciiTheme="minorHAnsi" w:hAnsiTheme="minorHAnsi" w:cstheme="minorHAnsi"/>
          <w:color w:val="000000" w:themeColor="text1"/>
          <w:sz w:val="16"/>
          <w:szCs w:val="16"/>
        </w:rPr>
        <w:footnoteRef/>
      </w:r>
      <w:r w:rsidRPr="005D6923">
        <w:rPr>
          <w:rFonts w:asciiTheme="minorHAnsi" w:hAnsiTheme="minorHAnsi" w:cstheme="minorHAnsi"/>
          <w:color w:val="000000" w:themeColor="text1"/>
          <w:sz w:val="16"/>
          <w:szCs w:val="16"/>
          <w:lang w:val="en-US"/>
        </w:rPr>
        <w:t xml:space="preserve"> </w:t>
      </w:r>
      <w:hyperlink r:id="rId594" w:history="1">
        <w:r w:rsidRPr="005D6923">
          <w:rPr>
            <w:rStyle w:val="Hyperlink"/>
            <w:rFonts w:asciiTheme="minorHAnsi" w:eastAsiaTheme="majorEastAsia" w:hAnsiTheme="minorHAnsi" w:cstheme="minorHAnsi"/>
            <w:color w:val="000000" w:themeColor="text1"/>
            <w:sz w:val="16"/>
            <w:szCs w:val="16"/>
            <w:u w:val="none"/>
            <w:lang w:val="en-US"/>
          </w:rPr>
          <w:t>https://www.biologyonline.com/dictionary/endogenous-pyrogen</w:t>
        </w:r>
      </w:hyperlink>
    </w:p>
    <w:p w:rsidR="008F6FFE" w:rsidRPr="005D6923" w:rsidRDefault="008F6FFE">
      <w:pPr>
        <w:pStyle w:val="FootnoteText"/>
        <w:rPr>
          <w:lang w:val="en-US"/>
        </w:rPr>
      </w:pPr>
    </w:p>
  </w:footnote>
  <w:footnote w:id="58">
    <w:p w:rsidR="008F6FFE" w:rsidRPr="00717D4D" w:rsidRDefault="008F6FFE" w:rsidP="00717D4D">
      <w:pPr>
        <w:rPr>
          <w:rFonts w:asciiTheme="minorHAnsi" w:hAnsiTheme="minorHAnsi"/>
          <w:color w:val="000000" w:themeColor="text1"/>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sz w:val="16"/>
          <w:szCs w:val="16"/>
          <w:lang w:val="en-US"/>
        </w:rPr>
        <w:t xml:space="preserve"> </w:t>
      </w:r>
      <w:hyperlink r:id="rId595" w:history="1">
        <w:r w:rsidRPr="00717D4D">
          <w:rPr>
            <w:rStyle w:val="Hyperlink"/>
            <w:rFonts w:asciiTheme="minorHAnsi" w:eastAsiaTheme="majorEastAsia" w:hAnsiTheme="minorHAnsi"/>
            <w:color w:val="000000" w:themeColor="text1"/>
            <w:sz w:val="16"/>
            <w:szCs w:val="16"/>
            <w:u w:val="none"/>
            <w:lang w:val="en-US"/>
          </w:rPr>
          <w:t>https://www.nonfartiinfluenzare.it/tutto-sulla-febbre/che-cos%C3%A8-la-febbre/</w:t>
        </w:r>
      </w:hyperlink>
    </w:p>
    <w:p w:rsidR="008F6FFE" w:rsidRPr="00717D4D" w:rsidRDefault="008F6FFE" w:rsidP="00717D4D">
      <w:pPr>
        <w:pStyle w:val="FootnoteText"/>
        <w:rPr>
          <w:rFonts w:asciiTheme="minorHAnsi" w:hAnsiTheme="minorHAnsi"/>
          <w:color w:val="000000" w:themeColor="text1"/>
          <w:sz w:val="16"/>
          <w:szCs w:val="16"/>
          <w:lang w:val="en-US"/>
        </w:rPr>
      </w:pPr>
    </w:p>
  </w:footnote>
  <w:footnote w:id="59">
    <w:p w:rsidR="008F6FFE" w:rsidRPr="00717D4D"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717D4D">
        <w:rPr>
          <w:rStyle w:val="FootnoteReference"/>
          <w:rFonts w:asciiTheme="minorHAnsi" w:hAnsiTheme="minorHAnsi"/>
          <w:color w:val="000000" w:themeColor="text1"/>
          <w:sz w:val="16"/>
          <w:szCs w:val="16"/>
        </w:rPr>
        <w:footnoteRef/>
      </w:r>
      <w:r w:rsidRPr="00717D4D">
        <w:rPr>
          <w:rFonts w:asciiTheme="minorHAnsi" w:hAnsiTheme="minorHAnsi"/>
          <w:color w:val="000000" w:themeColor="text1"/>
          <w:sz w:val="16"/>
          <w:szCs w:val="16"/>
          <w:lang w:val="en-US"/>
        </w:rPr>
        <w:t xml:space="preserve"> </w:t>
      </w:r>
      <w:hyperlink r:id="rId596" w:tooltip="Critical care (London, England)." w:history="1">
        <w:r w:rsidRPr="00717D4D">
          <w:rPr>
            <w:rFonts w:asciiTheme="minorHAnsi" w:hAnsiTheme="minorHAnsi" w:cstheme="minorHAnsi"/>
            <w:bCs/>
            <w:color w:val="000000" w:themeColor="text1"/>
            <w:sz w:val="16"/>
            <w:szCs w:val="16"/>
            <w:lang w:val="en-US"/>
          </w:rPr>
          <w:t>Crit Care.</w:t>
        </w:r>
      </w:hyperlink>
      <w:r w:rsidRPr="00717D4D">
        <w:rPr>
          <w:rFonts w:asciiTheme="minorHAnsi" w:hAnsiTheme="minorHAnsi" w:cstheme="minorHAnsi"/>
          <w:bCs/>
          <w:color w:val="000000" w:themeColor="text1"/>
          <w:sz w:val="16"/>
          <w:szCs w:val="16"/>
          <w:lang w:val="en-US"/>
        </w:rPr>
        <w:t> 2016 Jul 14;20(1):200. doi: 10.1186/s13054-016-1375-5.</w:t>
      </w:r>
    </w:p>
    <w:p w:rsidR="008F6FFE" w:rsidRPr="00717D4D"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The pathophysiological basis and consequences of fever.</w:t>
      </w:r>
    </w:p>
    <w:p w:rsidR="008F6FFE" w:rsidRPr="00717D4D" w:rsidRDefault="0052743C" w:rsidP="00717D4D">
      <w:pPr>
        <w:pStyle w:val="Heading2"/>
        <w:shd w:val="clear" w:color="auto" w:fill="FFFFFF"/>
        <w:spacing w:before="0"/>
        <w:rPr>
          <w:rFonts w:asciiTheme="minorHAnsi" w:hAnsiTheme="minorHAnsi" w:cstheme="minorHAnsi"/>
          <w:bCs/>
          <w:color w:val="000000" w:themeColor="text1"/>
          <w:sz w:val="16"/>
          <w:szCs w:val="16"/>
        </w:rPr>
      </w:pPr>
      <w:hyperlink r:id="rId597" w:history="1">
        <w:r w:rsidR="008F6FFE" w:rsidRPr="00717D4D">
          <w:rPr>
            <w:rFonts w:asciiTheme="minorHAnsi" w:hAnsiTheme="minorHAnsi" w:cstheme="minorHAnsi"/>
            <w:bCs/>
            <w:color w:val="000000" w:themeColor="text1"/>
            <w:sz w:val="16"/>
            <w:szCs w:val="16"/>
          </w:rPr>
          <w:t>Walter EJ</w:t>
        </w:r>
      </w:hyperlink>
      <w:r w:rsidR="008F6FFE" w:rsidRPr="00717D4D">
        <w:rPr>
          <w:rFonts w:asciiTheme="minorHAnsi" w:hAnsiTheme="minorHAnsi" w:cstheme="minorHAnsi"/>
          <w:bCs/>
          <w:color w:val="000000" w:themeColor="text1"/>
          <w:sz w:val="16"/>
          <w:szCs w:val="16"/>
        </w:rPr>
        <w:t>1, </w:t>
      </w:r>
      <w:hyperlink r:id="rId598" w:history="1">
        <w:r w:rsidR="008F6FFE" w:rsidRPr="00717D4D">
          <w:rPr>
            <w:rFonts w:asciiTheme="minorHAnsi" w:hAnsiTheme="minorHAnsi" w:cstheme="minorHAnsi"/>
            <w:bCs/>
            <w:color w:val="000000" w:themeColor="text1"/>
            <w:sz w:val="16"/>
            <w:szCs w:val="16"/>
          </w:rPr>
          <w:t>Hanna-Jumma S</w:t>
        </w:r>
      </w:hyperlink>
      <w:r w:rsidR="008F6FFE" w:rsidRPr="00717D4D">
        <w:rPr>
          <w:rFonts w:asciiTheme="minorHAnsi" w:hAnsiTheme="minorHAnsi" w:cstheme="minorHAnsi"/>
          <w:bCs/>
          <w:color w:val="000000" w:themeColor="text1"/>
          <w:sz w:val="16"/>
          <w:szCs w:val="16"/>
        </w:rPr>
        <w:t>2, </w:t>
      </w:r>
      <w:hyperlink r:id="rId599" w:history="1">
        <w:r w:rsidR="008F6FFE" w:rsidRPr="00717D4D">
          <w:rPr>
            <w:rFonts w:asciiTheme="minorHAnsi" w:hAnsiTheme="minorHAnsi" w:cstheme="minorHAnsi"/>
            <w:bCs/>
            <w:color w:val="000000" w:themeColor="text1"/>
            <w:sz w:val="16"/>
            <w:szCs w:val="16"/>
          </w:rPr>
          <w:t>Carraretto M</w:t>
        </w:r>
      </w:hyperlink>
      <w:r w:rsidR="008F6FFE" w:rsidRPr="00717D4D">
        <w:rPr>
          <w:rFonts w:asciiTheme="minorHAnsi" w:hAnsiTheme="minorHAnsi" w:cstheme="minorHAnsi"/>
          <w:bCs/>
          <w:color w:val="000000" w:themeColor="text1"/>
          <w:sz w:val="16"/>
          <w:szCs w:val="16"/>
        </w:rPr>
        <w:t>2, </w:t>
      </w:r>
      <w:hyperlink r:id="rId600" w:history="1">
        <w:r w:rsidR="008F6FFE" w:rsidRPr="00717D4D">
          <w:rPr>
            <w:rFonts w:asciiTheme="minorHAnsi" w:hAnsiTheme="minorHAnsi" w:cstheme="minorHAnsi"/>
            <w:bCs/>
            <w:color w:val="000000" w:themeColor="text1"/>
            <w:sz w:val="16"/>
            <w:szCs w:val="16"/>
          </w:rPr>
          <w:t>Forni L</w:t>
        </w:r>
      </w:hyperlink>
      <w:r w:rsidR="008F6FFE" w:rsidRPr="00717D4D">
        <w:rPr>
          <w:rFonts w:asciiTheme="minorHAnsi" w:hAnsiTheme="minorHAnsi" w:cstheme="minorHAnsi"/>
          <w:bCs/>
          <w:color w:val="000000" w:themeColor="text1"/>
          <w:sz w:val="16"/>
          <w:szCs w:val="16"/>
        </w:rPr>
        <w:t>2.</w:t>
      </w:r>
    </w:p>
    <w:p w:rsidR="008F6FFE" w:rsidRPr="00717D4D" w:rsidRDefault="0052743C" w:rsidP="00717D4D">
      <w:pPr>
        <w:rPr>
          <w:rStyle w:val="Hyperlink"/>
          <w:rFonts w:asciiTheme="minorHAnsi" w:eastAsiaTheme="majorEastAsia" w:hAnsiTheme="minorHAnsi" w:cstheme="minorHAnsi"/>
          <w:color w:val="000000" w:themeColor="text1"/>
          <w:sz w:val="16"/>
          <w:szCs w:val="16"/>
          <w:u w:val="none"/>
        </w:rPr>
      </w:pPr>
      <w:hyperlink r:id="rId601" w:history="1">
        <w:r w:rsidR="008F6FFE" w:rsidRPr="00717D4D">
          <w:rPr>
            <w:rStyle w:val="Hyperlink"/>
            <w:rFonts w:asciiTheme="minorHAnsi" w:eastAsiaTheme="majorEastAsia" w:hAnsiTheme="minorHAnsi" w:cstheme="minorHAnsi"/>
            <w:color w:val="000000" w:themeColor="text1"/>
            <w:sz w:val="16"/>
            <w:szCs w:val="16"/>
            <w:u w:val="none"/>
          </w:rPr>
          <w:t>https://www.ncbi.nlm.nih.gov/pmc/articles/PMC4944485/pdf/13054_2016_Article_1375.pdf</w:t>
        </w:r>
      </w:hyperlink>
    </w:p>
    <w:p w:rsidR="008F6FFE" w:rsidRPr="00717D4D" w:rsidRDefault="008F6FFE" w:rsidP="00717D4D">
      <w:pPr>
        <w:rPr>
          <w:rFonts w:asciiTheme="minorHAnsi" w:hAnsiTheme="minorHAnsi"/>
          <w:sz w:val="16"/>
          <w:szCs w:val="16"/>
        </w:rPr>
      </w:pPr>
    </w:p>
    <w:p w:rsidR="008F6FFE" w:rsidRPr="00717D4D" w:rsidRDefault="0052743C" w:rsidP="00717D4D">
      <w:pPr>
        <w:pStyle w:val="Heading2"/>
        <w:shd w:val="clear" w:color="auto" w:fill="FFFFFF"/>
        <w:spacing w:before="0"/>
        <w:rPr>
          <w:rFonts w:asciiTheme="minorHAnsi" w:hAnsiTheme="minorHAnsi" w:cstheme="minorHAnsi"/>
          <w:bCs/>
          <w:color w:val="000000" w:themeColor="text1"/>
          <w:sz w:val="16"/>
          <w:szCs w:val="16"/>
          <w:lang w:val="en-US"/>
        </w:rPr>
      </w:pPr>
      <w:hyperlink r:id="rId602" w:tooltip="Brazilian journal of medical and biological research = Revista brasileira de pesquisas medicas e biologicas." w:history="1">
        <w:r w:rsidR="008F6FFE" w:rsidRPr="00717D4D">
          <w:rPr>
            <w:rFonts w:asciiTheme="minorHAnsi" w:hAnsiTheme="minorHAnsi" w:cstheme="minorHAnsi"/>
            <w:bCs/>
            <w:color w:val="000000" w:themeColor="text1"/>
            <w:sz w:val="16"/>
            <w:szCs w:val="16"/>
            <w:lang w:val="en-US"/>
          </w:rPr>
          <w:t>Braz J Med Biol Res.</w:t>
        </w:r>
      </w:hyperlink>
      <w:r w:rsidR="008F6FFE" w:rsidRPr="00717D4D">
        <w:rPr>
          <w:rFonts w:asciiTheme="minorHAnsi" w:hAnsiTheme="minorHAnsi" w:cstheme="minorHAnsi"/>
          <w:bCs/>
          <w:color w:val="000000" w:themeColor="text1"/>
          <w:sz w:val="16"/>
          <w:szCs w:val="16"/>
          <w:lang w:val="en-US"/>
        </w:rPr>
        <w:t> 2001 Mar;34(3):301-14.</w:t>
      </w:r>
    </w:p>
    <w:p w:rsidR="008F6FFE" w:rsidRPr="00717D4D" w:rsidRDefault="008F6FFE" w:rsidP="00717D4D">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Fever induction pathways: evidence from responses to systemic or local cytokine formation.</w:t>
      </w:r>
    </w:p>
    <w:p w:rsidR="008F6FFE" w:rsidRPr="00717D4D" w:rsidRDefault="0052743C" w:rsidP="00717D4D">
      <w:pPr>
        <w:pStyle w:val="Heading2"/>
        <w:shd w:val="clear" w:color="auto" w:fill="FFFFFF"/>
        <w:spacing w:before="0"/>
        <w:rPr>
          <w:rFonts w:asciiTheme="minorHAnsi" w:hAnsiTheme="minorHAnsi" w:cstheme="minorHAnsi"/>
          <w:bCs/>
          <w:color w:val="000000" w:themeColor="text1"/>
          <w:sz w:val="16"/>
          <w:szCs w:val="16"/>
          <w:lang w:val="en-US"/>
        </w:rPr>
      </w:pPr>
      <w:hyperlink r:id="rId603" w:history="1">
        <w:r w:rsidR="008F6FFE" w:rsidRPr="00717D4D">
          <w:rPr>
            <w:rFonts w:asciiTheme="minorHAnsi" w:hAnsiTheme="minorHAnsi" w:cstheme="minorHAnsi"/>
            <w:bCs/>
            <w:color w:val="000000" w:themeColor="text1"/>
            <w:sz w:val="16"/>
            <w:szCs w:val="16"/>
            <w:lang w:val="en-US"/>
          </w:rPr>
          <w:t>Roth J</w:t>
        </w:r>
      </w:hyperlink>
      <w:r w:rsidR="008F6FFE" w:rsidRPr="00717D4D">
        <w:rPr>
          <w:rFonts w:asciiTheme="minorHAnsi" w:hAnsiTheme="minorHAnsi" w:cstheme="minorHAnsi"/>
          <w:bCs/>
          <w:color w:val="000000" w:themeColor="text1"/>
          <w:sz w:val="16"/>
          <w:szCs w:val="16"/>
          <w:lang w:val="en-US"/>
        </w:rPr>
        <w:t>1, </w:t>
      </w:r>
      <w:hyperlink r:id="rId604" w:history="1">
        <w:r w:rsidR="008F6FFE" w:rsidRPr="00717D4D">
          <w:rPr>
            <w:rFonts w:asciiTheme="minorHAnsi" w:hAnsiTheme="minorHAnsi" w:cstheme="minorHAnsi"/>
            <w:bCs/>
            <w:color w:val="000000" w:themeColor="text1"/>
            <w:sz w:val="16"/>
            <w:szCs w:val="16"/>
            <w:lang w:val="en-US"/>
          </w:rPr>
          <w:t>De Souza GE</w:t>
        </w:r>
      </w:hyperlink>
      <w:r w:rsidR="008F6FFE" w:rsidRPr="00717D4D">
        <w:rPr>
          <w:rFonts w:asciiTheme="minorHAnsi" w:hAnsiTheme="minorHAnsi" w:cstheme="minorHAnsi"/>
          <w:bCs/>
          <w:color w:val="000000" w:themeColor="text1"/>
          <w:sz w:val="16"/>
          <w:szCs w:val="16"/>
          <w:lang w:val="en-US"/>
        </w:rPr>
        <w:t>.</w:t>
      </w:r>
    </w:p>
    <w:p w:rsidR="008F6FFE" w:rsidRPr="00717D4D" w:rsidRDefault="0052743C" w:rsidP="009E718E">
      <w:pPr>
        <w:rPr>
          <w:rFonts w:asciiTheme="minorHAnsi" w:hAnsiTheme="minorHAnsi"/>
          <w:sz w:val="16"/>
          <w:szCs w:val="16"/>
          <w:lang w:val="en-US"/>
        </w:rPr>
      </w:pPr>
      <w:hyperlink r:id="rId605" w:history="1">
        <w:r w:rsidR="008F6FFE" w:rsidRPr="009E718E">
          <w:rPr>
            <w:rFonts w:asciiTheme="minorHAnsi" w:hAnsiTheme="minorHAnsi" w:cstheme="minorHAnsi"/>
            <w:color w:val="000000" w:themeColor="text1"/>
            <w:sz w:val="16"/>
            <w:szCs w:val="16"/>
            <w:lang w:val="en-US"/>
          </w:rPr>
          <w:t>https://www.scielo.br/pdf/bjmbr/v34n3/4079m.pdf</w:t>
        </w:r>
      </w:hyperlink>
    </w:p>
  </w:footnote>
  <w:footnote w:id="60">
    <w:p w:rsidR="008F6FFE" w:rsidRPr="005B6077" w:rsidRDefault="008F6FFE" w:rsidP="005B6077">
      <w:pPr>
        <w:rPr>
          <w:rFonts w:asciiTheme="minorHAnsi" w:hAnsiTheme="minorHAnsi" w:cstheme="minorHAnsi"/>
          <w:color w:val="000000" w:themeColor="text1"/>
          <w:sz w:val="16"/>
          <w:szCs w:val="16"/>
          <w:lang w:val="en-US"/>
        </w:rPr>
      </w:pPr>
      <w:r w:rsidRPr="005B6077">
        <w:rPr>
          <w:rStyle w:val="FootnoteReference"/>
          <w:rFonts w:asciiTheme="minorHAnsi" w:hAnsiTheme="minorHAnsi" w:cstheme="minorHAnsi"/>
          <w:color w:val="000000" w:themeColor="text1"/>
          <w:sz w:val="16"/>
          <w:szCs w:val="16"/>
        </w:rPr>
        <w:footnoteRef/>
      </w:r>
      <w:r w:rsidRPr="005B6077">
        <w:rPr>
          <w:rFonts w:asciiTheme="minorHAnsi" w:hAnsiTheme="minorHAnsi" w:cstheme="minorHAnsi"/>
          <w:color w:val="000000" w:themeColor="text1"/>
          <w:sz w:val="16"/>
          <w:szCs w:val="16"/>
          <w:lang w:val="en-US"/>
        </w:rPr>
        <w:t xml:space="preserve"> </w:t>
      </w:r>
      <w:hyperlink r:id="rId606" w:history="1">
        <w:r w:rsidRPr="005B6077">
          <w:rPr>
            <w:rStyle w:val="Hyperlink"/>
            <w:rFonts w:asciiTheme="minorHAnsi" w:eastAsiaTheme="majorEastAsia" w:hAnsiTheme="minorHAnsi" w:cstheme="minorHAnsi"/>
            <w:color w:val="000000" w:themeColor="text1"/>
            <w:sz w:val="16"/>
            <w:szCs w:val="16"/>
            <w:u w:val="none"/>
            <w:lang w:val="en-US"/>
          </w:rPr>
          <w:t>https://www.pagepress.org/journals/index.php/wpph/article/view/6735/6172</w:t>
        </w:r>
      </w:hyperlink>
    </w:p>
    <w:p w:rsidR="008F6FFE" w:rsidRPr="005B6077" w:rsidRDefault="008F6FFE" w:rsidP="005B6077">
      <w:pPr>
        <w:rPr>
          <w:rFonts w:asciiTheme="minorHAnsi" w:hAnsiTheme="minorHAnsi" w:cstheme="minorHAnsi"/>
          <w:sz w:val="16"/>
          <w:szCs w:val="16"/>
        </w:rPr>
      </w:pPr>
      <w:r w:rsidRPr="005B6077">
        <w:rPr>
          <w:rFonts w:asciiTheme="minorHAnsi" w:hAnsiTheme="minorHAnsi" w:cstheme="minorHAnsi"/>
          <w:sz w:val="16"/>
          <w:szCs w:val="16"/>
        </w:rPr>
        <w:t xml:space="preserve">Amendola, G. (2014). </w:t>
      </w:r>
    </w:p>
    <w:p w:rsidR="008F6FFE" w:rsidRPr="005B6077" w:rsidRDefault="008F6FFE" w:rsidP="005B6077">
      <w:pPr>
        <w:rPr>
          <w:rFonts w:asciiTheme="minorHAnsi" w:hAnsiTheme="minorHAnsi" w:cstheme="minorHAnsi"/>
          <w:sz w:val="16"/>
          <w:szCs w:val="16"/>
        </w:rPr>
      </w:pPr>
      <w:r w:rsidRPr="005B6077">
        <w:rPr>
          <w:rFonts w:asciiTheme="minorHAnsi" w:hAnsiTheme="minorHAnsi" w:cstheme="minorHAnsi"/>
          <w:sz w:val="16"/>
          <w:szCs w:val="16"/>
        </w:rPr>
        <w:t>La traslocazione della flora batterica intestinale: suo ruolo nella sepsi e nell’infezione da HIV. </w:t>
      </w:r>
    </w:p>
    <w:p w:rsidR="008F6FFE" w:rsidRPr="005B6077" w:rsidRDefault="008F6FFE" w:rsidP="005B6077">
      <w:pPr>
        <w:rPr>
          <w:rFonts w:asciiTheme="minorHAnsi" w:hAnsiTheme="minorHAnsi" w:cstheme="minorHAnsi"/>
          <w:sz w:val="16"/>
          <w:szCs w:val="16"/>
          <w:lang w:val="en-US"/>
        </w:rPr>
      </w:pPr>
      <w:r w:rsidRPr="005B6077">
        <w:rPr>
          <w:rFonts w:asciiTheme="minorHAnsi" w:hAnsiTheme="minorHAnsi" w:cstheme="minorHAnsi"/>
          <w:sz w:val="16"/>
          <w:szCs w:val="16"/>
          <w:lang w:val="en-US"/>
        </w:rPr>
        <w:t>Working Paper of Public Health, 3(1). https://doi.org/10.4081/wpph.2014.6735</w:t>
      </w:r>
    </w:p>
    <w:p w:rsidR="008F6FFE" w:rsidRPr="005B6077" w:rsidRDefault="008F6FFE">
      <w:pPr>
        <w:pStyle w:val="FootnoteText"/>
        <w:rPr>
          <w:rFonts w:asciiTheme="minorHAnsi" w:hAnsiTheme="minorHAnsi" w:cstheme="minorHAnsi"/>
          <w:sz w:val="16"/>
          <w:szCs w:val="16"/>
          <w:lang w:val="en-US"/>
        </w:rPr>
      </w:pPr>
    </w:p>
  </w:footnote>
  <w:footnote w:id="61">
    <w:p w:rsidR="008F6FFE" w:rsidRPr="00717D4D" w:rsidRDefault="008F6FFE" w:rsidP="00F8503D">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vertAlign w:val="superscript"/>
          <w:lang w:val="en-US"/>
        </w:rPr>
        <w:footnoteRef/>
      </w:r>
      <w:r w:rsidRPr="00717D4D">
        <w:rPr>
          <w:rFonts w:asciiTheme="minorHAnsi" w:hAnsiTheme="minorHAnsi" w:cstheme="minorHAnsi"/>
          <w:bCs/>
          <w:color w:val="000000" w:themeColor="text1"/>
          <w:sz w:val="16"/>
          <w:szCs w:val="16"/>
          <w:vertAlign w:val="superscript"/>
          <w:lang w:val="en-US"/>
        </w:rPr>
        <w:t xml:space="preserve"> </w:t>
      </w:r>
      <w:hyperlink r:id="rId607" w:tooltip="Intensive care medicine." w:history="1">
        <w:r w:rsidRPr="00717D4D">
          <w:rPr>
            <w:rFonts w:asciiTheme="minorHAnsi" w:hAnsiTheme="minorHAnsi" w:cstheme="minorHAnsi"/>
            <w:bCs/>
            <w:color w:val="000000" w:themeColor="text1"/>
            <w:sz w:val="16"/>
            <w:szCs w:val="16"/>
            <w:lang w:val="en-US"/>
          </w:rPr>
          <w:t>Intensive Care Med.</w:t>
        </w:r>
      </w:hyperlink>
      <w:r w:rsidRPr="00717D4D">
        <w:rPr>
          <w:rFonts w:asciiTheme="minorHAnsi" w:hAnsiTheme="minorHAnsi" w:cstheme="minorHAnsi"/>
          <w:bCs/>
          <w:color w:val="000000" w:themeColor="text1"/>
          <w:sz w:val="16"/>
          <w:szCs w:val="16"/>
          <w:lang w:val="en-US"/>
        </w:rPr>
        <w:t xml:space="preserve"> 2012 Jan 31. </w:t>
      </w:r>
    </w:p>
    <w:p w:rsidR="008F6FFE" w:rsidRPr="00717D4D" w:rsidRDefault="008F6FFE" w:rsidP="00F8503D">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Early peak temperature and mortality in critically ill patients with or without infection.</w:t>
      </w:r>
    </w:p>
    <w:p w:rsidR="008F6FFE" w:rsidRPr="00717D4D" w:rsidRDefault="0052743C" w:rsidP="00F8503D">
      <w:pPr>
        <w:pStyle w:val="Heading2"/>
        <w:shd w:val="clear" w:color="auto" w:fill="FFFFFF"/>
        <w:spacing w:before="0"/>
        <w:rPr>
          <w:rFonts w:asciiTheme="minorHAnsi" w:hAnsiTheme="minorHAnsi" w:cstheme="minorHAnsi"/>
          <w:bCs/>
          <w:color w:val="000000" w:themeColor="text1"/>
          <w:sz w:val="16"/>
          <w:szCs w:val="16"/>
          <w:lang w:val="en-US"/>
        </w:rPr>
      </w:pPr>
      <w:hyperlink r:id="rId608" w:history="1">
        <w:r w:rsidR="008F6FFE" w:rsidRPr="00717D4D">
          <w:rPr>
            <w:rFonts w:asciiTheme="minorHAnsi" w:hAnsiTheme="minorHAnsi" w:cstheme="minorHAnsi"/>
            <w:bCs/>
            <w:color w:val="000000" w:themeColor="text1"/>
            <w:sz w:val="16"/>
            <w:szCs w:val="16"/>
            <w:lang w:val="en-US"/>
          </w:rPr>
          <w:t>Young PJ</w:t>
        </w:r>
      </w:hyperlink>
      <w:r w:rsidR="008F6FFE" w:rsidRPr="00717D4D">
        <w:rPr>
          <w:rFonts w:asciiTheme="minorHAnsi" w:hAnsiTheme="minorHAnsi" w:cstheme="minorHAnsi"/>
          <w:bCs/>
          <w:color w:val="000000" w:themeColor="text1"/>
          <w:sz w:val="16"/>
          <w:szCs w:val="16"/>
          <w:lang w:val="en-US"/>
        </w:rPr>
        <w:t>1, </w:t>
      </w:r>
      <w:hyperlink r:id="rId609" w:history="1">
        <w:r w:rsidR="008F6FFE" w:rsidRPr="00717D4D">
          <w:rPr>
            <w:rFonts w:asciiTheme="minorHAnsi" w:hAnsiTheme="minorHAnsi" w:cstheme="minorHAnsi"/>
            <w:bCs/>
            <w:color w:val="000000" w:themeColor="text1"/>
            <w:sz w:val="16"/>
            <w:szCs w:val="16"/>
            <w:lang w:val="en-US"/>
          </w:rPr>
          <w:t>Saxena M</w:t>
        </w:r>
      </w:hyperlink>
      <w:r w:rsidR="008F6FFE" w:rsidRPr="00717D4D">
        <w:rPr>
          <w:rFonts w:asciiTheme="minorHAnsi" w:hAnsiTheme="minorHAnsi" w:cstheme="minorHAnsi"/>
          <w:bCs/>
          <w:color w:val="000000" w:themeColor="text1"/>
          <w:sz w:val="16"/>
          <w:szCs w:val="16"/>
          <w:lang w:val="en-US"/>
        </w:rPr>
        <w:t>, </w:t>
      </w:r>
      <w:hyperlink r:id="rId610" w:history="1">
        <w:r w:rsidR="008F6FFE" w:rsidRPr="00717D4D">
          <w:rPr>
            <w:rFonts w:asciiTheme="minorHAnsi" w:hAnsiTheme="minorHAnsi" w:cstheme="minorHAnsi"/>
            <w:bCs/>
            <w:color w:val="000000" w:themeColor="text1"/>
            <w:sz w:val="16"/>
            <w:szCs w:val="16"/>
            <w:lang w:val="en-US"/>
          </w:rPr>
          <w:t>Beasley R</w:t>
        </w:r>
      </w:hyperlink>
      <w:r w:rsidR="008F6FFE" w:rsidRPr="00717D4D">
        <w:rPr>
          <w:rFonts w:asciiTheme="minorHAnsi" w:hAnsiTheme="minorHAnsi" w:cstheme="minorHAnsi"/>
          <w:bCs/>
          <w:color w:val="000000" w:themeColor="text1"/>
          <w:sz w:val="16"/>
          <w:szCs w:val="16"/>
          <w:lang w:val="en-US"/>
        </w:rPr>
        <w:t>, </w:t>
      </w:r>
      <w:hyperlink r:id="rId611" w:history="1">
        <w:r w:rsidR="008F6FFE" w:rsidRPr="00717D4D">
          <w:rPr>
            <w:rFonts w:asciiTheme="minorHAnsi" w:hAnsiTheme="minorHAnsi" w:cstheme="minorHAnsi"/>
            <w:bCs/>
            <w:color w:val="000000" w:themeColor="text1"/>
            <w:sz w:val="16"/>
            <w:szCs w:val="16"/>
            <w:lang w:val="en-US"/>
          </w:rPr>
          <w:t>Bellomo R</w:t>
        </w:r>
      </w:hyperlink>
      <w:r w:rsidR="008F6FFE" w:rsidRPr="00717D4D">
        <w:rPr>
          <w:rFonts w:asciiTheme="minorHAnsi" w:hAnsiTheme="minorHAnsi" w:cstheme="minorHAnsi"/>
          <w:bCs/>
          <w:color w:val="000000" w:themeColor="text1"/>
          <w:sz w:val="16"/>
          <w:szCs w:val="16"/>
          <w:lang w:val="en-US"/>
        </w:rPr>
        <w:t>, </w:t>
      </w:r>
      <w:hyperlink r:id="rId612" w:history="1">
        <w:r w:rsidR="008F6FFE" w:rsidRPr="00717D4D">
          <w:rPr>
            <w:rFonts w:asciiTheme="minorHAnsi" w:hAnsiTheme="minorHAnsi" w:cstheme="minorHAnsi"/>
            <w:bCs/>
            <w:color w:val="000000" w:themeColor="text1"/>
            <w:sz w:val="16"/>
            <w:szCs w:val="16"/>
            <w:lang w:val="en-US"/>
          </w:rPr>
          <w:t>Bailey M</w:t>
        </w:r>
      </w:hyperlink>
      <w:r w:rsidR="008F6FFE" w:rsidRPr="00717D4D">
        <w:rPr>
          <w:rFonts w:asciiTheme="minorHAnsi" w:hAnsiTheme="minorHAnsi" w:cstheme="minorHAnsi"/>
          <w:bCs/>
          <w:color w:val="000000" w:themeColor="text1"/>
          <w:sz w:val="16"/>
          <w:szCs w:val="16"/>
          <w:lang w:val="en-US"/>
        </w:rPr>
        <w:t>, </w:t>
      </w:r>
      <w:hyperlink r:id="rId613" w:history="1">
        <w:r w:rsidR="008F6FFE" w:rsidRPr="00717D4D">
          <w:rPr>
            <w:rFonts w:asciiTheme="minorHAnsi" w:hAnsiTheme="minorHAnsi" w:cstheme="minorHAnsi"/>
            <w:bCs/>
            <w:color w:val="000000" w:themeColor="text1"/>
            <w:sz w:val="16"/>
            <w:szCs w:val="16"/>
            <w:lang w:val="en-US"/>
          </w:rPr>
          <w:t>Pilcher D</w:t>
        </w:r>
      </w:hyperlink>
      <w:r w:rsidR="008F6FFE" w:rsidRPr="00717D4D">
        <w:rPr>
          <w:rFonts w:asciiTheme="minorHAnsi" w:hAnsiTheme="minorHAnsi" w:cstheme="minorHAnsi"/>
          <w:bCs/>
          <w:color w:val="000000" w:themeColor="text1"/>
          <w:sz w:val="16"/>
          <w:szCs w:val="16"/>
          <w:lang w:val="en-US"/>
        </w:rPr>
        <w:t>, </w:t>
      </w:r>
      <w:hyperlink r:id="rId614" w:history="1">
        <w:r w:rsidR="008F6FFE" w:rsidRPr="00717D4D">
          <w:rPr>
            <w:rFonts w:asciiTheme="minorHAnsi" w:hAnsiTheme="minorHAnsi" w:cstheme="minorHAnsi"/>
            <w:bCs/>
            <w:color w:val="000000" w:themeColor="text1"/>
            <w:sz w:val="16"/>
            <w:szCs w:val="16"/>
            <w:lang w:val="en-US"/>
          </w:rPr>
          <w:t>Finfer S</w:t>
        </w:r>
      </w:hyperlink>
      <w:r w:rsidR="008F6FFE" w:rsidRPr="00717D4D">
        <w:rPr>
          <w:rFonts w:asciiTheme="minorHAnsi" w:hAnsiTheme="minorHAnsi" w:cstheme="minorHAnsi"/>
          <w:bCs/>
          <w:color w:val="000000" w:themeColor="text1"/>
          <w:sz w:val="16"/>
          <w:szCs w:val="16"/>
          <w:lang w:val="en-US"/>
        </w:rPr>
        <w:t>, </w:t>
      </w:r>
      <w:hyperlink r:id="rId615" w:history="1">
        <w:r w:rsidR="008F6FFE" w:rsidRPr="00717D4D">
          <w:rPr>
            <w:rFonts w:asciiTheme="minorHAnsi" w:hAnsiTheme="minorHAnsi" w:cstheme="minorHAnsi"/>
            <w:bCs/>
            <w:color w:val="000000" w:themeColor="text1"/>
            <w:sz w:val="16"/>
            <w:szCs w:val="16"/>
            <w:lang w:val="en-US"/>
          </w:rPr>
          <w:t>Harrison D</w:t>
        </w:r>
      </w:hyperlink>
      <w:r w:rsidR="008F6FFE" w:rsidRPr="00717D4D">
        <w:rPr>
          <w:rFonts w:asciiTheme="minorHAnsi" w:hAnsiTheme="minorHAnsi" w:cstheme="minorHAnsi"/>
          <w:bCs/>
          <w:color w:val="000000" w:themeColor="text1"/>
          <w:sz w:val="16"/>
          <w:szCs w:val="16"/>
          <w:lang w:val="en-US"/>
        </w:rPr>
        <w:t>, </w:t>
      </w:r>
      <w:hyperlink r:id="rId616" w:history="1">
        <w:r w:rsidR="008F6FFE" w:rsidRPr="00717D4D">
          <w:rPr>
            <w:rFonts w:asciiTheme="minorHAnsi" w:hAnsiTheme="minorHAnsi" w:cstheme="minorHAnsi"/>
            <w:bCs/>
            <w:color w:val="000000" w:themeColor="text1"/>
            <w:sz w:val="16"/>
            <w:szCs w:val="16"/>
            <w:lang w:val="en-US"/>
          </w:rPr>
          <w:t>Myburgh J</w:t>
        </w:r>
      </w:hyperlink>
      <w:r w:rsidR="008F6FFE" w:rsidRPr="00717D4D">
        <w:rPr>
          <w:rFonts w:asciiTheme="minorHAnsi" w:hAnsiTheme="minorHAnsi" w:cstheme="minorHAnsi"/>
          <w:bCs/>
          <w:color w:val="000000" w:themeColor="text1"/>
          <w:sz w:val="16"/>
          <w:szCs w:val="16"/>
          <w:lang w:val="en-US"/>
        </w:rPr>
        <w:t>, </w:t>
      </w:r>
      <w:hyperlink r:id="rId617" w:history="1">
        <w:r w:rsidR="008F6FFE" w:rsidRPr="00717D4D">
          <w:rPr>
            <w:rFonts w:asciiTheme="minorHAnsi" w:hAnsiTheme="minorHAnsi" w:cstheme="minorHAnsi"/>
            <w:bCs/>
            <w:color w:val="000000" w:themeColor="text1"/>
            <w:sz w:val="16"/>
            <w:szCs w:val="16"/>
            <w:lang w:val="en-US"/>
          </w:rPr>
          <w:t>Rowan K</w:t>
        </w:r>
      </w:hyperlink>
      <w:r w:rsidR="008F6FFE" w:rsidRPr="00717D4D">
        <w:rPr>
          <w:rFonts w:asciiTheme="minorHAnsi" w:hAnsiTheme="minorHAnsi" w:cstheme="minorHAnsi"/>
          <w:bCs/>
          <w:color w:val="000000" w:themeColor="text1"/>
          <w:sz w:val="16"/>
          <w:szCs w:val="16"/>
          <w:lang w:val="en-US"/>
        </w:rPr>
        <w:t>.</w:t>
      </w:r>
    </w:p>
    <w:p w:rsidR="008F6FFE" w:rsidRPr="00717D4D" w:rsidRDefault="008F6FFE" w:rsidP="00F8503D">
      <w:pPr>
        <w:pStyle w:val="Heading2"/>
        <w:shd w:val="clear" w:color="auto" w:fill="FFFFFF"/>
        <w:spacing w:before="0"/>
        <w:rPr>
          <w:rFonts w:asciiTheme="minorHAnsi" w:hAnsiTheme="minorHAnsi" w:cstheme="minorHAnsi"/>
          <w:bCs/>
          <w:color w:val="000000" w:themeColor="text1"/>
          <w:sz w:val="16"/>
          <w:szCs w:val="16"/>
          <w:lang w:val="en-US"/>
        </w:rPr>
      </w:pPr>
    </w:p>
    <w:p w:rsidR="008F6FFE" w:rsidRPr="00717D4D" w:rsidRDefault="0052743C" w:rsidP="00F8503D">
      <w:pPr>
        <w:jc w:val="both"/>
        <w:rPr>
          <w:rFonts w:asciiTheme="minorHAnsi" w:hAnsiTheme="minorHAnsi" w:cstheme="minorHAnsi"/>
          <w:color w:val="000000" w:themeColor="text1"/>
          <w:sz w:val="16"/>
          <w:szCs w:val="16"/>
          <w:lang w:val="en-US"/>
        </w:rPr>
      </w:pPr>
      <w:hyperlink r:id="rId618" w:tooltip="Critical care (London, England)." w:history="1">
        <w:r w:rsidR="008F6FFE" w:rsidRPr="00717D4D">
          <w:rPr>
            <w:rStyle w:val="Hyperlink"/>
            <w:rFonts w:asciiTheme="minorHAnsi" w:hAnsiTheme="minorHAnsi" w:cstheme="minorHAnsi"/>
            <w:color w:val="000000" w:themeColor="text1"/>
            <w:sz w:val="16"/>
            <w:szCs w:val="16"/>
            <w:u w:val="none"/>
            <w:lang w:val="en-US"/>
          </w:rPr>
          <w:t>Crit Care.</w:t>
        </w:r>
      </w:hyperlink>
      <w:r w:rsidR="008F6FFE" w:rsidRPr="00717D4D">
        <w:rPr>
          <w:rFonts w:asciiTheme="minorHAnsi" w:hAnsiTheme="minorHAnsi" w:cstheme="minorHAnsi"/>
          <w:color w:val="000000" w:themeColor="text1"/>
          <w:sz w:val="16"/>
          <w:szCs w:val="16"/>
          <w:lang w:val="en-US"/>
        </w:rPr>
        <w:t> 2012 Feb 28;16(1):R33. doi: 10.1186/cc11211.</w:t>
      </w:r>
    </w:p>
    <w:p w:rsidR="008F6FFE" w:rsidRPr="00717D4D" w:rsidRDefault="008F6FFE" w:rsidP="00F8503D">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Association of body temperature and antipyretic treatments with mortality of critically ill patients with and without sepsis: </w:t>
      </w:r>
    </w:p>
    <w:p w:rsidR="008F6FFE" w:rsidRPr="00717D4D" w:rsidRDefault="008F6FFE" w:rsidP="00F8503D">
      <w:pPr>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multi-centered prospective observational study.</w:t>
      </w:r>
    </w:p>
    <w:p w:rsidR="008F6FFE" w:rsidRPr="00717D4D" w:rsidRDefault="0052743C" w:rsidP="00F8503D">
      <w:pPr>
        <w:jc w:val="both"/>
        <w:rPr>
          <w:rFonts w:asciiTheme="minorHAnsi" w:hAnsiTheme="minorHAnsi" w:cstheme="minorHAnsi"/>
          <w:color w:val="000000" w:themeColor="text1"/>
          <w:sz w:val="16"/>
          <w:szCs w:val="16"/>
          <w:lang w:val="en-US"/>
        </w:rPr>
      </w:pPr>
      <w:hyperlink r:id="rId619" w:history="1">
        <w:r w:rsidR="008F6FFE" w:rsidRPr="00717D4D">
          <w:rPr>
            <w:rStyle w:val="Hyperlink"/>
            <w:rFonts w:asciiTheme="minorHAnsi" w:hAnsiTheme="minorHAnsi" w:cstheme="minorHAnsi"/>
            <w:color w:val="000000" w:themeColor="text1"/>
            <w:sz w:val="16"/>
            <w:szCs w:val="16"/>
            <w:u w:val="none"/>
            <w:lang w:val="en-US"/>
          </w:rPr>
          <w:t>Lee BH</w:t>
        </w:r>
      </w:hyperlink>
      <w:r w:rsidR="008F6FFE" w:rsidRPr="00717D4D">
        <w:rPr>
          <w:rFonts w:asciiTheme="minorHAnsi" w:hAnsiTheme="minorHAnsi" w:cstheme="minorHAnsi"/>
          <w:color w:val="000000" w:themeColor="text1"/>
          <w:sz w:val="16"/>
          <w:szCs w:val="16"/>
          <w:lang w:val="en-US"/>
        </w:rPr>
        <w:t xml:space="preserve"> et al </w:t>
      </w:r>
      <w:r w:rsidR="008F6FFE" w:rsidRPr="00717D4D">
        <w:rPr>
          <w:rFonts w:asciiTheme="minorHAnsi" w:hAnsiTheme="minorHAnsi"/>
          <w:sz w:val="16"/>
          <w:szCs w:val="16"/>
          <w:lang w:val="en-US"/>
        </w:rPr>
        <w:t xml:space="preserve"> </w:t>
      </w:r>
      <w:hyperlink r:id="rId620" w:history="1">
        <w:r w:rsidR="008F6FFE" w:rsidRPr="00717D4D">
          <w:rPr>
            <w:rStyle w:val="Hyperlink"/>
            <w:rFonts w:asciiTheme="minorHAnsi" w:hAnsiTheme="minorHAnsi" w:cstheme="minorHAnsi"/>
            <w:color w:val="000000" w:themeColor="text1"/>
            <w:sz w:val="16"/>
            <w:szCs w:val="16"/>
            <w:u w:val="none"/>
            <w:lang w:val="en-US"/>
          </w:rPr>
          <w:t>Fever and Antipyretic in Critically ill patients Evaluation (FACE) Study Group</w:t>
        </w:r>
      </w:hyperlink>
      <w:r w:rsidR="008F6FFE" w:rsidRPr="00717D4D">
        <w:rPr>
          <w:rFonts w:asciiTheme="minorHAnsi" w:hAnsiTheme="minorHAnsi" w:cstheme="minorHAnsi"/>
          <w:color w:val="000000" w:themeColor="text1"/>
          <w:sz w:val="16"/>
          <w:szCs w:val="16"/>
          <w:lang w:val="en-US"/>
        </w:rPr>
        <w:t>.</w:t>
      </w:r>
    </w:p>
    <w:p w:rsidR="008F6FFE" w:rsidRPr="00717D4D" w:rsidRDefault="008F6FFE" w:rsidP="00F8503D">
      <w:pPr>
        <w:pStyle w:val="Heading2"/>
        <w:shd w:val="clear" w:color="auto" w:fill="FFFFFF"/>
        <w:spacing w:before="0"/>
        <w:rPr>
          <w:rFonts w:asciiTheme="minorHAnsi" w:hAnsiTheme="minorHAnsi" w:cstheme="minorHAnsi"/>
          <w:bCs/>
          <w:color w:val="000000" w:themeColor="text1"/>
          <w:sz w:val="16"/>
          <w:szCs w:val="16"/>
          <w:lang w:val="en-US"/>
        </w:rPr>
      </w:pPr>
    </w:p>
    <w:p w:rsidR="008F6FFE" w:rsidRPr="00717D4D" w:rsidRDefault="0052743C" w:rsidP="00F8503D">
      <w:pPr>
        <w:pStyle w:val="Heading2"/>
        <w:shd w:val="clear" w:color="auto" w:fill="FFFFFF"/>
        <w:spacing w:before="0"/>
        <w:rPr>
          <w:rFonts w:asciiTheme="minorHAnsi" w:hAnsiTheme="minorHAnsi" w:cstheme="minorHAnsi"/>
          <w:bCs/>
          <w:color w:val="000000" w:themeColor="text1"/>
          <w:sz w:val="16"/>
          <w:szCs w:val="16"/>
          <w:lang w:val="en-US"/>
        </w:rPr>
      </w:pPr>
      <w:hyperlink r:id="rId621" w:tooltip="Southern medical journal." w:history="1">
        <w:r w:rsidR="008F6FFE" w:rsidRPr="00717D4D">
          <w:rPr>
            <w:rFonts w:asciiTheme="minorHAnsi" w:hAnsiTheme="minorHAnsi" w:cstheme="minorHAnsi"/>
            <w:bCs/>
            <w:color w:val="000000" w:themeColor="text1"/>
            <w:sz w:val="16"/>
            <w:szCs w:val="16"/>
            <w:lang w:val="en-US"/>
          </w:rPr>
          <w:t>South Med J.</w:t>
        </w:r>
      </w:hyperlink>
      <w:r w:rsidR="008F6FFE" w:rsidRPr="00717D4D">
        <w:rPr>
          <w:rFonts w:asciiTheme="minorHAnsi" w:hAnsiTheme="minorHAnsi" w:cstheme="minorHAnsi"/>
          <w:bCs/>
          <w:color w:val="000000" w:themeColor="text1"/>
          <w:sz w:val="16"/>
          <w:szCs w:val="16"/>
          <w:lang w:val="en-US"/>
        </w:rPr>
        <w:t> 1997 Mar;90(3):296-8.</w:t>
      </w:r>
    </w:p>
    <w:p w:rsidR="008F6FFE" w:rsidRPr="00717D4D" w:rsidRDefault="008F6FFE" w:rsidP="00F8503D">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Community-acquired pneumonia in the elderly: association of mortality with lack of fever and leukocytosis.</w:t>
      </w:r>
    </w:p>
    <w:p w:rsidR="008F6FFE" w:rsidRPr="00717D4D" w:rsidRDefault="0052743C" w:rsidP="00F8503D">
      <w:pPr>
        <w:pStyle w:val="Heading2"/>
        <w:shd w:val="clear" w:color="auto" w:fill="FFFFFF"/>
        <w:spacing w:before="0"/>
        <w:rPr>
          <w:rFonts w:asciiTheme="minorHAnsi" w:hAnsiTheme="minorHAnsi" w:cstheme="minorHAnsi"/>
          <w:bCs/>
          <w:color w:val="000000" w:themeColor="text1"/>
          <w:sz w:val="16"/>
          <w:szCs w:val="16"/>
          <w:lang w:val="en-US"/>
        </w:rPr>
      </w:pPr>
      <w:hyperlink r:id="rId622" w:history="1">
        <w:r w:rsidR="008F6FFE" w:rsidRPr="00717D4D">
          <w:rPr>
            <w:rFonts w:asciiTheme="minorHAnsi" w:hAnsiTheme="minorHAnsi" w:cstheme="minorHAnsi"/>
            <w:bCs/>
            <w:color w:val="000000" w:themeColor="text1"/>
            <w:sz w:val="16"/>
            <w:szCs w:val="16"/>
            <w:lang w:val="en-US"/>
          </w:rPr>
          <w:t>Ahkee S</w:t>
        </w:r>
      </w:hyperlink>
      <w:r w:rsidR="008F6FFE" w:rsidRPr="00717D4D">
        <w:rPr>
          <w:rFonts w:asciiTheme="minorHAnsi" w:hAnsiTheme="minorHAnsi" w:cstheme="minorHAnsi"/>
          <w:bCs/>
          <w:color w:val="000000" w:themeColor="text1"/>
          <w:sz w:val="16"/>
          <w:szCs w:val="16"/>
          <w:lang w:val="en-US"/>
        </w:rPr>
        <w:t>1, </w:t>
      </w:r>
      <w:hyperlink r:id="rId623" w:history="1">
        <w:r w:rsidR="008F6FFE" w:rsidRPr="00717D4D">
          <w:rPr>
            <w:rFonts w:asciiTheme="minorHAnsi" w:hAnsiTheme="minorHAnsi" w:cstheme="minorHAnsi"/>
            <w:bCs/>
            <w:color w:val="000000" w:themeColor="text1"/>
            <w:sz w:val="16"/>
            <w:szCs w:val="16"/>
            <w:lang w:val="en-US"/>
          </w:rPr>
          <w:t>Srinath L</w:t>
        </w:r>
      </w:hyperlink>
      <w:r w:rsidR="008F6FFE" w:rsidRPr="00717D4D">
        <w:rPr>
          <w:rFonts w:asciiTheme="minorHAnsi" w:hAnsiTheme="minorHAnsi" w:cstheme="minorHAnsi"/>
          <w:bCs/>
          <w:color w:val="000000" w:themeColor="text1"/>
          <w:sz w:val="16"/>
          <w:szCs w:val="16"/>
          <w:lang w:val="en-US"/>
        </w:rPr>
        <w:t>, </w:t>
      </w:r>
      <w:hyperlink r:id="rId624" w:history="1">
        <w:r w:rsidR="008F6FFE" w:rsidRPr="00717D4D">
          <w:rPr>
            <w:rFonts w:asciiTheme="minorHAnsi" w:hAnsiTheme="minorHAnsi" w:cstheme="minorHAnsi"/>
            <w:bCs/>
            <w:color w:val="000000" w:themeColor="text1"/>
            <w:sz w:val="16"/>
            <w:szCs w:val="16"/>
            <w:lang w:val="en-US"/>
          </w:rPr>
          <w:t>Ramirez J</w:t>
        </w:r>
      </w:hyperlink>
      <w:r w:rsidR="008F6FFE" w:rsidRPr="00717D4D">
        <w:rPr>
          <w:rFonts w:asciiTheme="minorHAnsi" w:hAnsiTheme="minorHAnsi" w:cstheme="minorHAnsi"/>
          <w:bCs/>
          <w:color w:val="000000" w:themeColor="text1"/>
          <w:sz w:val="16"/>
          <w:szCs w:val="16"/>
          <w:lang w:val="en-US"/>
        </w:rPr>
        <w:t>.</w:t>
      </w:r>
    </w:p>
    <w:p w:rsidR="008F6FFE" w:rsidRPr="00717D4D" w:rsidRDefault="008F6FFE" w:rsidP="00F8503D">
      <w:pPr>
        <w:rPr>
          <w:rFonts w:asciiTheme="minorHAnsi" w:hAnsiTheme="minorHAnsi"/>
          <w:sz w:val="16"/>
          <w:szCs w:val="16"/>
          <w:lang w:val="en-US"/>
        </w:rPr>
      </w:pPr>
    </w:p>
    <w:p w:rsidR="008F6FFE" w:rsidRPr="00717D4D" w:rsidRDefault="0052743C" w:rsidP="00F8503D">
      <w:pPr>
        <w:pStyle w:val="Heading2"/>
        <w:shd w:val="clear" w:color="auto" w:fill="FFFFFF"/>
        <w:spacing w:before="0"/>
        <w:rPr>
          <w:rFonts w:asciiTheme="minorHAnsi" w:hAnsiTheme="minorHAnsi" w:cstheme="minorHAnsi"/>
          <w:bCs/>
          <w:color w:val="000000" w:themeColor="text1"/>
          <w:sz w:val="16"/>
          <w:szCs w:val="16"/>
          <w:lang w:val="en-US"/>
        </w:rPr>
      </w:pPr>
      <w:hyperlink r:id="rId625" w:tooltip="Intractable &amp; rare diseases research." w:history="1">
        <w:r w:rsidR="008F6FFE" w:rsidRPr="00717D4D">
          <w:rPr>
            <w:rFonts w:asciiTheme="minorHAnsi" w:hAnsiTheme="minorHAnsi" w:cstheme="minorHAnsi"/>
            <w:bCs/>
            <w:color w:val="000000" w:themeColor="text1"/>
            <w:sz w:val="16"/>
            <w:szCs w:val="16"/>
            <w:lang w:val="en-US"/>
          </w:rPr>
          <w:t>Intractable Rare Dis Res.</w:t>
        </w:r>
      </w:hyperlink>
      <w:r w:rsidR="008F6FFE" w:rsidRPr="00717D4D">
        <w:rPr>
          <w:rFonts w:asciiTheme="minorHAnsi" w:hAnsiTheme="minorHAnsi" w:cstheme="minorHAnsi"/>
          <w:bCs/>
          <w:color w:val="000000" w:themeColor="text1"/>
          <w:sz w:val="16"/>
          <w:szCs w:val="16"/>
          <w:lang w:val="en-US"/>
        </w:rPr>
        <w:t> 2016 May;5(2):97-102. doi: 10.5582/irdr.2016.01009.</w:t>
      </w:r>
    </w:p>
    <w:p w:rsidR="008F6FFE" w:rsidRPr="00717D4D" w:rsidRDefault="008F6FFE" w:rsidP="00F8503D">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Fever as an important resource for infectious diseases research.</w:t>
      </w:r>
    </w:p>
    <w:p w:rsidR="008F6FFE" w:rsidRPr="00717D4D" w:rsidRDefault="0052743C" w:rsidP="00F8503D">
      <w:pPr>
        <w:pStyle w:val="Heading2"/>
        <w:shd w:val="clear" w:color="auto" w:fill="FFFFFF"/>
        <w:spacing w:before="0"/>
        <w:rPr>
          <w:rFonts w:asciiTheme="minorHAnsi" w:hAnsiTheme="minorHAnsi" w:cstheme="minorHAnsi"/>
          <w:bCs/>
          <w:color w:val="000000" w:themeColor="text1"/>
          <w:sz w:val="16"/>
          <w:szCs w:val="16"/>
          <w:lang w:val="en-US"/>
        </w:rPr>
      </w:pPr>
      <w:hyperlink r:id="rId626" w:history="1">
        <w:r w:rsidR="008F6FFE" w:rsidRPr="00717D4D">
          <w:rPr>
            <w:rFonts w:asciiTheme="minorHAnsi" w:hAnsiTheme="minorHAnsi" w:cstheme="minorHAnsi"/>
            <w:bCs/>
            <w:color w:val="000000" w:themeColor="text1"/>
            <w:sz w:val="16"/>
            <w:szCs w:val="16"/>
            <w:lang w:val="en-US"/>
          </w:rPr>
          <w:t>González Plaza JJ</w:t>
        </w:r>
      </w:hyperlink>
      <w:r w:rsidR="008F6FFE" w:rsidRPr="00717D4D">
        <w:rPr>
          <w:rFonts w:asciiTheme="minorHAnsi" w:hAnsiTheme="minorHAnsi" w:cstheme="minorHAnsi"/>
          <w:bCs/>
          <w:color w:val="000000" w:themeColor="text1"/>
          <w:sz w:val="16"/>
          <w:szCs w:val="16"/>
          <w:lang w:val="en-US"/>
        </w:rPr>
        <w:t>1, </w:t>
      </w:r>
      <w:hyperlink r:id="rId627" w:history="1">
        <w:r w:rsidR="008F6FFE" w:rsidRPr="00717D4D">
          <w:rPr>
            <w:rFonts w:asciiTheme="minorHAnsi" w:hAnsiTheme="minorHAnsi" w:cstheme="minorHAnsi"/>
            <w:bCs/>
            <w:color w:val="000000" w:themeColor="text1"/>
            <w:sz w:val="16"/>
            <w:szCs w:val="16"/>
            <w:lang w:val="en-US"/>
          </w:rPr>
          <w:t>Hulak N</w:t>
        </w:r>
      </w:hyperlink>
      <w:r w:rsidR="008F6FFE" w:rsidRPr="00717D4D">
        <w:rPr>
          <w:rFonts w:asciiTheme="minorHAnsi" w:hAnsiTheme="minorHAnsi" w:cstheme="minorHAnsi"/>
          <w:bCs/>
          <w:color w:val="000000" w:themeColor="text1"/>
          <w:sz w:val="16"/>
          <w:szCs w:val="16"/>
          <w:lang w:val="en-US"/>
        </w:rPr>
        <w:t>2, </w:t>
      </w:r>
      <w:hyperlink r:id="rId628" w:history="1">
        <w:r w:rsidR="008F6FFE" w:rsidRPr="00717D4D">
          <w:rPr>
            <w:rFonts w:asciiTheme="minorHAnsi" w:hAnsiTheme="minorHAnsi" w:cstheme="minorHAnsi"/>
            <w:bCs/>
            <w:color w:val="000000" w:themeColor="text1"/>
            <w:sz w:val="16"/>
            <w:szCs w:val="16"/>
            <w:lang w:val="en-US"/>
          </w:rPr>
          <w:t>Zhumadilov Z</w:t>
        </w:r>
      </w:hyperlink>
      <w:r w:rsidR="008F6FFE" w:rsidRPr="00717D4D">
        <w:rPr>
          <w:rFonts w:asciiTheme="minorHAnsi" w:hAnsiTheme="minorHAnsi" w:cstheme="minorHAnsi"/>
          <w:bCs/>
          <w:color w:val="000000" w:themeColor="text1"/>
          <w:sz w:val="16"/>
          <w:szCs w:val="16"/>
          <w:lang w:val="en-US"/>
        </w:rPr>
        <w:t>3, </w:t>
      </w:r>
      <w:hyperlink r:id="rId629" w:history="1">
        <w:r w:rsidR="008F6FFE" w:rsidRPr="00717D4D">
          <w:rPr>
            <w:rFonts w:asciiTheme="minorHAnsi" w:hAnsiTheme="minorHAnsi" w:cstheme="minorHAnsi"/>
            <w:bCs/>
            <w:color w:val="000000" w:themeColor="text1"/>
            <w:sz w:val="16"/>
            <w:szCs w:val="16"/>
            <w:lang w:val="en-US"/>
          </w:rPr>
          <w:t>Akilzhanova A</w:t>
        </w:r>
      </w:hyperlink>
      <w:r w:rsidR="008F6FFE" w:rsidRPr="00717D4D">
        <w:rPr>
          <w:rFonts w:asciiTheme="minorHAnsi" w:hAnsiTheme="minorHAnsi" w:cstheme="minorHAnsi"/>
          <w:bCs/>
          <w:color w:val="000000" w:themeColor="text1"/>
          <w:sz w:val="16"/>
          <w:szCs w:val="16"/>
          <w:lang w:val="en-US"/>
        </w:rPr>
        <w:t>3.</w:t>
      </w:r>
    </w:p>
    <w:p w:rsidR="008F6FFE" w:rsidRPr="00717D4D" w:rsidRDefault="008F6FFE" w:rsidP="00F8503D">
      <w:pPr>
        <w:pStyle w:val="Heading2"/>
        <w:shd w:val="clear" w:color="auto" w:fill="FFFFFF"/>
        <w:spacing w:before="0"/>
        <w:rPr>
          <w:rFonts w:asciiTheme="minorHAnsi" w:hAnsiTheme="minorHAnsi" w:cstheme="minorHAnsi"/>
          <w:bCs/>
          <w:color w:val="000000" w:themeColor="text1"/>
          <w:sz w:val="16"/>
          <w:szCs w:val="16"/>
          <w:lang w:val="en-US"/>
        </w:rPr>
      </w:pPr>
    </w:p>
  </w:footnote>
  <w:footnote w:id="62">
    <w:p w:rsidR="008F6FFE" w:rsidRPr="00717D4D"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theme="minorHAnsi"/>
          <w:bCs/>
          <w:color w:val="000000" w:themeColor="text1"/>
          <w:sz w:val="16"/>
          <w:szCs w:val="16"/>
          <w:lang w:val="en-US"/>
        </w:rPr>
        <w:t>Lancet  2020 Mar 28;395(10229):1054-1062. doi: 10.1016/S0140-6736(20)30566-3.</w:t>
      </w:r>
    </w:p>
    <w:p w:rsidR="008F6FFE" w:rsidRPr="00717D4D"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Clinical Course and Risk Factors for Mortality of Adult Inpatients With COVID-19 in Wuhan, China: A Retrospective Cohort Study</w:t>
      </w:r>
    </w:p>
    <w:p w:rsidR="008F6FFE" w:rsidRPr="00235A16" w:rsidRDefault="0052743C" w:rsidP="00910431">
      <w:pPr>
        <w:rPr>
          <w:rFonts w:asciiTheme="minorHAnsi" w:hAnsiTheme="minorHAnsi" w:cstheme="minorHAnsi"/>
          <w:bCs/>
          <w:color w:val="000000" w:themeColor="text1"/>
          <w:sz w:val="16"/>
          <w:szCs w:val="16"/>
          <w:lang w:val="de-DE"/>
        </w:rPr>
      </w:pPr>
      <w:hyperlink r:id="rId630" w:history="1">
        <w:r w:rsidR="008F6FFE" w:rsidRPr="00235A16">
          <w:rPr>
            <w:rFonts w:asciiTheme="minorHAnsi" w:hAnsiTheme="minorHAnsi" w:cstheme="minorHAnsi"/>
            <w:bCs/>
            <w:color w:val="000000" w:themeColor="text1"/>
            <w:sz w:val="16"/>
            <w:szCs w:val="16"/>
            <w:lang w:val="de-DE"/>
          </w:rPr>
          <w:t>Fei Zhou</w:t>
        </w:r>
      </w:hyperlink>
      <w:r w:rsidR="008F6FFE" w:rsidRPr="00235A16">
        <w:rPr>
          <w:rFonts w:asciiTheme="minorHAnsi" w:hAnsiTheme="minorHAnsi" w:cstheme="minorHAnsi"/>
          <w:bCs/>
          <w:color w:val="000000" w:themeColor="text1"/>
          <w:sz w:val="16"/>
          <w:szCs w:val="16"/>
          <w:lang w:val="de-DE"/>
        </w:rPr>
        <w:t xml:space="preserve"> </w:t>
      </w:r>
      <w:r w:rsidR="008F6FFE" w:rsidRPr="00235A16">
        <w:rPr>
          <w:rFonts w:asciiTheme="minorHAnsi" w:hAnsiTheme="minorHAnsi"/>
          <w:sz w:val="16"/>
          <w:szCs w:val="16"/>
          <w:lang w:val="de-DE"/>
        </w:rPr>
        <w:t>et al</w:t>
      </w:r>
    </w:p>
    <w:p w:rsidR="008F6FFE" w:rsidRPr="00235A16" w:rsidRDefault="0052743C" w:rsidP="00910431">
      <w:pPr>
        <w:rPr>
          <w:rFonts w:asciiTheme="minorHAnsi" w:hAnsiTheme="minorHAnsi"/>
          <w:color w:val="000000" w:themeColor="text1"/>
          <w:sz w:val="16"/>
          <w:szCs w:val="16"/>
          <w:lang w:val="de-DE"/>
        </w:rPr>
      </w:pPr>
      <w:hyperlink r:id="rId631" w:history="1">
        <w:r w:rsidR="008F6FFE" w:rsidRPr="00235A16">
          <w:rPr>
            <w:rStyle w:val="Hyperlink"/>
            <w:rFonts w:asciiTheme="minorHAnsi" w:hAnsiTheme="minorHAnsi"/>
            <w:color w:val="000000" w:themeColor="text1"/>
            <w:sz w:val="16"/>
            <w:szCs w:val="16"/>
            <w:u w:val="none"/>
            <w:lang w:val="de-DE"/>
          </w:rPr>
          <w:t>https://www.thelancet.com/pdfs/journals/lancet/PIIS0140-6736(20)30566-3.pdf</w:t>
        </w:r>
      </w:hyperlink>
    </w:p>
    <w:p w:rsidR="008F6FFE" w:rsidRPr="00235A16" w:rsidRDefault="008F6FFE" w:rsidP="00910431">
      <w:pPr>
        <w:pStyle w:val="Heading2"/>
        <w:shd w:val="clear" w:color="auto" w:fill="FFFFFF"/>
        <w:spacing w:before="0"/>
        <w:rPr>
          <w:rFonts w:asciiTheme="minorHAnsi" w:hAnsiTheme="minorHAnsi" w:cstheme="minorHAnsi"/>
          <w:bCs/>
          <w:color w:val="000000" w:themeColor="text1"/>
          <w:sz w:val="16"/>
          <w:szCs w:val="16"/>
          <w:lang w:val="de-DE"/>
        </w:rPr>
      </w:pPr>
    </w:p>
    <w:p w:rsidR="008F6FFE" w:rsidRPr="00717D4D"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JAMA 2020 Mar 19;323(16):1612-1614. doi: 10.1001/jama.2020.4326. </w:t>
      </w:r>
    </w:p>
    <w:p w:rsidR="008F6FFE" w:rsidRPr="00717D4D"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Characteristics and Outcomes of 21 Critically Ill Patients With COVID-19 in Washington State</w:t>
      </w:r>
    </w:p>
    <w:p w:rsidR="008F6FFE" w:rsidRPr="00717D4D" w:rsidRDefault="0052743C" w:rsidP="00910431">
      <w:pPr>
        <w:pStyle w:val="Heading2"/>
        <w:shd w:val="clear" w:color="auto" w:fill="FFFFFF"/>
        <w:spacing w:before="0"/>
        <w:rPr>
          <w:rFonts w:asciiTheme="minorHAnsi" w:hAnsiTheme="minorHAnsi" w:cstheme="minorHAnsi"/>
          <w:bCs/>
          <w:color w:val="000000" w:themeColor="text1"/>
          <w:sz w:val="16"/>
          <w:szCs w:val="16"/>
          <w:lang w:val="en-US"/>
        </w:rPr>
      </w:pPr>
      <w:hyperlink r:id="rId632" w:history="1">
        <w:r w:rsidR="008F6FFE" w:rsidRPr="00717D4D">
          <w:rPr>
            <w:rFonts w:asciiTheme="minorHAnsi" w:hAnsiTheme="minorHAnsi" w:cstheme="minorHAnsi"/>
            <w:bCs/>
            <w:color w:val="000000" w:themeColor="text1"/>
            <w:sz w:val="16"/>
            <w:szCs w:val="16"/>
            <w:lang w:val="en-US"/>
          </w:rPr>
          <w:t>Matt Arentz</w:t>
        </w:r>
      </w:hyperlink>
      <w:r w:rsidR="008F6FFE" w:rsidRPr="00717D4D">
        <w:rPr>
          <w:rFonts w:asciiTheme="minorHAnsi" w:hAnsiTheme="minorHAnsi" w:cstheme="minorHAnsi"/>
          <w:bCs/>
          <w:color w:val="000000" w:themeColor="text1"/>
          <w:sz w:val="16"/>
          <w:szCs w:val="16"/>
          <w:lang w:val="en-US"/>
        </w:rPr>
        <w:t> </w:t>
      </w:r>
      <w:hyperlink r:id="rId633" w:anchor="affiliation-1" w:history="1">
        <w:r w:rsidR="008F6FFE" w:rsidRPr="00717D4D">
          <w:rPr>
            <w:rFonts w:asciiTheme="minorHAnsi" w:hAnsiTheme="minorHAnsi" w:cstheme="minorHAnsi"/>
            <w:bCs/>
            <w:color w:val="000000" w:themeColor="text1"/>
            <w:sz w:val="16"/>
            <w:szCs w:val="16"/>
            <w:lang w:val="en-US"/>
          </w:rPr>
          <w:t>1</w:t>
        </w:r>
      </w:hyperlink>
      <w:r w:rsidR="008F6FFE" w:rsidRPr="00717D4D">
        <w:rPr>
          <w:rFonts w:asciiTheme="minorHAnsi" w:hAnsiTheme="minorHAnsi" w:cstheme="minorHAnsi"/>
          <w:bCs/>
          <w:color w:val="000000" w:themeColor="text1"/>
          <w:sz w:val="16"/>
          <w:szCs w:val="16"/>
          <w:lang w:val="en-US"/>
        </w:rPr>
        <w:t>, </w:t>
      </w:r>
      <w:hyperlink r:id="rId634" w:history="1">
        <w:r w:rsidR="008F6FFE" w:rsidRPr="00717D4D">
          <w:rPr>
            <w:rFonts w:asciiTheme="minorHAnsi" w:hAnsiTheme="minorHAnsi" w:cstheme="minorHAnsi"/>
            <w:bCs/>
            <w:color w:val="000000" w:themeColor="text1"/>
            <w:sz w:val="16"/>
            <w:szCs w:val="16"/>
            <w:lang w:val="en-US"/>
          </w:rPr>
          <w:t>Eric Yim</w:t>
        </w:r>
      </w:hyperlink>
      <w:r w:rsidR="008F6FFE" w:rsidRPr="00717D4D">
        <w:rPr>
          <w:rFonts w:asciiTheme="minorHAnsi" w:hAnsiTheme="minorHAnsi" w:cstheme="minorHAnsi"/>
          <w:bCs/>
          <w:color w:val="000000" w:themeColor="text1"/>
          <w:sz w:val="16"/>
          <w:szCs w:val="16"/>
          <w:lang w:val="en-US"/>
        </w:rPr>
        <w:t> </w:t>
      </w:r>
      <w:hyperlink r:id="rId635" w:anchor="affiliation-2" w:history="1">
        <w:r w:rsidR="008F6FFE" w:rsidRPr="00717D4D">
          <w:rPr>
            <w:rFonts w:asciiTheme="minorHAnsi" w:hAnsiTheme="minorHAnsi" w:cstheme="minorHAnsi"/>
            <w:bCs/>
            <w:color w:val="000000" w:themeColor="text1"/>
            <w:sz w:val="16"/>
            <w:szCs w:val="16"/>
            <w:lang w:val="en-US"/>
          </w:rPr>
          <w:t>2</w:t>
        </w:r>
      </w:hyperlink>
      <w:r w:rsidR="008F6FFE" w:rsidRPr="00717D4D">
        <w:rPr>
          <w:rFonts w:asciiTheme="minorHAnsi" w:hAnsiTheme="minorHAnsi" w:cstheme="minorHAnsi"/>
          <w:bCs/>
          <w:color w:val="000000" w:themeColor="text1"/>
          <w:sz w:val="16"/>
          <w:szCs w:val="16"/>
          <w:lang w:val="en-US"/>
        </w:rPr>
        <w:t>, </w:t>
      </w:r>
      <w:hyperlink r:id="rId636" w:history="1">
        <w:r w:rsidR="008F6FFE" w:rsidRPr="00717D4D">
          <w:rPr>
            <w:rFonts w:asciiTheme="minorHAnsi" w:hAnsiTheme="minorHAnsi" w:cstheme="minorHAnsi"/>
            <w:bCs/>
            <w:color w:val="000000" w:themeColor="text1"/>
            <w:sz w:val="16"/>
            <w:szCs w:val="16"/>
            <w:lang w:val="en-US"/>
          </w:rPr>
          <w:t>Lindy Klaff</w:t>
        </w:r>
      </w:hyperlink>
      <w:r w:rsidR="008F6FFE" w:rsidRPr="00717D4D">
        <w:rPr>
          <w:rFonts w:asciiTheme="minorHAnsi" w:hAnsiTheme="minorHAnsi" w:cstheme="minorHAnsi"/>
          <w:bCs/>
          <w:color w:val="000000" w:themeColor="text1"/>
          <w:sz w:val="16"/>
          <w:szCs w:val="16"/>
          <w:lang w:val="en-US"/>
        </w:rPr>
        <w:t> </w:t>
      </w:r>
      <w:hyperlink r:id="rId637" w:anchor="affiliation-2" w:history="1">
        <w:r w:rsidR="008F6FFE" w:rsidRPr="00717D4D">
          <w:rPr>
            <w:rFonts w:asciiTheme="minorHAnsi" w:hAnsiTheme="minorHAnsi" w:cstheme="minorHAnsi"/>
            <w:bCs/>
            <w:color w:val="000000" w:themeColor="text1"/>
            <w:sz w:val="16"/>
            <w:szCs w:val="16"/>
            <w:lang w:val="en-US"/>
          </w:rPr>
          <w:t>2</w:t>
        </w:r>
      </w:hyperlink>
      <w:r w:rsidR="008F6FFE" w:rsidRPr="00717D4D">
        <w:rPr>
          <w:rFonts w:asciiTheme="minorHAnsi" w:hAnsiTheme="minorHAnsi" w:cstheme="minorHAnsi"/>
          <w:bCs/>
          <w:color w:val="000000" w:themeColor="text1"/>
          <w:sz w:val="16"/>
          <w:szCs w:val="16"/>
          <w:lang w:val="en-US"/>
        </w:rPr>
        <w:t>, </w:t>
      </w:r>
      <w:hyperlink r:id="rId638" w:history="1">
        <w:r w:rsidR="008F6FFE" w:rsidRPr="00717D4D">
          <w:rPr>
            <w:rFonts w:asciiTheme="minorHAnsi" w:hAnsiTheme="minorHAnsi" w:cstheme="minorHAnsi"/>
            <w:bCs/>
            <w:color w:val="000000" w:themeColor="text1"/>
            <w:sz w:val="16"/>
            <w:szCs w:val="16"/>
            <w:lang w:val="en-US"/>
          </w:rPr>
          <w:t>Sharukh Lokhandwala</w:t>
        </w:r>
      </w:hyperlink>
      <w:r w:rsidR="008F6FFE" w:rsidRPr="00717D4D">
        <w:rPr>
          <w:rFonts w:asciiTheme="minorHAnsi" w:hAnsiTheme="minorHAnsi" w:cstheme="minorHAnsi"/>
          <w:bCs/>
          <w:color w:val="000000" w:themeColor="text1"/>
          <w:sz w:val="16"/>
          <w:szCs w:val="16"/>
          <w:lang w:val="en-US"/>
        </w:rPr>
        <w:t> </w:t>
      </w:r>
      <w:hyperlink r:id="rId639" w:anchor="affiliation-2" w:history="1">
        <w:r w:rsidR="008F6FFE" w:rsidRPr="00717D4D">
          <w:rPr>
            <w:rFonts w:asciiTheme="minorHAnsi" w:hAnsiTheme="minorHAnsi" w:cstheme="minorHAnsi"/>
            <w:bCs/>
            <w:color w:val="000000" w:themeColor="text1"/>
            <w:sz w:val="16"/>
            <w:szCs w:val="16"/>
            <w:lang w:val="en-US"/>
          </w:rPr>
          <w:t>2</w:t>
        </w:r>
      </w:hyperlink>
      <w:r w:rsidR="008F6FFE" w:rsidRPr="00717D4D">
        <w:rPr>
          <w:rFonts w:asciiTheme="minorHAnsi" w:hAnsiTheme="minorHAnsi" w:cstheme="minorHAnsi"/>
          <w:bCs/>
          <w:color w:val="000000" w:themeColor="text1"/>
          <w:sz w:val="16"/>
          <w:szCs w:val="16"/>
          <w:lang w:val="en-US"/>
        </w:rPr>
        <w:t>, </w:t>
      </w:r>
      <w:hyperlink r:id="rId640" w:history="1">
        <w:r w:rsidR="008F6FFE" w:rsidRPr="00717D4D">
          <w:rPr>
            <w:rFonts w:asciiTheme="minorHAnsi" w:hAnsiTheme="minorHAnsi" w:cstheme="minorHAnsi"/>
            <w:bCs/>
            <w:color w:val="000000" w:themeColor="text1"/>
            <w:sz w:val="16"/>
            <w:szCs w:val="16"/>
            <w:lang w:val="en-US"/>
          </w:rPr>
          <w:t>Francis X Riedo</w:t>
        </w:r>
      </w:hyperlink>
      <w:r w:rsidR="008F6FFE" w:rsidRPr="00717D4D">
        <w:rPr>
          <w:rFonts w:asciiTheme="minorHAnsi" w:hAnsiTheme="minorHAnsi" w:cstheme="minorHAnsi"/>
          <w:bCs/>
          <w:color w:val="000000" w:themeColor="text1"/>
          <w:sz w:val="16"/>
          <w:szCs w:val="16"/>
          <w:lang w:val="en-US"/>
        </w:rPr>
        <w:t> </w:t>
      </w:r>
      <w:hyperlink r:id="rId641" w:anchor="affiliation-2" w:history="1">
        <w:r w:rsidR="008F6FFE" w:rsidRPr="00717D4D">
          <w:rPr>
            <w:rFonts w:asciiTheme="minorHAnsi" w:hAnsiTheme="minorHAnsi" w:cstheme="minorHAnsi"/>
            <w:bCs/>
            <w:color w:val="000000" w:themeColor="text1"/>
            <w:sz w:val="16"/>
            <w:szCs w:val="16"/>
            <w:lang w:val="en-US"/>
          </w:rPr>
          <w:t>2</w:t>
        </w:r>
      </w:hyperlink>
      <w:r w:rsidR="008F6FFE" w:rsidRPr="00717D4D">
        <w:rPr>
          <w:rFonts w:asciiTheme="minorHAnsi" w:hAnsiTheme="minorHAnsi" w:cstheme="minorHAnsi"/>
          <w:bCs/>
          <w:color w:val="000000" w:themeColor="text1"/>
          <w:sz w:val="16"/>
          <w:szCs w:val="16"/>
          <w:lang w:val="en-US"/>
        </w:rPr>
        <w:t>, </w:t>
      </w:r>
      <w:hyperlink r:id="rId642" w:history="1">
        <w:r w:rsidR="008F6FFE" w:rsidRPr="00717D4D">
          <w:rPr>
            <w:rFonts w:asciiTheme="minorHAnsi" w:hAnsiTheme="minorHAnsi" w:cstheme="minorHAnsi"/>
            <w:bCs/>
            <w:color w:val="000000" w:themeColor="text1"/>
            <w:sz w:val="16"/>
            <w:szCs w:val="16"/>
            <w:lang w:val="en-US"/>
          </w:rPr>
          <w:t>Maria Chong</w:t>
        </w:r>
      </w:hyperlink>
      <w:r w:rsidR="008F6FFE" w:rsidRPr="00717D4D">
        <w:rPr>
          <w:rFonts w:asciiTheme="minorHAnsi" w:hAnsiTheme="minorHAnsi" w:cstheme="minorHAnsi"/>
          <w:bCs/>
          <w:color w:val="000000" w:themeColor="text1"/>
          <w:sz w:val="16"/>
          <w:szCs w:val="16"/>
          <w:lang w:val="en-US"/>
        </w:rPr>
        <w:t> </w:t>
      </w:r>
      <w:hyperlink r:id="rId643" w:anchor="affiliation-3" w:history="1">
        <w:r w:rsidR="008F6FFE" w:rsidRPr="00717D4D">
          <w:rPr>
            <w:rFonts w:asciiTheme="minorHAnsi" w:hAnsiTheme="minorHAnsi" w:cstheme="minorHAnsi"/>
            <w:bCs/>
            <w:color w:val="000000" w:themeColor="text1"/>
            <w:sz w:val="16"/>
            <w:szCs w:val="16"/>
            <w:lang w:val="en-US"/>
          </w:rPr>
          <w:t>3</w:t>
        </w:r>
      </w:hyperlink>
      <w:r w:rsidR="008F6FFE" w:rsidRPr="00717D4D">
        <w:rPr>
          <w:rFonts w:asciiTheme="minorHAnsi" w:hAnsiTheme="minorHAnsi" w:cstheme="minorHAnsi"/>
          <w:bCs/>
          <w:color w:val="000000" w:themeColor="text1"/>
          <w:sz w:val="16"/>
          <w:szCs w:val="16"/>
          <w:lang w:val="en-US"/>
        </w:rPr>
        <w:t>, </w:t>
      </w:r>
      <w:hyperlink r:id="rId644" w:history="1">
        <w:r w:rsidR="008F6FFE" w:rsidRPr="00717D4D">
          <w:rPr>
            <w:rFonts w:asciiTheme="minorHAnsi" w:hAnsiTheme="minorHAnsi" w:cstheme="minorHAnsi"/>
            <w:bCs/>
            <w:color w:val="000000" w:themeColor="text1"/>
            <w:sz w:val="16"/>
            <w:szCs w:val="16"/>
            <w:lang w:val="en-US"/>
          </w:rPr>
          <w:t>Melissa Lee</w:t>
        </w:r>
      </w:hyperlink>
    </w:p>
    <w:p w:rsidR="008F6FFE" w:rsidRPr="00717D4D" w:rsidRDefault="008F6FFE" w:rsidP="00910431">
      <w:pPr>
        <w:rPr>
          <w:rFonts w:asciiTheme="minorHAnsi" w:hAnsiTheme="minorHAnsi"/>
          <w:sz w:val="16"/>
          <w:szCs w:val="16"/>
          <w:lang w:val="en-US"/>
        </w:rPr>
      </w:pPr>
      <w:r w:rsidRPr="00717D4D">
        <w:rPr>
          <w:rFonts w:asciiTheme="minorHAnsi" w:hAnsiTheme="minorHAnsi"/>
          <w:sz w:val="16"/>
          <w:szCs w:val="16"/>
          <w:lang w:val="en-US"/>
        </w:rPr>
        <w:t>https://jamanetwork.com/journals/jama/fullarticle/2763485</w:t>
      </w:r>
    </w:p>
    <w:p w:rsidR="008F6FFE" w:rsidRPr="00717D4D"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p>
    <w:p w:rsidR="008F6FFE" w:rsidRPr="00717D4D"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N Engl J Med 2020 May 21;382(21):2012-2022. doi: 10.1056/NEJMoa2004500. </w:t>
      </w:r>
    </w:p>
    <w:p w:rsidR="008F6FFE" w:rsidRPr="00717D4D"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Covid-19 in Critically Ill Patients in the Seattle Region - Case Series</w:t>
      </w:r>
    </w:p>
    <w:p w:rsidR="008F6FFE" w:rsidRPr="00717D4D" w:rsidRDefault="0052743C" w:rsidP="00910431">
      <w:pPr>
        <w:rPr>
          <w:rFonts w:asciiTheme="minorHAnsi" w:hAnsiTheme="minorHAnsi" w:cstheme="majorBidi"/>
          <w:color w:val="2F5496" w:themeColor="accent1" w:themeShade="BF"/>
          <w:sz w:val="16"/>
          <w:szCs w:val="16"/>
        </w:rPr>
      </w:pPr>
      <w:hyperlink r:id="rId645" w:history="1">
        <w:r w:rsidR="008F6FFE" w:rsidRPr="00717D4D">
          <w:rPr>
            <w:rFonts w:asciiTheme="minorHAnsi" w:hAnsiTheme="minorHAnsi" w:cstheme="minorHAnsi"/>
            <w:bCs/>
            <w:color w:val="000000" w:themeColor="text1"/>
            <w:sz w:val="16"/>
            <w:szCs w:val="16"/>
          </w:rPr>
          <w:t>Pavan K Bhatraju</w:t>
        </w:r>
      </w:hyperlink>
      <w:r w:rsidR="008F6FFE" w:rsidRPr="00717D4D">
        <w:rPr>
          <w:rFonts w:asciiTheme="minorHAnsi" w:hAnsiTheme="minorHAnsi" w:cstheme="minorHAnsi"/>
          <w:bCs/>
          <w:color w:val="000000" w:themeColor="text1"/>
          <w:sz w:val="16"/>
          <w:szCs w:val="16"/>
        </w:rPr>
        <w:t> </w:t>
      </w:r>
      <w:r w:rsidR="008F6FFE" w:rsidRPr="00717D4D">
        <w:rPr>
          <w:rFonts w:asciiTheme="minorHAnsi" w:hAnsiTheme="minorHAnsi"/>
          <w:sz w:val="16"/>
          <w:szCs w:val="16"/>
        </w:rPr>
        <w:t xml:space="preserve"> et al</w:t>
      </w:r>
      <w:r w:rsidR="008F6FFE" w:rsidRPr="00717D4D">
        <w:rPr>
          <w:rFonts w:asciiTheme="minorHAnsi" w:hAnsiTheme="minorHAnsi" w:cstheme="minorHAnsi"/>
          <w:bCs/>
          <w:color w:val="000000" w:themeColor="text1"/>
          <w:sz w:val="16"/>
          <w:szCs w:val="16"/>
        </w:rPr>
        <w:t xml:space="preserve"> </w:t>
      </w:r>
    </w:p>
    <w:p w:rsidR="008F6FFE" w:rsidRPr="00A832DC" w:rsidRDefault="008F6FFE" w:rsidP="00910431">
      <w:pPr>
        <w:rPr>
          <w:rFonts w:asciiTheme="minorHAnsi" w:hAnsiTheme="minorHAnsi"/>
          <w:sz w:val="16"/>
          <w:szCs w:val="16"/>
        </w:rPr>
      </w:pPr>
      <w:r w:rsidRPr="00A832DC">
        <w:rPr>
          <w:rFonts w:asciiTheme="minorHAnsi" w:hAnsiTheme="minorHAnsi"/>
          <w:sz w:val="16"/>
          <w:szCs w:val="16"/>
        </w:rPr>
        <w:t>https://www.nejm.org/doi/full/10.1056/NEJMoa2004500</w:t>
      </w:r>
    </w:p>
    <w:p w:rsidR="008F6FFE" w:rsidRPr="00A832DC" w:rsidRDefault="008F6FFE" w:rsidP="00910431">
      <w:pPr>
        <w:pStyle w:val="Heading2"/>
        <w:shd w:val="clear" w:color="auto" w:fill="FFFFFF"/>
        <w:spacing w:before="0"/>
        <w:rPr>
          <w:rFonts w:asciiTheme="minorHAnsi" w:hAnsiTheme="minorHAnsi" w:cstheme="minorHAnsi"/>
          <w:bCs/>
          <w:color w:val="000000" w:themeColor="text1"/>
          <w:sz w:val="16"/>
          <w:szCs w:val="16"/>
        </w:rPr>
      </w:pPr>
    </w:p>
    <w:p w:rsidR="008F6FFE" w:rsidRPr="00717D4D"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N Engl J Med 2020 Apr 17;NEJMc2010419.  doi: 10.1056/NEJMc2010419. </w:t>
      </w:r>
    </w:p>
    <w:p w:rsidR="008F6FFE" w:rsidRPr="00717D4D"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Clinical Characteristics of Covid-19 in New York City</w:t>
      </w:r>
    </w:p>
    <w:p w:rsidR="008F6FFE" w:rsidRPr="00717D4D" w:rsidRDefault="0052743C" w:rsidP="00910431">
      <w:pPr>
        <w:rPr>
          <w:rFonts w:asciiTheme="minorHAnsi" w:hAnsiTheme="minorHAnsi" w:cstheme="minorHAnsi"/>
          <w:bCs/>
          <w:color w:val="000000" w:themeColor="text1"/>
          <w:sz w:val="16"/>
          <w:szCs w:val="16"/>
          <w:lang w:val="en-US"/>
        </w:rPr>
      </w:pPr>
      <w:hyperlink r:id="rId646" w:history="1">
        <w:r w:rsidR="008F6FFE" w:rsidRPr="00717D4D">
          <w:rPr>
            <w:rFonts w:asciiTheme="minorHAnsi" w:hAnsiTheme="minorHAnsi" w:cstheme="minorHAnsi"/>
            <w:bCs/>
            <w:color w:val="000000" w:themeColor="text1"/>
            <w:sz w:val="16"/>
            <w:szCs w:val="16"/>
            <w:lang w:val="en-US"/>
          </w:rPr>
          <w:t>Parag Goyal</w:t>
        </w:r>
      </w:hyperlink>
      <w:r w:rsidR="008F6FFE" w:rsidRPr="00717D4D">
        <w:rPr>
          <w:rFonts w:asciiTheme="minorHAnsi" w:hAnsiTheme="minorHAnsi" w:cstheme="minorHAnsi"/>
          <w:bCs/>
          <w:color w:val="000000" w:themeColor="text1"/>
          <w:sz w:val="16"/>
          <w:szCs w:val="16"/>
          <w:lang w:val="en-US"/>
        </w:rPr>
        <w:t xml:space="preserve"> et al </w:t>
      </w:r>
    </w:p>
    <w:p w:rsidR="008F6FFE" w:rsidRPr="00717D4D" w:rsidRDefault="0052743C" w:rsidP="00910431">
      <w:pPr>
        <w:pStyle w:val="Heading2"/>
        <w:shd w:val="clear" w:color="auto" w:fill="FFFFFF"/>
        <w:spacing w:before="0"/>
        <w:rPr>
          <w:rFonts w:asciiTheme="minorHAnsi" w:hAnsiTheme="minorHAnsi" w:cstheme="minorHAnsi"/>
          <w:bCs/>
          <w:color w:val="000000" w:themeColor="text1"/>
          <w:sz w:val="16"/>
          <w:szCs w:val="16"/>
          <w:lang w:val="en-US"/>
        </w:rPr>
      </w:pPr>
      <w:hyperlink r:id="rId647" w:history="1">
        <w:r w:rsidR="008F6FFE" w:rsidRPr="00717D4D">
          <w:rPr>
            <w:rStyle w:val="Hyperlink"/>
            <w:rFonts w:asciiTheme="minorHAnsi" w:hAnsiTheme="minorHAnsi" w:cstheme="minorHAnsi"/>
            <w:bCs/>
            <w:color w:val="000000" w:themeColor="text1"/>
            <w:sz w:val="16"/>
            <w:szCs w:val="16"/>
            <w:u w:val="none"/>
            <w:lang w:val="en-US"/>
          </w:rPr>
          <w:t>https://www.nejm.org/doi/full/10.1056/NEJMc2010419</w:t>
        </w:r>
      </w:hyperlink>
    </w:p>
    <w:p w:rsidR="008F6FFE" w:rsidRPr="00717D4D" w:rsidRDefault="008F6FFE" w:rsidP="00910431">
      <w:pPr>
        <w:rPr>
          <w:rFonts w:asciiTheme="minorHAnsi" w:hAnsiTheme="minorHAnsi"/>
          <w:sz w:val="16"/>
          <w:szCs w:val="16"/>
          <w:lang w:val="en-US"/>
        </w:rPr>
      </w:pPr>
    </w:p>
    <w:p w:rsidR="008F6FFE" w:rsidRPr="002A743A"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r w:rsidRPr="002A743A">
        <w:rPr>
          <w:rFonts w:asciiTheme="minorHAnsi" w:hAnsiTheme="minorHAnsi" w:cstheme="minorHAnsi"/>
          <w:bCs/>
          <w:color w:val="000000" w:themeColor="text1"/>
          <w:sz w:val="16"/>
          <w:szCs w:val="16"/>
          <w:lang w:val="en-US"/>
        </w:rPr>
        <w:t>JAMA 2020 Apr 22;e206775. doi: 10.1001/jama.2020.6775. </w:t>
      </w:r>
    </w:p>
    <w:p w:rsidR="008F6FFE" w:rsidRPr="00717D4D" w:rsidRDefault="008F6FFE" w:rsidP="00910431">
      <w:pPr>
        <w:pStyle w:val="Heading2"/>
        <w:shd w:val="clear" w:color="auto" w:fill="FFFFFF"/>
        <w:spacing w:before="0"/>
        <w:rPr>
          <w:rFonts w:asciiTheme="minorHAnsi" w:hAnsiTheme="minorHAnsi" w:cstheme="minorHAnsi"/>
          <w:bCs/>
          <w:color w:val="000000" w:themeColor="text1"/>
          <w:sz w:val="16"/>
          <w:szCs w:val="16"/>
          <w:lang w:val="en-US"/>
        </w:rPr>
      </w:pPr>
      <w:r w:rsidRPr="00717D4D">
        <w:rPr>
          <w:rFonts w:asciiTheme="minorHAnsi" w:hAnsiTheme="minorHAnsi" w:cstheme="minorHAnsi"/>
          <w:bCs/>
          <w:color w:val="000000" w:themeColor="text1"/>
          <w:sz w:val="16"/>
          <w:szCs w:val="16"/>
          <w:lang w:val="en-US"/>
        </w:rPr>
        <w:t>Presenting Characteristics, Comorbidities, and Outcomes Among 5700 Patients Hospitalized With COVID-19 in the New York City Area</w:t>
      </w:r>
    </w:p>
    <w:p w:rsidR="008F6FFE" w:rsidRPr="00A832DC" w:rsidRDefault="0052743C" w:rsidP="00910431">
      <w:pPr>
        <w:rPr>
          <w:rFonts w:asciiTheme="minorHAnsi" w:hAnsiTheme="minorHAnsi" w:cstheme="minorHAnsi"/>
          <w:bCs/>
          <w:color w:val="000000" w:themeColor="text1"/>
          <w:sz w:val="16"/>
          <w:szCs w:val="16"/>
          <w:lang w:val="en-US"/>
        </w:rPr>
      </w:pPr>
      <w:hyperlink r:id="rId648" w:history="1">
        <w:r w:rsidR="008F6FFE" w:rsidRPr="00717D4D">
          <w:rPr>
            <w:rFonts w:asciiTheme="minorHAnsi" w:hAnsiTheme="minorHAnsi" w:cstheme="minorHAnsi"/>
            <w:bCs/>
            <w:color w:val="000000" w:themeColor="text1"/>
            <w:sz w:val="16"/>
            <w:szCs w:val="16"/>
            <w:lang w:val="en-US"/>
          </w:rPr>
          <w:t>Safiya Richardson</w:t>
        </w:r>
      </w:hyperlink>
      <w:r w:rsidR="008F6FFE" w:rsidRPr="00717D4D">
        <w:rPr>
          <w:rFonts w:asciiTheme="minorHAnsi" w:hAnsiTheme="minorHAnsi" w:cstheme="minorHAnsi"/>
          <w:bCs/>
          <w:color w:val="000000" w:themeColor="text1"/>
          <w:sz w:val="16"/>
          <w:szCs w:val="16"/>
          <w:lang w:val="en-US"/>
        </w:rPr>
        <w:t> et al</w:t>
      </w:r>
      <w:r w:rsidR="008F6FFE" w:rsidRPr="00A832DC">
        <w:rPr>
          <w:rFonts w:asciiTheme="minorHAnsi" w:hAnsiTheme="minorHAnsi" w:cstheme="minorHAnsi"/>
          <w:bCs/>
          <w:color w:val="000000" w:themeColor="text1"/>
          <w:sz w:val="16"/>
          <w:szCs w:val="16"/>
          <w:lang w:val="en-US"/>
        </w:rPr>
        <w:t xml:space="preserve"> </w:t>
      </w:r>
    </w:p>
    <w:p w:rsidR="008F6FFE" w:rsidRPr="00A832DC" w:rsidRDefault="008F6FFE" w:rsidP="00910431">
      <w:pPr>
        <w:rPr>
          <w:rFonts w:asciiTheme="minorHAnsi" w:hAnsiTheme="minorHAnsi"/>
          <w:sz w:val="16"/>
          <w:szCs w:val="16"/>
          <w:lang w:val="en-US"/>
        </w:rPr>
      </w:pPr>
      <w:r w:rsidRPr="00A832DC">
        <w:rPr>
          <w:rFonts w:asciiTheme="minorHAnsi" w:hAnsiTheme="minorHAnsi"/>
          <w:sz w:val="16"/>
          <w:szCs w:val="16"/>
          <w:lang w:val="en-US"/>
        </w:rPr>
        <w:t>https://jamanetwork.com/journals/jama/fullarticle/2765184</w:t>
      </w:r>
    </w:p>
  </w:footnote>
  <w:footnote w:id="63">
    <w:p w:rsidR="008F6FFE" w:rsidRPr="00717D4D" w:rsidRDefault="008F6FFE" w:rsidP="00717D4D">
      <w:pPr>
        <w:rPr>
          <w:rFonts w:asciiTheme="minorHAnsi" w:hAnsiTheme="minorHAnsi" w:cstheme="minorHAnsi"/>
          <w:sz w:val="16"/>
          <w:szCs w:val="16"/>
        </w:rPr>
      </w:pPr>
      <w:r w:rsidRPr="00717D4D">
        <w:rPr>
          <w:rStyle w:val="FootnoteReference"/>
          <w:rFonts w:asciiTheme="minorHAnsi" w:hAnsiTheme="minorHAnsi" w:cstheme="minorHAnsi"/>
          <w:sz w:val="16"/>
          <w:szCs w:val="16"/>
        </w:rPr>
        <w:footnoteRef/>
      </w:r>
      <w:r w:rsidRPr="00717D4D">
        <w:rPr>
          <w:rFonts w:asciiTheme="minorHAnsi" w:hAnsiTheme="minorHAnsi" w:cstheme="minorHAnsi"/>
          <w:sz w:val="16"/>
          <w:szCs w:val="16"/>
        </w:rPr>
        <w:t xml:space="preserve"> </w:t>
      </w:r>
      <w:r w:rsidRPr="00F8503D">
        <w:rPr>
          <w:rFonts w:asciiTheme="minorHAnsi" w:hAnsiTheme="minorHAnsi" w:cstheme="minorHAnsi"/>
          <w:color w:val="C00000"/>
          <w:sz w:val="16"/>
          <w:szCs w:val="16"/>
        </w:rPr>
        <w:t>vedi letteratura allegata all’articolo riportata in apice nel testo tra parentesi quadre</w:t>
      </w:r>
    </w:p>
    <w:p w:rsidR="008F6FFE" w:rsidRPr="00CF78B5" w:rsidRDefault="0052743C" w:rsidP="00717D4D">
      <w:pPr>
        <w:rPr>
          <w:rFonts w:asciiTheme="minorHAnsi" w:hAnsiTheme="minorHAnsi" w:cstheme="minorHAnsi"/>
          <w:color w:val="000000" w:themeColor="text1"/>
          <w:sz w:val="16"/>
          <w:szCs w:val="16"/>
          <w:lang w:val="en-US"/>
        </w:rPr>
      </w:pPr>
      <w:hyperlink r:id="rId649" w:tooltip="Clinical immunology (Orlando, Fla.)." w:history="1">
        <w:r w:rsidR="008F6FFE" w:rsidRPr="00CF78B5">
          <w:rPr>
            <w:rStyle w:val="Hyperlink"/>
            <w:rFonts w:asciiTheme="minorHAnsi" w:eastAsiaTheme="majorEastAsia" w:hAnsiTheme="minorHAnsi" w:cstheme="minorHAnsi"/>
            <w:color w:val="000000" w:themeColor="text1"/>
            <w:sz w:val="16"/>
            <w:szCs w:val="16"/>
            <w:u w:val="none"/>
            <w:lang w:val="en-US"/>
          </w:rPr>
          <w:t>Clin Immunol.</w:t>
        </w:r>
      </w:hyperlink>
      <w:r w:rsidR="008F6FFE" w:rsidRPr="00CF78B5">
        <w:rPr>
          <w:rFonts w:asciiTheme="minorHAnsi" w:hAnsiTheme="minorHAnsi" w:cstheme="minorHAnsi"/>
          <w:color w:val="000000" w:themeColor="text1"/>
          <w:sz w:val="16"/>
          <w:szCs w:val="16"/>
          <w:lang w:val="en-US"/>
        </w:rPr>
        <w:t xml:space="preserve"> 2020 Apr 27;215:108448. doi: 10.1016/j.clim.2020.108448. </w:t>
      </w:r>
    </w:p>
    <w:p w:rsidR="008F6FFE" w:rsidRPr="00CF78B5" w:rsidRDefault="008F6FFE" w:rsidP="00717D4D">
      <w:pPr>
        <w:rPr>
          <w:rFonts w:asciiTheme="minorHAnsi" w:hAnsiTheme="minorHAnsi" w:cstheme="minorHAnsi"/>
          <w:color w:val="000000" w:themeColor="text1"/>
          <w:sz w:val="16"/>
          <w:szCs w:val="16"/>
          <w:lang w:val="en-US"/>
        </w:rPr>
      </w:pPr>
      <w:r w:rsidRPr="00CF78B5">
        <w:rPr>
          <w:rFonts w:asciiTheme="minorHAnsi" w:hAnsiTheme="minorHAnsi" w:cstheme="minorHAnsi"/>
          <w:color w:val="000000" w:themeColor="text1"/>
          <w:sz w:val="16"/>
          <w:szCs w:val="16"/>
          <w:lang w:val="en-US"/>
        </w:rPr>
        <w:t>COVID-19: Immunology and treatment options.</w:t>
      </w:r>
    </w:p>
    <w:p w:rsidR="008F6FFE" w:rsidRPr="00235A16" w:rsidRDefault="0052743C" w:rsidP="00717D4D">
      <w:pPr>
        <w:rPr>
          <w:rFonts w:asciiTheme="minorHAnsi" w:hAnsiTheme="minorHAnsi" w:cstheme="minorHAnsi"/>
          <w:color w:val="000000" w:themeColor="text1"/>
          <w:sz w:val="16"/>
          <w:szCs w:val="16"/>
          <w:lang w:val="de-DE"/>
        </w:rPr>
      </w:pPr>
      <w:hyperlink r:id="rId650" w:history="1">
        <w:r w:rsidR="008F6FFE" w:rsidRPr="00235A16">
          <w:rPr>
            <w:rStyle w:val="Hyperlink"/>
            <w:rFonts w:asciiTheme="minorHAnsi" w:eastAsiaTheme="majorEastAsia" w:hAnsiTheme="minorHAnsi" w:cstheme="minorHAnsi"/>
            <w:color w:val="000000" w:themeColor="text1"/>
            <w:sz w:val="16"/>
            <w:szCs w:val="16"/>
            <w:u w:val="none"/>
            <w:lang w:val="de-DE"/>
          </w:rPr>
          <w:t>Felsenstein S</w:t>
        </w:r>
      </w:hyperlink>
      <w:r w:rsidR="008F6FFE" w:rsidRPr="00235A16">
        <w:rPr>
          <w:rFonts w:asciiTheme="minorHAnsi" w:hAnsiTheme="minorHAnsi" w:cstheme="minorHAnsi"/>
          <w:color w:val="000000" w:themeColor="text1"/>
          <w:sz w:val="16"/>
          <w:szCs w:val="16"/>
          <w:lang w:val="de-DE"/>
        </w:rPr>
        <w:t>1, </w:t>
      </w:r>
      <w:hyperlink r:id="rId651" w:history="1">
        <w:r w:rsidR="008F6FFE" w:rsidRPr="00235A16">
          <w:rPr>
            <w:rStyle w:val="Hyperlink"/>
            <w:rFonts w:asciiTheme="minorHAnsi" w:eastAsiaTheme="majorEastAsia" w:hAnsiTheme="minorHAnsi" w:cstheme="minorHAnsi"/>
            <w:color w:val="000000" w:themeColor="text1"/>
            <w:sz w:val="16"/>
            <w:szCs w:val="16"/>
            <w:u w:val="none"/>
            <w:lang w:val="de-DE"/>
          </w:rPr>
          <w:t>Herbert JA</w:t>
        </w:r>
      </w:hyperlink>
      <w:r w:rsidR="008F6FFE" w:rsidRPr="00235A16">
        <w:rPr>
          <w:rFonts w:asciiTheme="minorHAnsi" w:hAnsiTheme="minorHAnsi" w:cstheme="minorHAnsi"/>
          <w:color w:val="000000" w:themeColor="text1"/>
          <w:sz w:val="16"/>
          <w:szCs w:val="16"/>
          <w:lang w:val="de-DE"/>
        </w:rPr>
        <w:t>2, </w:t>
      </w:r>
      <w:hyperlink r:id="rId652" w:history="1">
        <w:r w:rsidR="008F6FFE" w:rsidRPr="00235A16">
          <w:rPr>
            <w:rStyle w:val="Hyperlink"/>
            <w:rFonts w:asciiTheme="minorHAnsi" w:eastAsiaTheme="majorEastAsia" w:hAnsiTheme="minorHAnsi" w:cstheme="minorHAnsi"/>
            <w:color w:val="000000" w:themeColor="text1"/>
            <w:sz w:val="16"/>
            <w:szCs w:val="16"/>
            <w:u w:val="none"/>
            <w:lang w:val="de-DE"/>
          </w:rPr>
          <w:t>McNamara PS</w:t>
        </w:r>
      </w:hyperlink>
      <w:r w:rsidR="008F6FFE" w:rsidRPr="00235A16">
        <w:rPr>
          <w:rFonts w:asciiTheme="minorHAnsi" w:hAnsiTheme="minorHAnsi" w:cstheme="minorHAnsi"/>
          <w:color w:val="000000" w:themeColor="text1"/>
          <w:sz w:val="16"/>
          <w:szCs w:val="16"/>
          <w:lang w:val="de-DE"/>
        </w:rPr>
        <w:t>2, </w:t>
      </w:r>
      <w:hyperlink r:id="rId653" w:history="1">
        <w:r w:rsidR="008F6FFE" w:rsidRPr="00235A16">
          <w:rPr>
            <w:rStyle w:val="Hyperlink"/>
            <w:rFonts w:asciiTheme="minorHAnsi" w:eastAsiaTheme="majorEastAsia" w:hAnsiTheme="minorHAnsi" w:cstheme="minorHAnsi"/>
            <w:color w:val="000000" w:themeColor="text1"/>
            <w:sz w:val="16"/>
            <w:szCs w:val="16"/>
            <w:u w:val="none"/>
            <w:lang w:val="de-DE"/>
          </w:rPr>
          <w:t>Hedrich CM</w:t>
        </w:r>
      </w:hyperlink>
      <w:r w:rsidR="008F6FFE" w:rsidRPr="00235A16">
        <w:rPr>
          <w:rFonts w:asciiTheme="minorHAnsi" w:hAnsiTheme="minorHAnsi" w:cstheme="minorHAnsi"/>
          <w:color w:val="000000" w:themeColor="text1"/>
          <w:sz w:val="16"/>
          <w:szCs w:val="16"/>
          <w:lang w:val="de-DE"/>
        </w:rPr>
        <w:t>3.</w:t>
      </w:r>
    </w:p>
    <w:p w:rsidR="008F6FFE" w:rsidRPr="00235A16" w:rsidRDefault="0052743C" w:rsidP="00717D4D">
      <w:pPr>
        <w:rPr>
          <w:rFonts w:asciiTheme="minorHAnsi" w:hAnsiTheme="minorHAnsi" w:cstheme="minorHAnsi"/>
          <w:color w:val="000000" w:themeColor="text1"/>
          <w:sz w:val="16"/>
          <w:szCs w:val="16"/>
          <w:lang w:val="de-DE"/>
        </w:rPr>
      </w:pPr>
      <w:hyperlink r:id="rId654" w:history="1">
        <w:r w:rsidR="008F6FFE" w:rsidRPr="00235A16">
          <w:rPr>
            <w:rStyle w:val="Hyperlink"/>
            <w:rFonts w:asciiTheme="minorHAnsi" w:eastAsiaTheme="majorEastAsia" w:hAnsiTheme="minorHAnsi" w:cstheme="minorHAnsi"/>
            <w:color w:val="000000" w:themeColor="text1"/>
            <w:sz w:val="16"/>
            <w:szCs w:val="16"/>
            <w:u w:val="none"/>
            <w:lang w:val="de-DE"/>
          </w:rPr>
          <w:t>https://www.ncbi.nlm.nih.gov/pmc/articles/PMC7185015/pdf/main.pdf</w:t>
        </w:r>
      </w:hyperlink>
    </w:p>
    <w:p w:rsidR="008F6FFE" w:rsidRPr="00235A16" w:rsidRDefault="008F6FFE" w:rsidP="00717D4D">
      <w:pPr>
        <w:rPr>
          <w:rFonts w:asciiTheme="minorHAnsi" w:hAnsiTheme="minorHAnsi"/>
          <w:sz w:val="16"/>
          <w:szCs w:val="16"/>
          <w:lang w:val="de-DE"/>
        </w:rPr>
      </w:pPr>
    </w:p>
  </w:footnote>
  <w:footnote w:id="64">
    <w:p w:rsidR="008F6FFE" w:rsidRPr="00FA400D" w:rsidRDefault="008F6FFE" w:rsidP="00717D4D">
      <w:pPr>
        <w:rPr>
          <w:rStyle w:val="labs-docsum-journal-citation"/>
          <w:rFonts w:asciiTheme="minorHAnsi" w:hAnsiTheme="minorHAnsi" w:cstheme="minorHAnsi"/>
          <w:color w:val="000000" w:themeColor="text1"/>
          <w:sz w:val="16"/>
          <w:szCs w:val="16"/>
          <w:lang w:val="en-US"/>
        </w:rPr>
      </w:pPr>
      <w:r w:rsidRPr="00FA400D">
        <w:rPr>
          <w:rStyle w:val="FootnoteReference"/>
          <w:rFonts w:asciiTheme="minorHAnsi" w:hAnsiTheme="minorHAnsi" w:cstheme="minorHAnsi"/>
          <w:color w:val="000000" w:themeColor="text1"/>
          <w:sz w:val="16"/>
          <w:szCs w:val="16"/>
        </w:rPr>
        <w:footnoteRef/>
      </w:r>
      <w:r w:rsidRPr="00FA400D">
        <w:rPr>
          <w:rFonts w:asciiTheme="minorHAnsi" w:hAnsiTheme="minorHAnsi" w:cstheme="minorHAnsi"/>
          <w:color w:val="000000" w:themeColor="text1"/>
          <w:sz w:val="16"/>
          <w:szCs w:val="16"/>
          <w:lang w:val="en-US"/>
        </w:rPr>
        <w:t xml:space="preserve"> </w:t>
      </w:r>
      <w:r w:rsidRPr="00FA400D">
        <w:rPr>
          <w:rStyle w:val="labs-docsum-journal-citation"/>
          <w:rFonts w:asciiTheme="minorHAnsi" w:hAnsiTheme="minorHAnsi" w:cstheme="minorHAnsi"/>
          <w:color w:val="000000" w:themeColor="text1"/>
          <w:sz w:val="16"/>
          <w:szCs w:val="16"/>
          <w:lang w:val="en-US"/>
        </w:rPr>
        <w:t>Viruses. 2019 Jan 14;11(1):59. doi: 10.3390/v11010059.</w:t>
      </w:r>
    </w:p>
    <w:p w:rsidR="008F6FFE" w:rsidRPr="00FA400D" w:rsidRDefault="0052743C" w:rsidP="00717D4D">
      <w:pPr>
        <w:rPr>
          <w:rFonts w:asciiTheme="minorHAnsi" w:hAnsiTheme="minorHAnsi" w:cstheme="minorHAnsi"/>
          <w:color w:val="000000" w:themeColor="text1"/>
          <w:sz w:val="16"/>
          <w:szCs w:val="16"/>
          <w:lang w:val="en-US"/>
        </w:rPr>
      </w:pPr>
      <w:hyperlink r:id="rId655" w:history="1">
        <w:r w:rsidR="008F6FFE" w:rsidRPr="00FA400D">
          <w:rPr>
            <w:rStyle w:val="Hyperlink"/>
            <w:rFonts w:asciiTheme="minorHAnsi" w:eastAsiaTheme="majorEastAsia" w:hAnsiTheme="minorHAnsi" w:cstheme="minorHAnsi"/>
            <w:color w:val="000000" w:themeColor="text1"/>
            <w:sz w:val="16"/>
            <w:szCs w:val="16"/>
            <w:u w:val="none"/>
            <w:shd w:val="clear" w:color="auto" w:fill="FFFFFF"/>
            <w:lang w:val="en-US"/>
          </w:rPr>
          <w:t>From </w:t>
        </w:r>
        <w:r w:rsidR="008F6FFE" w:rsidRPr="00FA400D">
          <w:rPr>
            <w:rStyle w:val="Hyperlink"/>
            <w:rFonts w:asciiTheme="minorHAnsi" w:eastAsiaTheme="majorEastAsia" w:hAnsiTheme="minorHAnsi" w:cstheme="minorHAnsi"/>
            <w:bCs/>
            <w:color w:val="000000" w:themeColor="text1"/>
            <w:sz w:val="16"/>
            <w:szCs w:val="16"/>
            <w:u w:val="none"/>
            <w:shd w:val="clear" w:color="auto" w:fill="FFFFFF"/>
            <w:lang w:val="en-US"/>
          </w:rPr>
          <w:t>SARS</w:t>
        </w:r>
        <w:r w:rsidR="008F6FFE" w:rsidRPr="00FA400D">
          <w:rPr>
            <w:rStyle w:val="Hyperlink"/>
            <w:rFonts w:asciiTheme="minorHAnsi" w:eastAsiaTheme="majorEastAsia" w:hAnsiTheme="minorHAnsi" w:cstheme="minorHAnsi"/>
            <w:color w:val="000000" w:themeColor="text1"/>
            <w:sz w:val="16"/>
            <w:szCs w:val="16"/>
            <w:u w:val="none"/>
            <w:shd w:val="clear" w:color="auto" w:fill="FFFFFF"/>
            <w:lang w:val="en-US"/>
          </w:rPr>
          <w:t> to </w:t>
        </w:r>
        <w:r w:rsidR="008F6FFE" w:rsidRPr="00FA400D">
          <w:rPr>
            <w:rStyle w:val="Hyperlink"/>
            <w:rFonts w:asciiTheme="minorHAnsi" w:eastAsiaTheme="majorEastAsia" w:hAnsiTheme="minorHAnsi" w:cstheme="minorHAnsi"/>
            <w:bCs/>
            <w:color w:val="000000" w:themeColor="text1"/>
            <w:sz w:val="16"/>
            <w:szCs w:val="16"/>
            <w:u w:val="none"/>
            <w:shd w:val="clear" w:color="auto" w:fill="FFFFFF"/>
            <w:lang w:val="en-US"/>
          </w:rPr>
          <w:t>MERS</w:t>
        </w:r>
        <w:r w:rsidR="008F6FFE" w:rsidRPr="00FA400D">
          <w:rPr>
            <w:rStyle w:val="Hyperlink"/>
            <w:rFonts w:asciiTheme="minorHAnsi" w:eastAsiaTheme="majorEastAsia" w:hAnsiTheme="minorHAnsi" w:cstheme="minorHAnsi"/>
            <w:color w:val="000000" w:themeColor="text1"/>
            <w:sz w:val="16"/>
            <w:szCs w:val="16"/>
            <w:u w:val="none"/>
            <w:shd w:val="clear" w:color="auto" w:fill="FFFFFF"/>
            <w:lang w:val="en-US"/>
          </w:rPr>
          <w:t>, </w:t>
        </w:r>
        <w:r w:rsidR="008F6FFE" w:rsidRPr="00FA400D">
          <w:rPr>
            <w:rStyle w:val="Hyperlink"/>
            <w:rFonts w:asciiTheme="minorHAnsi" w:eastAsiaTheme="majorEastAsia" w:hAnsiTheme="minorHAnsi" w:cstheme="minorHAnsi"/>
            <w:bCs/>
            <w:color w:val="000000" w:themeColor="text1"/>
            <w:sz w:val="16"/>
            <w:szCs w:val="16"/>
            <w:u w:val="none"/>
            <w:shd w:val="clear" w:color="auto" w:fill="FFFFFF"/>
            <w:lang w:val="en-US"/>
          </w:rPr>
          <w:t>Thrusting</w:t>
        </w:r>
        <w:r w:rsidR="008F6FFE" w:rsidRPr="00FA400D">
          <w:rPr>
            <w:rStyle w:val="Hyperlink"/>
            <w:rFonts w:asciiTheme="minorHAnsi" w:eastAsiaTheme="majorEastAsia" w:hAnsiTheme="minorHAnsi" w:cstheme="minorHAnsi"/>
            <w:color w:val="000000" w:themeColor="text1"/>
            <w:sz w:val="16"/>
            <w:szCs w:val="16"/>
            <w:u w:val="none"/>
            <w:shd w:val="clear" w:color="auto" w:fill="FFFFFF"/>
            <w:lang w:val="en-US"/>
          </w:rPr>
          <w:t> </w:t>
        </w:r>
        <w:r w:rsidR="008F6FFE" w:rsidRPr="00FA400D">
          <w:rPr>
            <w:rStyle w:val="Hyperlink"/>
            <w:rFonts w:asciiTheme="minorHAnsi" w:eastAsiaTheme="majorEastAsia" w:hAnsiTheme="minorHAnsi" w:cstheme="minorHAnsi"/>
            <w:bCs/>
            <w:color w:val="000000" w:themeColor="text1"/>
            <w:sz w:val="16"/>
            <w:szCs w:val="16"/>
            <w:u w:val="none"/>
            <w:shd w:val="clear" w:color="auto" w:fill="FFFFFF"/>
            <w:lang w:val="en-US"/>
          </w:rPr>
          <w:t>Coronaviruses</w:t>
        </w:r>
        <w:r w:rsidR="008F6FFE" w:rsidRPr="00FA400D">
          <w:rPr>
            <w:rStyle w:val="Hyperlink"/>
            <w:rFonts w:asciiTheme="minorHAnsi" w:eastAsiaTheme="majorEastAsia" w:hAnsiTheme="minorHAnsi" w:cstheme="minorHAnsi"/>
            <w:color w:val="000000" w:themeColor="text1"/>
            <w:sz w:val="16"/>
            <w:szCs w:val="16"/>
            <w:u w:val="none"/>
            <w:shd w:val="clear" w:color="auto" w:fill="FFFFFF"/>
            <w:lang w:val="en-US"/>
          </w:rPr>
          <w:t> into the </w:t>
        </w:r>
        <w:r w:rsidR="008F6FFE" w:rsidRPr="00FA400D">
          <w:rPr>
            <w:rStyle w:val="Hyperlink"/>
            <w:rFonts w:asciiTheme="minorHAnsi" w:eastAsiaTheme="majorEastAsia" w:hAnsiTheme="minorHAnsi" w:cstheme="minorHAnsi"/>
            <w:bCs/>
            <w:color w:val="000000" w:themeColor="text1"/>
            <w:sz w:val="16"/>
            <w:szCs w:val="16"/>
            <w:u w:val="none"/>
            <w:shd w:val="clear" w:color="auto" w:fill="FFFFFF"/>
            <w:lang w:val="en-US"/>
          </w:rPr>
          <w:t>Spotlight</w:t>
        </w:r>
        <w:r w:rsidR="008F6FFE" w:rsidRPr="00FA400D">
          <w:rPr>
            <w:rStyle w:val="Hyperlink"/>
            <w:rFonts w:asciiTheme="minorHAnsi" w:eastAsiaTheme="majorEastAsia" w:hAnsiTheme="minorHAnsi" w:cstheme="minorHAnsi"/>
            <w:color w:val="000000" w:themeColor="text1"/>
            <w:sz w:val="16"/>
            <w:szCs w:val="16"/>
            <w:u w:val="none"/>
            <w:shd w:val="clear" w:color="auto" w:fill="FFFFFF"/>
            <w:lang w:val="en-US"/>
          </w:rPr>
          <w:t>.</w:t>
        </w:r>
      </w:hyperlink>
    </w:p>
    <w:p w:rsidR="008F6FFE" w:rsidRPr="00FA400D" w:rsidRDefault="008F6FFE" w:rsidP="00717D4D">
      <w:pPr>
        <w:shd w:val="clear" w:color="auto" w:fill="FFFFFF"/>
        <w:rPr>
          <w:rStyle w:val="labs-docsum-authors"/>
          <w:rFonts w:asciiTheme="minorHAnsi" w:eastAsiaTheme="majorEastAsia" w:hAnsiTheme="minorHAnsi" w:cstheme="minorHAnsi"/>
          <w:color w:val="000000" w:themeColor="text1"/>
          <w:sz w:val="16"/>
          <w:szCs w:val="16"/>
          <w:lang w:val="en-US"/>
        </w:rPr>
      </w:pPr>
      <w:r w:rsidRPr="00FA400D">
        <w:rPr>
          <w:rStyle w:val="labs-docsum-authors"/>
          <w:rFonts w:asciiTheme="minorHAnsi" w:eastAsiaTheme="majorEastAsia" w:hAnsiTheme="minorHAnsi" w:cstheme="minorHAnsi"/>
          <w:color w:val="000000" w:themeColor="text1"/>
          <w:sz w:val="16"/>
          <w:szCs w:val="16"/>
          <w:lang w:val="en-US"/>
        </w:rPr>
        <w:t>Song Z, Xu Y, Bao L, Zhang L, Yu P, Qu Y, Zhu H, Zhao W, Han Y, Qin C.</w:t>
      </w:r>
    </w:p>
    <w:p w:rsidR="008F6FFE" w:rsidRPr="00FA400D" w:rsidRDefault="0052743C" w:rsidP="00FA400D">
      <w:pPr>
        <w:rPr>
          <w:rFonts w:asciiTheme="minorHAnsi" w:hAnsiTheme="minorHAnsi" w:cstheme="minorHAnsi"/>
          <w:color w:val="000000" w:themeColor="text1"/>
          <w:sz w:val="16"/>
          <w:szCs w:val="16"/>
          <w:lang w:val="en-US"/>
        </w:rPr>
      </w:pPr>
      <w:hyperlink r:id="rId656" w:history="1">
        <w:r w:rsidR="008F6FFE" w:rsidRPr="00FA400D">
          <w:rPr>
            <w:rStyle w:val="Hyperlink"/>
            <w:rFonts w:asciiTheme="minorHAnsi" w:eastAsiaTheme="majorEastAsia" w:hAnsiTheme="minorHAnsi" w:cstheme="minorHAnsi"/>
            <w:color w:val="000000" w:themeColor="text1"/>
            <w:sz w:val="16"/>
            <w:szCs w:val="16"/>
            <w:u w:val="none"/>
            <w:lang w:val="en-US"/>
          </w:rPr>
          <w:t>https://www.ncbi.nlm.nih.gov/pmc/articles/PMC6357155/pdf/viruses-11-00059.pdf</w:t>
        </w:r>
      </w:hyperlink>
    </w:p>
    <w:p w:rsidR="008F6FFE" w:rsidRPr="00FA400D" w:rsidRDefault="008F6FFE" w:rsidP="00717D4D">
      <w:pPr>
        <w:shd w:val="clear" w:color="auto" w:fill="FFFFFF"/>
        <w:rPr>
          <w:rFonts w:asciiTheme="minorHAnsi" w:hAnsiTheme="minorHAnsi" w:cstheme="minorHAnsi"/>
          <w:color w:val="000000" w:themeColor="text1"/>
          <w:sz w:val="16"/>
          <w:szCs w:val="16"/>
          <w:lang w:val="en-US"/>
        </w:rPr>
      </w:pPr>
    </w:p>
  </w:footnote>
  <w:footnote w:id="65">
    <w:p w:rsidR="008F6FFE" w:rsidRPr="00FA400D" w:rsidRDefault="008F6FFE" w:rsidP="00717D4D">
      <w:pPr>
        <w:rPr>
          <w:rStyle w:val="labs-docsum-journal-citation"/>
          <w:rFonts w:asciiTheme="minorHAnsi" w:hAnsiTheme="minorHAnsi" w:cstheme="minorHAnsi"/>
          <w:color w:val="000000" w:themeColor="text1"/>
          <w:sz w:val="16"/>
          <w:szCs w:val="16"/>
          <w:lang w:val="en-US"/>
        </w:rPr>
      </w:pPr>
      <w:r w:rsidRPr="00FA400D">
        <w:rPr>
          <w:rStyle w:val="FootnoteReference"/>
          <w:rFonts w:asciiTheme="minorHAnsi" w:hAnsiTheme="minorHAnsi" w:cstheme="minorHAnsi"/>
          <w:color w:val="000000" w:themeColor="text1"/>
          <w:sz w:val="16"/>
          <w:szCs w:val="16"/>
        </w:rPr>
        <w:footnoteRef/>
      </w:r>
      <w:r w:rsidRPr="00FA400D">
        <w:rPr>
          <w:rFonts w:asciiTheme="minorHAnsi" w:hAnsiTheme="minorHAnsi" w:cstheme="minorHAnsi"/>
          <w:color w:val="000000" w:themeColor="text1"/>
          <w:sz w:val="16"/>
          <w:szCs w:val="16"/>
          <w:lang w:val="en-US"/>
        </w:rPr>
        <w:t xml:space="preserve"> </w:t>
      </w:r>
      <w:r w:rsidRPr="00FA400D">
        <w:rPr>
          <w:rStyle w:val="labs-docsum-journal-citation"/>
          <w:rFonts w:asciiTheme="minorHAnsi" w:hAnsiTheme="minorHAnsi" w:cstheme="minorHAnsi"/>
          <w:color w:val="000000" w:themeColor="text1"/>
          <w:sz w:val="16"/>
          <w:szCs w:val="16"/>
          <w:lang w:val="en-US"/>
        </w:rPr>
        <w:t>J Clin Microbiol. 2008 Jul;46(7):2368-73. doi: 10.1128/JCM.00533-08</w:t>
      </w:r>
    </w:p>
    <w:p w:rsidR="008F6FFE" w:rsidRPr="00FA400D" w:rsidRDefault="0052743C" w:rsidP="00717D4D">
      <w:pPr>
        <w:rPr>
          <w:rStyle w:val="labs-docsum-journal-citation"/>
          <w:rFonts w:asciiTheme="minorHAnsi" w:hAnsiTheme="minorHAnsi" w:cstheme="minorHAnsi"/>
          <w:color w:val="000000" w:themeColor="text1"/>
          <w:sz w:val="16"/>
          <w:szCs w:val="16"/>
          <w:lang w:val="en-US"/>
        </w:rPr>
      </w:pPr>
      <w:hyperlink r:id="rId657" w:history="1">
        <w:r w:rsidR="008F6FFE" w:rsidRPr="00FA400D">
          <w:rPr>
            <w:rStyle w:val="labs-docsum-journal-citation"/>
            <w:rFonts w:asciiTheme="minorHAnsi" w:hAnsiTheme="minorHAnsi" w:cstheme="minorHAnsi"/>
            <w:color w:val="000000" w:themeColor="text1"/>
            <w:sz w:val="16"/>
            <w:szCs w:val="16"/>
            <w:lang w:val="en-US"/>
          </w:rPr>
          <w:t>Human coronavirus NL63 and 229E seroconversion in children.</w:t>
        </w:r>
      </w:hyperlink>
    </w:p>
    <w:p w:rsidR="008F6FFE" w:rsidRPr="00FA400D" w:rsidRDefault="008F6FFE" w:rsidP="00717D4D">
      <w:pPr>
        <w:rPr>
          <w:rStyle w:val="labs-docsum-journal-citation"/>
          <w:rFonts w:asciiTheme="minorHAnsi" w:hAnsiTheme="minorHAnsi" w:cstheme="minorHAnsi"/>
          <w:color w:val="000000" w:themeColor="text1"/>
          <w:sz w:val="16"/>
          <w:szCs w:val="16"/>
          <w:lang w:val="en-US"/>
        </w:rPr>
      </w:pPr>
      <w:r w:rsidRPr="00FA400D">
        <w:rPr>
          <w:rStyle w:val="labs-docsum-journal-citation"/>
          <w:rFonts w:asciiTheme="minorHAnsi" w:hAnsiTheme="minorHAnsi" w:cstheme="minorHAnsi"/>
          <w:color w:val="000000" w:themeColor="text1"/>
          <w:sz w:val="16"/>
          <w:szCs w:val="16"/>
          <w:lang w:val="en-US"/>
        </w:rPr>
        <w:t>Dijkman R, Jebbink MF, El Idrissi NB, Pyrc K, Müller MA, Kuijpers TW, Zaaijer HL, van der Hoek L.</w:t>
      </w:r>
    </w:p>
    <w:p w:rsidR="008F6FFE" w:rsidRPr="00FA400D" w:rsidRDefault="0052743C" w:rsidP="00FA400D">
      <w:pPr>
        <w:rPr>
          <w:rFonts w:asciiTheme="minorHAnsi" w:hAnsiTheme="minorHAnsi" w:cstheme="minorHAnsi"/>
          <w:color w:val="000000" w:themeColor="text1"/>
          <w:sz w:val="16"/>
          <w:szCs w:val="16"/>
          <w:lang w:val="en-US"/>
        </w:rPr>
      </w:pPr>
      <w:hyperlink r:id="rId658" w:history="1">
        <w:r w:rsidR="008F6FFE" w:rsidRPr="00FA400D">
          <w:rPr>
            <w:rFonts w:asciiTheme="minorHAnsi" w:hAnsiTheme="minorHAnsi" w:cstheme="minorHAnsi"/>
            <w:color w:val="000000" w:themeColor="text1"/>
            <w:sz w:val="16"/>
            <w:szCs w:val="16"/>
            <w:lang w:val="en-US"/>
          </w:rPr>
          <w:t>https://www.ncbi.nlm.nih.gov/pmc/articles/PMC2446899/pdf/0533-08.pdf</w:t>
        </w:r>
      </w:hyperlink>
    </w:p>
    <w:p w:rsidR="008F6FFE" w:rsidRPr="00FA400D" w:rsidRDefault="008F6FFE" w:rsidP="00717D4D">
      <w:pPr>
        <w:pStyle w:val="FootnoteText"/>
        <w:rPr>
          <w:rFonts w:asciiTheme="minorHAnsi" w:hAnsiTheme="minorHAnsi" w:cstheme="minorHAnsi"/>
          <w:color w:val="000000" w:themeColor="text1"/>
          <w:sz w:val="16"/>
          <w:szCs w:val="16"/>
          <w:lang w:val="en-US"/>
        </w:rPr>
      </w:pPr>
    </w:p>
  </w:footnote>
  <w:footnote w:id="66">
    <w:p w:rsidR="008F6FFE" w:rsidRPr="00FA400D" w:rsidRDefault="008F6FFE" w:rsidP="00717D4D">
      <w:pPr>
        <w:rPr>
          <w:rStyle w:val="labs-docsum-journal-citation"/>
          <w:rFonts w:asciiTheme="minorHAnsi" w:hAnsiTheme="minorHAnsi" w:cstheme="minorHAnsi"/>
          <w:color w:val="000000" w:themeColor="text1"/>
          <w:sz w:val="16"/>
          <w:szCs w:val="16"/>
          <w:lang w:val="en-US"/>
        </w:rPr>
      </w:pPr>
      <w:r w:rsidRPr="00FA400D">
        <w:rPr>
          <w:rStyle w:val="FootnoteReference"/>
          <w:rFonts w:asciiTheme="minorHAnsi" w:hAnsiTheme="minorHAnsi" w:cstheme="minorHAnsi"/>
          <w:color w:val="000000" w:themeColor="text1"/>
          <w:sz w:val="16"/>
          <w:szCs w:val="16"/>
        </w:rPr>
        <w:footnoteRef/>
      </w:r>
      <w:r w:rsidRPr="00FA400D">
        <w:rPr>
          <w:rFonts w:asciiTheme="minorHAnsi" w:hAnsiTheme="minorHAnsi" w:cstheme="minorHAnsi"/>
          <w:color w:val="000000" w:themeColor="text1"/>
          <w:sz w:val="16"/>
          <w:szCs w:val="16"/>
          <w:lang w:val="en-US"/>
        </w:rPr>
        <w:t xml:space="preserve"> </w:t>
      </w:r>
      <w:r w:rsidRPr="00FA400D">
        <w:rPr>
          <w:rStyle w:val="labs-docsum-journal-citation"/>
          <w:rFonts w:asciiTheme="minorHAnsi" w:hAnsiTheme="minorHAnsi" w:cstheme="minorHAnsi"/>
          <w:color w:val="000000" w:themeColor="text1"/>
          <w:sz w:val="16"/>
          <w:szCs w:val="16"/>
          <w:lang w:val="en-US"/>
        </w:rPr>
        <w:t>Clin Virol. 2012 Feb;53(2):135-9. doi: 10.1016/j.jcv.2011.11.011</w:t>
      </w:r>
    </w:p>
    <w:p w:rsidR="008F6FFE" w:rsidRPr="00FA400D" w:rsidRDefault="0052743C" w:rsidP="00717D4D">
      <w:pPr>
        <w:rPr>
          <w:rStyle w:val="labs-docsum-journal-citation"/>
          <w:rFonts w:asciiTheme="minorHAnsi" w:hAnsiTheme="minorHAnsi" w:cstheme="minorHAnsi"/>
          <w:color w:val="000000" w:themeColor="text1"/>
          <w:sz w:val="16"/>
          <w:szCs w:val="16"/>
          <w:lang w:val="en-US"/>
        </w:rPr>
      </w:pPr>
      <w:hyperlink r:id="rId659" w:history="1">
        <w:r w:rsidR="008F6FFE" w:rsidRPr="00FA400D">
          <w:rPr>
            <w:rStyle w:val="labs-docsum-journal-citation"/>
            <w:rFonts w:asciiTheme="minorHAnsi" w:hAnsiTheme="minorHAnsi" w:cstheme="minorHAnsi"/>
            <w:color w:val="000000" w:themeColor="text1"/>
            <w:sz w:val="16"/>
            <w:szCs w:val="16"/>
            <w:lang w:val="en-US"/>
          </w:rPr>
          <w:t>The dominance of human coronavirus OC43 and NL63 infections in infants.</w:t>
        </w:r>
      </w:hyperlink>
    </w:p>
    <w:p w:rsidR="008F6FFE" w:rsidRPr="00FA400D" w:rsidRDefault="008F6FFE" w:rsidP="00717D4D">
      <w:pPr>
        <w:rPr>
          <w:rStyle w:val="labs-docsum-journal-citation"/>
          <w:rFonts w:asciiTheme="minorHAnsi" w:hAnsiTheme="minorHAnsi" w:cstheme="minorHAnsi"/>
          <w:color w:val="000000" w:themeColor="text1"/>
          <w:sz w:val="16"/>
          <w:szCs w:val="16"/>
          <w:lang w:val="en-US"/>
        </w:rPr>
      </w:pPr>
      <w:r w:rsidRPr="00FA400D">
        <w:rPr>
          <w:rStyle w:val="labs-docsum-journal-citation"/>
          <w:rFonts w:asciiTheme="minorHAnsi" w:hAnsiTheme="minorHAnsi" w:cstheme="minorHAnsi"/>
          <w:color w:val="000000" w:themeColor="text1"/>
          <w:sz w:val="16"/>
          <w:szCs w:val="16"/>
          <w:lang w:val="en-US"/>
        </w:rPr>
        <w:t xml:space="preserve">Dijkman R, Jebbink MF, Gaunt E, Rossen JW, Templeton KE, Kuijpers TW, van der Hoek L.J </w:t>
      </w:r>
    </w:p>
    <w:p w:rsidR="008F6FFE" w:rsidRPr="00FA400D" w:rsidRDefault="0052743C" w:rsidP="00717D4D">
      <w:pPr>
        <w:pStyle w:val="FootnoteText"/>
        <w:rPr>
          <w:rFonts w:asciiTheme="minorHAnsi" w:hAnsiTheme="minorHAnsi" w:cstheme="minorHAnsi"/>
          <w:color w:val="000000" w:themeColor="text1"/>
          <w:sz w:val="16"/>
          <w:szCs w:val="16"/>
          <w:lang w:val="en-US"/>
        </w:rPr>
      </w:pPr>
      <w:hyperlink r:id="rId660" w:history="1">
        <w:r w:rsidR="008F6FFE" w:rsidRPr="00FA400D">
          <w:rPr>
            <w:rStyle w:val="Hyperlink"/>
            <w:rFonts w:asciiTheme="minorHAnsi" w:hAnsiTheme="minorHAnsi" w:cstheme="minorHAnsi"/>
            <w:color w:val="000000" w:themeColor="text1"/>
            <w:sz w:val="16"/>
            <w:szCs w:val="16"/>
            <w:u w:val="none"/>
            <w:lang w:val="en-US"/>
          </w:rPr>
          <w:t>https://www.ncbi.nlm.nih.gov/pmc/articles/PMC7108278/pdf/main.pdf</w:t>
        </w:r>
      </w:hyperlink>
    </w:p>
    <w:p w:rsidR="008F6FFE" w:rsidRPr="00FA400D" w:rsidRDefault="008F6FFE" w:rsidP="00717D4D">
      <w:pPr>
        <w:pStyle w:val="FootnoteText"/>
        <w:rPr>
          <w:rFonts w:asciiTheme="minorHAnsi" w:hAnsiTheme="minorHAnsi" w:cstheme="minorHAnsi"/>
          <w:color w:val="000000" w:themeColor="text1"/>
          <w:sz w:val="16"/>
          <w:szCs w:val="16"/>
          <w:lang w:val="en-US"/>
        </w:rPr>
      </w:pPr>
    </w:p>
  </w:footnote>
  <w:footnote w:id="67">
    <w:p w:rsidR="008F6FFE" w:rsidRPr="00FA400D" w:rsidRDefault="008F6FFE" w:rsidP="00717D4D">
      <w:pPr>
        <w:rPr>
          <w:rStyle w:val="labs-docsum-journal-citation"/>
          <w:rFonts w:asciiTheme="minorHAnsi" w:hAnsiTheme="minorHAnsi" w:cstheme="minorHAnsi"/>
          <w:color w:val="000000" w:themeColor="text1"/>
          <w:sz w:val="16"/>
          <w:szCs w:val="16"/>
          <w:lang w:val="en-US"/>
        </w:rPr>
      </w:pPr>
      <w:r w:rsidRPr="00FA400D">
        <w:rPr>
          <w:rStyle w:val="FootnoteReference"/>
          <w:rFonts w:asciiTheme="minorHAnsi" w:hAnsiTheme="minorHAnsi" w:cstheme="minorHAnsi"/>
          <w:color w:val="000000" w:themeColor="text1"/>
          <w:sz w:val="16"/>
          <w:szCs w:val="16"/>
        </w:rPr>
        <w:footnoteRef/>
      </w:r>
      <w:r w:rsidRPr="00FA400D">
        <w:rPr>
          <w:rStyle w:val="labs-docsum-journal-citation"/>
          <w:rFonts w:asciiTheme="minorHAnsi" w:hAnsiTheme="minorHAnsi" w:cstheme="minorHAnsi"/>
          <w:color w:val="000000" w:themeColor="text1"/>
          <w:sz w:val="16"/>
          <w:szCs w:val="16"/>
          <w:lang w:val="en-US"/>
        </w:rPr>
        <w:t xml:space="preserve"> Semin Immunopathol 2017 Jul;39(5):529-539.  doi: 10.1007/s00281-017-0629-x. </w:t>
      </w:r>
    </w:p>
    <w:p w:rsidR="008F6FFE" w:rsidRPr="00FA400D" w:rsidRDefault="008F6FFE" w:rsidP="00717D4D">
      <w:pPr>
        <w:rPr>
          <w:rStyle w:val="labs-docsum-journal-citation"/>
          <w:rFonts w:asciiTheme="minorHAnsi" w:hAnsiTheme="minorHAnsi" w:cstheme="minorHAnsi"/>
          <w:color w:val="000000" w:themeColor="text1"/>
          <w:sz w:val="16"/>
          <w:szCs w:val="16"/>
          <w:lang w:val="en-US"/>
        </w:rPr>
      </w:pPr>
      <w:r w:rsidRPr="00FA400D">
        <w:rPr>
          <w:rStyle w:val="labs-docsum-journal-citation"/>
          <w:rFonts w:asciiTheme="minorHAnsi" w:hAnsiTheme="minorHAnsi" w:cstheme="minorHAnsi"/>
          <w:color w:val="000000" w:themeColor="text1"/>
          <w:sz w:val="16"/>
          <w:szCs w:val="16"/>
          <w:lang w:val="en-US"/>
        </w:rPr>
        <w:t>Pathogenic Human Coronavirus Infections: Causes and Consequences of Cytokine Storm and Immunopathology</w:t>
      </w:r>
    </w:p>
    <w:p w:rsidR="008F6FFE" w:rsidRPr="00DC48B4" w:rsidRDefault="0052743C" w:rsidP="00717D4D">
      <w:pPr>
        <w:rPr>
          <w:rStyle w:val="labs-docsum-journal-citation"/>
          <w:rFonts w:asciiTheme="minorHAnsi" w:hAnsiTheme="minorHAnsi" w:cstheme="minorHAnsi"/>
          <w:color w:val="000000" w:themeColor="text1"/>
          <w:sz w:val="16"/>
          <w:szCs w:val="16"/>
        </w:rPr>
      </w:pPr>
      <w:hyperlink r:id="rId661" w:history="1">
        <w:r w:rsidR="008F6FFE" w:rsidRPr="00DC48B4">
          <w:rPr>
            <w:rStyle w:val="labs-docsum-journal-citation"/>
            <w:rFonts w:asciiTheme="minorHAnsi" w:hAnsiTheme="minorHAnsi" w:cstheme="minorHAnsi"/>
            <w:color w:val="000000" w:themeColor="text1"/>
            <w:sz w:val="16"/>
            <w:szCs w:val="16"/>
          </w:rPr>
          <w:t>Rudragouda Channappanavar</w:t>
        </w:r>
      </w:hyperlink>
      <w:r w:rsidR="008F6FFE" w:rsidRPr="00DC48B4">
        <w:rPr>
          <w:rStyle w:val="labs-docsum-journal-citation"/>
          <w:rFonts w:asciiTheme="minorHAnsi" w:hAnsiTheme="minorHAnsi" w:cstheme="minorHAnsi"/>
          <w:color w:val="000000" w:themeColor="text1"/>
          <w:sz w:val="16"/>
          <w:szCs w:val="16"/>
        </w:rPr>
        <w:t> </w:t>
      </w:r>
      <w:hyperlink r:id="rId662" w:anchor="affiliation-1" w:history="1">
        <w:r w:rsidR="008F6FFE" w:rsidRPr="00DC48B4">
          <w:rPr>
            <w:rStyle w:val="labs-docsum-journal-citation"/>
            <w:rFonts w:asciiTheme="minorHAnsi" w:hAnsiTheme="minorHAnsi" w:cstheme="minorHAnsi"/>
            <w:color w:val="000000" w:themeColor="text1"/>
            <w:sz w:val="16"/>
            <w:szCs w:val="16"/>
          </w:rPr>
          <w:t>1</w:t>
        </w:r>
      </w:hyperlink>
      <w:r w:rsidR="008F6FFE" w:rsidRPr="00DC48B4">
        <w:rPr>
          <w:rStyle w:val="labs-docsum-journal-citation"/>
          <w:rFonts w:asciiTheme="minorHAnsi" w:hAnsiTheme="minorHAnsi" w:cstheme="minorHAnsi"/>
          <w:color w:val="000000" w:themeColor="text1"/>
          <w:sz w:val="16"/>
          <w:szCs w:val="16"/>
        </w:rPr>
        <w:t>, </w:t>
      </w:r>
      <w:hyperlink r:id="rId663" w:history="1">
        <w:r w:rsidR="008F6FFE" w:rsidRPr="00DC48B4">
          <w:rPr>
            <w:rStyle w:val="labs-docsum-journal-citation"/>
            <w:rFonts w:asciiTheme="minorHAnsi" w:hAnsiTheme="minorHAnsi" w:cstheme="minorHAnsi"/>
            <w:color w:val="000000" w:themeColor="text1"/>
            <w:sz w:val="16"/>
            <w:szCs w:val="16"/>
          </w:rPr>
          <w:t>Stanley Perlman</w:t>
        </w:r>
      </w:hyperlink>
    </w:p>
    <w:p w:rsidR="008F6FFE" w:rsidRPr="00DC48B4" w:rsidRDefault="0052743C" w:rsidP="00FA400D">
      <w:pPr>
        <w:rPr>
          <w:rFonts w:asciiTheme="minorHAnsi" w:hAnsiTheme="minorHAnsi" w:cstheme="minorHAnsi"/>
          <w:color w:val="000000" w:themeColor="text1"/>
          <w:sz w:val="16"/>
          <w:szCs w:val="16"/>
        </w:rPr>
      </w:pPr>
      <w:hyperlink r:id="rId664" w:history="1">
        <w:r w:rsidR="008F6FFE" w:rsidRPr="00DC48B4">
          <w:rPr>
            <w:rFonts w:asciiTheme="minorHAnsi" w:hAnsiTheme="minorHAnsi" w:cstheme="minorHAnsi"/>
            <w:color w:val="000000" w:themeColor="text1"/>
            <w:sz w:val="16"/>
            <w:szCs w:val="16"/>
          </w:rPr>
          <w:t>https://www.ncbi.nlm.nih.gov/pmc/articles/PMC7079893/pdf/281_2017_Article_629.pdf</w:t>
        </w:r>
      </w:hyperlink>
    </w:p>
  </w:footnote>
  <w:footnote w:id="68">
    <w:p w:rsidR="008F6FFE" w:rsidRPr="00717D4D" w:rsidRDefault="008F6FFE" w:rsidP="00717D4D">
      <w:pPr>
        <w:rPr>
          <w:rStyle w:val="labs-docsum-journal-citation"/>
          <w:rFonts w:asciiTheme="minorHAnsi" w:hAnsi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Style w:val="labs-docsum-journal-citation"/>
          <w:rFonts w:asciiTheme="minorHAnsi" w:hAnsiTheme="minorHAnsi"/>
          <w:color w:val="000000" w:themeColor="text1"/>
          <w:sz w:val="16"/>
          <w:szCs w:val="16"/>
          <w:lang w:val="en-US"/>
        </w:rPr>
        <w:t xml:space="preserve">Int J Biol Sci 2020; 16(10):1753-1766. doi:10.7150/ijbs.45134. </w:t>
      </w:r>
    </w:p>
    <w:p w:rsidR="008F6FFE" w:rsidRPr="00717D4D" w:rsidRDefault="008F6FFE" w:rsidP="00717D4D">
      <w:pPr>
        <w:rPr>
          <w:rStyle w:val="labs-docsum-journal-citation"/>
          <w:rFonts w:asciiTheme="minorHAnsi" w:hAnsiTheme="minorHAnsi"/>
          <w:color w:val="000000" w:themeColor="text1"/>
          <w:sz w:val="16"/>
          <w:szCs w:val="16"/>
          <w:lang w:val="en-US"/>
        </w:rPr>
      </w:pPr>
      <w:r w:rsidRPr="00717D4D">
        <w:rPr>
          <w:rStyle w:val="labs-docsum-journal-citation"/>
          <w:rFonts w:asciiTheme="minorHAnsi" w:hAnsiTheme="minorHAnsi"/>
          <w:color w:val="000000" w:themeColor="text1"/>
          <w:sz w:val="16"/>
          <w:szCs w:val="16"/>
          <w:lang w:val="en-US"/>
        </w:rPr>
        <w:t>COVID-19: what has been learned and to be learned about the novel coronavirus disease. </w:t>
      </w:r>
    </w:p>
    <w:p w:rsidR="008F6FFE" w:rsidRPr="00717D4D" w:rsidRDefault="008F6FFE" w:rsidP="00717D4D">
      <w:pPr>
        <w:rPr>
          <w:rStyle w:val="labs-docsum-journal-citation"/>
          <w:rFonts w:asciiTheme="minorHAnsi" w:hAnsiTheme="minorHAnsi"/>
          <w:color w:val="000000" w:themeColor="text1"/>
          <w:sz w:val="16"/>
          <w:szCs w:val="16"/>
          <w:lang w:val="en-US"/>
        </w:rPr>
      </w:pPr>
      <w:r w:rsidRPr="00717D4D">
        <w:rPr>
          <w:rStyle w:val="labs-docsum-journal-citation"/>
          <w:rFonts w:asciiTheme="minorHAnsi" w:hAnsiTheme="minorHAnsi"/>
          <w:color w:val="000000" w:themeColor="text1"/>
          <w:sz w:val="16"/>
          <w:szCs w:val="16"/>
          <w:lang w:val="en-US"/>
        </w:rPr>
        <w:t xml:space="preserve">Yi Y, Lagniton PNP, Ye S, Li E, Xu RH. </w:t>
      </w:r>
    </w:p>
    <w:p w:rsidR="008F6FFE" w:rsidRPr="00717D4D" w:rsidRDefault="0052743C" w:rsidP="00717D4D">
      <w:pPr>
        <w:rPr>
          <w:rFonts w:asciiTheme="minorHAnsi" w:hAnsiTheme="minorHAnsi"/>
          <w:sz w:val="16"/>
          <w:szCs w:val="16"/>
          <w:lang w:val="en-US"/>
        </w:rPr>
      </w:pPr>
      <w:hyperlink r:id="rId665" w:history="1">
        <w:r w:rsidR="008F6FFE" w:rsidRPr="00717D4D">
          <w:rPr>
            <w:rStyle w:val="labs-docsum-journal-citation"/>
            <w:rFonts w:asciiTheme="minorHAnsi" w:hAnsiTheme="minorHAnsi"/>
            <w:color w:val="000000" w:themeColor="text1"/>
            <w:sz w:val="16"/>
            <w:szCs w:val="16"/>
            <w:lang w:val="en-US"/>
          </w:rPr>
          <w:t>http://www.ijbs.com/v16p1753.htm</w:t>
        </w:r>
      </w:hyperlink>
      <w:r w:rsidR="008F6FFE" w:rsidRPr="00717D4D">
        <w:rPr>
          <w:rStyle w:val="apple-converted-space"/>
          <w:rFonts w:asciiTheme="minorHAnsi" w:eastAsiaTheme="majorEastAsia" w:hAnsiTheme="minorHAnsi"/>
          <w:color w:val="2F2F2F"/>
          <w:sz w:val="16"/>
          <w:szCs w:val="16"/>
          <w:lang w:val="en-US"/>
        </w:rPr>
        <w:t> </w:t>
      </w:r>
    </w:p>
    <w:p w:rsidR="008F6FFE" w:rsidRPr="00717D4D" w:rsidRDefault="008F6FFE" w:rsidP="00717D4D">
      <w:pPr>
        <w:pStyle w:val="FootnoteText"/>
        <w:rPr>
          <w:rFonts w:asciiTheme="minorHAnsi" w:hAnsiTheme="minorHAnsi"/>
          <w:sz w:val="16"/>
          <w:szCs w:val="16"/>
          <w:lang w:val="en-US"/>
        </w:rPr>
      </w:pPr>
    </w:p>
  </w:footnote>
  <w:footnote w:id="69">
    <w:p w:rsidR="008F6FFE" w:rsidRPr="00717D4D" w:rsidRDefault="008F6FFE" w:rsidP="00717D4D">
      <w:pPr>
        <w:pStyle w:val="Heading1"/>
        <w:shd w:val="clear" w:color="auto" w:fill="FFFFFF"/>
        <w:spacing w:before="0"/>
        <w:rPr>
          <w:rFonts w:asciiTheme="minorHAnsi" w:hAnsiTheme="minorHAnsi" w:cs="Arial"/>
          <w:color w:val="1C1D1E"/>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hyperlink r:id="rId666" w:tooltip="Seminars in immunopathology." w:history="1">
        <w:r w:rsidRPr="00717D4D">
          <w:rPr>
            <w:rFonts w:asciiTheme="minorHAnsi" w:hAnsiTheme="minorHAnsi"/>
            <w:color w:val="1C1D1E"/>
            <w:sz w:val="16"/>
            <w:szCs w:val="16"/>
            <w:lang w:val="en-US"/>
          </w:rPr>
          <w:t>Semin Immunopathol.</w:t>
        </w:r>
      </w:hyperlink>
      <w:r w:rsidRPr="00717D4D">
        <w:rPr>
          <w:rFonts w:asciiTheme="minorHAnsi" w:hAnsiTheme="minorHAnsi" w:cs="Arial"/>
          <w:color w:val="1C1D1E"/>
          <w:sz w:val="16"/>
          <w:szCs w:val="16"/>
          <w:lang w:val="en-US"/>
        </w:rPr>
        <w:t xml:space="preserve"> 2017 Jul;39(5):541-550. doi: 10.1007/s00281-017-0636-y. </w:t>
      </w:r>
    </w:p>
    <w:p w:rsidR="008F6FFE" w:rsidRPr="00717D4D" w:rsidRDefault="008F6FFE" w:rsidP="00717D4D">
      <w:pPr>
        <w:pStyle w:val="Heading1"/>
        <w:shd w:val="clear" w:color="auto" w:fill="FFFFFF"/>
        <w:spacing w:before="0"/>
        <w:rPr>
          <w:rFonts w:asciiTheme="minorHAnsi" w:hAnsiTheme="minorHAnsi" w:cs="Arial"/>
          <w:color w:val="1C1D1E"/>
          <w:sz w:val="16"/>
          <w:szCs w:val="16"/>
          <w:lang w:val="en-US"/>
        </w:rPr>
      </w:pPr>
      <w:r w:rsidRPr="00717D4D">
        <w:rPr>
          <w:rFonts w:asciiTheme="minorHAnsi" w:hAnsiTheme="minorHAnsi"/>
          <w:color w:val="1C1D1E"/>
          <w:sz w:val="16"/>
          <w:szCs w:val="16"/>
          <w:lang w:val="en-US"/>
        </w:rPr>
        <w:t>New</w:t>
      </w:r>
      <w:r w:rsidRPr="00717D4D">
        <w:rPr>
          <w:rFonts w:asciiTheme="minorHAnsi" w:hAnsiTheme="minorHAnsi" w:cs="Arial"/>
          <w:color w:val="1C1D1E"/>
          <w:sz w:val="16"/>
          <w:szCs w:val="16"/>
          <w:lang w:val="en-US"/>
        </w:rPr>
        <w:t> </w:t>
      </w:r>
      <w:r w:rsidRPr="00717D4D">
        <w:rPr>
          <w:rFonts w:asciiTheme="minorHAnsi" w:hAnsiTheme="minorHAnsi"/>
          <w:color w:val="1C1D1E"/>
          <w:sz w:val="16"/>
          <w:szCs w:val="16"/>
          <w:lang w:val="en-US"/>
        </w:rPr>
        <w:t>fronts</w:t>
      </w:r>
      <w:r w:rsidRPr="00717D4D">
        <w:rPr>
          <w:rFonts w:asciiTheme="minorHAnsi" w:hAnsiTheme="minorHAnsi" w:cs="Arial"/>
          <w:color w:val="1C1D1E"/>
          <w:sz w:val="16"/>
          <w:szCs w:val="16"/>
          <w:lang w:val="en-US"/>
        </w:rPr>
        <w:t> </w:t>
      </w:r>
      <w:r w:rsidRPr="00717D4D">
        <w:rPr>
          <w:rFonts w:asciiTheme="minorHAnsi" w:hAnsiTheme="minorHAnsi"/>
          <w:color w:val="1C1D1E"/>
          <w:sz w:val="16"/>
          <w:szCs w:val="16"/>
          <w:lang w:val="en-US"/>
        </w:rPr>
        <w:t>emerge</w:t>
      </w:r>
      <w:r w:rsidRPr="00717D4D">
        <w:rPr>
          <w:rFonts w:asciiTheme="minorHAnsi" w:hAnsiTheme="minorHAnsi" w:cs="Arial"/>
          <w:color w:val="1C1D1E"/>
          <w:sz w:val="16"/>
          <w:szCs w:val="16"/>
          <w:lang w:val="en-US"/>
        </w:rPr>
        <w:t> in the </w:t>
      </w:r>
      <w:r w:rsidRPr="00717D4D">
        <w:rPr>
          <w:rFonts w:asciiTheme="minorHAnsi" w:hAnsiTheme="minorHAnsi"/>
          <w:color w:val="1C1D1E"/>
          <w:sz w:val="16"/>
          <w:szCs w:val="16"/>
          <w:lang w:val="en-US"/>
        </w:rPr>
        <w:t>influenza</w:t>
      </w:r>
      <w:r w:rsidRPr="00717D4D">
        <w:rPr>
          <w:rFonts w:asciiTheme="minorHAnsi" w:hAnsiTheme="minorHAnsi" w:cs="Arial"/>
          <w:color w:val="1C1D1E"/>
          <w:sz w:val="16"/>
          <w:szCs w:val="16"/>
          <w:lang w:val="en-US"/>
        </w:rPr>
        <w:t> </w:t>
      </w:r>
      <w:r w:rsidRPr="00717D4D">
        <w:rPr>
          <w:rFonts w:asciiTheme="minorHAnsi" w:hAnsiTheme="minorHAnsi"/>
          <w:color w:val="1C1D1E"/>
          <w:sz w:val="16"/>
          <w:szCs w:val="16"/>
          <w:lang w:val="en-US"/>
        </w:rPr>
        <w:t>cytokine</w:t>
      </w:r>
      <w:r w:rsidRPr="00717D4D">
        <w:rPr>
          <w:rFonts w:asciiTheme="minorHAnsi" w:hAnsiTheme="minorHAnsi" w:cs="Arial"/>
          <w:color w:val="1C1D1E"/>
          <w:sz w:val="16"/>
          <w:szCs w:val="16"/>
          <w:lang w:val="en-US"/>
        </w:rPr>
        <w:t> </w:t>
      </w:r>
      <w:r w:rsidRPr="00717D4D">
        <w:rPr>
          <w:rFonts w:asciiTheme="minorHAnsi" w:hAnsiTheme="minorHAnsi"/>
          <w:color w:val="1C1D1E"/>
          <w:sz w:val="16"/>
          <w:szCs w:val="16"/>
          <w:lang w:val="en-US"/>
        </w:rPr>
        <w:t>storm</w:t>
      </w:r>
      <w:r w:rsidRPr="00717D4D">
        <w:rPr>
          <w:rFonts w:asciiTheme="minorHAnsi" w:hAnsiTheme="minorHAnsi" w:cs="Arial"/>
          <w:color w:val="1C1D1E"/>
          <w:sz w:val="16"/>
          <w:szCs w:val="16"/>
          <w:lang w:val="en-US"/>
        </w:rPr>
        <w:t>.</w:t>
      </w:r>
    </w:p>
    <w:p w:rsidR="008F6FFE" w:rsidRPr="00717D4D" w:rsidRDefault="0052743C" w:rsidP="00717D4D">
      <w:pPr>
        <w:pStyle w:val="Heading1"/>
        <w:shd w:val="clear" w:color="auto" w:fill="FFFFFF"/>
        <w:spacing w:before="0"/>
        <w:rPr>
          <w:rFonts w:asciiTheme="minorHAnsi" w:hAnsiTheme="minorHAnsi" w:cs="Arial"/>
          <w:color w:val="1C1D1E"/>
          <w:sz w:val="16"/>
          <w:szCs w:val="16"/>
          <w:lang w:val="en-US"/>
        </w:rPr>
      </w:pPr>
      <w:hyperlink r:id="rId667" w:history="1">
        <w:r w:rsidR="008F6FFE" w:rsidRPr="00717D4D">
          <w:rPr>
            <w:rFonts w:asciiTheme="minorHAnsi" w:hAnsiTheme="minorHAnsi"/>
            <w:color w:val="1C1D1E"/>
            <w:sz w:val="16"/>
            <w:szCs w:val="16"/>
            <w:lang w:val="en-US"/>
          </w:rPr>
          <w:t>Guo XJ</w:t>
        </w:r>
      </w:hyperlink>
      <w:r w:rsidR="008F6FFE" w:rsidRPr="00717D4D">
        <w:rPr>
          <w:rFonts w:asciiTheme="minorHAnsi" w:hAnsiTheme="minorHAnsi" w:cs="Arial"/>
          <w:color w:val="1C1D1E"/>
          <w:sz w:val="16"/>
          <w:szCs w:val="16"/>
          <w:lang w:val="en-US"/>
        </w:rPr>
        <w:t>1,2, </w:t>
      </w:r>
      <w:hyperlink r:id="rId668" w:history="1">
        <w:r w:rsidR="008F6FFE" w:rsidRPr="00717D4D">
          <w:rPr>
            <w:rFonts w:asciiTheme="minorHAnsi" w:hAnsiTheme="minorHAnsi"/>
            <w:color w:val="1C1D1E"/>
            <w:sz w:val="16"/>
            <w:szCs w:val="16"/>
            <w:lang w:val="en-US"/>
          </w:rPr>
          <w:t>Thomas PG</w:t>
        </w:r>
      </w:hyperlink>
      <w:r w:rsidR="008F6FFE" w:rsidRPr="00717D4D">
        <w:rPr>
          <w:rFonts w:asciiTheme="minorHAnsi" w:hAnsiTheme="minorHAnsi" w:cs="Arial"/>
          <w:color w:val="1C1D1E"/>
          <w:sz w:val="16"/>
          <w:szCs w:val="16"/>
          <w:lang w:val="en-US"/>
        </w:rPr>
        <w:t>3,4.</w:t>
      </w:r>
    </w:p>
    <w:p w:rsidR="008F6FFE" w:rsidRPr="00717D4D" w:rsidRDefault="008F6FFE" w:rsidP="00717D4D">
      <w:pPr>
        <w:pStyle w:val="FootnoteText"/>
        <w:rPr>
          <w:rFonts w:asciiTheme="minorHAnsi" w:hAnsiTheme="minorHAnsi"/>
          <w:sz w:val="16"/>
          <w:szCs w:val="16"/>
          <w:lang w:val="en-US"/>
        </w:rPr>
      </w:pPr>
      <w:r w:rsidRPr="00717D4D">
        <w:rPr>
          <w:rFonts w:asciiTheme="minorHAnsi" w:hAnsiTheme="minorHAnsi"/>
          <w:sz w:val="16"/>
          <w:szCs w:val="16"/>
          <w:lang w:val="en-US"/>
        </w:rPr>
        <w:t>https://www.ncbi.nlm.nih.gov/pmc/articles/PMC5580809/pdf/nihms880362.pdf</w:t>
      </w:r>
    </w:p>
  </w:footnote>
  <w:footnote w:id="70">
    <w:p w:rsidR="008F6FFE" w:rsidRPr="00CD6278" w:rsidRDefault="008F6FFE" w:rsidP="00CD6278">
      <w:pPr>
        <w:rPr>
          <w:rFonts w:asciiTheme="minorHAnsi" w:hAnsiTheme="minorHAnsi" w:cstheme="minorHAnsi"/>
          <w:color w:val="212121"/>
          <w:sz w:val="16"/>
          <w:szCs w:val="16"/>
          <w:shd w:val="clear" w:color="auto" w:fill="FFFFFF"/>
          <w:lang w:val="en-US"/>
        </w:rPr>
      </w:pPr>
      <w:r w:rsidRPr="00CD6278">
        <w:rPr>
          <w:rStyle w:val="FootnoteReference"/>
          <w:rFonts w:asciiTheme="minorHAnsi" w:hAnsiTheme="minorHAnsi" w:cstheme="minorHAnsi"/>
          <w:sz w:val="16"/>
          <w:szCs w:val="16"/>
        </w:rPr>
        <w:footnoteRef/>
      </w:r>
      <w:r w:rsidRPr="00CD6278">
        <w:rPr>
          <w:rFonts w:asciiTheme="minorHAnsi" w:hAnsiTheme="minorHAnsi" w:cstheme="minorHAnsi"/>
          <w:sz w:val="16"/>
          <w:szCs w:val="16"/>
          <w:lang w:val="en-US"/>
        </w:rPr>
        <w:t xml:space="preserve"> </w:t>
      </w:r>
      <w:r w:rsidRPr="00CD6278">
        <w:rPr>
          <w:rFonts w:asciiTheme="minorHAnsi" w:hAnsiTheme="minorHAnsi" w:cstheme="minorHAnsi"/>
          <w:color w:val="212121"/>
          <w:sz w:val="16"/>
          <w:szCs w:val="16"/>
          <w:shd w:val="clear" w:color="auto" w:fill="FFFFFF"/>
          <w:lang w:val="en-US"/>
        </w:rPr>
        <w:t xml:space="preserve">Jamilloux Y, et al. </w:t>
      </w:r>
    </w:p>
    <w:p w:rsidR="008F6FFE" w:rsidRPr="00CD6278" w:rsidRDefault="008F6FFE" w:rsidP="00CD6278">
      <w:pPr>
        <w:rPr>
          <w:rFonts w:asciiTheme="minorHAnsi" w:hAnsiTheme="minorHAnsi" w:cstheme="minorHAnsi"/>
          <w:color w:val="212121"/>
          <w:sz w:val="16"/>
          <w:szCs w:val="16"/>
          <w:shd w:val="clear" w:color="auto" w:fill="FFFFFF"/>
          <w:lang w:val="en-US"/>
        </w:rPr>
      </w:pPr>
      <w:r w:rsidRPr="00CD6278">
        <w:rPr>
          <w:rFonts w:asciiTheme="minorHAnsi" w:hAnsiTheme="minorHAnsi" w:cstheme="minorHAnsi"/>
          <w:color w:val="212121"/>
          <w:sz w:val="16"/>
          <w:szCs w:val="16"/>
          <w:shd w:val="clear" w:color="auto" w:fill="FFFFFF"/>
          <w:lang w:val="en-US"/>
        </w:rPr>
        <w:t xml:space="preserve">Should we stimulate or suppress immune responses in COVID-19? Cytokine and anti-cytokine interventions </w:t>
      </w:r>
    </w:p>
    <w:p w:rsidR="008F6FFE" w:rsidRPr="00CD6278" w:rsidRDefault="008F6FFE" w:rsidP="00CD6278">
      <w:pPr>
        <w:rPr>
          <w:rFonts w:asciiTheme="minorHAnsi" w:hAnsiTheme="minorHAnsi" w:cstheme="minorHAnsi"/>
          <w:sz w:val="16"/>
          <w:szCs w:val="16"/>
          <w:lang w:val="en-US"/>
        </w:rPr>
      </w:pPr>
      <w:r w:rsidRPr="00CD6278">
        <w:rPr>
          <w:rFonts w:asciiTheme="minorHAnsi" w:hAnsiTheme="minorHAnsi" w:cstheme="minorHAnsi"/>
          <w:color w:val="212121"/>
          <w:sz w:val="16"/>
          <w:szCs w:val="16"/>
          <w:shd w:val="clear" w:color="auto" w:fill="FFFFFF"/>
          <w:lang w:val="en-US"/>
        </w:rPr>
        <w:t>Autoimmun Rev. 2020;19(7):102567. doi:10.1016/j.autrev.2020.102567</w:t>
      </w:r>
    </w:p>
    <w:p w:rsidR="008F6FFE" w:rsidRPr="00CD6278" w:rsidRDefault="0052743C" w:rsidP="00CD6278">
      <w:pPr>
        <w:rPr>
          <w:lang w:val="en-US"/>
        </w:rPr>
      </w:pPr>
      <w:hyperlink r:id="rId669" w:history="1">
        <w:r w:rsidR="008F6FFE" w:rsidRPr="00CD6278">
          <w:rPr>
            <w:rStyle w:val="Hyperlink"/>
            <w:rFonts w:asciiTheme="minorHAnsi" w:eastAsiaTheme="majorEastAsia" w:hAnsiTheme="minorHAnsi" w:cstheme="minorHAnsi"/>
            <w:color w:val="000000" w:themeColor="text1"/>
            <w:sz w:val="16"/>
            <w:szCs w:val="16"/>
            <w:u w:val="none"/>
            <w:lang w:val="en-US"/>
          </w:rPr>
          <w:t>https://www.ncbi.nlm.nih.gov/pmc/articles/PMC7196557/pdf/main.pdf</w:t>
        </w:r>
      </w:hyperlink>
    </w:p>
  </w:footnote>
  <w:footnote w:id="71">
    <w:p w:rsidR="008F6FFE" w:rsidRPr="002B1AFC" w:rsidRDefault="008F6FFE" w:rsidP="002B1AFC">
      <w:pPr>
        <w:shd w:val="clear" w:color="auto" w:fill="FFFFFF"/>
        <w:jc w:val="both"/>
        <w:textAlignment w:val="top"/>
        <w:rPr>
          <w:rFonts w:asciiTheme="minorHAnsi" w:hAnsiTheme="minorHAnsi" w:cstheme="minorHAnsi"/>
          <w:color w:val="000000" w:themeColor="text1"/>
          <w:sz w:val="16"/>
          <w:szCs w:val="16"/>
          <w:lang w:val="en-US"/>
        </w:rPr>
      </w:pPr>
      <w:r w:rsidRPr="002B1AFC">
        <w:rPr>
          <w:rStyle w:val="FootnoteReference"/>
          <w:rFonts w:asciiTheme="minorHAnsi" w:hAnsiTheme="minorHAnsi" w:cstheme="minorHAnsi"/>
          <w:sz w:val="16"/>
          <w:szCs w:val="16"/>
        </w:rPr>
        <w:footnoteRef/>
      </w:r>
      <w:r w:rsidRPr="002B1AFC">
        <w:rPr>
          <w:rFonts w:asciiTheme="minorHAnsi" w:hAnsiTheme="minorHAnsi" w:cstheme="minorHAnsi"/>
          <w:sz w:val="16"/>
          <w:szCs w:val="16"/>
          <w:lang w:val="en-US"/>
        </w:rPr>
        <w:t xml:space="preserve"> </w:t>
      </w:r>
      <w:r w:rsidRPr="002B1AFC">
        <w:rPr>
          <w:rFonts w:asciiTheme="minorHAnsi" w:hAnsiTheme="minorHAnsi" w:cstheme="minorHAnsi"/>
          <w:color w:val="000000" w:themeColor="text1"/>
          <w:sz w:val="16"/>
          <w:szCs w:val="16"/>
          <w:lang w:val="en-US"/>
        </w:rPr>
        <w:t>Cell 2020 May 13;S0092-8674(20)30489-X.   doi: 10.1016/j.cell.2020.04.026. </w:t>
      </w:r>
    </w:p>
    <w:p w:rsidR="008F6FFE" w:rsidRPr="002B1AFC" w:rsidRDefault="008F6FFE" w:rsidP="002B1AFC">
      <w:pPr>
        <w:shd w:val="clear" w:color="auto" w:fill="FFFFFF"/>
        <w:jc w:val="both"/>
        <w:textAlignment w:val="top"/>
        <w:rPr>
          <w:rFonts w:asciiTheme="minorHAnsi" w:hAnsiTheme="minorHAnsi" w:cstheme="minorHAnsi"/>
          <w:color w:val="000000" w:themeColor="text1"/>
          <w:sz w:val="16"/>
          <w:szCs w:val="16"/>
          <w:lang w:val="en-US"/>
        </w:rPr>
      </w:pPr>
      <w:r w:rsidRPr="002B1AFC">
        <w:rPr>
          <w:rFonts w:asciiTheme="minorHAnsi" w:hAnsiTheme="minorHAnsi" w:cstheme="minorHAnsi"/>
          <w:color w:val="000000" w:themeColor="text1"/>
          <w:sz w:val="16"/>
          <w:szCs w:val="16"/>
          <w:lang w:val="en-US"/>
        </w:rPr>
        <w:t>Imbalanced Host Response to SARS-CoV-2 Drives Development of COVID-19</w:t>
      </w:r>
    </w:p>
    <w:p w:rsidR="008F6FFE" w:rsidRPr="002B1AFC" w:rsidRDefault="0052743C" w:rsidP="002B1AFC">
      <w:pPr>
        <w:shd w:val="clear" w:color="auto" w:fill="FFFFFF"/>
        <w:jc w:val="both"/>
        <w:textAlignment w:val="top"/>
        <w:rPr>
          <w:rFonts w:asciiTheme="minorHAnsi" w:hAnsiTheme="minorHAnsi" w:cstheme="minorHAnsi"/>
          <w:color w:val="000000" w:themeColor="text1"/>
          <w:sz w:val="16"/>
          <w:szCs w:val="16"/>
        </w:rPr>
      </w:pPr>
      <w:hyperlink r:id="rId670" w:history="1">
        <w:r w:rsidR="008F6FFE" w:rsidRPr="002B1AFC">
          <w:rPr>
            <w:rFonts w:asciiTheme="minorHAnsi" w:hAnsiTheme="minorHAnsi" w:cstheme="minorHAnsi"/>
            <w:color w:val="000000" w:themeColor="text1"/>
            <w:sz w:val="16"/>
            <w:szCs w:val="16"/>
          </w:rPr>
          <w:t>Daniel Blanco-Melo</w:t>
        </w:r>
      </w:hyperlink>
      <w:r w:rsidR="008F6FFE" w:rsidRPr="002B1AFC">
        <w:rPr>
          <w:rFonts w:asciiTheme="minorHAnsi" w:hAnsiTheme="minorHAnsi" w:cstheme="minorHAnsi"/>
          <w:sz w:val="16"/>
          <w:szCs w:val="16"/>
        </w:rPr>
        <w:t xml:space="preserve"> et al</w:t>
      </w:r>
    </w:p>
    <w:p w:rsidR="008F6FFE" w:rsidRPr="006344CC" w:rsidRDefault="0052743C" w:rsidP="002B1AFC">
      <w:pPr>
        <w:rPr>
          <w:rFonts w:asciiTheme="minorHAnsi" w:hAnsiTheme="minorHAnsi" w:cstheme="minorHAnsi"/>
          <w:color w:val="000000" w:themeColor="text1"/>
          <w:sz w:val="16"/>
          <w:szCs w:val="16"/>
        </w:rPr>
      </w:pPr>
      <w:hyperlink r:id="rId671" w:history="1">
        <w:r w:rsidR="008F6FFE" w:rsidRPr="006344CC">
          <w:rPr>
            <w:rStyle w:val="Hyperlink"/>
            <w:rFonts w:asciiTheme="minorHAnsi" w:eastAsiaTheme="majorEastAsia" w:hAnsiTheme="minorHAnsi" w:cstheme="minorHAnsi"/>
            <w:color w:val="000000" w:themeColor="text1"/>
            <w:sz w:val="16"/>
            <w:szCs w:val="16"/>
            <w:u w:val="none"/>
          </w:rPr>
          <w:t>https://www.ncbi.nlm.nih.gov/pmc/articles/PMC7227586/</w:t>
        </w:r>
      </w:hyperlink>
    </w:p>
    <w:p w:rsidR="008F6FFE" w:rsidRPr="002B1AFC" w:rsidRDefault="008F6FFE">
      <w:pPr>
        <w:pStyle w:val="FootnoteText"/>
      </w:pPr>
    </w:p>
  </w:footnote>
  <w:footnote w:id="72">
    <w:p w:rsidR="008F6FFE" w:rsidRPr="008377D1" w:rsidRDefault="008F6FFE" w:rsidP="008377D1">
      <w:pPr>
        <w:rPr>
          <w:rFonts w:asciiTheme="minorHAnsi" w:hAnsiTheme="minorHAnsi" w:cstheme="minorHAnsi"/>
          <w:color w:val="212121"/>
          <w:sz w:val="16"/>
          <w:szCs w:val="16"/>
          <w:shd w:val="clear" w:color="auto" w:fill="FFFFFF"/>
          <w:lang w:val="en-US"/>
        </w:rPr>
      </w:pPr>
      <w:r w:rsidRPr="008377D1">
        <w:rPr>
          <w:rStyle w:val="FootnoteReference"/>
          <w:rFonts w:asciiTheme="minorHAnsi" w:hAnsiTheme="minorHAnsi" w:cstheme="minorHAnsi"/>
          <w:sz w:val="16"/>
          <w:szCs w:val="16"/>
        </w:rPr>
        <w:footnoteRef/>
      </w:r>
      <w:r w:rsidRPr="008377D1">
        <w:rPr>
          <w:rFonts w:asciiTheme="minorHAnsi" w:hAnsiTheme="minorHAnsi" w:cstheme="minorHAnsi"/>
          <w:sz w:val="16"/>
          <w:szCs w:val="16"/>
          <w:lang w:val="en-US"/>
        </w:rPr>
        <w:t xml:space="preserve"> </w:t>
      </w:r>
      <w:r w:rsidRPr="008377D1">
        <w:rPr>
          <w:rFonts w:asciiTheme="minorHAnsi" w:hAnsiTheme="minorHAnsi" w:cstheme="minorHAnsi"/>
          <w:color w:val="212121"/>
          <w:sz w:val="16"/>
          <w:szCs w:val="16"/>
          <w:shd w:val="clear" w:color="auto" w:fill="FFFFFF"/>
          <w:lang w:val="en-US"/>
        </w:rPr>
        <w:t xml:space="preserve">Giamarellos-Bourboulis EJ, et al. </w:t>
      </w:r>
    </w:p>
    <w:p w:rsidR="008F6FFE" w:rsidRDefault="008F6FFE" w:rsidP="008377D1">
      <w:pPr>
        <w:rPr>
          <w:rFonts w:asciiTheme="minorHAnsi" w:hAnsiTheme="minorHAnsi" w:cstheme="minorHAnsi"/>
          <w:color w:val="212121"/>
          <w:sz w:val="16"/>
          <w:szCs w:val="16"/>
          <w:shd w:val="clear" w:color="auto" w:fill="FFFFFF"/>
          <w:lang w:val="en-US"/>
        </w:rPr>
      </w:pPr>
      <w:r w:rsidRPr="008377D1">
        <w:rPr>
          <w:rFonts w:asciiTheme="minorHAnsi" w:hAnsiTheme="minorHAnsi" w:cstheme="minorHAnsi"/>
          <w:color w:val="212121"/>
          <w:sz w:val="16"/>
          <w:szCs w:val="16"/>
          <w:shd w:val="clear" w:color="auto" w:fill="FFFFFF"/>
          <w:lang w:val="en-US"/>
        </w:rPr>
        <w:t xml:space="preserve">Complex Immune Dysregulation in COVID-19 Patients with Severe Respiratory Failure </w:t>
      </w:r>
    </w:p>
    <w:p w:rsidR="008F6FFE" w:rsidRPr="008377D1" w:rsidRDefault="008F6FFE" w:rsidP="008377D1">
      <w:pPr>
        <w:rPr>
          <w:rFonts w:asciiTheme="minorHAnsi" w:hAnsiTheme="minorHAnsi" w:cstheme="minorHAnsi"/>
          <w:sz w:val="16"/>
          <w:szCs w:val="16"/>
          <w:lang w:val="en-US"/>
        </w:rPr>
      </w:pPr>
      <w:r w:rsidRPr="008377D1">
        <w:rPr>
          <w:rFonts w:asciiTheme="minorHAnsi" w:hAnsiTheme="minorHAnsi" w:cstheme="minorHAnsi"/>
          <w:color w:val="212121"/>
          <w:sz w:val="16"/>
          <w:szCs w:val="16"/>
          <w:shd w:val="clear" w:color="auto" w:fill="FFFFFF"/>
          <w:lang w:val="en-US"/>
        </w:rPr>
        <w:t>Cell Host Microbe. 2020;S1931-3128(20)30236-5. doi:10.1016/j.chom.2020.04.009</w:t>
      </w:r>
    </w:p>
    <w:p w:rsidR="008F6FFE" w:rsidRPr="008377D1" w:rsidRDefault="0052743C" w:rsidP="006344CC">
      <w:pPr>
        <w:rPr>
          <w:lang w:val="en-US"/>
        </w:rPr>
      </w:pPr>
      <w:hyperlink r:id="rId672" w:history="1">
        <w:r w:rsidR="008F6FFE" w:rsidRPr="006344CC">
          <w:rPr>
            <w:rFonts w:asciiTheme="minorHAnsi" w:hAnsiTheme="minorHAnsi" w:cstheme="minorHAnsi"/>
            <w:color w:val="000000" w:themeColor="text1"/>
            <w:sz w:val="16"/>
            <w:szCs w:val="16"/>
            <w:lang w:val="en-US"/>
          </w:rPr>
          <w:t>https://www.ncbi.nlm.nih.gov/pmc/articles/PMC7172841/pdf/main.pdf</w:t>
        </w:r>
      </w:hyperlink>
    </w:p>
  </w:footnote>
  <w:footnote w:id="73">
    <w:p w:rsidR="008F6FFE" w:rsidRPr="005D115E" w:rsidRDefault="008F6FFE" w:rsidP="008377D1">
      <w:pPr>
        <w:rPr>
          <w:rFonts w:asciiTheme="minorHAnsi" w:hAnsiTheme="minorHAnsi" w:cstheme="minorHAnsi"/>
          <w:color w:val="212121"/>
          <w:sz w:val="16"/>
          <w:szCs w:val="16"/>
          <w:shd w:val="clear" w:color="auto" w:fill="FFFFFF"/>
        </w:rPr>
      </w:pPr>
      <w:r w:rsidRPr="008377D1">
        <w:rPr>
          <w:rStyle w:val="FootnoteReference"/>
          <w:rFonts w:asciiTheme="minorHAnsi" w:hAnsiTheme="minorHAnsi" w:cstheme="minorHAnsi"/>
          <w:sz w:val="16"/>
          <w:szCs w:val="16"/>
        </w:rPr>
        <w:footnoteRef/>
      </w:r>
      <w:r w:rsidRPr="005D115E">
        <w:rPr>
          <w:rFonts w:asciiTheme="minorHAnsi" w:hAnsiTheme="minorHAnsi" w:cstheme="minorHAnsi"/>
          <w:sz w:val="16"/>
          <w:szCs w:val="16"/>
        </w:rPr>
        <w:t xml:space="preserve"> </w:t>
      </w:r>
      <w:r w:rsidRPr="005D115E">
        <w:rPr>
          <w:rFonts w:asciiTheme="minorHAnsi" w:hAnsiTheme="minorHAnsi" w:cstheme="minorHAnsi"/>
          <w:color w:val="212121"/>
          <w:sz w:val="16"/>
          <w:szCs w:val="16"/>
          <w:shd w:val="clear" w:color="auto" w:fill="FFFFFF"/>
        </w:rPr>
        <w:t xml:space="preserve">Colafrancesco S, Alessandri C, Conti F, Priori R. </w:t>
      </w:r>
    </w:p>
    <w:p w:rsidR="008F6FFE" w:rsidRPr="008377D1" w:rsidRDefault="008F6FFE" w:rsidP="008377D1">
      <w:pPr>
        <w:rPr>
          <w:rFonts w:asciiTheme="minorHAnsi" w:hAnsiTheme="minorHAnsi" w:cstheme="minorHAnsi"/>
          <w:color w:val="212121"/>
          <w:sz w:val="16"/>
          <w:szCs w:val="16"/>
          <w:shd w:val="clear" w:color="auto" w:fill="FFFFFF"/>
          <w:lang w:val="en-US"/>
        </w:rPr>
      </w:pPr>
      <w:r w:rsidRPr="008377D1">
        <w:rPr>
          <w:rFonts w:asciiTheme="minorHAnsi" w:hAnsiTheme="minorHAnsi" w:cstheme="minorHAnsi"/>
          <w:color w:val="212121"/>
          <w:sz w:val="16"/>
          <w:szCs w:val="16"/>
          <w:shd w:val="clear" w:color="auto" w:fill="FFFFFF"/>
          <w:lang w:val="en-US"/>
        </w:rPr>
        <w:t>COVID-19 gone bad: A new character in the spectrum of the hyperferritinemic syndrome? </w:t>
      </w:r>
    </w:p>
    <w:p w:rsidR="008F6FFE" w:rsidRPr="008377D1" w:rsidRDefault="008F6FFE" w:rsidP="008377D1">
      <w:pPr>
        <w:rPr>
          <w:rFonts w:asciiTheme="minorHAnsi" w:hAnsiTheme="minorHAnsi" w:cstheme="minorHAnsi"/>
          <w:color w:val="212121"/>
          <w:sz w:val="16"/>
          <w:szCs w:val="16"/>
          <w:shd w:val="clear" w:color="auto" w:fill="FFFFFF"/>
          <w:lang w:val="en-US"/>
        </w:rPr>
      </w:pPr>
      <w:r w:rsidRPr="008377D1">
        <w:rPr>
          <w:rFonts w:asciiTheme="minorHAnsi" w:hAnsiTheme="minorHAnsi" w:cstheme="minorHAnsi"/>
          <w:color w:val="212121"/>
          <w:sz w:val="16"/>
          <w:szCs w:val="16"/>
          <w:shd w:val="clear" w:color="auto" w:fill="FFFFFF"/>
          <w:lang w:val="en-US"/>
        </w:rPr>
        <w:t>Autoimmun Rev. 2020;19(7):102573. doi:10.1016/j.autrev.2020.102573</w:t>
      </w:r>
    </w:p>
    <w:p w:rsidR="008F6FFE" w:rsidRPr="008377D1" w:rsidRDefault="0052743C" w:rsidP="008377D1">
      <w:pPr>
        <w:rPr>
          <w:rFonts w:asciiTheme="minorHAnsi" w:hAnsiTheme="minorHAnsi" w:cstheme="minorHAnsi"/>
          <w:color w:val="212121"/>
          <w:sz w:val="16"/>
          <w:szCs w:val="16"/>
          <w:shd w:val="clear" w:color="auto" w:fill="FFFFFF"/>
          <w:lang w:val="en-US"/>
        </w:rPr>
      </w:pPr>
      <w:hyperlink r:id="rId673" w:history="1">
        <w:r w:rsidR="008F6FFE" w:rsidRPr="008377D1">
          <w:rPr>
            <w:rFonts w:asciiTheme="minorHAnsi" w:hAnsiTheme="minorHAnsi" w:cstheme="minorHAnsi"/>
            <w:color w:val="212121"/>
            <w:sz w:val="16"/>
            <w:szCs w:val="16"/>
            <w:shd w:val="clear" w:color="auto" w:fill="FFFFFF"/>
            <w:lang w:val="en-US"/>
          </w:rPr>
          <w:t>https://www.ncbi.nlm.nih.gov/pmc/articles/PMC7199723/pdf/main.pdf</w:t>
        </w:r>
      </w:hyperlink>
    </w:p>
    <w:p w:rsidR="008F6FFE" w:rsidRPr="008377D1" w:rsidRDefault="008F6FFE">
      <w:pPr>
        <w:pStyle w:val="FootnoteText"/>
        <w:rPr>
          <w:lang w:val="en-US"/>
        </w:rPr>
      </w:pPr>
    </w:p>
  </w:footnote>
  <w:footnote w:id="74">
    <w:p w:rsidR="008F6FFE" w:rsidRPr="00E272CB" w:rsidRDefault="008F6FFE" w:rsidP="00E272CB">
      <w:pPr>
        <w:rPr>
          <w:rFonts w:asciiTheme="minorHAnsi" w:hAnsiTheme="minorHAnsi" w:cstheme="minorHAnsi"/>
          <w:color w:val="000000" w:themeColor="text1"/>
          <w:sz w:val="16"/>
          <w:szCs w:val="16"/>
          <w:shd w:val="clear" w:color="auto" w:fill="FFFFFF"/>
          <w:lang w:val="en-US"/>
        </w:rPr>
      </w:pPr>
      <w:r w:rsidRPr="00E272CB">
        <w:rPr>
          <w:rStyle w:val="FootnoteReference"/>
          <w:rFonts w:asciiTheme="minorHAnsi" w:hAnsiTheme="minorHAnsi" w:cstheme="minorHAnsi"/>
          <w:color w:val="000000" w:themeColor="text1"/>
          <w:sz w:val="16"/>
          <w:szCs w:val="16"/>
        </w:rPr>
        <w:footnoteRef/>
      </w:r>
      <w:r w:rsidRPr="00E272CB">
        <w:rPr>
          <w:rFonts w:asciiTheme="minorHAnsi" w:hAnsiTheme="minorHAnsi" w:cstheme="minorHAnsi"/>
          <w:color w:val="000000" w:themeColor="text1"/>
          <w:sz w:val="16"/>
          <w:szCs w:val="16"/>
          <w:lang w:val="en-US"/>
        </w:rPr>
        <w:t xml:space="preserve"> </w:t>
      </w:r>
      <w:r w:rsidRPr="00E272CB">
        <w:rPr>
          <w:rFonts w:asciiTheme="minorHAnsi" w:hAnsiTheme="minorHAnsi" w:cstheme="minorHAnsi"/>
          <w:color w:val="000000" w:themeColor="text1"/>
          <w:sz w:val="16"/>
          <w:szCs w:val="16"/>
          <w:shd w:val="clear" w:color="auto" w:fill="FFFFFF"/>
          <w:lang w:val="en-US"/>
        </w:rPr>
        <w:t xml:space="preserve">Shoenfeld Y. </w:t>
      </w:r>
    </w:p>
    <w:p w:rsidR="008F6FFE" w:rsidRPr="00E272CB" w:rsidRDefault="008F6FFE" w:rsidP="00E272CB">
      <w:pPr>
        <w:rPr>
          <w:rFonts w:asciiTheme="minorHAnsi" w:hAnsiTheme="minorHAnsi" w:cstheme="minorHAnsi"/>
          <w:color w:val="000000" w:themeColor="text1"/>
          <w:sz w:val="16"/>
          <w:szCs w:val="16"/>
          <w:shd w:val="clear" w:color="auto" w:fill="FFFFFF"/>
          <w:lang w:val="en-US"/>
        </w:rPr>
      </w:pPr>
      <w:r w:rsidRPr="00E272CB">
        <w:rPr>
          <w:rFonts w:asciiTheme="minorHAnsi" w:hAnsiTheme="minorHAnsi" w:cstheme="minorHAnsi"/>
          <w:color w:val="000000" w:themeColor="text1"/>
          <w:sz w:val="16"/>
          <w:szCs w:val="16"/>
          <w:shd w:val="clear" w:color="auto" w:fill="FFFFFF"/>
          <w:lang w:val="en-US"/>
        </w:rPr>
        <w:t>Corona (COVID-19) time musings: Our involvement in COVID-19 pathogenesis, diagnosis, treatment and vaccine planning. </w:t>
      </w:r>
    </w:p>
    <w:p w:rsidR="008F6FFE" w:rsidRPr="00E272CB" w:rsidRDefault="008F6FFE" w:rsidP="00E272CB">
      <w:pPr>
        <w:rPr>
          <w:rFonts w:asciiTheme="minorHAnsi" w:hAnsiTheme="minorHAnsi" w:cstheme="minorHAnsi"/>
          <w:color w:val="000000" w:themeColor="text1"/>
          <w:sz w:val="16"/>
          <w:szCs w:val="16"/>
          <w:lang w:val="en-US"/>
        </w:rPr>
      </w:pPr>
      <w:r w:rsidRPr="00E272CB">
        <w:rPr>
          <w:rFonts w:asciiTheme="minorHAnsi" w:hAnsiTheme="minorHAnsi" w:cstheme="minorHAnsi"/>
          <w:color w:val="000000" w:themeColor="text1"/>
          <w:sz w:val="16"/>
          <w:szCs w:val="16"/>
          <w:shd w:val="clear" w:color="auto" w:fill="FFFFFF"/>
          <w:lang w:val="en-US"/>
        </w:rPr>
        <w:t>Autoimmun Rev. 2020;19(6):102538. doi:10.1016/j.autrev.2020.102538</w:t>
      </w:r>
    </w:p>
    <w:p w:rsidR="008F6FFE" w:rsidRPr="00E272CB" w:rsidRDefault="0052743C" w:rsidP="00E272CB">
      <w:pPr>
        <w:rPr>
          <w:rFonts w:asciiTheme="minorHAnsi" w:hAnsiTheme="minorHAnsi" w:cstheme="minorHAnsi"/>
          <w:color w:val="000000" w:themeColor="text1"/>
          <w:sz w:val="16"/>
          <w:szCs w:val="16"/>
          <w:lang w:val="en-US"/>
        </w:rPr>
      </w:pPr>
      <w:hyperlink r:id="rId674" w:history="1">
        <w:r w:rsidR="008F6FFE" w:rsidRPr="00E272CB">
          <w:rPr>
            <w:rFonts w:asciiTheme="minorHAnsi" w:hAnsiTheme="minorHAnsi" w:cstheme="minorHAnsi"/>
            <w:color w:val="000000" w:themeColor="text1"/>
            <w:sz w:val="16"/>
            <w:szCs w:val="16"/>
            <w:lang w:val="en-US"/>
          </w:rPr>
          <w:t>https://www.ncbi.nlm.nih.gov/pmc/articles/PMC7131471/pdf/main.pdf</w:t>
        </w:r>
      </w:hyperlink>
    </w:p>
    <w:p w:rsidR="008F6FFE" w:rsidRPr="00E272CB" w:rsidRDefault="008F6FFE" w:rsidP="00E272CB">
      <w:pPr>
        <w:rPr>
          <w:rFonts w:asciiTheme="minorHAnsi" w:hAnsiTheme="minorHAnsi" w:cstheme="minorHAnsi"/>
          <w:color w:val="000000" w:themeColor="text1"/>
          <w:sz w:val="16"/>
          <w:szCs w:val="16"/>
          <w:lang w:val="en-US"/>
        </w:rPr>
      </w:pPr>
    </w:p>
    <w:p w:rsidR="008F6FFE" w:rsidRDefault="008F6FFE" w:rsidP="00E272CB">
      <w:pPr>
        <w:rPr>
          <w:rFonts w:asciiTheme="minorHAnsi" w:hAnsiTheme="minorHAnsi" w:cstheme="minorHAnsi"/>
          <w:color w:val="000000" w:themeColor="text1"/>
          <w:sz w:val="16"/>
          <w:szCs w:val="16"/>
          <w:shd w:val="clear" w:color="auto" w:fill="FFFFFF"/>
        </w:rPr>
      </w:pPr>
      <w:r w:rsidRPr="00E272CB">
        <w:rPr>
          <w:rFonts w:asciiTheme="minorHAnsi" w:hAnsiTheme="minorHAnsi" w:cstheme="minorHAnsi"/>
          <w:color w:val="000000" w:themeColor="text1"/>
          <w:sz w:val="16"/>
          <w:szCs w:val="16"/>
          <w:shd w:val="clear" w:color="auto" w:fill="FFFFFF"/>
        </w:rPr>
        <w:t xml:space="preserve">Ruscitti Piero, Berardicurti Onorina, Cipriani Paolo, Iagnocco Annamaria, Shoenfeld Yehuda. </w:t>
      </w:r>
    </w:p>
    <w:p w:rsidR="008F6FFE" w:rsidRPr="00E272CB" w:rsidRDefault="008F6FFE" w:rsidP="00E272CB">
      <w:pPr>
        <w:rPr>
          <w:rFonts w:asciiTheme="minorHAnsi" w:hAnsiTheme="minorHAnsi" w:cstheme="minorHAnsi"/>
          <w:color w:val="000000" w:themeColor="text1"/>
          <w:sz w:val="16"/>
          <w:szCs w:val="16"/>
          <w:shd w:val="clear" w:color="auto" w:fill="FFFFFF"/>
          <w:lang w:val="en-US"/>
        </w:rPr>
      </w:pPr>
      <w:r w:rsidRPr="00E272CB">
        <w:rPr>
          <w:rFonts w:asciiTheme="minorHAnsi" w:hAnsiTheme="minorHAnsi" w:cstheme="minorHAnsi"/>
          <w:color w:val="000000" w:themeColor="text1"/>
          <w:sz w:val="16"/>
          <w:szCs w:val="16"/>
          <w:shd w:val="clear" w:color="auto" w:fill="FFFFFF"/>
          <w:lang w:val="en-US"/>
        </w:rPr>
        <w:t>Severe hyper-inflammatory COVID-19, another piece in the puzzle of the "h</w:t>
      </w:r>
      <w:r>
        <w:rPr>
          <w:rFonts w:asciiTheme="minorHAnsi" w:hAnsiTheme="minorHAnsi" w:cstheme="minorHAnsi"/>
          <w:color w:val="000000" w:themeColor="text1"/>
          <w:sz w:val="16"/>
          <w:szCs w:val="16"/>
          <w:shd w:val="clear" w:color="auto" w:fill="FFFFFF"/>
          <w:lang w:val="en-US"/>
        </w:rPr>
        <w:t>y</w:t>
      </w:r>
      <w:r w:rsidRPr="00E272CB">
        <w:rPr>
          <w:rFonts w:asciiTheme="minorHAnsi" w:hAnsiTheme="minorHAnsi" w:cstheme="minorHAnsi"/>
          <w:color w:val="000000" w:themeColor="text1"/>
          <w:sz w:val="16"/>
          <w:szCs w:val="16"/>
          <w:shd w:val="clear" w:color="auto" w:fill="FFFFFF"/>
          <w:lang w:val="en-US"/>
        </w:rPr>
        <w:t>perferritinemic syndrome". </w:t>
      </w:r>
    </w:p>
    <w:p w:rsidR="008F6FFE" w:rsidRPr="00E272CB" w:rsidRDefault="008F6FFE" w:rsidP="00E272CB">
      <w:pPr>
        <w:rPr>
          <w:rFonts w:asciiTheme="minorHAnsi" w:hAnsiTheme="minorHAnsi" w:cstheme="minorHAnsi"/>
          <w:color w:val="000000" w:themeColor="text1"/>
          <w:sz w:val="16"/>
          <w:szCs w:val="16"/>
          <w:lang w:val="en-US"/>
        </w:rPr>
      </w:pPr>
      <w:r w:rsidRPr="00E272CB">
        <w:rPr>
          <w:rStyle w:val="ref-journal"/>
          <w:rFonts w:asciiTheme="minorHAnsi" w:eastAsiaTheme="majorEastAsia" w:hAnsiTheme="minorHAnsi" w:cstheme="minorHAnsi"/>
          <w:color w:val="000000" w:themeColor="text1"/>
          <w:sz w:val="16"/>
          <w:szCs w:val="16"/>
          <w:shd w:val="clear" w:color="auto" w:fill="FFFFFF"/>
          <w:lang w:val="en-US"/>
        </w:rPr>
        <w:t>Rheumatol Point View. </w:t>
      </w:r>
      <w:r w:rsidRPr="00E272CB">
        <w:rPr>
          <w:rFonts w:asciiTheme="minorHAnsi" w:hAnsiTheme="minorHAnsi" w:cstheme="minorHAnsi"/>
          <w:color w:val="000000" w:themeColor="text1"/>
          <w:sz w:val="16"/>
          <w:szCs w:val="16"/>
          <w:shd w:val="clear" w:color="auto" w:fill="FFFFFF"/>
          <w:lang w:val="en-US"/>
        </w:rPr>
        <w:t>2020 (Submitted for publication)</w:t>
      </w:r>
    </w:p>
    <w:p w:rsidR="008F6FFE" w:rsidRPr="00E272CB" w:rsidRDefault="008F6FFE">
      <w:pPr>
        <w:pStyle w:val="FootnoteText"/>
        <w:rPr>
          <w:lang w:val="en-US"/>
        </w:rPr>
      </w:pPr>
    </w:p>
  </w:footnote>
  <w:footnote w:id="75">
    <w:p w:rsidR="008F6FFE" w:rsidRDefault="008F6FFE" w:rsidP="00994C5B">
      <w:pPr>
        <w:jc w:val="both"/>
        <w:rPr>
          <w:rFonts w:asciiTheme="minorHAnsi" w:hAnsiTheme="minorHAnsi" w:cstheme="minorHAnsi"/>
          <w:color w:val="000000" w:themeColor="text1"/>
          <w:sz w:val="16"/>
          <w:szCs w:val="16"/>
          <w:shd w:val="clear" w:color="auto" w:fill="FFFFFF"/>
          <w:lang w:val="en-US"/>
        </w:rPr>
      </w:pPr>
      <w:r w:rsidRPr="00994C5B">
        <w:rPr>
          <w:rFonts w:asciiTheme="minorHAnsi" w:hAnsiTheme="minorHAnsi" w:cstheme="minorHAnsi"/>
          <w:color w:val="000000" w:themeColor="text1"/>
          <w:sz w:val="16"/>
          <w:szCs w:val="16"/>
          <w:shd w:val="clear" w:color="auto" w:fill="FFFFFF"/>
          <w:vertAlign w:val="superscript"/>
          <w:lang w:val="en-US"/>
        </w:rPr>
        <w:footnoteRef/>
      </w:r>
      <w:r w:rsidRPr="00994C5B">
        <w:rPr>
          <w:rFonts w:asciiTheme="minorHAnsi" w:hAnsiTheme="minorHAnsi" w:cstheme="minorHAnsi"/>
          <w:color w:val="000000" w:themeColor="text1"/>
          <w:sz w:val="16"/>
          <w:szCs w:val="16"/>
          <w:shd w:val="clear" w:color="auto" w:fill="FFFFFF"/>
          <w:vertAlign w:val="superscript"/>
          <w:lang w:val="en-US"/>
        </w:rPr>
        <w:t xml:space="preserve"> </w:t>
      </w:r>
      <w:r w:rsidRPr="00994C5B">
        <w:rPr>
          <w:rFonts w:asciiTheme="minorHAnsi" w:hAnsiTheme="minorHAnsi" w:cstheme="minorHAnsi"/>
          <w:color w:val="000000" w:themeColor="text1"/>
          <w:sz w:val="16"/>
          <w:szCs w:val="16"/>
          <w:shd w:val="clear" w:color="auto" w:fill="FFFFFF"/>
          <w:lang w:val="en-US"/>
        </w:rPr>
        <w:t xml:space="preserve">Cardone M, Yano M, Rosenberg AS and Puig M </w:t>
      </w:r>
    </w:p>
    <w:p w:rsidR="008F6FFE" w:rsidRDefault="008F6FFE" w:rsidP="00994C5B">
      <w:pPr>
        <w:jc w:val="both"/>
        <w:rPr>
          <w:rFonts w:asciiTheme="minorHAnsi" w:hAnsiTheme="minorHAnsi" w:cstheme="minorHAnsi"/>
          <w:color w:val="000000" w:themeColor="text1"/>
          <w:sz w:val="16"/>
          <w:szCs w:val="16"/>
          <w:shd w:val="clear" w:color="auto" w:fill="FFFFFF"/>
          <w:lang w:val="en-US"/>
        </w:rPr>
      </w:pPr>
      <w:r w:rsidRPr="00994C5B">
        <w:rPr>
          <w:rFonts w:asciiTheme="minorHAnsi" w:hAnsiTheme="minorHAnsi" w:cstheme="minorHAnsi"/>
          <w:color w:val="000000" w:themeColor="text1"/>
          <w:sz w:val="16"/>
          <w:szCs w:val="16"/>
          <w:shd w:val="clear" w:color="auto" w:fill="FFFFFF"/>
          <w:lang w:val="en-US"/>
        </w:rPr>
        <w:t>Lessons Learned to Date on COVID-19 Hyperinflammatory Syndrome: Considerations for Interventions to Mitigate SARS-CoV-2 Viral Infection and Detrimental Hyperinflammation. </w:t>
      </w:r>
    </w:p>
    <w:p w:rsidR="008F6FFE" w:rsidRPr="00994C5B" w:rsidRDefault="008F6FFE" w:rsidP="00994C5B">
      <w:pPr>
        <w:jc w:val="both"/>
        <w:rPr>
          <w:rFonts w:asciiTheme="minorHAnsi" w:hAnsiTheme="minorHAnsi" w:cstheme="minorHAnsi"/>
          <w:color w:val="000000" w:themeColor="text1"/>
          <w:sz w:val="16"/>
          <w:szCs w:val="16"/>
          <w:shd w:val="clear" w:color="auto" w:fill="FFFFFF"/>
          <w:lang w:val="en-US"/>
        </w:rPr>
      </w:pPr>
      <w:r w:rsidRPr="00994C5B">
        <w:rPr>
          <w:rFonts w:asciiTheme="minorHAnsi" w:hAnsiTheme="minorHAnsi" w:cstheme="minorHAnsi"/>
          <w:color w:val="000000" w:themeColor="text1"/>
          <w:sz w:val="16"/>
          <w:szCs w:val="16"/>
          <w:shd w:val="clear" w:color="auto" w:fill="FFFFFF"/>
          <w:lang w:val="en-US"/>
        </w:rPr>
        <w:t>Front. Immunol. (2020) 11:1131. doi: 10.3389/fimmu.2020.01131</w:t>
      </w:r>
    </w:p>
    <w:p w:rsidR="008F6FFE" w:rsidRPr="00994C5B" w:rsidRDefault="0052743C" w:rsidP="00994C5B">
      <w:pPr>
        <w:jc w:val="both"/>
        <w:rPr>
          <w:rFonts w:asciiTheme="minorHAnsi" w:hAnsiTheme="minorHAnsi" w:cstheme="minorHAnsi"/>
          <w:color w:val="000000" w:themeColor="text1"/>
          <w:sz w:val="16"/>
          <w:szCs w:val="16"/>
          <w:shd w:val="clear" w:color="auto" w:fill="FFFFFF"/>
          <w:lang w:val="en-US"/>
        </w:rPr>
      </w:pPr>
      <w:hyperlink r:id="rId675" w:history="1">
        <w:r w:rsidR="008F6FFE" w:rsidRPr="00994C5B">
          <w:rPr>
            <w:rFonts w:asciiTheme="minorHAnsi" w:hAnsiTheme="minorHAnsi" w:cstheme="minorHAnsi"/>
            <w:color w:val="000000" w:themeColor="text1"/>
            <w:sz w:val="16"/>
            <w:szCs w:val="16"/>
            <w:shd w:val="clear" w:color="auto" w:fill="FFFFFF"/>
            <w:lang w:val="en-US"/>
          </w:rPr>
          <w:t>https://www.ncbi.nlm.nih.gov/pmc/articles/PMC7272717/pdf/fimmu-11-01131.pdf</w:t>
        </w:r>
      </w:hyperlink>
    </w:p>
    <w:p w:rsidR="008F6FFE" w:rsidRPr="00994C5B" w:rsidRDefault="008F6FFE" w:rsidP="00994C5B">
      <w:pPr>
        <w:jc w:val="both"/>
        <w:rPr>
          <w:rFonts w:asciiTheme="minorHAnsi" w:hAnsiTheme="minorHAnsi" w:cstheme="minorHAnsi"/>
          <w:color w:val="000000" w:themeColor="text1"/>
          <w:sz w:val="16"/>
          <w:szCs w:val="16"/>
          <w:shd w:val="clear" w:color="auto" w:fill="FFFFFF"/>
          <w:lang w:val="en-US"/>
        </w:rPr>
      </w:pPr>
    </w:p>
    <w:p w:rsidR="008F6FFE" w:rsidRDefault="008F6FFE" w:rsidP="00994C5B">
      <w:pPr>
        <w:jc w:val="both"/>
        <w:rPr>
          <w:rFonts w:asciiTheme="minorHAnsi" w:hAnsiTheme="minorHAnsi" w:cstheme="minorHAnsi"/>
          <w:color w:val="000000" w:themeColor="text1"/>
          <w:sz w:val="16"/>
          <w:szCs w:val="16"/>
          <w:shd w:val="clear" w:color="auto" w:fill="FFFFFF"/>
          <w:lang w:val="en-US"/>
        </w:rPr>
      </w:pPr>
      <w:r w:rsidRPr="00994C5B">
        <w:rPr>
          <w:rFonts w:asciiTheme="minorHAnsi" w:hAnsiTheme="minorHAnsi" w:cstheme="minorHAnsi"/>
          <w:color w:val="000000" w:themeColor="text1"/>
          <w:sz w:val="16"/>
          <w:szCs w:val="16"/>
          <w:shd w:val="clear" w:color="auto" w:fill="FFFFFF"/>
          <w:lang w:val="en-US"/>
        </w:rPr>
        <w:t>Tay, M.Z., Poh, C.M., Rénia, L. et al. </w:t>
      </w:r>
    </w:p>
    <w:p w:rsidR="008F6FFE" w:rsidRDefault="008F6FFE" w:rsidP="00994C5B">
      <w:pPr>
        <w:jc w:val="both"/>
        <w:rPr>
          <w:rFonts w:asciiTheme="minorHAnsi" w:hAnsiTheme="minorHAnsi" w:cstheme="minorHAnsi"/>
          <w:color w:val="000000" w:themeColor="text1"/>
          <w:sz w:val="16"/>
          <w:szCs w:val="16"/>
          <w:shd w:val="clear" w:color="auto" w:fill="FFFFFF"/>
          <w:lang w:val="en-US"/>
        </w:rPr>
      </w:pPr>
      <w:r w:rsidRPr="00994C5B">
        <w:rPr>
          <w:rFonts w:asciiTheme="minorHAnsi" w:hAnsiTheme="minorHAnsi" w:cstheme="minorHAnsi"/>
          <w:color w:val="000000" w:themeColor="text1"/>
          <w:sz w:val="16"/>
          <w:szCs w:val="16"/>
          <w:shd w:val="clear" w:color="auto" w:fill="FFFFFF"/>
          <w:lang w:val="en-US"/>
        </w:rPr>
        <w:t>The trinity of COVID-19: immunity, inflammation and intervention. </w:t>
      </w:r>
    </w:p>
    <w:p w:rsidR="008F6FFE" w:rsidRPr="00994C5B" w:rsidRDefault="008F6FFE" w:rsidP="00994C5B">
      <w:pPr>
        <w:jc w:val="both"/>
        <w:rPr>
          <w:rFonts w:asciiTheme="minorHAnsi" w:hAnsiTheme="minorHAnsi" w:cstheme="minorHAnsi"/>
          <w:color w:val="000000" w:themeColor="text1"/>
          <w:sz w:val="16"/>
          <w:szCs w:val="16"/>
          <w:shd w:val="clear" w:color="auto" w:fill="FFFFFF"/>
          <w:lang w:val="en-US"/>
        </w:rPr>
      </w:pPr>
      <w:r w:rsidRPr="00994C5B">
        <w:rPr>
          <w:rFonts w:asciiTheme="minorHAnsi" w:hAnsiTheme="minorHAnsi" w:cstheme="minorHAnsi"/>
          <w:color w:val="000000" w:themeColor="text1"/>
          <w:sz w:val="16"/>
          <w:szCs w:val="16"/>
          <w:shd w:val="clear" w:color="auto" w:fill="FFFFFF"/>
          <w:lang w:val="en-US"/>
        </w:rPr>
        <w:t>Nat Rev Immunol 20, 363–374 (2020). https://doi.org/10.1038/s41577-020-0311-8</w:t>
      </w:r>
    </w:p>
    <w:p w:rsidR="008F6FFE" w:rsidRPr="00994C5B" w:rsidRDefault="0052743C" w:rsidP="00994C5B">
      <w:pPr>
        <w:jc w:val="both"/>
        <w:rPr>
          <w:rFonts w:asciiTheme="minorHAnsi" w:hAnsiTheme="minorHAnsi" w:cstheme="minorHAnsi"/>
          <w:color w:val="000000" w:themeColor="text1"/>
          <w:sz w:val="16"/>
          <w:szCs w:val="16"/>
          <w:shd w:val="clear" w:color="auto" w:fill="FFFFFF"/>
          <w:lang w:val="en-US"/>
        </w:rPr>
      </w:pPr>
      <w:hyperlink r:id="rId676" w:history="1">
        <w:r w:rsidR="008F6FFE" w:rsidRPr="00994C5B">
          <w:rPr>
            <w:rFonts w:asciiTheme="minorHAnsi" w:hAnsiTheme="minorHAnsi" w:cstheme="minorHAnsi"/>
            <w:color w:val="000000" w:themeColor="text1"/>
            <w:sz w:val="16"/>
            <w:szCs w:val="16"/>
            <w:shd w:val="clear" w:color="auto" w:fill="FFFFFF"/>
            <w:lang w:val="en-US"/>
          </w:rPr>
          <w:t>https://www.nature.com/articles/s41577-020-0311-8.pdf</w:t>
        </w:r>
      </w:hyperlink>
    </w:p>
    <w:p w:rsidR="008F6FFE" w:rsidRPr="00994C5B" w:rsidRDefault="008F6FFE" w:rsidP="00994C5B">
      <w:pPr>
        <w:jc w:val="both"/>
        <w:rPr>
          <w:rFonts w:asciiTheme="minorHAnsi" w:hAnsiTheme="minorHAnsi" w:cstheme="minorHAnsi"/>
          <w:color w:val="000000" w:themeColor="text1"/>
          <w:sz w:val="16"/>
          <w:szCs w:val="16"/>
          <w:shd w:val="clear" w:color="auto" w:fill="FFFFFF"/>
          <w:lang w:val="en-US"/>
        </w:rPr>
      </w:pPr>
    </w:p>
    <w:p w:rsidR="008F6FFE" w:rsidRPr="00994C5B" w:rsidRDefault="008F6FFE" w:rsidP="00994C5B">
      <w:pPr>
        <w:jc w:val="both"/>
        <w:rPr>
          <w:rFonts w:asciiTheme="minorHAnsi" w:hAnsiTheme="minorHAnsi" w:cstheme="minorHAnsi"/>
          <w:color w:val="000000" w:themeColor="text1"/>
          <w:sz w:val="16"/>
          <w:szCs w:val="16"/>
          <w:shd w:val="clear" w:color="auto" w:fill="FFFFFF"/>
          <w:lang w:val="en-US"/>
        </w:rPr>
      </w:pPr>
      <w:r w:rsidRPr="00994C5B">
        <w:rPr>
          <w:rFonts w:asciiTheme="minorHAnsi" w:hAnsiTheme="minorHAnsi" w:cstheme="minorHAnsi"/>
          <w:color w:val="000000" w:themeColor="text1"/>
          <w:sz w:val="16"/>
          <w:szCs w:val="16"/>
          <w:shd w:val="clear" w:color="auto" w:fill="FFFFFF"/>
          <w:lang w:val="en-US"/>
        </w:rPr>
        <w:t>Girija ASS, Shankar EM and Larsson M (2020) Could SARS-CoV-2-Induced Hyperinflammation Magnify the Severity of Coronavirus Disease (CoViD-19) Leading to Acute Respiratory Distress Syndrome? Front. Immunol. 11:1206. doi: 10.3389/fimmu.2020.01206</w:t>
      </w:r>
    </w:p>
    <w:p w:rsidR="008F6FFE" w:rsidRPr="00994C5B" w:rsidRDefault="0052743C" w:rsidP="00994C5B">
      <w:pPr>
        <w:jc w:val="both"/>
        <w:rPr>
          <w:rFonts w:asciiTheme="minorHAnsi" w:hAnsiTheme="minorHAnsi" w:cstheme="minorHAnsi"/>
          <w:color w:val="000000" w:themeColor="text1"/>
          <w:sz w:val="16"/>
          <w:szCs w:val="16"/>
          <w:shd w:val="clear" w:color="auto" w:fill="FFFFFF"/>
          <w:lang w:val="en-US"/>
        </w:rPr>
      </w:pPr>
      <w:hyperlink r:id="rId677" w:history="1">
        <w:r w:rsidR="008F6FFE" w:rsidRPr="00994C5B">
          <w:rPr>
            <w:rFonts w:asciiTheme="minorHAnsi" w:hAnsiTheme="minorHAnsi" w:cstheme="minorHAnsi"/>
            <w:color w:val="000000" w:themeColor="text1"/>
            <w:sz w:val="16"/>
            <w:szCs w:val="16"/>
            <w:shd w:val="clear" w:color="auto" w:fill="FFFFFF"/>
            <w:lang w:val="en-US"/>
          </w:rPr>
          <w:t>https://www.frontiersin.org/articles/10.3389/fimmu.2020.01206/full</w:t>
        </w:r>
      </w:hyperlink>
    </w:p>
    <w:p w:rsidR="008F6FFE" w:rsidRPr="00994C5B" w:rsidRDefault="008F6FFE">
      <w:pPr>
        <w:pStyle w:val="FootnoteText"/>
        <w:rPr>
          <w:rFonts w:asciiTheme="minorHAnsi" w:hAnsiTheme="minorHAnsi" w:cstheme="minorHAnsi"/>
          <w:sz w:val="16"/>
          <w:szCs w:val="16"/>
          <w:lang w:val="en-US"/>
        </w:rPr>
      </w:pPr>
    </w:p>
  </w:footnote>
  <w:footnote w:id="76">
    <w:p w:rsidR="008F6FFE" w:rsidRPr="00235A16" w:rsidRDefault="008F6FFE" w:rsidP="00FA11B0">
      <w:pPr>
        <w:jc w:val="both"/>
        <w:rPr>
          <w:rFonts w:asciiTheme="minorHAnsi" w:hAnsiTheme="minorHAnsi" w:cstheme="minorHAnsi"/>
          <w:color w:val="000000" w:themeColor="text1"/>
          <w:sz w:val="16"/>
          <w:szCs w:val="16"/>
          <w:shd w:val="clear" w:color="auto" w:fill="FFFFFF"/>
          <w:lang w:val="de-DE"/>
        </w:rPr>
      </w:pPr>
      <w:r w:rsidRPr="006F2A5F">
        <w:rPr>
          <w:rStyle w:val="FootnoteReference"/>
          <w:rFonts w:asciiTheme="minorHAnsi" w:hAnsiTheme="minorHAnsi" w:cstheme="minorHAnsi"/>
          <w:color w:val="000000" w:themeColor="text1"/>
          <w:sz w:val="16"/>
          <w:szCs w:val="16"/>
        </w:rPr>
        <w:footnoteRef/>
      </w:r>
      <w:r w:rsidRPr="00235A16">
        <w:rPr>
          <w:rFonts w:asciiTheme="minorHAnsi" w:hAnsiTheme="minorHAnsi" w:cstheme="minorHAnsi"/>
          <w:color w:val="000000" w:themeColor="text1"/>
          <w:sz w:val="16"/>
          <w:szCs w:val="16"/>
          <w:lang w:val="de-DE"/>
        </w:rPr>
        <w:t xml:space="preserve"> </w:t>
      </w:r>
      <w:r w:rsidRPr="00235A16">
        <w:rPr>
          <w:rFonts w:asciiTheme="minorHAnsi" w:hAnsiTheme="minorHAnsi" w:cstheme="minorHAnsi"/>
          <w:color w:val="000000" w:themeColor="text1"/>
          <w:sz w:val="16"/>
          <w:szCs w:val="16"/>
          <w:shd w:val="clear" w:color="auto" w:fill="FFFFFF"/>
          <w:lang w:val="de-DE"/>
        </w:rPr>
        <w:t>Felsenstein S, Herbert JA, McNamara PS, Hedrich CM.</w:t>
      </w:r>
    </w:p>
    <w:p w:rsidR="008F6FFE" w:rsidRPr="006F2A5F" w:rsidRDefault="008F6FFE" w:rsidP="00FA11B0">
      <w:pPr>
        <w:jc w:val="both"/>
        <w:rPr>
          <w:rFonts w:asciiTheme="minorHAnsi" w:hAnsiTheme="minorHAnsi" w:cstheme="minorHAnsi"/>
          <w:color w:val="000000" w:themeColor="text1"/>
          <w:sz w:val="16"/>
          <w:szCs w:val="16"/>
          <w:shd w:val="clear" w:color="auto" w:fill="FFFFFF"/>
          <w:lang w:val="en-US"/>
        </w:rPr>
      </w:pPr>
      <w:r w:rsidRPr="006F2A5F">
        <w:rPr>
          <w:rFonts w:asciiTheme="minorHAnsi" w:hAnsiTheme="minorHAnsi" w:cstheme="minorHAnsi"/>
          <w:color w:val="000000" w:themeColor="text1"/>
          <w:sz w:val="16"/>
          <w:szCs w:val="16"/>
          <w:shd w:val="clear" w:color="auto" w:fill="FFFFFF"/>
          <w:lang w:val="en-US"/>
        </w:rPr>
        <w:t xml:space="preserve">COVID-19: Immunology and treatment options </w:t>
      </w:r>
    </w:p>
    <w:p w:rsidR="008F6FFE" w:rsidRPr="006F2A5F" w:rsidRDefault="008F6FFE" w:rsidP="00FA11B0">
      <w:pPr>
        <w:jc w:val="both"/>
        <w:rPr>
          <w:rFonts w:asciiTheme="minorHAnsi" w:hAnsiTheme="minorHAnsi" w:cstheme="minorHAnsi"/>
          <w:color w:val="000000" w:themeColor="text1"/>
          <w:sz w:val="16"/>
          <w:szCs w:val="16"/>
          <w:lang w:val="en-US"/>
        </w:rPr>
      </w:pPr>
      <w:r w:rsidRPr="006F2A5F">
        <w:rPr>
          <w:rFonts w:asciiTheme="minorHAnsi" w:hAnsiTheme="minorHAnsi" w:cstheme="minorHAnsi"/>
          <w:color w:val="000000" w:themeColor="text1"/>
          <w:sz w:val="16"/>
          <w:szCs w:val="16"/>
          <w:shd w:val="clear" w:color="auto" w:fill="FFFFFF"/>
          <w:lang w:val="en-US"/>
        </w:rPr>
        <w:t>Clin Immunol. 2020;215:108448. doi:10.1016/j.clim.2020.108448</w:t>
      </w:r>
    </w:p>
    <w:p w:rsidR="008F6FFE" w:rsidRDefault="0052743C" w:rsidP="00FA11B0">
      <w:pPr>
        <w:jc w:val="both"/>
        <w:rPr>
          <w:rStyle w:val="Hyperlink"/>
          <w:rFonts w:asciiTheme="minorHAnsi" w:eastAsiaTheme="majorEastAsia" w:hAnsiTheme="minorHAnsi" w:cstheme="minorHAnsi"/>
          <w:color w:val="000000" w:themeColor="text1"/>
          <w:sz w:val="16"/>
          <w:szCs w:val="16"/>
          <w:u w:val="none"/>
          <w:lang w:val="en-US"/>
        </w:rPr>
      </w:pPr>
      <w:hyperlink r:id="rId678" w:history="1">
        <w:r w:rsidR="008F6FFE" w:rsidRPr="006F2A5F">
          <w:rPr>
            <w:rStyle w:val="Hyperlink"/>
            <w:rFonts w:asciiTheme="minorHAnsi" w:eastAsiaTheme="majorEastAsia" w:hAnsiTheme="minorHAnsi" w:cstheme="minorHAnsi"/>
            <w:color w:val="000000" w:themeColor="text1"/>
            <w:sz w:val="16"/>
            <w:szCs w:val="16"/>
            <w:u w:val="none"/>
            <w:lang w:val="en-US"/>
          </w:rPr>
          <w:t>https://www.ncbi.nlm.nih.gov/pmc/articles/PMC7185015/pdf/main.pdf</w:t>
        </w:r>
      </w:hyperlink>
    </w:p>
    <w:p w:rsidR="008F6FFE" w:rsidRPr="00DC48B4" w:rsidRDefault="008F6FFE" w:rsidP="00FA11B0">
      <w:pPr>
        <w:jc w:val="both"/>
        <w:rPr>
          <w:rFonts w:asciiTheme="minorHAnsi" w:hAnsiTheme="minorHAnsi" w:cstheme="minorHAnsi"/>
          <w:sz w:val="16"/>
          <w:szCs w:val="16"/>
          <w:shd w:val="clear" w:color="auto" w:fill="FFFFFF"/>
          <w:lang w:val="en-US"/>
        </w:rPr>
      </w:pPr>
    </w:p>
    <w:p w:rsidR="008F6FFE" w:rsidRPr="00C51125" w:rsidRDefault="008F6FFE" w:rsidP="00C51125">
      <w:pPr>
        <w:jc w:val="both"/>
        <w:rPr>
          <w:rFonts w:asciiTheme="minorHAnsi" w:hAnsiTheme="minorHAnsi" w:cstheme="minorHAnsi"/>
          <w:color w:val="000000" w:themeColor="text1"/>
          <w:sz w:val="16"/>
          <w:szCs w:val="16"/>
          <w:shd w:val="clear" w:color="auto" w:fill="FFFFFF"/>
        </w:rPr>
      </w:pPr>
      <w:r w:rsidRPr="00C51125">
        <w:rPr>
          <w:rFonts w:asciiTheme="minorHAnsi" w:hAnsiTheme="minorHAnsi" w:cstheme="minorHAnsi"/>
          <w:color w:val="000000" w:themeColor="text1"/>
          <w:sz w:val="16"/>
          <w:szCs w:val="16"/>
          <w:shd w:val="clear" w:color="auto" w:fill="FFFFFF"/>
        </w:rPr>
        <w:t xml:space="preserve">Bindoli S, Felicetti M, Sfriso P, Doria A. </w:t>
      </w:r>
    </w:p>
    <w:p w:rsidR="008F6FFE" w:rsidRPr="00DC48B4" w:rsidRDefault="008F6FFE" w:rsidP="00C51125">
      <w:pPr>
        <w:jc w:val="both"/>
        <w:rPr>
          <w:rFonts w:asciiTheme="minorHAnsi" w:hAnsiTheme="minorHAnsi" w:cstheme="minorHAnsi"/>
          <w:color w:val="000000" w:themeColor="text1"/>
          <w:sz w:val="16"/>
          <w:szCs w:val="16"/>
          <w:shd w:val="clear" w:color="auto" w:fill="FFFFFF"/>
          <w:lang w:val="en-US"/>
        </w:rPr>
      </w:pPr>
      <w:r w:rsidRPr="00DC48B4">
        <w:rPr>
          <w:rFonts w:asciiTheme="minorHAnsi" w:hAnsiTheme="minorHAnsi" w:cstheme="minorHAnsi"/>
          <w:color w:val="000000" w:themeColor="text1"/>
          <w:sz w:val="16"/>
          <w:szCs w:val="16"/>
          <w:shd w:val="clear" w:color="auto" w:fill="FFFFFF"/>
          <w:lang w:val="en-US"/>
        </w:rPr>
        <w:t xml:space="preserve">The amount of cytokine-release defines different shades of Sars-Cov2 infection </w:t>
      </w:r>
    </w:p>
    <w:p w:rsidR="008F6FFE" w:rsidRPr="00DC48B4" w:rsidRDefault="008F6FFE" w:rsidP="00C51125">
      <w:pPr>
        <w:jc w:val="both"/>
        <w:rPr>
          <w:rFonts w:asciiTheme="minorHAnsi" w:hAnsiTheme="minorHAnsi" w:cstheme="minorHAnsi"/>
          <w:color w:val="000000" w:themeColor="text1"/>
          <w:sz w:val="16"/>
          <w:szCs w:val="16"/>
          <w:shd w:val="clear" w:color="auto" w:fill="FFFFFF"/>
          <w:lang w:val="en-US"/>
        </w:rPr>
      </w:pPr>
      <w:r w:rsidRPr="00DC48B4">
        <w:rPr>
          <w:rFonts w:asciiTheme="minorHAnsi" w:hAnsiTheme="minorHAnsi" w:cstheme="minorHAnsi"/>
          <w:color w:val="000000" w:themeColor="text1"/>
          <w:sz w:val="16"/>
          <w:szCs w:val="16"/>
          <w:shd w:val="clear" w:color="auto" w:fill="FFFFFF"/>
          <w:lang w:val="en-US"/>
        </w:rPr>
        <w:t>Exp Biol Med (Maywood). 2020;1535370220928964. doi:10.1177/1535370220928964</w:t>
      </w:r>
    </w:p>
    <w:p w:rsidR="008F6FFE" w:rsidRPr="006F2A5F" w:rsidRDefault="0052743C" w:rsidP="00C51125">
      <w:pPr>
        <w:jc w:val="both"/>
        <w:rPr>
          <w:lang w:val="en-US"/>
        </w:rPr>
      </w:pPr>
      <w:hyperlink r:id="rId679" w:history="1">
        <w:r w:rsidR="008F6FFE" w:rsidRPr="00DC48B4">
          <w:rPr>
            <w:rFonts w:asciiTheme="minorHAnsi" w:hAnsiTheme="minorHAnsi" w:cstheme="minorHAnsi"/>
            <w:color w:val="000000" w:themeColor="text1"/>
            <w:sz w:val="16"/>
            <w:szCs w:val="16"/>
            <w:shd w:val="clear" w:color="auto" w:fill="FFFFFF"/>
            <w:lang w:val="en-US"/>
          </w:rPr>
          <w:t>https://journals.sagepub.com/doi/pdf/10.1177/1535370220928964</w:t>
        </w:r>
      </w:hyperlink>
    </w:p>
  </w:footnote>
  <w:footnote w:id="77">
    <w:p w:rsidR="008F6FFE" w:rsidRPr="00717D4D" w:rsidRDefault="008F6FFE" w:rsidP="00717D4D">
      <w:pPr>
        <w:rPr>
          <w:rStyle w:val="labs-docsum-journal-citation"/>
          <w:rFonts w:asciiTheme="minorHAnsi" w:hAnsi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Style w:val="labs-docsum-journal-citation"/>
          <w:rFonts w:asciiTheme="minorHAnsi" w:hAnsiTheme="minorHAnsi"/>
          <w:color w:val="000000" w:themeColor="text1"/>
          <w:sz w:val="16"/>
          <w:szCs w:val="16"/>
          <w:lang w:val="en-US"/>
        </w:rPr>
        <w:t>Clin Immunol 2020 May;214:108393. doi: 10.1016/j.clim.2020.108393. </w:t>
      </w:r>
    </w:p>
    <w:p w:rsidR="008F6FFE" w:rsidRPr="00717D4D" w:rsidRDefault="008F6FFE" w:rsidP="00FB1A0B">
      <w:pPr>
        <w:jc w:val="both"/>
        <w:rPr>
          <w:rStyle w:val="labs-docsum-journal-citation"/>
          <w:rFonts w:asciiTheme="minorHAnsi" w:hAnsiTheme="minorHAnsi"/>
          <w:color w:val="000000" w:themeColor="text1"/>
          <w:sz w:val="16"/>
          <w:szCs w:val="16"/>
          <w:lang w:val="en-US"/>
        </w:rPr>
      </w:pPr>
      <w:r w:rsidRPr="00717D4D">
        <w:rPr>
          <w:rStyle w:val="labs-docsum-journal-citation"/>
          <w:rFonts w:asciiTheme="minorHAnsi" w:hAnsiTheme="minorHAnsi"/>
          <w:color w:val="000000" w:themeColor="text1"/>
          <w:sz w:val="16"/>
          <w:szCs w:val="16"/>
          <w:lang w:val="en-US"/>
        </w:rPr>
        <w:t>The Use of Anti-Inflammatory Drugs in the Treatment of People with Severe Coronavirus Disease 2019 (COVID-19): The Perspectives of Clinical Immunologists from China</w:t>
      </w:r>
    </w:p>
    <w:p w:rsidR="008F6FFE" w:rsidRPr="00235A16" w:rsidRDefault="0052743C" w:rsidP="00717D4D">
      <w:pPr>
        <w:rPr>
          <w:rFonts w:asciiTheme="minorHAnsi" w:hAnsiTheme="minorHAnsi"/>
          <w:sz w:val="16"/>
          <w:szCs w:val="16"/>
          <w:lang w:val="de-DE"/>
        </w:rPr>
      </w:pPr>
      <w:hyperlink r:id="rId680" w:history="1">
        <w:r w:rsidR="008F6FFE" w:rsidRPr="00235A16">
          <w:rPr>
            <w:rStyle w:val="labs-docsum-journal-citation"/>
            <w:rFonts w:asciiTheme="minorHAnsi" w:hAnsiTheme="minorHAnsi"/>
            <w:color w:val="000000" w:themeColor="text1"/>
            <w:sz w:val="16"/>
            <w:szCs w:val="16"/>
            <w:lang w:val="de-DE"/>
          </w:rPr>
          <w:t>Wen Zhang</w:t>
        </w:r>
      </w:hyperlink>
      <w:r w:rsidR="008F6FFE" w:rsidRPr="00235A16">
        <w:rPr>
          <w:rStyle w:val="labs-docsum-journal-citation"/>
          <w:rFonts w:asciiTheme="minorHAnsi" w:hAnsiTheme="minorHAnsi"/>
          <w:color w:val="000000" w:themeColor="text1"/>
          <w:sz w:val="16"/>
          <w:szCs w:val="16"/>
          <w:lang w:val="de-DE"/>
        </w:rPr>
        <w:t> </w:t>
      </w:r>
      <w:r w:rsidR="008F6FFE" w:rsidRPr="00235A16">
        <w:rPr>
          <w:rFonts w:asciiTheme="minorHAnsi" w:hAnsiTheme="minorHAnsi"/>
          <w:sz w:val="16"/>
          <w:szCs w:val="16"/>
          <w:lang w:val="de-DE"/>
        </w:rPr>
        <w:t>et al</w:t>
      </w:r>
    </w:p>
    <w:p w:rsidR="008F6FFE" w:rsidRPr="00235A16" w:rsidRDefault="0052743C" w:rsidP="00663C61">
      <w:pPr>
        <w:rPr>
          <w:rFonts w:asciiTheme="minorHAnsi" w:hAnsiTheme="minorHAnsi" w:cstheme="minorHAnsi"/>
          <w:color w:val="000000" w:themeColor="text1"/>
          <w:sz w:val="16"/>
          <w:szCs w:val="16"/>
          <w:lang w:val="de-DE"/>
        </w:rPr>
      </w:pPr>
      <w:hyperlink r:id="rId681" w:history="1">
        <w:r w:rsidR="008F6FFE" w:rsidRPr="00235A16">
          <w:rPr>
            <w:rFonts w:asciiTheme="minorHAnsi" w:hAnsiTheme="minorHAnsi" w:cstheme="minorHAnsi"/>
            <w:color w:val="000000" w:themeColor="text1"/>
            <w:sz w:val="16"/>
            <w:szCs w:val="16"/>
            <w:lang w:val="de-DE"/>
          </w:rPr>
          <w:t>https://www.ncbi.nlm.nih.gov/pmc/articles/PMC7102614/pdf/main.pdf</w:t>
        </w:r>
      </w:hyperlink>
    </w:p>
  </w:footnote>
  <w:footnote w:id="78">
    <w:p w:rsidR="008F6FFE" w:rsidRPr="009075A1" w:rsidRDefault="008F6FFE" w:rsidP="00673217">
      <w:pPr>
        <w:jc w:val="both"/>
        <w:rPr>
          <w:rStyle w:val="labs-docsum-journal-citation"/>
          <w:rFonts w:asciiTheme="minorHAnsi" w:hAnsiTheme="minorHAnsi"/>
          <w:color w:val="000000" w:themeColor="text1"/>
          <w:sz w:val="16"/>
          <w:szCs w:val="16"/>
        </w:rPr>
      </w:pPr>
      <w:r w:rsidRPr="00673217">
        <w:rPr>
          <w:rStyle w:val="labs-docsum-journal-citation"/>
          <w:rFonts w:asciiTheme="minorHAnsi" w:hAnsiTheme="minorHAnsi"/>
          <w:color w:val="000000" w:themeColor="text1"/>
          <w:sz w:val="16"/>
          <w:szCs w:val="16"/>
          <w:vertAlign w:val="superscript"/>
          <w:lang w:val="en-US"/>
        </w:rPr>
        <w:footnoteRef/>
      </w:r>
      <w:r w:rsidRPr="00673217">
        <w:rPr>
          <w:rStyle w:val="labs-docsum-journal-citation"/>
          <w:rFonts w:asciiTheme="minorHAnsi" w:hAnsiTheme="minorHAnsi"/>
          <w:color w:val="000000" w:themeColor="text1"/>
          <w:sz w:val="16"/>
          <w:szCs w:val="16"/>
          <w:vertAlign w:val="superscript"/>
        </w:rPr>
        <w:t xml:space="preserve"> </w:t>
      </w:r>
      <w:r w:rsidRPr="009075A1">
        <w:rPr>
          <w:rStyle w:val="labs-docsum-journal-citation"/>
          <w:rFonts w:asciiTheme="minorHAnsi" w:hAnsiTheme="minorHAnsi"/>
          <w:color w:val="000000" w:themeColor="text1"/>
          <w:sz w:val="16"/>
          <w:szCs w:val="16"/>
        </w:rPr>
        <w:t xml:space="preserve">Fu, Y., Cheng, Y. &amp; Wu, Y. </w:t>
      </w:r>
    </w:p>
    <w:p w:rsidR="008F6FFE"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Understanding SARS-CoV-2-Mediated Inflammatory Responses: From Mechanisms to Potential Therapeutic Tools. </w:t>
      </w:r>
    </w:p>
    <w:p w:rsidR="008F6FFE" w:rsidRPr="00673217"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Virol. Sin.(2020). https://doi.org/10.1007/s12250-020-00207-4</w:t>
      </w:r>
    </w:p>
    <w:p w:rsidR="008F6FFE" w:rsidRPr="00673217" w:rsidRDefault="0052743C" w:rsidP="00673217">
      <w:pPr>
        <w:jc w:val="both"/>
        <w:rPr>
          <w:rStyle w:val="labs-docsum-journal-citation"/>
          <w:rFonts w:asciiTheme="minorHAnsi" w:hAnsiTheme="minorHAnsi"/>
          <w:color w:val="000000" w:themeColor="text1"/>
          <w:sz w:val="16"/>
          <w:szCs w:val="16"/>
          <w:lang w:val="en-US"/>
        </w:rPr>
      </w:pPr>
      <w:hyperlink r:id="rId682" w:history="1">
        <w:r w:rsidR="008F6FFE" w:rsidRPr="00673217">
          <w:rPr>
            <w:rStyle w:val="labs-docsum-journal-citation"/>
            <w:rFonts w:asciiTheme="minorHAnsi" w:hAnsiTheme="minorHAnsi"/>
            <w:color w:val="000000" w:themeColor="text1"/>
            <w:sz w:val="16"/>
            <w:szCs w:val="16"/>
            <w:lang w:val="en-US"/>
          </w:rPr>
          <w:t>https://link.springer.com/content/pdf/10.1007/s12250-020-00207-4.pdf</w:t>
        </w:r>
      </w:hyperlink>
    </w:p>
    <w:p w:rsidR="008F6FFE" w:rsidRPr="00673217" w:rsidRDefault="008F6FFE" w:rsidP="00673217">
      <w:pPr>
        <w:jc w:val="both"/>
        <w:rPr>
          <w:rStyle w:val="labs-docsum-journal-citation"/>
          <w:rFonts w:asciiTheme="minorHAnsi" w:hAnsiTheme="minorHAnsi"/>
          <w:color w:val="000000" w:themeColor="text1"/>
          <w:sz w:val="16"/>
          <w:szCs w:val="16"/>
          <w:lang w:val="en-US"/>
        </w:rPr>
      </w:pPr>
    </w:p>
    <w:p w:rsidR="008F6FFE"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 xml:space="preserve">Takada A, Kawaoka Y. </w:t>
      </w:r>
    </w:p>
    <w:p w:rsidR="008F6FFE"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Antibody-dependent enhancement of viral infection: molecular mechanisms and in vivo implications. </w:t>
      </w:r>
    </w:p>
    <w:p w:rsidR="008F6FFE" w:rsidRPr="00673217"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Rev Med Virol. 2003;13(6):387-398. doi:10.1002/rmv.405</w:t>
      </w:r>
    </w:p>
    <w:p w:rsidR="008F6FFE" w:rsidRPr="00673217" w:rsidRDefault="008F6FFE" w:rsidP="00673217">
      <w:pPr>
        <w:jc w:val="both"/>
        <w:rPr>
          <w:rStyle w:val="labs-docsum-journal-citation"/>
          <w:rFonts w:asciiTheme="minorHAnsi" w:hAnsiTheme="minorHAnsi"/>
          <w:color w:val="000000" w:themeColor="text1"/>
          <w:sz w:val="16"/>
          <w:szCs w:val="16"/>
          <w:lang w:val="en-US"/>
        </w:rPr>
      </w:pPr>
    </w:p>
    <w:p w:rsidR="008F6FFE" w:rsidRPr="00235A16" w:rsidRDefault="008F6FFE" w:rsidP="00673217">
      <w:pPr>
        <w:jc w:val="both"/>
        <w:rPr>
          <w:rStyle w:val="labs-docsum-journal-citation"/>
          <w:rFonts w:asciiTheme="minorHAnsi" w:hAnsiTheme="minorHAnsi"/>
          <w:color w:val="000000" w:themeColor="text1"/>
          <w:sz w:val="16"/>
          <w:szCs w:val="16"/>
          <w:lang w:val="de-DE"/>
        </w:rPr>
      </w:pPr>
      <w:r w:rsidRPr="00235A16">
        <w:rPr>
          <w:rStyle w:val="labs-docsum-journal-citation"/>
          <w:rFonts w:asciiTheme="minorHAnsi" w:hAnsiTheme="minorHAnsi"/>
          <w:color w:val="000000" w:themeColor="text1"/>
          <w:sz w:val="16"/>
          <w:szCs w:val="16"/>
          <w:lang w:val="de-DE"/>
        </w:rPr>
        <w:t xml:space="preserve">Jin, Y.; Yang, H.; Ji, W.; Wu, W.; Chen, S.; Zhang, W.; Duan, G. </w:t>
      </w:r>
    </w:p>
    <w:p w:rsidR="008F6FFE" w:rsidRPr="00673217"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Virology, Epidemiology, Pathogenesis, and Control of COVID-19. </w:t>
      </w:r>
    </w:p>
    <w:p w:rsidR="008F6FFE" w:rsidRPr="00143CE6" w:rsidRDefault="008F6FFE" w:rsidP="00673217">
      <w:pPr>
        <w:jc w:val="both"/>
        <w:rPr>
          <w:rStyle w:val="labs-docsum-journal-citation"/>
          <w:rFonts w:asciiTheme="minorHAnsi" w:hAnsiTheme="minorHAnsi"/>
          <w:color w:val="000000" w:themeColor="text1"/>
          <w:sz w:val="16"/>
          <w:szCs w:val="16"/>
        </w:rPr>
      </w:pPr>
      <w:r w:rsidRPr="00143CE6">
        <w:rPr>
          <w:rStyle w:val="labs-docsum-journal-citation"/>
          <w:rFonts w:asciiTheme="minorHAnsi" w:hAnsiTheme="minorHAnsi"/>
          <w:color w:val="000000" w:themeColor="text1"/>
          <w:sz w:val="16"/>
          <w:szCs w:val="16"/>
        </w:rPr>
        <w:t>Viruses 2020, 12, 372.</w:t>
      </w:r>
    </w:p>
    <w:p w:rsidR="008F6FFE" w:rsidRPr="00143CE6" w:rsidRDefault="00F9708D" w:rsidP="00673217">
      <w:pPr>
        <w:jc w:val="both"/>
        <w:rPr>
          <w:rStyle w:val="labs-docsum-journal-citation"/>
          <w:rFonts w:asciiTheme="minorHAnsi" w:hAnsiTheme="minorHAnsi"/>
          <w:color w:val="000000" w:themeColor="text1"/>
          <w:sz w:val="16"/>
          <w:szCs w:val="16"/>
        </w:rPr>
      </w:pPr>
      <w:hyperlink r:id="rId683" w:history="1">
        <w:r w:rsidR="008F6FFE" w:rsidRPr="00143CE6">
          <w:rPr>
            <w:rStyle w:val="Hyperlink"/>
            <w:rFonts w:asciiTheme="minorHAnsi" w:hAnsiTheme="minorHAnsi"/>
            <w:color w:val="000000" w:themeColor="text1"/>
            <w:sz w:val="16"/>
            <w:szCs w:val="16"/>
            <w:u w:val="none"/>
          </w:rPr>
          <w:t>https://www.mdpi.com/1999-4915/12/4/372/htm</w:t>
        </w:r>
      </w:hyperlink>
    </w:p>
    <w:p w:rsidR="008F6FFE" w:rsidRPr="00143CE6" w:rsidRDefault="008F6FFE" w:rsidP="00673217">
      <w:pPr>
        <w:jc w:val="both"/>
        <w:rPr>
          <w:rStyle w:val="labs-docsum-journal-citation"/>
          <w:rFonts w:asciiTheme="minorHAnsi" w:hAnsiTheme="minorHAnsi"/>
          <w:color w:val="000000" w:themeColor="text1"/>
          <w:sz w:val="16"/>
          <w:szCs w:val="16"/>
          <w:vertAlign w:val="superscript"/>
        </w:rPr>
      </w:pPr>
    </w:p>
  </w:footnote>
  <w:footnote w:id="79">
    <w:p w:rsidR="008F6FFE" w:rsidRPr="00143CE6" w:rsidRDefault="008F6FFE" w:rsidP="00DE14C1">
      <w:pPr>
        <w:jc w:val="both"/>
        <w:rPr>
          <w:rStyle w:val="labs-docsum-journal-citation"/>
          <w:rFonts w:asciiTheme="minorHAnsi" w:hAnsiTheme="minorHAnsi"/>
          <w:color w:val="000000" w:themeColor="text1"/>
          <w:sz w:val="16"/>
          <w:szCs w:val="16"/>
        </w:rPr>
      </w:pPr>
      <w:r w:rsidRPr="00DE14C1">
        <w:rPr>
          <w:rStyle w:val="labs-docsum-journal-citation"/>
          <w:rFonts w:asciiTheme="minorHAnsi" w:hAnsiTheme="minorHAnsi"/>
          <w:color w:val="000000" w:themeColor="text1"/>
          <w:sz w:val="16"/>
          <w:szCs w:val="16"/>
          <w:vertAlign w:val="superscript"/>
          <w:lang w:val="en-US"/>
        </w:rPr>
        <w:footnoteRef/>
      </w:r>
      <w:r w:rsidRPr="00143CE6">
        <w:rPr>
          <w:rStyle w:val="labs-docsum-journal-citation"/>
          <w:rFonts w:asciiTheme="minorHAnsi" w:hAnsiTheme="minorHAnsi"/>
          <w:color w:val="000000" w:themeColor="text1"/>
          <w:sz w:val="16"/>
          <w:szCs w:val="16"/>
        </w:rPr>
        <w:t xml:space="preserve"> Gralinski LE, et al. </w:t>
      </w:r>
    </w:p>
    <w:p w:rsidR="008F6FFE" w:rsidRDefault="008F6FFE" w:rsidP="00DE14C1">
      <w:pPr>
        <w:jc w:val="both"/>
        <w:rPr>
          <w:rStyle w:val="labs-docsum-journal-citation"/>
          <w:rFonts w:asciiTheme="minorHAnsi" w:hAnsiTheme="minorHAnsi"/>
          <w:color w:val="000000" w:themeColor="text1"/>
          <w:sz w:val="16"/>
          <w:szCs w:val="16"/>
          <w:lang w:val="en-US"/>
        </w:rPr>
      </w:pPr>
      <w:r w:rsidRPr="00DE14C1">
        <w:rPr>
          <w:rStyle w:val="labs-docsum-journal-citation"/>
          <w:rFonts w:asciiTheme="minorHAnsi" w:hAnsiTheme="minorHAnsi"/>
          <w:color w:val="000000" w:themeColor="text1"/>
          <w:sz w:val="16"/>
          <w:szCs w:val="16"/>
          <w:lang w:val="en-US"/>
        </w:rPr>
        <w:t xml:space="preserve">Complement activation contributes to severe acute respiratory syndrome coronavirus pathogenesis. </w:t>
      </w:r>
    </w:p>
    <w:p w:rsidR="008F6FFE" w:rsidRPr="009075A1" w:rsidRDefault="008F6FFE" w:rsidP="00DE14C1">
      <w:pPr>
        <w:jc w:val="both"/>
        <w:rPr>
          <w:rStyle w:val="labs-docsum-journal-citation"/>
          <w:rFonts w:asciiTheme="minorHAnsi" w:hAnsiTheme="minorHAnsi"/>
          <w:color w:val="000000" w:themeColor="text1"/>
          <w:sz w:val="16"/>
          <w:szCs w:val="16"/>
        </w:rPr>
      </w:pPr>
      <w:r w:rsidRPr="009075A1">
        <w:rPr>
          <w:rStyle w:val="labs-docsum-journal-citation"/>
          <w:rFonts w:asciiTheme="minorHAnsi" w:hAnsiTheme="minorHAnsi"/>
          <w:color w:val="000000" w:themeColor="text1"/>
          <w:sz w:val="16"/>
          <w:szCs w:val="16"/>
        </w:rPr>
        <w:t xml:space="preserve">mBio. (2018) 9:e01753–18. doi: 10.1128/mBio.01753-18 </w:t>
      </w:r>
    </w:p>
    <w:p w:rsidR="008F6FFE" w:rsidRPr="009075A1" w:rsidRDefault="0052743C" w:rsidP="00DE14C1">
      <w:pPr>
        <w:jc w:val="both"/>
        <w:rPr>
          <w:rStyle w:val="labs-docsum-journal-citation"/>
          <w:rFonts w:asciiTheme="minorHAnsi" w:hAnsiTheme="minorHAnsi"/>
          <w:color w:val="000000" w:themeColor="text1"/>
          <w:sz w:val="16"/>
          <w:szCs w:val="16"/>
        </w:rPr>
      </w:pPr>
      <w:hyperlink r:id="rId684" w:history="1">
        <w:r w:rsidR="008F6FFE" w:rsidRPr="009075A1">
          <w:rPr>
            <w:rStyle w:val="labs-docsum-journal-citation"/>
            <w:rFonts w:asciiTheme="minorHAnsi" w:eastAsiaTheme="majorEastAsia" w:hAnsiTheme="minorHAnsi"/>
            <w:color w:val="000000" w:themeColor="text1"/>
            <w:sz w:val="16"/>
            <w:szCs w:val="16"/>
          </w:rPr>
          <w:t>https://www.ncbi.nlm.nih.gov/pmc/articles/PMC6178621/pdf/mBio.01753-18.pdf</w:t>
        </w:r>
      </w:hyperlink>
    </w:p>
    <w:p w:rsidR="008F6FFE" w:rsidRPr="009075A1" w:rsidRDefault="008F6FFE" w:rsidP="00DE14C1">
      <w:pPr>
        <w:jc w:val="both"/>
        <w:rPr>
          <w:rStyle w:val="labs-docsum-journal-citation"/>
          <w:rFonts w:asciiTheme="minorHAnsi" w:hAnsiTheme="minorHAnsi"/>
          <w:color w:val="000000" w:themeColor="text1"/>
          <w:sz w:val="16"/>
          <w:szCs w:val="16"/>
        </w:rPr>
      </w:pPr>
    </w:p>
    <w:p w:rsidR="008F6FFE" w:rsidRPr="009075A1" w:rsidRDefault="008F6FFE" w:rsidP="00DE14C1">
      <w:pPr>
        <w:jc w:val="both"/>
        <w:rPr>
          <w:rStyle w:val="labs-docsum-journal-citation"/>
          <w:rFonts w:asciiTheme="minorHAnsi" w:hAnsiTheme="minorHAnsi"/>
          <w:color w:val="000000" w:themeColor="text1"/>
          <w:sz w:val="16"/>
          <w:szCs w:val="16"/>
        </w:rPr>
      </w:pPr>
      <w:r w:rsidRPr="009075A1">
        <w:rPr>
          <w:rStyle w:val="labs-docsum-journal-citation"/>
          <w:rFonts w:asciiTheme="minorHAnsi" w:hAnsiTheme="minorHAnsi"/>
          <w:color w:val="000000" w:themeColor="text1"/>
          <w:sz w:val="16"/>
          <w:szCs w:val="16"/>
        </w:rPr>
        <w:t xml:space="preserve">Risitano AM, Mastellos DC, Huber-Lang M, Yancopoulou D, Garlanda C, Ciceri F, et al. </w:t>
      </w:r>
    </w:p>
    <w:p w:rsidR="008F6FFE" w:rsidRDefault="008F6FFE" w:rsidP="00DE14C1">
      <w:pPr>
        <w:jc w:val="both"/>
        <w:rPr>
          <w:rStyle w:val="labs-docsum-journal-citation"/>
          <w:rFonts w:asciiTheme="minorHAnsi" w:hAnsiTheme="minorHAnsi"/>
          <w:color w:val="000000" w:themeColor="text1"/>
          <w:sz w:val="16"/>
          <w:szCs w:val="16"/>
          <w:lang w:val="en-US"/>
        </w:rPr>
      </w:pPr>
      <w:r w:rsidRPr="00DE14C1">
        <w:rPr>
          <w:rStyle w:val="labs-docsum-journal-citation"/>
          <w:rFonts w:asciiTheme="minorHAnsi" w:hAnsiTheme="minorHAnsi"/>
          <w:color w:val="000000" w:themeColor="text1"/>
          <w:sz w:val="16"/>
          <w:szCs w:val="16"/>
          <w:lang w:val="en-US"/>
        </w:rPr>
        <w:t xml:space="preserve">Complement as a target in COVID-19? </w:t>
      </w:r>
    </w:p>
    <w:p w:rsidR="008F6FFE" w:rsidRDefault="008F6FFE" w:rsidP="00DE14C1">
      <w:pPr>
        <w:jc w:val="both"/>
        <w:rPr>
          <w:rStyle w:val="labs-docsum-journal-citation"/>
          <w:rFonts w:asciiTheme="minorHAnsi" w:hAnsiTheme="minorHAnsi"/>
          <w:color w:val="000000" w:themeColor="text1"/>
          <w:sz w:val="16"/>
          <w:szCs w:val="16"/>
          <w:lang w:val="en-US"/>
        </w:rPr>
      </w:pPr>
      <w:r w:rsidRPr="00DE14C1">
        <w:rPr>
          <w:rStyle w:val="labs-docsum-journal-citation"/>
          <w:rFonts w:asciiTheme="minorHAnsi" w:hAnsiTheme="minorHAnsi"/>
          <w:color w:val="000000" w:themeColor="text1"/>
          <w:sz w:val="16"/>
          <w:szCs w:val="16"/>
          <w:lang w:val="en-US"/>
        </w:rPr>
        <w:t xml:space="preserve">Nat Rev Immunol. (2020). doi: 10.1038/s41577-020-0320-7. </w:t>
      </w:r>
    </w:p>
    <w:p w:rsidR="008F6FFE" w:rsidRPr="00DE14C1" w:rsidRDefault="0052743C" w:rsidP="00DE14C1">
      <w:pPr>
        <w:jc w:val="both"/>
        <w:rPr>
          <w:rStyle w:val="labs-docsum-journal-citation"/>
          <w:rFonts w:asciiTheme="minorHAnsi" w:hAnsiTheme="minorHAnsi"/>
          <w:color w:val="000000" w:themeColor="text1"/>
          <w:sz w:val="16"/>
          <w:szCs w:val="16"/>
          <w:lang w:val="en-US"/>
        </w:rPr>
      </w:pPr>
      <w:hyperlink r:id="rId685" w:history="1">
        <w:r w:rsidR="008F6FFE" w:rsidRPr="00DE14C1">
          <w:rPr>
            <w:rStyle w:val="labs-docsum-journal-citation"/>
            <w:rFonts w:asciiTheme="minorHAnsi" w:eastAsiaTheme="majorEastAsia" w:hAnsiTheme="minorHAnsi"/>
            <w:color w:val="000000" w:themeColor="text1"/>
            <w:sz w:val="16"/>
            <w:szCs w:val="16"/>
            <w:lang w:val="en-US"/>
          </w:rPr>
          <w:t>https://www.ncbi.nlm.nih.gov/pmc/articles/PMC7187144/pdf/41577_2020_Article_320.pdf</w:t>
        </w:r>
      </w:hyperlink>
    </w:p>
    <w:p w:rsidR="008F6FFE" w:rsidRPr="00DE14C1" w:rsidRDefault="008F6FFE" w:rsidP="00DE14C1">
      <w:pPr>
        <w:jc w:val="both"/>
        <w:rPr>
          <w:rStyle w:val="labs-docsum-journal-citation"/>
          <w:rFonts w:asciiTheme="minorHAnsi" w:hAnsiTheme="minorHAnsi"/>
          <w:color w:val="000000" w:themeColor="text1"/>
          <w:sz w:val="16"/>
          <w:szCs w:val="16"/>
          <w:lang w:val="en-US"/>
        </w:rPr>
      </w:pPr>
    </w:p>
    <w:p w:rsidR="008F6FFE" w:rsidRDefault="008F6FFE" w:rsidP="00DE14C1">
      <w:pPr>
        <w:jc w:val="both"/>
        <w:rPr>
          <w:rStyle w:val="labs-docsum-journal-citation"/>
          <w:rFonts w:asciiTheme="minorHAnsi" w:hAnsiTheme="minorHAnsi"/>
          <w:color w:val="000000" w:themeColor="text1"/>
          <w:sz w:val="16"/>
          <w:szCs w:val="16"/>
          <w:lang w:val="en-US"/>
        </w:rPr>
      </w:pPr>
      <w:r w:rsidRPr="00DE14C1">
        <w:rPr>
          <w:rStyle w:val="labs-docsum-journal-citation"/>
          <w:rFonts w:asciiTheme="minorHAnsi" w:hAnsiTheme="minorHAnsi"/>
          <w:color w:val="000000" w:themeColor="text1"/>
          <w:sz w:val="16"/>
          <w:szCs w:val="16"/>
          <w:lang w:val="en-US"/>
        </w:rPr>
        <w:t xml:space="preserve">Magro C, Mulvey JJ, Berlin D, Nuovo G, Salvatore S, Harp J, et al. </w:t>
      </w:r>
    </w:p>
    <w:p w:rsidR="008F6FFE" w:rsidRDefault="008F6FFE" w:rsidP="00DE14C1">
      <w:pPr>
        <w:jc w:val="both"/>
        <w:rPr>
          <w:rStyle w:val="labs-docsum-journal-citation"/>
          <w:rFonts w:asciiTheme="minorHAnsi" w:hAnsiTheme="minorHAnsi"/>
          <w:color w:val="000000" w:themeColor="text1"/>
          <w:sz w:val="16"/>
          <w:szCs w:val="16"/>
          <w:lang w:val="en-US"/>
        </w:rPr>
      </w:pPr>
      <w:r w:rsidRPr="00DE14C1">
        <w:rPr>
          <w:rStyle w:val="labs-docsum-journal-citation"/>
          <w:rFonts w:asciiTheme="minorHAnsi" w:hAnsiTheme="minorHAnsi"/>
          <w:color w:val="000000" w:themeColor="text1"/>
          <w:sz w:val="16"/>
          <w:szCs w:val="16"/>
          <w:lang w:val="en-US"/>
        </w:rPr>
        <w:t xml:space="preserve">Complement associated microvascular injury and thrombosis in the pathogenesis of severe COVID-19 infection: a report of five cases. </w:t>
      </w:r>
    </w:p>
    <w:p w:rsidR="008F6FFE" w:rsidRDefault="008F6FFE" w:rsidP="00DE14C1">
      <w:pPr>
        <w:jc w:val="both"/>
        <w:rPr>
          <w:rStyle w:val="labs-docsum-journal-citation"/>
          <w:rFonts w:asciiTheme="minorHAnsi" w:hAnsiTheme="minorHAnsi"/>
          <w:color w:val="000000" w:themeColor="text1"/>
          <w:sz w:val="16"/>
          <w:szCs w:val="16"/>
          <w:lang w:val="en-US"/>
        </w:rPr>
      </w:pPr>
      <w:r w:rsidRPr="00DE14C1">
        <w:rPr>
          <w:rStyle w:val="labs-docsum-journal-citation"/>
          <w:rFonts w:asciiTheme="minorHAnsi" w:hAnsiTheme="minorHAnsi"/>
          <w:color w:val="000000" w:themeColor="text1"/>
          <w:sz w:val="16"/>
          <w:szCs w:val="16"/>
          <w:lang w:val="en-US"/>
        </w:rPr>
        <w:t xml:space="preserve">Transl Res. [Preprint]. (2020). doi: 10.1016/j.trsl.2020.04.007. </w:t>
      </w:r>
    </w:p>
    <w:p w:rsidR="008F6FFE" w:rsidRPr="00DE14C1" w:rsidRDefault="0052743C" w:rsidP="00DE14C1">
      <w:pPr>
        <w:jc w:val="both"/>
        <w:rPr>
          <w:rStyle w:val="labs-docsum-journal-citation"/>
          <w:rFonts w:asciiTheme="minorHAnsi" w:hAnsiTheme="minorHAnsi"/>
          <w:color w:val="000000" w:themeColor="text1"/>
          <w:sz w:val="16"/>
          <w:szCs w:val="16"/>
          <w:lang w:val="en-US"/>
        </w:rPr>
      </w:pPr>
      <w:hyperlink r:id="rId686" w:history="1">
        <w:r w:rsidR="008F6FFE" w:rsidRPr="00DE14C1">
          <w:rPr>
            <w:rStyle w:val="labs-docsum-journal-citation"/>
            <w:rFonts w:asciiTheme="minorHAnsi" w:eastAsiaTheme="majorEastAsia" w:hAnsiTheme="minorHAnsi"/>
            <w:color w:val="000000" w:themeColor="text1"/>
            <w:sz w:val="16"/>
            <w:szCs w:val="16"/>
            <w:lang w:val="en-US"/>
          </w:rPr>
          <w:t>https://www.ncbi.nlm.nih.gov/pmc/articles/PMC7158248/pdf/main.pdf</w:t>
        </w:r>
      </w:hyperlink>
    </w:p>
    <w:p w:rsidR="008F6FFE" w:rsidRPr="00DE14C1" w:rsidRDefault="008F6FFE" w:rsidP="00DE14C1">
      <w:pPr>
        <w:jc w:val="both"/>
        <w:rPr>
          <w:rStyle w:val="labs-docsum-journal-citation"/>
          <w:rFonts w:asciiTheme="minorHAnsi" w:hAnsiTheme="minorHAnsi"/>
          <w:color w:val="000000" w:themeColor="text1"/>
          <w:sz w:val="16"/>
          <w:szCs w:val="16"/>
          <w:lang w:val="en-US"/>
        </w:rPr>
      </w:pPr>
    </w:p>
    <w:p w:rsidR="008F6FFE" w:rsidRPr="00235A16" w:rsidRDefault="008F6FFE" w:rsidP="00DE14C1">
      <w:pPr>
        <w:jc w:val="both"/>
        <w:rPr>
          <w:rStyle w:val="labs-docsum-journal-citation"/>
          <w:rFonts w:asciiTheme="minorHAnsi" w:hAnsiTheme="minorHAnsi"/>
          <w:color w:val="000000" w:themeColor="text1"/>
          <w:sz w:val="16"/>
          <w:szCs w:val="16"/>
          <w:lang w:val="de-DE"/>
        </w:rPr>
      </w:pPr>
      <w:r w:rsidRPr="00235A16">
        <w:rPr>
          <w:rStyle w:val="labs-docsum-journal-citation"/>
          <w:rFonts w:asciiTheme="minorHAnsi" w:hAnsiTheme="minorHAnsi"/>
          <w:color w:val="000000" w:themeColor="text1"/>
          <w:sz w:val="16"/>
          <w:szCs w:val="16"/>
          <w:lang w:val="de-DE"/>
        </w:rPr>
        <w:t xml:space="preserve">Mastellos DC, Ricklin D, Lambris JD. </w:t>
      </w:r>
    </w:p>
    <w:p w:rsidR="008F6FFE" w:rsidRDefault="008F6FFE" w:rsidP="00DE14C1">
      <w:pPr>
        <w:jc w:val="both"/>
        <w:rPr>
          <w:rStyle w:val="labs-docsum-journal-citation"/>
          <w:rFonts w:asciiTheme="minorHAnsi" w:hAnsiTheme="minorHAnsi"/>
          <w:color w:val="000000" w:themeColor="text1"/>
          <w:sz w:val="16"/>
          <w:szCs w:val="16"/>
          <w:lang w:val="en-US"/>
        </w:rPr>
      </w:pPr>
      <w:r w:rsidRPr="00DE14C1">
        <w:rPr>
          <w:rStyle w:val="labs-docsum-journal-citation"/>
          <w:rFonts w:asciiTheme="minorHAnsi" w:hAnsiTheme="minorHAnsi"/>
          <w:color w:val="000000" w:themeColor="text1"/>
          <w:sz w:val="16"/>
          <w:szCs w:val="16"/>
          <w:lang w:val="en-US"/>
        </w:rPr>
        <w:t xml:space="preserve">Clinical promise of next-generation complement therapeutics. </w:t>
      </w:r>
    </w:p>
    <w:p w:rsidR="008F6FFE" w:rsidRDefault="008F6FFE" w:rsidP="00DE14C1">
      <w:pPr>
        <w:jc w:val="both"/>
        <w:rPr>
          <w:rStyle w:val="labs-docsum-journal-citation"/>
          <w:rFonts w:asciiTheme="minorHAnsi" w:hAnsiTheme="minorHAnsi"/>
          <w:color w:val="000000" w:themeColor="text1"/>
          <w:sz w:val="16"/>
          <w:szCs w:val="16"/>
          <w:lang w:val="en-US"/>
        </w:rPr>
      </w:pPr>
      <w:r w:rsidRPr="00DE14C1">
        <w:rPr>
          <w:rStyle w:val="labs-docsum-journal-citation"/>
          <w:rFonts w:asciiTheme="minorHAnsi" w:hAnsiTheme="minorHAnsi"/>
          <w:color w:val="000000" w:themeColor="text1"/>
          <w:sz w:val="16"/>
          <w:szCs w:val="16"/>
          <w:lang w:val="en-US"/>
        </w:rPr>
        <w:t xml:space="preserve">Nat Rev Drug Disc. (2019) 18:707–29. doi: 10.1038/s41573-019-0031-6 </w:t>
      </w:r>
    </w:p>
    <w:p w:rsidR="008F6FFE" w:rsidRPr="00DE14C1" w:rsidRDefault="0052743C" w:rsidP="00DE14C1">
      <w:pPr>
        <w:jc w:val="both"/>
        <w:rPr>
          <w:rStyle w:val="labs-docsum-journal-citation"/>
          <w:rFonts w:asciiTheme="minorHAnsi" w:hAnsiTheme="minorHAnsi"/>
          <w:color w:val="000000" w:themeColor="text1"/>
          <w:sz w:val="16"/>
          <w:szCs w:val="16"/>
          <w:lang w:val="en-US"/>
        </w:rPr>
      </w:pPr>
      <w:hyperlink r:id="rId687" w:history="1">
        <w:r w:rsidR="008F6FFE" w:rsidRPr="00DE14C1">
          <w:rPr>
            <w:rStyle w:val="labs-docsum-journal-citation"/>
            <w:rFonts w:asciiTheme="minorHAnsi" w:eastAsiaTheme="majorEastAsia" w:hAnsiTheme="minorHAnsi"/>
            <w:color w:val="000000" w:themeColor="text1"/>
            <w:sz w:val="16"/>
            <w:szCs w:val="16"/>
            <w:lang w:val="en-US"/>
          </w:rPr>
          <w:t>https://www.nature.com/articles/s41573-019-0031-6.pdf</w:t>
        </w:r>
      </w:hyperlink>
    </w:p>
    <w:p w:rsidR="008F6FFE" w:rsidRPr="00DE14C1" w:rsidRDefault="008F6FFE">
      <w:pPr>
        <w:pStyle w:val="FootnoteText"/>
        <w:rPr>
          <w:rFonts w:asciiTheme="minorHAnsi" w:hAnsiTheme="minorHAnsi" w:cstheme="minorHAnsi"/>
          <w:sz w:val="16"/>
          <w:szCs w:val="16"/>
          <w:lang w:val="en-US"/>
        </w:rPr>
      </w:pPr>
    </w:p>
  </w:footnote>
  <w:footnote w:id="80">
    <w:p w:rsidR="008F6FFE" w:rsidRPr="00235A16" w:rsidRDefault="008F6FFE" w:rsidP="00673217">
      <w:pPr>
        <w:jc w:val="both"/>
        <w:rPr>
          <w:rStyle w:val="labs-docsum-journal-citation"/>
          <w:rFonts w:asciiTheme="minorHAnsi" w:hAnsiTheme="minorHAnsi"/>
          <w:color w:val="000000" w:themeColor="text1"/>
          <w:sz w:val="16"/>
          <w:szCs w:val="16"/>
          <w:lang w:val="de-DE"/>
        </w:rPr>
      </w:pPr>
      <w:r w:rsidRPr="00673217">
        <w:rPr>
          <w:rStyle w:val="labs-docsum-journal-citation"/>
          <w:rFonts w:asciiTheme="minorHAnsi" w:hAnsiTheme="minorHAnsi"/>
          <w:color w:val="000000" w:themeColor="text1"/>
          <w:sz w:val="16"/>
          <w:szCs w:val="16"/>
          <w:vertAlign w:val="superscript"/>
          <w:lang w:val="en-US"/>
        </w:rPr>
        <w:footnoteRef/>
      </w:r>
      <w:r w:rsidRPr="00235A16">
        <w:rPr>
          <w:rStyle w:val="labs-docsum-journal-citation"/>
          <w:rFonts w:asciiTheme="minorHAnsi" w:hAnsiTheme="minorHAnsi"/>
          <w:color w:val="000000" w:themeColor="text1"/>
          <w:sz w:val="16"/>
          <w:szCs w:val="16"/>
          <w:lang w:val="de-DE"/>
        </w:rPr>
        <w:t xml:space="preserve"> Zhang W, Zhao Y, Zhang F, et al. </w:t>
      </w:r>
    </w:p>
    <w:p w:rsidR="008F6FFE"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The use of anti-inflammatory drugs in the treatment of people with severe coronavirus disease 2019 (COVID-19): The Perspectives of clinical immunologists from China. </w:t>
      </w:r>
    </w:p>
    <w:p w:rsidR="008F6FFE" w:rsidRPr="00673217"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Clin Immunol. 2020;214:108393. doi:10.1016/j.clim.2020.108393</w:t>
      </w:r>
    </w:p>
    <w:p w:rsidR="008F6FFE" w:rsidRPr="00673217" w:rsidRDefault="0052743C" w:rsidP="00673217">
      <w:pPr>
        <w:jc w:val="both"/>
        <w:rPr>
          <w:rStyle w:val="labs-docsum-journal-citation"/>
          <w:rFonts w:asciiTheme="minorHAnsi" w:hAnsiTheme="minorHAnsi"/>
          <w:color w:val="000000" w:themeColor="text1"/>
          <w:sz w:val="16"/>
          <w:szCs w:val="16"/>
          <w:lang w:val="en-US"/>
        </w:rPr>
      </w:pPr>
      <w:hyperlink r:id="rId688" w:history="1">
        <w:r w:rsidR="008F6FFE" w:rsidRPr="00673217">
          <w:rPr>
            <w:rStyle w:val="labs-docsum-journal-citation"/>
            <w:rFonts w:asciiTheme="minorHAnsi" w:hAnsiTheme="minorHAnsi"/>
            <w:color w:val="000000" w:themeColor="text1"/>
            <w:sz w:val="16"/>
            <w:szCs w:val="16"/>
            <w:lang w:val="en-US"/>
          </w:rPr>
          <w:t>https://www.ncbi.nlm.nih.gov/pmc/articles/PMC7102614/pdf/main.pdf</w:t>
        </w:r>
      </w:hyperlink>
    </w:p>
    <w:p w:rsidR="008F6FFE" w:rsidRPr="00673217" w:rsidRDefault="008F6FFE" w:rsidP="00673217">
      <w:pPr>
        <w:jc w:val="both"/>
        <w:rPr>
          <w:rStyle w:val="labs-docsum-journal-citation"/>
          <w:rFonts w:asciiTheme="minorHAnsi" w:hAnsiTheme="minorHAnsi"/>
          <w:color w:val="000000" w:themeColor="text1"/>
          <w:sz w:val="16"/>
          <w:szCs w:val="16"/>
          <w:lang w:val="en-US"/>
        </w:rPr>
      </w:pPr>
    </w:p>
    <w:p w:rsidR="008F6FFE" w:rsidRPr="00235A16" w:rsidRDefault="008F6FFE" w:rsidP="00673217">
      <w:pPr>
        <w:jc w:val="both"/>
        <w:rPr>
          <w:rStyle w:val="labs-docsum-journal-citation"/>
          <w:rFonts w:asciiTheme="minorHAnsi" w:hAnsiTheme="minorHAnsi"/>
          <w:color w:val="000000" w:themeColor="text1"/>
          <w:sz w:val="16"/>
          <w:szCs w:val="16"/>
          <w:lang w:val="de-DE"/>
        </w:rPr>
      </w:pPr>
      <w:r w:rsidRPr="00235A16">
        <w:rPr>
          <w:rStyle w:val="labs-docsum-journal-citation"/>
          <w:rFonts w:asciiTheme="minorHAnsi" w:hAnsiTheme="minorHAnsi"/>
          <w:color w:val="000000" w:themeColor="text1"/>
          <w:sz w:val="16"/>
          <w:szCs w:val="16"/>
          <w:lang w:val="de-DE"/>
        </w:rPr>
        <w:t xml:space="preserve">Xu Z, Shi L, Wang Y, et al. </w:t>
      </w:r>
    </w:p>
    <w:p w:rsidR="008F6FFE" w:rsidRPr="00673217"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Pathological findings of COVID-19 associated with acute respiratory distress syndrome [published correction appears in Lancet Respir Med. 2020 Feb 25]. Lancet Respir Med. 2020;8(4):420-422. doi:10.1016/S2213-2600(20)30076-X</w:t>
      </w:r>
    </w:p>
    <w:p w:rsidR="008F6FFE" w:rsidRPr="00673217" w:rsidRDefault="0052743C" w:rsidP="00673217">
      <w:pPr>
        <w:jc w:val="both"/>
        <w:rPr>
          <w:rStyle w:val="labs-docsum-journal-citation"/>
          <w:rFonts w:asciiTheme="minorHAnsi" w:hAnsiTheme="minorHAnsi"/>
          <w:color w:val="000000" w:themeColor="text1"/>
          <w:sz w:val="16"/>
          <w:szCs w:val="16"/>
          <w:lang w:val="en-US"/>
        </w:rPr>
      </w:pPr>
      <w:hyperlink r:id="rId689" w:history="1">
        <w:r w:rsidR="008F6FFE" w:rsidRPr="00673217">
          <w:rPr>
            <w:rStyle w:val="labs-docsum-journal-citation"/>
            <w:rFonts w:asciiTheme="minorHAnsi" w:hAnsiTheme="minorHAnsi"/>
            <w:color w:val="000000" w:themeColor="text1"/>
            <w:sz w:val="16"/>
            <w:szCs w:val="16"/>
            <w:lang w:val="en-US"/>
          </w:rPr>
          <w:t>https://www.ncbi.nlm.nih.gov/pmc/articles/PMC7164771/pdf/main.pdf</w:t>
        </w:r>
      </w:hyperlink>
    </w:p>
    <w:p w:rsidR="008F6FFE" w:rsidRPr="00673217" w:rsidRDefault="008F6FFE" w:rsidP="00673217">
      <w:pPr>
        <w:jc w:val="both"/>
        <w:rPr>
          <w:rStyle w:val="labs-docsum-journal-citation"/>
          <w:rFonts w:asciiTheme="minorHAnsi" w:hAnsiTheme="minorHAnsi"/>
          <w:color w:val="000000" w:themeColor="text1"/>
          <w:sz w:val="16"/>
          <w:szCs w:val="16"/>
          <w:lang w:val="en-US"/>
        </w:rPr>
      </w:pPr>
    </w:p>
    <w:p w:rsidR="008F6FFE"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Yao XH, Li TY, He ZC, et al. </w:t>
      </w:r>
    </w:p>
    <w:p w:rsidR="008F6FFE" w:rsidRPr="00673217" w:rsidRDefault="008F6FFE" w:rsidP="00673217">
      <w:pPr>
        <w:jc w:val="both"/>
        <w:rPr>
          <w:rStyle w:val="labs-docsum-journal-citation"/>
          <w:rFonts w:asciiTheme="minorHAnsi" w:hAnsiTheme="minorHAnsi"/>
          <w:color w:val="000000" w:themeColor="text1"/>
          <w:sz w:val="16"/>
          <w:szCs w:val="16"/>
          <w:lang w:val="en-US"/>
        </w:rPr>
      </w:pPr>
      <w:r w:rsidRPr="00673217">
        <w:rPr>
          <w:rStyle w:val="labs-docsum-journal-citation"/>
          <w:rFonts w:asciiTheme="minorHAnsi" w:hAnsiTheme="minorHAnsi"/>
          <w:color w:val="000000" w:themeColor="text1"/>
          <w:sz w:val="16"/>
          <w:szCs w:val="16"/>
          <w:lang w:val="en-US"/>
        </w:rPr>
        <w:t>[A Pathological Report of Three COVID-19 Cases by Minimal Invasive Autopsies]</w:t>
      </w:r>
    </w:p>
    <w:p w:rsidR="008F6FFE" w:rsidRPr="00673217" w:rsidRDefault="008F6FFE" w:rsidP="00673217">
      <w:pPr>
        <w:jc w:val="both"/>
        <w:rPr>
          <w:lang w:val="en-US"/>
        </w:rPr>
      </w:pPr>
      <w:r w:rsidRPr="00673217">
        <w:rPr>
          <w:rStyle w:val="labs-docsum-journal-citation"/>
          <w:rFonts w:asciiTheme="minorHAnsi" w:hAnsiTheme="minorHAnsi"/>
          <w:color w:val="000000" w:themeColor="text1"/>
          <w:sz w:val="16"/>
          <w:szCs w:val="16"/>
          <w:lang w:val="en-US"/>
        </w:rPr>
        <w:t>Zhonghua Bing Li Xue Za Zhi. 2020;49(5):411-417. doi:10.3760/cma.j.cn112151-20200312-00193</w:t>
      </w:r>
    </w:p>
  </w:footnote>
  <w:footnote w:id="81">
    <w:p w:rsidR="008F6FFE" w:rsidRPr="00717D4D" w:rsidRDefault="008F6FFE" w:rsidP="00717D4D">
      <w:pPr>
        <w:pStyle w:val="bibliographic-informationitem"/>
        <w:shd w:val="clear" w:color="auto" w:fill="FCFCFC"/>
        <w:spacing w:before="0" w:beforeAutospacing="0" w:after="0" w:afterAutospacing="0"/>
        <w:textAlignment w:val="top"/>
        <w:rPr>
          <w:rFonts w:asciiTheme="minorHAnsi" w:hAnsiTheme="minorHAnsi"/>
          <w:color w:val="333333"/>
          <w:spacing w:val="4"/>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color w:val="1C1D1E"/>
          <w:sz w:val="16"/>
          <w:szCs w:val="16"/>
          <w:lang w:val="en-US"/>
        </w:rPr>
        <w:t xml:space="preserve"> Kulkarni R. (2020) Antibody-Dependent Enhancement of Viral Infections. In: Bramhachari P. (eds) </w:t>
      </w:r>
      <w:r w:rsidRPr="00717D4D">
        <w:rPr>
          <w:rFonts w:asciiTheme="minorHAnsi" w:hAnsiTheme="minorHAnsi"/>
          <w:color w:val="333333"/>
          <w:spacing w:val="4"/>
          <w:sz w:val="16"/>
          <w:szCs w:val="16"/>
          <w:lang w:val="en-US"/>
        </w:rPr>
        <w:t>doi: 10.1007/978-981-15-1045-8_2</w:t>
      </w:r>
    </w:p>
    <w:p w:rsidR="008F6FFE" w:rsidRPr="00235A16" w:rsidRDefault="008F6FFE" w:rsidP="00717D4D">
      <w:pPr>
        <w:pStyle w:val="Heading1"/>
        <w:shd w:val="clear" w:color="auto" w:fill="FFFFFF"/>
        <w:spacing w:before="0"/>
        <w:rPr>
          <w:rFonts w:asciiTheme="minorHAnsi" w:hAnsiTheme="minorHAnsi"/>
          <w:color w:val="1C1D1E"/>
          <w:sz w:val="16"/>
          <w:szCs w:val="16"/>
          <w:lang w:val="de-DE"/>
        </w:rPr>
      </w:pPr>
      <w:r w:rsidRPr="00717D4D">
        <w:rPr>
          <w:rFonts w:asciiTheme="minorHAnsi" w:hAnsiTheme="minorHAnsi"/>
          <w:color w:val="1C1D1E"/>
          <w:sz w:val="16"/>
          <w:szCs w:val="16"/>
          <w:lang w:val="en-US"/>
        </w:rPr>
        <w:t xml:space="preserve">Dynamics of Immune Activation in Viral Diseases. </w:t>
      </w:r>
      <w:r w:rsidRPr="00235A16">
        <w:rPr>
          <w:rFonts w:asciiTheme="minorHAnsi" w:hAnsiTheme="minorHAnsi"/>
          <w:color w:val="1C1D1E"/>
          <w:sz w:val="16"/>
          <w:szCs w:val="16"/>
          <w:lang w:val="de-DE"/>
        </w:rPr>
        <w:t>Springer, Singapore</w:t>
      </w:r>
    </w:p>
    <w:p w:rsidR="008F6FFE" w:rsidRPr="00235A16" w:rsidRDefault="0052743C" w:rsidP="00717D4D">
      <w:pPr>
        <w:pStyle w:val="Heading1"/>
        <w:shd w:val="clear" w:color="auto" w:fill="FFFFFF"/>
        <w:spacing w:before="0"/>
        <w:rPr>
          <w:rFonts w:asciiTheme="minorHAnsi" w:hAnsiTheme="minorHAnsi"/>
          <w:color w:val="1C1D1E"/>
          <w:sz w:val="16"/>
          <w:szCs w:val="16"/>
          <w:lang w:val="de-DE"/>
        </w:rPr>
      </w:pPr>
      <w:hyperlink r:id="rId690" w:history="1">
        <w:r w:rsidR="008F6FFE" w:rsidRPr="00235A16">
          <w:rPr>
            <w:rFonts w:asciiTheme="minorHAnsi" w:hAnsiTheme="minorHAnsi"/>
            <w:color w:val="1C1D1E"/>
            <w:sz w:val="16"/>
            <w:szCs w:val="16"/>
            <w:lang w:val="de-DE"/>
          </w:rPr>
          <w:t>https://link.springer.com/content/pdf/10.1007%2F978-981-15-1045-8_2.pdf</w:t>
        </w:r>
      </w:hyperlink>
    </w:p>
    <w:p w:rsidR="008F6FFE" w:rsidRPr="00235A16" w:rsidRDefault="008F6FFE" w:rsidP="00717D4D">
      <w:pPr>
        <w:pStyle w:val="Heading1"/>
        <w:shd w:val="clear" w:color="auto" w:fill="FFFFFF"/>
        <w:spacing w:before="0"/>
        <w:rPr>
          <w:rFonts w:asciiTheme="minorHAnsi" w:hAnsiTheme="minorHAnsi"/>
          <w:color w:val="1C1D1E"/>
          <w:sz w:val="16"/>
          <w:szCs w:val="16"/>
          <w:lang w:val="de-DE"/>
        </w:rPr>
      </w:pPr>
    </w:p>
    <w:p w:rsidR="008F6FFE" w:rsidRPr="00717D4D" w:rsidRDefault="008F6FFE" w:rsidP="00717D4D">
      <w:pPr>
        <w:pStyle w:val="Heading1"/>
        <w:shd w:val="clear" w:color="auto" w:fill="FFFFFF"/>
        <w:spacing w:before="0"/>
        <w:rPr>
          <w:rFonts w:asciiTheme="minorHAnsi" w:hAnsiTheme="minorHAnsi"/>
          <w:color w:val="1C1D1E"/>
          <w:sz w:val="16"/>
          <w:szCs w:val="16"/>
          <w:lang w:val="en-US"/>
        </w:rPr>
      </w:pPr>
      <w:r w:rsidRPr="00717D4D">
        <w:rPr>
          <w:rFonts w:asciiTheme="minorHAnsi" w:hAnsiTheme="minorHAnsi"/>
          <w:color w:val="1C1D1E"/>
          <w:sz w:val="16"/>
          <w:szCs w:val="16"/>
          <w:lang w:val="en-US"/>
        </w:rPr>
        <w:t>Immunol Rev 2015 Nov;268(1):340-64. doi: 10.1111/imr.12367.</w:t>
      </w:r>
    </w:p>
    <w:p w:rsidR="008F6FFE" w:rsidRPr="00717D4D" w:rsidRDefault="008F6FFE" w:rsidP="00717D4D">
      <w:pPr>
        <w:pStyle w:val="Heading1"/>
        <w:shd w:val="clear" w:color="auto" w:fill="FFFFFF"/>
        <w:spacing w:before="0"/>
        <w:rPr>
          <w:rFonts w:asciiTheme="minorHAnsi" w:hAnsiTheme="minorHAnsi"/>
          <w:color w:val="1C1D1E"/>
          <w:sz w:val="16"/>
          <w:szCs w:val="16"/>
          <w:lang w:val="en-US"/>
        </w:rPr>
      </w:pPr>
      <w:r w:rsidRPr="00717D4D">
        <w:rPr>
          <w:rFonts w:asciiTheme="minorHAnsi" w:hAnsiTheme="minorHAnsi"/>
          <w:color w:val="1C1D1E"/>
          <w:sz w:val="16"/>
          <w:szCs w:val="16"/>
          <w:lang w:val="en-US"/>
        </w:rPr>
        <w:t>Fc Receptors in Antibody-Dependent Enhancement of Viral Infections</w:t>
      </w:r>
    </w:p>
    <w:p w:rsidR="008F6FFE" w:rsidRDefault="0052743C" w:rsidP="00717D4D">
      <w:pPr>
        <w:pStyle w:val="Heading1"/>
        <w:shd w:val="clear" w:color="auto" w:fill="FFFFFF"/>
        <w:spacing w:before="0"/>
        <w:rPr>
          <w:rFonts w:asciiTheme="minorHAnsi" w:hAnsiTheme="minorHAnsi"/>
          <w:color w:val="1C1D1E"/>
          <w:sz w:val="16"/>
          <w:szCs w:val="16"/>
          <w:lang w:val="en-US"/>
        </w:rPr>
      </w:pPr>
      <w:hyperlink r:id="rId691" w:history="1">
        <w:r w:rsidR="008F6FFE" w:rsidRPr="00717D4D">
          <w:rPr>
            <w:rFonts w:asciiTheme="minorHAnsi" w:hAnsiTheme="minorHAnsi"/>
            <w:color w:val="1C1D1E"/>
            <w:sz w:val="16"/>
            <w:szCs w:val="16"/>
            <w:lang w:val="en-US"/>
          </w:rPr>
          <w:t>Adam Taylor</w:t>
        </w:r>
      </w:hyperlink>
      <w:r w:rsidR="008F6FFE" w:rsidRPr="00717D4D">
        <w:rPr>
          <w:rFonts w:asciiTheme="minorHAnsi" w:hAnsiTheme="minorHAnsi"/>
          <w:color w:val="1C1D1E"/>
          <w:sz w:val="16"/>
          <w:szCs w:val="16"/>
          <w:lang w:val="en-US"/>
        </w:rPr>
        <w:t> </w:t>
      </w:r>
      <w:hyperlink r:id="rId692" w:anchor="affiliation-1" w:history="1">
        <w:r w:rsidR="008F6FFE" w:rsidRPr="00717D4D">
          <w:rPr>
            <w:rFonts w:asciiTheme="minorHAnsi" w:hAnsiTheme="minorHAnsi"/>
            <w:color w:val="1C1D1E"/>
            <w:sz w:val="16"/>
            <w:szCs w:val="16"/>
            <w:lang w:val="en-US"/>
          </w:rPr>
          <w:t>1</w:t>
        </w:r>
      </w:hyperlink>
      <w:r w:rsidR="008F6FFE" w:rsidRPr="00717D4D">
        <w:rPr>
          <w:rFonts w:asciiTheme="minorHAnsi" w:hAnsiTheme="minorHAnsi"/>
          <w:color w:val="1C1D1E"/>
          <w:sz w:val="16"/>
          <w:szCs w:val="16"/>
          <w:lang w:val="en-US"/>
        </w:rPr>
        <w:t>, </w:t>
      </w:r>
      <w:hyperlink r:id="rId693" w:history="1">
        <w:r w:rsidR="008F6FFE" w:rsidRPr="00717D4D">
          <w:rPr>
            <w:rFonts w:asciiTheme="minorHAnsi" w:hAnsiTheme="minorHAnsi"/>
            <w:color w:val="1C1D1E"/>
            <w:sz w:val="16"/>
            <w:szCs w:val="16"/>
            <w:lang w:val="en-US"/>
          </w:rPr>
          <w:t>Suan-Sin Foo</w:t>
        </w:r>
      </w:hyperlink>
      <w:r w:rsidR="008F6FFE" w:rsidRPr="00717D4D">
        <w:rPr>
          <w:rFonts w:asciiTheme="minorHAnsi" w:hAnsiTheme="minorHAnsi"/>
          <w:color w:val="1C1D1E"/>
          <w:sz w:val="16"/>
          <w:szCs w:val="16"/>
          <w:lang w:val="en-US"/>
        </w:rPr>
        <w:t> </w:t>
      </w:r>
      <w:hyperlink r:id="rId694" w:anchor="affiliation-1" w:history="1">
        <w:r w:rsidR="008F6FFE" w:rsidRPr="00717D4D">
          <w:rPr>
            <w:rFonts w:asciiTheme="minorHAnsi" w:hAnsiTheme="minorHAnsi"/>
            <w:color w:val="1C1D1E"/>
            <w:sz w:val="16"/>
            <w:szCs w:val="16"/>
            <w:lang w:val="en-US"/>
          </w:rPr>
          <w:t>1</w:t>
        </w:r>
      </w:hyperlink>
      <w:r w:rsidR="008F6FFE" w:rsidRPr="00717D4D">
        <w:rPr>
          <w:rFonts w:asciiTheme="minorHAnsi" w:hAnsiTheme="minorHAnsi"/>
          <w:color w:val="1C1D1E"/>
          <w:sz w:val="16"/>
          <w:szCs w:val="16"/>
          <w:lang w:val="en-US"/>
        </w:rPr>
        <w:t>, </w:t>
      </w:r>
      <w:hyperlink r:id="rId695" w:history="1">
        <w:r w:rsidR="008F6FFE" w:rsidRPr="00717D4D">
          <w:rPr>
            <w:rFonts w:asciiTheme="minorHAnsi" w:hAnsiTheme="minorHAnsi"/>
            <w:color w:val="1C1D1E"/>
            <w:sz w:val="16"/>
            <w:szCs w:val="16"/>
            <w:lang w:val="en-US"/>
          </w:rPr>
          <w:t>Roberto Bruzzone</w:t>
        </w:r>
      </w:hyperlink>
      <w:r w:rsidR="008F6FFE" w:rsidRPr="00717D4D">
        <w:rPr>
          <w:rFonts w:asciiTheme="minorHAnsi" w:hAnsiTheme="minorHAnsi"/>
          <w:color w:val="1C1D1E"/>
          <w:sz w:val="16"/>
          <w:szCs w:val="16"/>
          <w:lang w:val="en-US"/>
        </w:rPr>
        <w:t> </w:t>
      </w:r>
      <w:hyperlink r:id="rId696" w:anchor="affiliation-2" w:history="1">
        <w:r w:rsidR="008F6FFE" w:rsidRPr="00717D4D">
          <w:rPr>
            <w:rFonts w:asciiTheme="minorHAnsi" w:hAnsiTheme="minorHAnsi"/>
            <w:color w:val="1C1D1E"/>
            <w:sz w:val="16"/>
            <w:szCs w:val="16"/>
            <w:lang w:val="en-US"/>
          </w:rPr>
          <w:t>2</w:t>
        </w:r>
      </w:hyperlink>
      <w:r w:rsidR="008F6FFE" w:rsidRPr="00717D4D">
        <w:rPr>
          <w:rFonts w:asciiTheme="minorHAnsi" w:hAnsiTheme="minorHAnsi"/>
          <w:color w:val="1C1D1E"/>
          <w:sz w:val="16"/>
          <w:szCs w:val="16"/>
          <w:lang w:val="en-US"/>
        </w:rPr>
        <w:t> </w:t>
      </w:r>
      <w:hyperlink r:id="rId697" w:anchor="affiliation-3" w:history="1">
        <w:r w:rsidR="008F6FFE" w:rsidRPr="00717D4D">
          <w:rPr>
            <w:rFonts w:asciiTheme="minorHAnsi" w:hAnsiTheme="minorHAnsi"/>
            <w:color w:val="1C1D1E"/>
            <w:sz w:val="16"/>
            <w:szCs w:val="16"/>
            <w:lang w:val="en-US"/>
          </w:rPr>
          <w:t>3</w:t>
        </w:r>
      </w:hyperlink>
      <w:r w:rsidR="008F6FFE" w:rsidRPr="00717D4D">
        <w:rPr>
          <w:rFonts w:asciiTheme="minorHAnsi" w:hAnsiTheme="minorHAnsi"/>
          <w:color w:val="1C1D1E"/>
          <w:sz w:val="16"/>
          <w:szCs w:val="16"/>
          <w:lang w:val="en-US"/>
        </w:rPr>
        <w:t>, </w:t>
      </w:r>
      <w:hyperlink r:id="rId698" w:history="1">
        <w:r w:rsidR="008F6FFE" w:rsidRPr="00717D4D">
          <w:rPr>
            <w:rFonts w:asciiTheme="minorHAnsi" w:hAnsiTheme="minorHAnsi"/>
            <w:color w:val="1C1D1E"/>
            <w:sz w:val="16"/>
            <w:szCs w:val="16"/>
            <w:lang w:val="en-US"/>
          </w:rPr>
          <w:t>Luan Vu Dinh</w:t>
        </w:r>
      </w:hyperlink>
      <w:r w:rsidR="008F6FFE" w:rsidRPr="00717D4D">
        <w:rPr>
          <w:rFonts w:asciiTheme="minorHAnsi" w:hAnsiTheme="minorHAnsi"/>
          <w:color w:val="1C1D1E"/>
          <w:sz w:val="16"/>
          <w:szCs w:val="16"/>
          <w:lang w:val="en-US"/>
        </w:rPr>
        <w:t> </w:t>
      </w:r>
      <w:hyperlink r:id="rId699" w:anchor="affiliation-4" w:history="1">
        <w:r w:rsidR="008F6FFE" w:rsidRPr="00717D4D">
          <w:rPr>
            <w:rFonts w:asciiTheme="minorHAnsi" w:hAnsiTheme="minorHAnsi"/>
            <w:color w:val="1C1D1E"/>
            <w:sz w:val="16"/>
            <w:szCs w:val="16"/>
            <w:lang w:val="en-US"/>
          </w:rPr>
          <w:t>4</w:t>
        </w:r>
      </w:hyperlink>
      <w:r w:rsidR="008F6FFE" w:rsidRPr="00717D4D">
        <w:rPr>
          <w:rFonts w:asciiTheme="minorHAnsi" w:hAnsiTheme="minorHAnsi"/>
          <w:color w:val="1C1D1E"/>
          <w:sz w:val="16"/>
          <w:szCs w:val="16"/>
          <w:lang w:val="en-US"/>
        </w:rPr>
        <w:t>, </w:t>
      </w:r>
      <w:hyperlink r:id="rId700" w:history="1">
        <w:r w:rsidR="008F6FFE" w:rsidRPr="00717D4D">
          <w:rPr>
            <w:rFonts w:asciiTheme="minorHAnsi" w:hAnsiTheme="minorHAnsi"/>
            <w:color w:val="1C1D1E"/>
            <w:sz w:val="16"/>
            <w:szCs w:val="16"/>
            <w:lang w:val="en-US"/>
          </w:rPr>
          <w:t>Nicholas J C King</w:t>
        </w:r>
      </w:hyperlink>
      <w:r w:rsidR="008F6FFE" w:rsidRPr="00717D4D">
        <w:rPr>
          <w:rFonts w:asciiTheme="minorHAnsi" w:hAnsiTheme="minorHAnsi"/>
          <w:color w:val="1C1D1E"/>
          <w:sz w:val="16"/>
          <w:szCs w:val="16"/>
          <w:lang w:val="en-US"/>
        </w:rPr>
        <w:t> </w:t>
      </w:r>
      <w:hyperlink r:id="rId701" w:anchor="affiliation-4" w:history="1">
        <w:r w:rsidR="008F6FFE" w:rsidRPr="00717D4D">
          <w:rPr>
            <w:rFonts w:asciiTheme="minorHAnsi" w:hAnsiTheme="minorHAnsi"/>
            <w:color w:val="1C1D1E"/>
            <w:sz w:val="16"/>
            <w:szCs w:val="16"/>
            <w:lang w:val="en-US"/>
          </w:rPr>
          <w:t>4</w:t>
        </w:r>
      </w:hyperlink>
      <w:r w:rsidR="008F6FFE" w:rsidRPr="00717D4D">
        <w:rPr>
          <w:rFonts w:asciiTheme="minorHAnsi" w:hAnsiTheme="minorHAnsi"/>
          <w:color w:val="1C1D1E"/>
          <w:sz w:val="16"/>
          <w:szCs w:val="16"/>
          <w:lang w:val="en-US"/>
        </w:rPr>
        <w:t>, </w:t>
      </w:r>
      <w:hyperlink r:id="rId702" w:history="1">
        <w:r w:rsidR="008F6FFE" w:rsidRPr="00717D4D">
          <w:rPr>
            <w:rFonts w:asciiTheme="minorHAnsi" w:hAnsiTheme="minorHAnsi"/>
            <w:color w:val="1C1D1E"/>
            <w:sz w:val="16"/>
            <w:szCs w:val="16"/>
            <w:lang w:val="en-US"/>
          </w:rPr>
          <w:t>Suresh Mahalingam</w:t>
        </w:r>
      </w:hyperlink>
    </w:p>
    <w:p w:rsidR="008F6FFE" w:rsidRPr="009E6DDC" w:rsidRDefault="0052743C" w:rsidP="009E6DDC">
      <w:pPr>
        <w:rPr>
          <w:rFonts w:asciiTheme="minorHAnsi" w:hAnsiTheme="minorHAnsi" w:cstheme="minorHAnsi"/>
          <w:color w:val="000000" w:themeColor="text1"/>
          <w:sz w:val="16"/>
          <w:szCs w:val="16"/>
          <w:lang w:val="en-US"/>
        </w:rPr>
      </w:pPr>
      <w:hyperlink r:id="rId703" w:history="1">
        <w:r w:rsidR="008F6FFE" w:rsidRPr="009E6DDC">
          <w:rPr>
            <w:rFonts w:asciiTheme="minorHAnsi" w:hAnsiTheme="minorHAnsi" w:cstheme="minorHAnsi"/>
            <w:color w:val="000000" w:themeColor="text1"/>
            <w:sz w:val="16"/>
            <w:szCs w:val="16"/>
            <w:lang w:val="en-US"/>
          </w:rPr>
          <w:t>https://www.ncbi.nlm.nih.gov/pmc/articles/PMC7165974/pdf/IMR-268-340.pdf</w:t>
        </w:r>
      </w:hyperlink>
    </w:p>
    <w:p w:rsidR="008F6FFE" w:rsidRPr="00717D4D" w:rsidRDefault="008F6FFE" w:rsidP="00717D4D">
      <w:pPr>
        <w:pStyle w:val="FootnoteText"/>
        <w:rPr>
          <w:rFonts w:asciiTheme="minorHAnsi" w:hAnsiTheme="minorHAnsi"/>
          <w:sz w:val="16"/>
          <w:szCs w:val="16"/>
          <w:lang w:val="en-US"/>
        </w:rPr>
      </w:pPr>
    </w:p>
  </w:footnote>
  <w:footnote w:id="82">
    <w:p w:rsidR="008F6FFE" w:rsidRPr="00717D4D" w:rsidRDefault="008F6FFE" w:rsidP="00717D4D">
      <w:pPr>
        <w:pStyle w:val="Heading1"/>
        <w:shd w:val="clear" w:color="auto" w:fill="FFFFFF"/>
        <w:spacing w:before="0"/>
        <w:rPr>
          <w:rFonts w:asciiTheme="minorHAnsi" w:hAnsiTheme="minorHAnsi"/>
          <w:color w:val="1C1D1E"/>
          <w:sz w:val="16"/>
          <w:szCs w:val="16"/>
          <w:lang w:val="en-US"/>
        </w:rPr>
      </w:pPr>
      <w:r w:rsidRPr="00F03B68">
        <w:rPr>
          <w:rFonts w:asciiTheme="minorHAnsi" w:hAnsiTheme="minorHAnsi"/>
          <w:color w:val="1C1D1E"/>
          <w:sz w:val="16"/>
          <w:szCs w:val="16"/>
          <w:vertAlign w:val="superscript"/>
          <w:lang w:val="en-US"/>
        </w:rPr>
        <w:footnoteRef/>
      </w:r>
      <w:r w:rsidRPr="00F03B68">
        <w:rPr>
          <w:rFonts w:asciiTheme="minorHAnsi" w:hAnsiTheme="minorHAnsi"/>
          <w:color w:val="1C1D1E"/>
          <w:sz w:val="16"/>
          <w:szCs w:val="16"/>
          <w:vertAlign w:val="superscript"/>
          <w:lang w:val="en-US"/>
        </w:rPr>
        <w:t xml:space="preserve"> </w:t>
      </w:r>
      <w:r w:rsidRPr="00717D4D">
        <w:rPr>
          <w:rFonts w:asciiTheme="minorHAnsi" w:hAnsiTheme="minorHAnsi"/>
          <w:color w:val="1C1D1E"/>
          <w:sz w:val="16"/>
          <w:szCs w:val="16"/>
          <w:lang w:val="en-US"/>
        </w:rPr>
        <w:t>J Gen Virol 2002 Sep;83(Pt 9):2091-2108.  doi: 10.1099/0022-1317-83-9-2091.</w:t>
      </w:r>
    </w:p>
    <w:p w:rsidR="008F6FFE" w:rsidRPr="00717D4D" w:rsidRDefault="008F6FFE" w:rsidP="00717D4D">
      <w:pPr>
        <w:pStyle w:val="Heading1"/>
        <w:shd w:val="clear" w:color="auto" w:fill="FFFFFF"/>
        <w:spacing w:before="0"/>
        <w:rPr>
          <w:rFonts w:asciiTheme="minorHAnsi" w:hAnsiTheme="minorHAnsi"/>
          <w:color w:val="1C1D1E"/>
          <w:sz w:val="16"/>
          <w:szCs w:val="16"/>
          <w:lang w:val="en-US"/>
        </w:rPr>
      </w:pPr>
      <w:r w:rsidRPr="00717D4D">
        <w:rPr>
          <w:rFonts w:asciiTheme="minorHAnsi" w:hAnsiTheme="minorHAnsi"/>
          <w:color w:val="1C1D1E"/>
          <w:sz w:val="16"/>
          <w:szCs w:val="16"/>
          <w:lang w:val="en-US"/>
        </w:rPr>
        <w:t>Occupancy and Mechanism in Antibody-Mediated Neutralization of Animal Viruses</w:t>
      </w:r>
    </w:p>
    <w:p w:rsidR="008F6FFE" w:rsidRPr="009075A1" w:rsidRDefault="0052743C" w:rsidP="00717D4D">
      <w:pPr>
        <w:pStyle w:val="Heading1"/>
        <w:shd w:val="clear" w:color="auto" w:fill="FFFFFF"/>
        <w:spacing w:before="0"/>
        <w:rPr>
          <w:rFonts w:asciiTheme="minorHAnsi" w:hAnsiTheme="minorHAnsi"/>
          <w:color w:val="1C1D1E"/>
          <w:sz w:val="16"/>
          <w:szCs w:val="16"/>
        </w:rPr>
      </w:pPr>
      <w:hyperlink r:id="rId704" w:history="1">
        <w:r w:rsidR="008F6FFE" w:rsidRPr="009075A1">
          <w:rPr>
            <w:rFonts w:asciiTheme="minorHAnsi" w:hAnsiTheme="minorHAnsi"/>
            <w:color w:val="1C1D1E"/>
            <w:sz w:val="16"/>
            <w:szCs w:val="16"/>
          </w:rPr>
          <w:t>P J Klasse</w:t>
        </w:r>
      </w:hyperlink>
      <w:r w:rsidR="008F6FFE" w:rsidRPr="009075A1">
        <w:rPr>
          <w:rFonts w:asciiTheme="minorHAnsi" w:hAnsiTheme="minorHAnsi"/>
          <w:color w:val="1C1D1E"/>
          <w:sz w:val="16"/>
          <w:szCs w:val="16"/>
        </w:rPr>
        <w:t> </w:t>
      </w:r>
      <w:hyperlink r:id="rId705" w:anchor="affiliation-1" w:history="1">
        <w:r w:rsidR="008F6FFE" w:rsidRPr="009075A1">
          <w:rPr>
            <w:rFonts w:asciiTheme="minorHAnsi" w:hAnsiTheme="minorHAnsi"/>
            <w:color w:val="1C1D1E"/>
            <w:sz w:val="16"/>
            <w:szCs w:val="16"/>
          </w:rPr>
          <w:t>1</w:t>
        </w:r>
      </w:hyperlink>
      <w:r w:rsidR="008F6FFE" w:rsidRPr="009075A1">
        <w:rPr>
          <w:rFonts w:asciiTheme="minorHAnsi" w:hAnsiTheme="minorHAnsi"/>
          <w:color w:val="1C1D1E"/>
          <w:sz w:val="16"/>
          <w:szCs w:val="16"/>
        </w:rPr>
        <w:t>, </w:t>
      </w:r>
      <w:hyperlink r:id="rId706" w:history="1">
        <w:r w:rsidR="008F6FFE" w:rsidRPr="009075A1">
          <w:rPr>
            <w:rFonts w:asciiTheme="minorHAnsi" w:hAnsiTheme="minorHAnsi"/>
            <w:color w:val="1C1D1E"/>
            <w:sz w:val="16"/>
            <w:szCs w:val="16"/>
          </w:rPr>
          <w:t>Q J Sattentau</w:t>
        </w:r>
      </w:hyperlink>
      <w:r w:rsidR="008F6FFE" w:rsidRPr="009075A1">
        <w:rPr>
          <w:rFonts w:asciiTheme="minorHAnsi" w:hAnsiTheme="minorHAnsi"/>
          <w:color w:val="1C1D1E"/>
          <w:sz w:val="16"/>
          <w:szCs w:val="16"/>
        </w:rPr>
        <w:t> </w:t>
      </w:r>
      <w:hyperlink r:id="rId707" w:anchor="affiliation-1" w:history="1">
        <w:r w:rsidR="008F6FFE" w:rsidRPr="009075A1">
          <w:rPr>
            <w:rFonts w:asciiTheme="minorHAnsi" w:hAnsiTheme="minorHAnsi"/>
            <w:color w:val="1C1D1E"/>
            <w:sz w:val="16"/>
            <w:szCs w:val="16"/>
          </w:rPr>
          <w:t>1</w:t>
        </w:r>
      </w:hyperlink>
    </w:p>
    <w:p w:rsidR="008F6FFE" w:rsidRPr="009075A1" w:rsidRDefault="0052743C" w:rsidP="00F03B68">
      <w:pPr>
        <w:pStyle w:val="Heading1"/>
        <w:shd w:val="clear" w:color="auto" w:fill="FFFFFF"/>
        <w:spacing w:before="0"/>
        <w:rPr>
          <w:rFonts w:asciiTheme="minorHAnsi" w:hAnsiTheme="minorHAnsi"/>
          <w:color w:val="1C1D1E"/>
          <w:sz w:val="16"/>
          <w:szCs w:val="16"/>
        </w:rPr>
      </w:pPr>
      <w:hyperlink r:id="rId708" w:anchor="tab2" w:history="1">
        <w:r w:rsidR="008F6FFE" w:rsidRPr="009075A1">
          <w:rPr>
            <w:rFonts w:asciiTheme="minorHAnsi" w:hAnsiTheme="minorHAnsi"/>
            <w:color w:val="1C1D1E"/>
            <w:sz w:val="16"/>
            <w:szCs w:val="16"/>
          </w:rPr>
          <w:t>https://www.microbiologyresearch.org/content/journal/jgv/10.1099/0022-1317-83-9-2091#tab2</w:t>
        </w:r>
      </w:hyperlink>
    </w:p>
    <w:p w:rsidR="008F6FFE" w:rsidRPr="009075A1" w:rsidRDefault="008F6FFE" w:rsidP="00F03B68">
      <w:pPr>
        <w:pStyle w:val="Heading1"/>
        <w:shd w:val="clear" w:color="auto" w:fill="FFFFFF"/>
        <w:spacing w:before="0"/>
        <w:rPr>
          <w:rFonts w:asciiTheme="minorHAnsi" w:hAnsiTheme="minorHAnsi"/>
          <w:color w:val="1C1D1E"/>
          <w:sz w:val="16"/>
          <w:szCs w:val="16"/>
          <w:vertAlign w:val="superscript"/>
        </w:rPr>
      </w:pPr>
    </w:p>
  </w:footnote>
  <w:footnote w:id="83">
    <w:p w:rsidR="008F6FFE" w:rsidRPr="00717D4D" w:rsidRDefault="008F6FFE" w:rsidP="00717D4D">
      <w:pPr>
        <w:pStyle w:val="Heading1"/>
        <w:shd w:val="clear" w:color="auto" w:fill="FFFFFF"/>
        <w:spacing w:before="0"/>
        <w:rPr>
          <w:rFonts w:asciiTheme="minorHAnsi" w:hAnsiTheme="minorHAnsi"/>
          <w:color w:val="1C1D1E"/>
          <w:sz w:val="16"/>
          <w:szCs w:val="16"/>
          <w:lang w:val="en-US"/>
        </w:rPr>
      </w:pPr>
      <w:r w:rsidRPr="00F03B68">
        <w:rPr>
          <w:rFonts w:asciiTheme="minorHAnsi" w:hAnsiTheme="minorHAnsi"/>
          <w:color w:val="1C1D1E"/>
          <w:sz w:val="16"/>
          <w:szCs w:val="16"/>
          <w:vertAlign w:val="superscript"/>
          <w:lang w:val="en-US"/>
        </w:rPr>
        <w:footnoteRef/>
      </w:r>
      <w:r w:rsidRPr="00717D4D">
        <w:rPr>
          <w:rFonts w:asciiTheme="minorHAnsi" w:hAnsiTheme="minorHAnsi"/>
          <w:color w:val="1C1D1E"/>
          <w:sz w:val="16"/>
          <w:szCs w:val="16"/>
          <w:lang w:val="en-US"/>
        </w:rPr>
        <w:t xml:space="preserve"> PLoS Pathog 2011 Jun;7(6):e1002111. doi: 10.1371/journal.ppat.1002111. </w:t>
      </w:r>
    </w:p>
    <w:p w:rsidR="008F6FFE" w:rsidRPr="00717D4D" w:rsidRDefault="008F6FFE" w:rsidP="00717D4D">
      <w:pPr>
        <w:pStyle w:val="Heading1"/>
        <w:shd w:val="clear" w:color="auto" w:fill="FFFFFF"/>
        <w:spacing w:before="0"/>
        <w:rPr>
          <w:rFonts w:asciiTheme="minorHAnsi" w:hAnsiTheme="minorHAnsi"/>
          <w:color w:val="1C1D1E"/>
          <w:sz w:val="16"/>
          <w:szCs w:val="16"/>
          <w:lang w:val="en-US"/>
        </w:rPr>
      </w:pPr>
      <w:r w:rsidRPr="00717D4D">
        <w:rPr>
          <w:rFonts w:asciiTheme="minorHAnsi" w:hAnsiTheme="minorHAnsi"/>
          <w:color w:val="1C1D1E"/>
          <w:sz w:val="16"/>
          <w:szCs w:val="16"/>
          <w:lang w:val="en-US"/>
        </w:rPr>
        <w:t>A Dynamic Landscape for Antibody Binding Modulates Antibody-Mediated Neutralization of West Nile Virus</w:t>
      </w:r>
    </w:p>
    <w:p w:rsidR="008F6FFE" w:rsidRPr="00717D4D" w:rsidRDefault="0052743C" w:rsidP="00717D4D">
      <w:pPr>
        <w:pStyle w:val="Heading1"/>
        <w:shd w:val="clear" w:color="auto" w:fill="FFFFFF"/>
        <w:spacing w:before="0"/>
        <w:rPr>
          <w:rFonts w:asciiTheme="minorHAnsi" w:hAnsiTheme="minorHAnsi"/>
          <w:color w:val="1C1D1E"/>
          <w:sz w:val="16"/>
          <w:szCs w:val="16"/>
          <w:lang w:val="en-US"/>
        </w:rPr>
      </w:pPr>
      <w:hyperlink r:id="rId709" w:history="1">
        <w:r w:rsidR="008F6FFE" w:rsidRPr="00717D4D">
          <w:rPr>
            <w:rFonts w:asciiTheme="minorHAnsi" w:hAnsiTheme="minorHAnsi"/>
            <w:color w:val="1C1D1E"/>
            <w:sz w:val="16"/>
            <w:szCs w:val="16"/>
            <w:lang w:val="en-US"/>
          </w:rPr>
          <w:t>Kimberly A Dowd</w:t>
        </w:r>
      </w:hyperlink>
      <w:r w:rsidR="008F6FFE" w:rsidRPr="00717D4D">
        <w:rPr>
          <w:rFonts w:asciiTheme="minorHAnsi" w:hAnsiTheme="minorHAnsi"/>
          <w:color w:val="1C1D1E"/>
          <w:sz w:val="16"/>
          <w:szCs w:val="16"/>
          <w:lang w:val="en-US"/>
        </w:rPr>
        <w:t> </w:t>
      </w:r>
      <w:hyperlink r:id="rId710" w:anchor="affiliation-1" w:history="1">
        <w:r w:rsidR="008F6FFE" w:rsidRPr="00717D4D">
          <w:rPr>
            <w:rFonts w:asciiTheme="minorHAnsi" w:hAnsiTheme="minorHAnsi"/>
            <w:color w:val="1C1D1E"/>
            <w:sz w:val="16"/>
            <w:szCs w:val="16"/>
            <w:lang w:val="en-US"/>
          </w:rPr>
          <w:t>1</w:t>
        </w:r>
      </w:hyperlink>
      <w:r w:rsidR="008F6FFE" w:rsidRPr="00717D4D">
        <w:rPr>
          <w:rFonts w:asciiTheme="minorHAnsi" w:hAnsiTheme="minorHAnsi"/>
          <w:color w:val="1C1D1E"/>
          <w:sz w:val="16"/>
          <w:szCs w:val="16"/>
          <w:lang w:val="en-US"/>
        </w:rPr>
        <w:t>, </w:t>
      </w:r>
      <w:hyperlink r:id="rId711" w:history="1">
        <w:r w:rsidR="008F6FFE" w:rsidRPr="00717D4D">
          <w:rPr>
            <w:rFonts w:asciiTheme="minorHAnsi" w:hAnsiTheme="minorHAnsi"/>
            <w:color w:val="1C1D1E"/>
            <w:sz w:val="16"/>
            <w:szCs w:val="16"/>
            <w:lang w:val="en-US"/>
          </w:rPr>
          <w:t>Christiane A Jost</w:t>
        </w:r>
      </w:hyperlink>
      <w:r w:rsidR="008F6FFE" w:rsidRPr="00717D4D">
        <w:rPr>
          <w:rFonts w:asciiTheme="minorHAnsi" w:hAnsiTheme="minorHAnsi"/>
          <w:color w:val="1C1D1E"/>
          <w:sz w:val="16"/>
          <w:szCs w:val="16"/>
          <w:lang w:val="en-US"/>
        </w:rPr>
        <w:t>, </w:t>
      </w:r>
      <w:hyperlink r:id="rId712" w:history="1">
        <w:r w:rsidR="008F6FFE" w:rsidRPr="00717D4D">
          <w:rPr>
            <w:rFonts w:asciiTheme="minorHAnsi" w:hAnsiTheme="minorHAnsi"/>
            <w:color w:val="1C1D1E"/>
            <w:sz w:val="16"/>
            <w:szCs w:val="16"/>
            <w:lang w:val="en-US"/>
          </w:rPr>
          <w:t>Anna P Durbin</w:t>
        </w:r>
      </w:hyperlink>
      <w:r w:rsidR="008F6FFE" w:rsidRPr="00717D4D">
        <w:rPr>
          <w:rFonts w:asciiTheme="minorHAnsi" w:hAnsiTheme="minorHAnsi"/>
          <w:color w:val="1C1D1E"/>
          <w:sz w:val="16"/>
          <w:szCs w:val="16"/>
          <w:lang w:val="en-US"/>
        </w:rPr>
        <w:t>, </w:t>
      </w:r>
      <w:hyperlink r:id="rId713" w:history="1">
        <w:r w:rsidR="008F6FFE" w:rsidRPr="00717D4D">
          <w:rPr>
            <w:rFonts w:asciiTheme="minorHAnsi" w:hAnsiTheme="minorHAnsi"/>
            <w:color w:val="1C1D1E"/>
            <w:sz w:val="16"/>
            <w:szCs w:val="16"/>
            <w:lang w:val="en-US"/>
          </w:rPr>
          <w:t>Stephen S Whitehead</w:t>
        </w:r>
      </w:hyperlink>
      <w:r w:rsidR="008F6FFE" w:rsidRPr="00717D4D">
        <w:rPr>
          <w:rFonts w:asciiTheme="minorHAnsi" w:hAnsiTheme="minorHAnsi"/>
          <w:color w:val="1C1D1E"/>
          <w:sz w:val="16"/>
          <w:szCs w:val="16"/>
          <w:lang w:val="en-US"/>
        </w:rPr>
        <w:t>, </w:t>
      </w:r>
      <w:hyperlink r:id="rId714" w:history="1">
        <w:r w:rsidR="008F6FFE" w:rsidRPr="00717D4D">
          <w:rPr>
            <w:rFonts w:asciiTheme="minorHAnsi" w:hAnsiTheme="minorHAnsi"/>
            <w:color w:val="1C1D1E"/>
            <w:sz w:val="16"/>
            <w:szCs w:val="16"/>
            <w:lang w:val="en-US"/>
          </w:rPr>
          <w:t>Theodore C Pierson</w:t>
        </w:r>
      </w:hyperlink>
    </w:p>
    <w:p w:rsidR="008F6FFE" w:rsidRPr="009E6DDC" w:rsidRDefault="0052743C" w:rsidP="00F03B68">
      <w:pPr>
        <w:pStyle w:val="Heading1"/>
        <w:shd w:val="clear" w:color="auto" w:fill="FFFFFF"/>
        <w:spacing w:before="0"/>
        <w:rPr>
          <w:rFonts w:asciiTheme="minorHAnsi" w:hAnsiTheme="minorHAnsi"/>
          <w:color w:val="1C1D1E"/>
          <w:sz w:val="16"/>
          <w:szCs w:val="16"/>
          <w:lang w:val="en-US"/>
        </w:rPr>
      </w:pPr>
      <w:hyperlink r:id="rId715" w:history="1">
        <w:r w:rsidR="008F6FFE" w:rsidRPr="009E6DDC">
          <w:rPr>
            <w:rFonts w:asciiTheme="minorHAnsi" w:hAnsiTheme="minorHAnsi"/>
            <w:color w:val="1C1D1E"/>
            <w:sz w:val="16"/>
            <w:szCs w:val="16"/>
            <w:lang w:val="en-US"/>
          </w:rPr>
          <w:t>https://www.ncbi.nlm.nih.gov/pmc/articles/PMC3128118/pdf/ppat.1002111.pdf</w:t>
        </w:r>
      </w:hyperlink>
    </w:p>
    <w:p w:rsidR="008F6FFE" w:rsidRPr="00F03B68" w:rsidRDefault="008F6FFE" w:rsidP="00F03B68">
      <w:pPr>
        <w:pStyle w:val="Heading1"/>
        <w:shd w:val="clear" w:color="auto" w:fill="FFFFFF"/>
        <w:spacing w:before="0"/>
        <w:rPr>
          <w:rFonts w:asciiTheme="minorHAnsi" w:hAnsiTheme="minorHAnsi"/>
          <w:color w:val="1C1D1E"/>
          <w:sz w:val="16"/>
          <w:szCs w:val="16"/>
          <w:vertAlign w:val="superscript"/>
          <w:lang w:val="en-US"/>
        </w:rPr>
      </w:pPr>
    </w:p>
  </w:footnote>
  <w:footnote w:id="84">
    <w:p w:rsidR="008F6FFE" w:rsidRPr="00F03B68" w:rsidRDefault="008F6FFE" w:rsidP="00AB621E">
      <w:pPr>
        <w:pStyle w:val="Heading1"/>
        <w:shd w:val="clear" w:color="auto" w:fill="FFFFFF"/>
        <w:spacing w:before="0"/>
        <w:rPr>
          <w:rFonts w:asciiTheme="minorHAnsi" w:hAnsiTheme="minorHAnsi"/>
          <w:color w:val="1C1D1E"/>
          <w:sz w:val="16"/>
          <w:szCs w:val="16"/>
          <w:lang w:val="en-US"/>
        </w:rPr>
      </w:pPr>
      <w:r w:rsidRPr="00F03B68">
        <w:rPr>
          <w:rFonts w:asciiTheme="minorHAnsi" w:hAnsiTheme="minorHAnsi"/>
          <w:color w:val="1C1D1E"/>
          <w:sz w:val="16"/>
          <w:szCs w:val="16"/>
          <w:vertAlign w:val="superscript"/>
          <w:lang w:val="en-US"/>
        </w:rPr>
        <w:footnoteRef/>
      </w:r>
      <w:r w:rsidRPr="00F03B68">
        <w:rPr>
          <w:rFonts w:asciiTheme="minorHAnsi" w:hAnsiTheme="minorHAnsi"/>
          <w:color w:val="1C1D1E"/>
          <w:sz w:val="16"/>
          <w:szCs w:val="16"/>
          <w:lang w:val="en-US"/>
        </w:rPr>
        <w:t xml:space="preserve"> Guilliams, M., Bruhns, P., Saeys, Y. et al. </w:t>
      </w:r>
    </w:p>
    <w:p w:rsidR="008F6FFE" w:rsidRPr="00F03B68" w:rsidRDefault="008F6FFE" w:rsidP="00AB621E">
      <w:pPr>
        <w:pStyle w:val="Heading1"/>
        <w:shd w:val="clear" w:color="auto" w:fill="FFFFFF"/>
        <w:spacing w:before="0"/>
        <w:rPr>
          <w:rFonts w:asciiTheme="minorHAnsi" w:hAnsiTheme="minorHAnsi"/>
          <w:color w:val="1C1D1E"/>
          <w:sz w:val="16"/>
          <w:szCs w:val="16"/>
          <w:lang w:val="en-US"/>
        </w:rPr>
      </w:pPr>
      <w:r w:rsidRPr="00F03B68">
        <w:rPr>
          <w:rFonts w:asciiTheme="minorHAnsi" w:hAnsiTheme="minorHAnsi"/>
          <w:color w:val="1C1D1E"/>
          <w:sz w:val="16"/>
          <w:szCs w:val="16"/>
          <w:lang w:val="en-US"/>
        </w:rPr>
        <w:t>The function of Fcγ receptors in dendritic cells and macrophages. </w:t>
      </w:r>
    </w:p>
    <w:p w:rsidR="008F6FFE" w:rsidRPr="00F03B68" w:rsidRDefault="008F6FFE" w:rsidP="00AB621E">
      <w:pPr>
        <w:pStyle w:val="Heading1"/>
        <w:shd w:val="clear" w:color="auto" w:fill="FFFFFF"/>
        <w:spacing w:before="0"/>
        <w:rPr>
          <w:rFonts w:asciiTheme="minorHAnsi" w:hAnsiTheme="minorHAnsi"/>
          <w:color w:val="1C1D1E"/>
          <w:sz w:val="16"/>
          <w:szCs w:val="16"/>
          <w:lang w:val="en-US"/>
        </w:rPr>
      </w:pPr>
      <w:r w:rsidRPr="00F03B68">
        <w:rPr>
          <w:rFonts w:asciiTheme="minorHAnsi" w:hAnsiTheme="minorHAnsi"/>
          <w:color w:val="1C1D1E"/>
          <w:sz w:val="16"/>
          <w:szCs w:val="16"/>
          <w:lang w:val="en-US"/>
        </w:rPr>
        <w:t xml:space="preserve">Nat Rev Immunol 14, 94–108 (2014). </w:t>
      </w:r>
      <w:hyperlink r:id="rId716" w:history="1">
        <w:r w:rsidRPr="00F03B68">
          <w:rPr>
            <w:rFonts w:asciiTheme="minorHAnsi" w:hAnsiTheme="minorHAnsi"/>
            <w:color w:val="1C1D1E"/>
            <w:sz w:val="16"/>
            <w:szCs w:val="16"/>
            <w:lang w:val="en-US"/>
          </w:rPr>
          <w:t>https://doi.org/10.1038/nri3582</w:t>
        </w:r>
      </w:hyperlink>
    </w:p>
    <w:p w:rsidR="008F6FFE" w:rsidRPr="00F03B68" w:rsidRDefault="0052743C" w:rsidP="00AB621E">
      <w:pPr>
        <w:pStyle w:val="Heading1"/>
        <w:shd w:val="clear" w:color="auto" w:fill="FFFFFF"/>
        <w:spacing w:before="0"/>
        <w:rPr>
          <w:rFonts w:asciiTheme="minorHAnsi" w:hAnsiTheme="minorHAnsi"/>
          <w:color w:val="1C1D1E"/>
          <w:sz w:val="16"/>
          <w:szCs w:val="16"/>
          <w:lang w:val="en-US"/>
        </w:rPr>
      </w:pPr>
      <w:hyperlink r:id="rId717" w:history="1">
        <w:r w:rsidR="008F6FFE" w:rsidRPr="00F03B68">
          <w:rPr>
            <w:rFonts w:asciiTheme="minorHAnsi" w:hAnsiTheme="minorHAnsi"/>
            <w:color w:val="1C1D1E"/>
            <w:sz w:val="16"/>
            <w:szCs w:val="16"/>
            <w:lang w:val="en-US"/>
          </w:rPr>
          <w:t>https://www.researchgate.net/publication/259826273_The_function_of_Fc_gamma_receptors_in_dendritic_cells_and_macrophages/link/0a85e53c9011b7e179000000/download</w:t>
        </w:r>
      </w:hyperlink>
    </w:p>
    <w:p w:rsidR="008F6FFE" w:rsidRPr="00717D4D" w:rsidRDefault="008F6FFE" w:rsidP="00AB621E">
      <w:pPr>
        <w:pStyle w:val="FootnoteText"/>
        <w:rPr>
          <w:rFonts w:asciiTheme="minorHAnsi" w:hAnsiTheme="minorHAnsi"/>
          <w:sz w:val="16"/>
          <w:szCs w:val="16"/>
          <w:lang w:val="en-US"/>
        </w:rPr>
      </w:pPr>
    </w:p>
  </w:footnote>
  <w:footnote w:id="85">
    <w:p w:rsidR="008F6FFE" w:rsidRPr="00AA1222" w:rsidRDefault="008F6FFE" w:rsidP="00AA1222">
      <w:r w:rsidRPr="00AA1222">
        <w:rPr>
          <w:rStyle w:val="FootnoteReference"/>
          <w:color w:val="000000" w:themeColor="text1"/>
          <w:sz w:val="16"/>
          <w:szCs w:val="16"/>
        </w:rPr>
        <w:footnoteRef/>
      </w:r>
      <w:r w:rsidRPr="00AA1222">
        <w:t xml:space="preserve"> </w:t>
      </w:r>
      <w:r w:rsidRPr="00AA1222">
        <w:rPr>
          <w:rFonts w:asciiTheme="minorHAnsi" w:hAnsiTheme="minorHAnsi" w:cstheme="minorHAnsi"/>
          <w:color w:val="C00000"/>
          <w:sz w:val="16"/>
          <w:szCs w:val="16"/>
        </w:rPr>
        <w:t xml:space="preserve">per l’approfondimento vedi bibliografia allegata a questo articolo </w:t>
      </w:r>
    </w:p>
    <w:p w:rsidR="008F6FFE" w:rsidRPr="00353050" w:rsidRDefault="008F6FFE" w:rsidP="00AA1222">
      <w:pPr>
        <w:pStyle w:val="Heading1"/>
        <w:shd w:val="clear" w:color="auto" w:fill="FFFFFF"/>
        <w:spacing w:before="0"/>
        <w:jc w:val="both"/>
        <w:rPr>
          <w:rFonts w:asciiTheme="minorHAnsi" w:hAnsiTheme="minorHAnsi"/>
          <w:color w:val="1C1D1E"/>
          <w:sz w:val="16"/>
          <w:szCs w:val="16"/>
          <w:lang w:val="en-US"/>
        </w:rPr>
      </w:pPr>
      <w:r w:rsidRPr="00353050">
        <w:rPr>
          <w:rFonts w:asciiTheme="minorHAnsi" w:hAnsiTheme="minorHAnsi"/>
          <w:color w:val="1C1D1E"/>
          <w:sz w:val="16"/>
          <w:szCs w:val="16"/>
          <w:lang w:val="en-US"/>
        </w:rPr>
        <w:t xml:space="preserve">Pyzik M, Sand KMK, Hubbard JJ, Andersen JT, Sandlie I and Blumberg RS </w:t>
      </w:r>
    </w:p>
    <w:p w:rsidR="008F6FFE" w:rsidRPr="00353050" w:rsidRDefault="008F6FFE" w:rsidP="00AA1222">
      <w:pPr>
        <w:pStyle w:val="Heading1"/>
        <w:shd w:val="clear" w:color="auto" w:fill="FFFFFF"/>
        <w:spacing w:before="0"/>
        <w:jc w:val="both"/>
        <w:rPr>
          <w:rFonts w:asciiTheme="minorHAnsi" w:hAnsiTheme="minorHAnsi"/>
          <w:color w:val="1C1D1E"/>
          <w:sz w:val="16"/>
          <w:szCs w:val="16"/>
          <w:lang w:val="en-US"/>
        </w:rPr>
      </w:pPr>
      <w:r w:rsidRPr="00353050">
        <w:rPr>
          <w:rFonts w:asciiTheme="minorHAnsi" w:hAnsiTheme="minorHAnsi"/>
          <w:color w:val="1C1D1E"/>
          <w:sz w:val="16"/>
          <w:szCs w:val="16"/>
          <w:lang w:val="en-US"/>
        </w:rPr>
        <w:t>The Neonatal Fc Receptor (FcRn): A Misnomer? </w:t>
      </w:r>
    </w:p>
    <w:p w:rsidR="008F6FFE" w:rsidRPr="00353050" w:rsidRDefault="008F6FFE" w:rsidP="00AA1222">
      <w:pPr>
        <w:pStyle w:val="Heading1"/>
        <w:shd w:val="clear" w:color="auto" w:fill="FFFFFF"/>
        <w:spacing w:before="0"/>
        <w:jc w:val="both"/>
        <w:rPr>
          <w:rFonts w:asciiTheme="minorHAnsi" w:hAnsiTheme="minorHAnsi"/>
          <w:color w:val="1C1D1E"/>
          <w:sz w:val="16"/>
          <w:szCs w:val="16"/>
          <w:lang w:val="en-US"/>
        </w:rPr>
      </w:pPr>
      <w:r w:rsidRPr="00353050">
        <w:rPr>
          <w:rFonts w:asciiTheme="minorHAnsi" w:hAnsiTheme="minorHAnsi"/>
          <w:color w:val="1C1D1E"/>
          <w:sz w:val="16"/>
          <w:szCs w:val="16"/>
          <w:lang w:val="en-US"/>
        </w:rPr>
        <w:t>Front. Immunol. (2019) 10:1540. doi: 10.3389/fimmu.2019.01540</w:t>
      </w:r>
    </w:p>
    <w:p w:rsidR="008F6FFE" w:rsidRPr="00353050" w:rsidRDefault="008F6FFE" w:rsidP="00AA1222">
      <w:pPr>
        <w:pStyle w:val="Heading1"/>
        <w:shd w:val="clear" w:color="auto" w:fill="FFFFFF"/>
        <w:spacing w:before="0"/>
        <w:jc w:val="both"/>
        <w:rPr>
          <w:rFonts w:asciiTheme="minorHAnsi" w:hAnsiTheme="minorHAnsi"/>
          <w:color w:val="1C1D1E"/>
          <w:sz w:val="16"/>
          <w:szCs w:val="16"/>
          <w:lang w:val="en-US"/>
        </w:rPr>
      </w:pPr>
      <w:r w:rsidRPr="00353050">
        <w:rPr>
          <w:rFonts w:asciiTheme="minorHAnsi" w:hAnsiTheme="minorHAnsi"/>
          <w:color w:val="1C1D1E"/>
          <w:sz w:val="16"/>
          <w:szCs w:val="16"/>
          <w:lang w:val="en-US"/>
        </w:rPr>
        <w:t>https://www.frontiersin.org/articles/10.3389/fimmu.2019.01540/full</w:t>
      </w:r>
    </w:p>
    <w:p w:rsidR="008F6FFE" w:rsidRPr="00AA1222" w:rsidRDefault="008F6FFE">
      <w:pPr>
        <w:pStyle w:val="FootnoteText"/>
        <w:rPr>
          <w:lang w:val="en-US"/>
        </w:rPr>
      </w:pPr>
    </w:p>
  </w:footnote>
  <w:footnote w:id="86">
    <w:p w:rsidR="008F6FFE" w:rsidRPr="00717D4D"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theme="minorHAnsi"/>
          <w:color w:val="000000" w:themeColor="text1"/>
          <w:sz w:val="16"/>
          <w:szCs w:val="16"/>
          <w:lang w:val="en-US"/>
        </w:rPr>
        <w:t xml:space="preserve">Lancet Infect Dis. 2010;10(10):712‐722. doi:10.1016/S1473-3099(10)70166-3 </w:t>
      </w:r>
    </w:p>
    <w:p w:rsidR="008F6FFE" w:rsidRPr="00717D4D"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Intrinsic antibody-dependent enhancement of microbial infection in macrophages: disease regulation by immune complexes. </w:t>
      </w:r>
    </w:p>
    <w:p w:rsidR="008F6FFE" w:rsidRPr="00717D4D"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Halstead SB, Mahalingam S, Marovich MA, Ubol S, Mosser DM.</w:t>
      </w:r>
    </w:p>
    <w:p w:rsidR="008F6FFE" w:rsidRPr="00CF78B5" w:rsidRDefault="0052743C" w:rsidP="00717D4D">
      <w:pPr>
        <w:pStyle w:val="NormalWeb"/>
        <w:shd w:val="clear" w:color="auto" w:fill="FFFFFF"/>
        <w:spacing w:before="0" w:beforeAutospacing="0" w:after="0" w:afterAutospacing="0"/>
        <w:jc w:val="both"/>
        <w:rPr>
          <w:rFonts w:asciiTheme="minorHAnsi" w:hAnsiTheme="minorHAnsi"/>
          <w:color w:val="000000" w:themeColor="text1"/>
          <w:sz w:val="16"/>
          <w:szCs w:val="16"/>
          <w:lang w:val="en-US"/>
        </w:rPr>
      </w:pPr>
      <w:hyperlink r:id="rId718" w:history="1">
        <w:r w:rsidR="008F6FFE" w:rsidRPr="00CF78B5">
          <w:rPr>
            <w:rFonts w:asciiTheme="minorHAnsi" w:hAnsiTheme="minorHAnsi"/>
            <w:color w:val="000000" w:themeColor="text1"/>
            <w:sz w:val="16"/>
            <w:szCs w:val="16"/>
            <w:lang w:val="en-US"/>
          </w:rPr>
          <w:t>https://www.ncbi.nlm.nih.gov/pmc/articles/PMC3057165/</w:t>
        </w:r>
      </w:hyperlink>
    </w:p>
    <w:p w:rsidR="008F6FFE" w:rsidRPr="00717D4D"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p>
    <w:p w:rsidR="008F6FFE" w:rsidRPr="00717D4D" w:rsidRDefault="008F6FFE" w:rsidP="00717D4D">
      <w:pPr>
        <w:rPr>
          <w:rFonts w:asciiTheme="minorHAnsi" w:hAnsiTheme="minorHAnsi" w:cstheme="minorHAnsi"/>
          <w:color w:val="000000" w:themeColor="text1"/>
          <w:sz w:val="16"/>
          <w:szCs w:val="16"/>
          <w:shd w:val="clear" w:color="auto" w:fill="FFFFFF"/>
          <w:lang w:val="en-US"/>
        </w:rPr>
      </w:pPr>
      <w:r w:rsidRPr="00717D4D">
        <w:rPr>
          <w:rFonts w:asciiTheme="minorHAnsi" w:hAnsiTheme="minorHAnsi" w:cstheme="minorHAnsi"/>
          <w:iCs/>
          <w:color w:val="000000" w:themeColor="text1"/>
          <w:sz w:val="16"/>
          <w:szCs w:val="16"/>
          <w:shd w:val="clear" w:color="auto" w:fill="FFFFFF"/>
          <w:lang w:val="en-US"/>
        </w:rPr>
        <w:t>Trends Immunol</w:t>
      </w:r>
      <w:r w:rsidRPr="00717D4D">
        <w:rPr>
          <w:rFonts w:asciiTheme="minorHAnsi" w:hAnsiTheme="minorHAnsi" w:cstheme="minorHAnsi"/>
          <w:color w:val="000000" w:themeColor="text1"/>
          <w:sz w:val="16"/>
          <w:szCs w:val="16"/>
          <w:shd w:val="clear" w:color="auto" w:fill="FFFFFF"/>
          <w:lang w:val="en-US"/>
        </w:rPr>
        <w:t xml:space="preserve">. 2003;24(4):165‐168. doi:10.1016/s1471-4906(03)00065-6 </w:t>
      </w:r>
    </w:p>
    <w:p w:rsidR="008F6FFE" w:rsidRPr="00717D4D" w:rsidRDefault="008F6FFE" w:rsidP="00717D4D">
      <w:pPr>
        <w:rPr>
          <w:rFonts w:asciiTheme="minorHAnsi" w:hAnsiTheme="minorHAnsi" w:cstheme="minorHAnsi"/>
          <w:color w:val="000000" w:themeColor="text1"/>
          <w:sz w:val="16"/>
          <w:szCs w:val="16"/>
          <w:shd w:val="clear" w:color="auto" w:fill="FFFFFF"/>
          <w:lang w:val="en-US"/>
        </w:rPr>
      </w:pPr>
      <w:r w:rsidRPr="00717D4D">
        <w:rPr>
          <w:rFonts w:asciiTheme="minorHAnsi" w:hAnsiTheme="minorHAnsi" w:cstheme="minorHAnsi"/>
          <w:color w:val="000000" w:themeColor="text1"/>
          <w:sz w:val="16"/>
          <w:szCs w:val="16"/>
          <w:shd w:val="clear" w:color="auto" w:fill="FFFFFF"/>
          <w:lang w:val="en-US"/>
        </w:rPr>
        <w:t>Suppression of antiviral responses by antibody-dependent enhancement of macrophage infection. </w:t>
      </w:r>
    </w:p>
    <w:p w:rsidR="008F6FFE" w:rsidRPr="00717D4D" w:rsidRDefault="008F6FFE" w:rsidP="00666EA7">
      <w:pPr>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shd w:val="clear" w:color="auto" w:fill="FFFFFF"/>
        </w:rPr>
        <w:t>Suhrbier A, La Linn M.</w:t>
      </w:r>
    </w:p>
  </w:footnote>
  <w:footnote w:id="87">
    <w:p w:rsidR="008F6FFE" w:rsidRPr="00666EA7" w:rsidRDefault="008F6FFE" w:rsidP="004C75E7">
      <w:pPr>
        <w:rPr>
          <w:rFonts w:asciiTheme="minorHAnsi" w:hAnsiTheme="minorHAnsi" w:cstheme="minorHAnsi"/>
          <w:color w:val="000000" w:themeColor="text1"/>
          <w:sz w:val="16"/>
          <w:szCs w:val="16"/>
          <w:shd w:val="clear" w:color="auto" w:fill="FFFFFF"/>
          <w:lang w:val="en-US"/>
        </w:rPr>
      </w:pPr>
      <w:r w:rsidRPr="00717D4D">
        <w:rPr>
          <w:rFonts w:asciiTheme="minorHAnsi" w:hAnsiTheme="minorHAnsi" w:cstheme="minorHAnsi"/>
          <w:color w:val="000000" w:themeColor="text1"/>
          <w:sz w:val="16"/>
          <w:szCs w:val="16"/>
          <w:vertAlign w:val="superscript"/>
          <w:lang w:val="en-US"/>
        </w:rPr>
        <w:footnoteRef/>
      </w:r>
      <w:r w:rsidRPr="006442E5">
        <w:rPr>
          <w:rFonts w:asciiTheme="minorHAnsi" w:hAnsiTheme="minorHAnsi" w:cstheme="minorHAnsi"/>
          <w:color w:val="212121"/>
          <w:sz w:val="16"/>
          <w:szCs w:val="16"/>
          <w:shd w:val="clear" w:color="auto" w:fill="FFFFFF"/>
          <w:lang w:val="en-US"/>
        </w:rPr>
        <w:t xml:space="preserve"> </w:t>
      </w:r>
      <w:r w:rsidRPr="00666EA7">
        <w:rPr>
          <w:rFonts w:asciiTheme="minorHAnsi" w:hAnsiTheme="minorHAnsi" w:cstheme="minorHAnsi"/>
          <w:color w:val="000000" w:themeColor="text1"/>
          <w:sz w:val="16"/>
          <w:szCs w:val="16"/>
          <w:shd w:val="clear" w:color="auto" w:fill="FFFFFF"/>
          <w:lang w:val="en-US"/>
        </w:rPr>
        <w:t>Yip MS, et al.</w:t>
      </w:r>
    </w:p>
    <w:p w:rsidR="008F6FFE" w:rsidRPr="00666EA7" w:rsidRDefault="008F6FFE" w:rsidP="004C75E7">
      <w:pPr>
        <w:rPr>
          <w:rFonts w:asciiTheme="minorHAnsi" w:hAnsiTheme="minorHAnsi" w:cstheme="minorHAnsi"/>
          <w:color w:val="000000" w:themeColor="text1"/>
          <w:sz w:val="16"/>
          <w:szCs w:val="16"/>
          <w:shd w:val="clear" w:color="auto" w:fill="FFFFFF"/>
          <w:lang w:val="en-US"/>
        </w:rPr>
      </w:pPr>
      <w:r w:rsidRPr="00666EA7">
        <w:rPr>
          <w:rFonts w:asciiTheme="minorHAnsi" w:hAnsiTheme="minorHAnsi" w:cstheme="minorHAnsi"/>
          <w:color w:val="000000" w:themeColor="text1"/>
          <w:sz w:val="16"/>
          <w:szCs w:val="16"/>
          <w:shd w:val="clear" w:color="auto" w:fill="FFFFFF"/>
          <w:lang w:val="en-US"/>
        </w:rPr>
        <w:t>Antibody-dependent enhancement of SARS coronavirus infection and its role in the pathogenesis of SARS. </w:t>
      </w:r>
    </w:p>
    <w:p w:rsidR="008F6FFE" w:rsidRPr="00666EA7" w:rsidRDefault="008F6FFE" w:rsidP="004C75E7">
      <w:pPr>
        <w:rPr>
          <w:rFonts w:asciiTheme="minorHAnsi" w:hAnsiTheme="minorHAnsi" w:cstheme="minorHAnsi"/>
          <w:color w:val="000000" w:themeColor="text1"/>
          <w:sz w:val="16"/>
          <w:szCs w:val="16"/>
          <w:shd w:val="clear" w:color="auto" w:fill="FFFFFF"/>
          <w:lang w:val="en-US"/>
        </w:rPr>
      </w:pPr>
      <w:r w:rsidRPr="00666EA7">
        <w:rPr>
          <w:rFonts w:asciiTheme="minorHAnsi" w:hAnsiTheme="minorHAnsi" w:cstheme="minorHAnsi"/>
          <w:color w:val="000000" w:themeColor="text1"/>
          <w:sz w:val="16"/>
          <w:szCs w:val="16"/>
          <w:shd w:val="clear" w:color="auto" w:fill="FFFFFF"/>
          <w:lang w:val="en-US"/>
        </w:rPr>
        <w:t>Hong Kong Med J. 2016;22(3 Suppl 4):25‐31.</w:t>
      </w:r>
    </w:p>
    <w:p w:rsidR="008F6FFE" w:rsidRPr="00666EA7" w:rsidRDefault="0052743C" w:rsidP="00571807">
      <w:pPr>
        <w:rPr>
          <w:rFonts w:asciiTheme="minorHAnsi" w:hAnsiTheme="minorHAnsi" w:cstheme="minorHAnsi"/>
          <w:color w:val="000000" w:themeColor="text1"/>
          <w:sz w:val="16"/>
          <w:szCs w:val="16"/>
          <w:lang w:val="en-US"/>
        </w:rPr>
      </w:pPr>
      <w:hyperlink r:id="rId719" w:history="1">
        <w:r w:rsidR="008F6FFE" w:rsidRPr="00666EA7">
          <w:rPr>
            <w:rFonts w:asciiTheme="minorHAnsi" w:hAnsiTheme="minorHAnsi" w:cstheme="minorHAnsi"/>
            <w:color w:val="000000" w:themeColor="text1"/>
            <w:sz w:val="16"/>
            <w:szCs w:val="16"/>
            <w:lang w:val="en-US"/>
          </w:rPr>
          <w:t>https://www.hkmj.org/system/files/hkm1603sp4p25.pdf</w:t>
        </w:r>
      </w:hyperlink>
    </w:p>
    <w:p w:rsidR="008F6FFE" w:rsidRPr="00666EA7" w:rsidRDefault="008F6FFE" w:rsidP="004C75E7">
      <w:pPr>
        <w:rPr>
          <w:rFonts w:asciiTheme="minorHAnsi" w:hAnsiTheme="minorHAnsi" w:cstheme="minorHAnsi"/>
          <w:color w:val="000000" w:themeColor="text1"/>
          <w:sz w:val="16"/>
          <w:szCs w:val="16"/>
          <w:shd w:val="clear" w:color="auto" w:fill="FFFFFF"/>
          <w:lang w:val="en-US"/>
        </w:rPr>
      </w:pPr>
    </w:p>
    <w:p w:rsidR="008F6FFE" w:rsidRPr="00666EA7" w:rsidRDefault="008F6FFE" w:rsidP="004C75E7">
      <w:pPr>
        <w:rPr>
          <w:rFonts w:asciiTheme="minorHAnsi" w:hAnsiTheme="minorHAnsi" w:cstheme="minorHAnsi"/>
          <w:color w:val="000000" w:themeColor="text1"/>
          <w:sz w:val="16"/>
          <w:szCs w:val="16"/>
          <w:shd w:val="clear" w:color="auto" w:fill="FFFFFF"/>
          <w:lang w:val="en-US"/>
        </w:rPr>
      </w:pPr>
      <w:r w:rsidRPr="00666EA7">
        <w:rPr>
          <w:rFonts w:asciiTheme="minorHAnsi" w:hAnsiTheme="minorHAnsi" w:cstheme="minorHAnsi"/>
          <w:color w:val="000000" w:themeColor="text1"/>
          <w:sz w:val="16"/>
          <w:szCs w:val="16"/>
          <w:shd w:val="clear" w:color="auto" w:fill="FFFFFF"/>
          <w:lang w:val="en-US"/>
        </w:rPr>
        <w:t>Wan Y, et al.</w:t>
      </w:r>
    </w:p>
    <w:p w:rsidR="008F6FFE" w:rsidRPr="00666EA7" w:rsidRDefault="008F6FFE" w:rsidP="004C75E7">
      <w:pPr>
        <w:rPr>
          <w:rFonts w:asciiTheme="minorHAnsi" w:hAnsiTheme="minorHAnsi" w:cstheme="minorHAnsi"/>
          <w:color w:val="000000" w:themeColor="text1"/>
          <w:sz w:val="16"/>
          <w:szCs w:val="16"/>
          <w:shd w:val="clear" w:color="auto" w:fill="FFFFFF"/>
          <w:lang w:val="en-US"/>
        </w:rPr>
      </w:pPr>
      <w:r w:rsidRPr="00666EA7">
        <w:rPr>
          <w:rFonts w:asciiTheme="minorHAnsi" w:hAnsiTheme="minorHAnsi" w:cstheme="minorHAnsi"/>
          <w:color w:val="000000" w:themeColor="text1"/>
          <w:sz w:val="16"/>
          <w:szCs w:val="16"/>
          <w:shd w:val="clear" w:color="auto" w:fill="FFFFFF"/>
          <w:lang w:val="en-US"/>
        </w:rPr>
        <w:t>Molecular Mechanism for Antibody-Dependent Enhancement of Coronavirus Entry.</w:t>
      </w:r>
    </w:p>
    <w:p w:rsidR="008F6FFE" w:rsidRPr="00666EA7" w:rsidRDefault="008F6FFE" w:rsidP="004C75E7">
      <w:pPr>
        <w:rPr>
          <w:rFonts w:asciiTheme="minorHAnsi" w:hAnsiTheme="minorHAnsi" w:cstheme="minorHAnsi"/>
          <w:color w:val="000000" w:themeColor="text1"/>
          <w:sz w:val="16"/>
          <w:szCs w:val="16"/>
          <w:shd w:val="clear" w:color="auto" w:fill="FFFFFF"/>
        </w:rPr>
      </w:pPr>
      <w:r w:rsidRPr="00666EA7">
        <w:rPr>
          <w:rFonts w:asciiTheme="minorHAnsi" w:hAnsiTheme="minorHAnsi" w:cstheme="minorHAnsi"/>
          <w:color w:val="000000" w:themeColor="text1"/>
          <w:sz w:val="16"/>
          <w:szCs w:val="16"/>
          <w:shd w:val="clear" w:color="auto" w:fill="FFFFFF"/>
        </w:rPr>
        <w:t>J Virol. 2020;94(5):e02015-19. doi:10.1128/JVI.02015-19</w:t>
      </w:r>
    </w:p>
    <w:p w:rsidR="008F6FFE" w:rsidRPr="00666EA7" w:rsidRDefault="0052743C" w:rsidP="00571807">
      <w:pPr>
        <w:rPr>
          <w:rFonts w:asciiTheme="minorHAnsi" w:hAnsiTheme="minorHAnsi" w:cstheme="minorHAnsi"/>
          <w:color w:val="000000" w:themeColor="text1"/>
          <w:sz w:val="16"/>
          <w:szCs w:val="16"/>
        </w:rPr>
      </w:pPr>
      <w:hyperlink r:id="rId720" w:history="1">
        <w:r w:rsidR="008F6FFE" w:rsidRPr="00666EA7">
          <w:rPr>
            <w:rFonts w:asciiTheme="minorHAnsi" w:hAnsiTheme="minorHAnsi" w:cstheme="minorHAnsi"/>
            <w:color w:val="000000" w:themeColor="text1"/>
            <w:sz w:val="16"/>
            <w:szCs w:val="16"/>
          </w:rPr>
          <w:t>https://www.ncbi.nlm.nih.gov/pmc/articles/PMC7022351/pdf/JVI.02015-19.pdf</w:t>
        </w:r>
      </w:hyperlink>
    </w:p>
    <w:p w:rsidR="008F6FFE" w:rsidRPr="00666EA7"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rPr>
      </w:pPr>
    </w:p>
    <w:p w:rsidR="008F6FFE" w:rsidRPr="00666EA7"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J Virol 2011 Oct;85(20):10582-97 doi: 10.1128/JVI.00671-11</w:t>
      </w:r>
    </w:p>
    <w:p w:rsidR="008F6FFE" w:rsidRPr="00666EA7"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Anti-severe Acute Respiratory Syndrome Coronavirus Spike Antibodies Trigger Infection of Human Immune Cells via a pH- And Cysteine Protease-Independent FcγR Pathway</w:t>
      </w:r>
    </w:p>
    <w:p w:rsidR="008F6FFE" w:rsidRPr="00666EA7" w:rsidRDefault="0052743C" w:rsidP="00717D4D">
      <w:pPr>
        <w:rPr>
          <w:rFonts w:asciiTheme="minorHAnsi" w:hAnsiTheme="minorHAnsi" w:cstheme="minorHAnsi"/>
          <w:color w:val="000000" w:themeColor="text1"/>
          <w:sz w:val="16"/>
          <w:szCs w:val="16"/>
          <w:lang w:val="en-US"/>
        </w:rPr>
      </w:pPr>
      <w:hyperlink r:id="rId721" w:history="1">
        <w:r w:rsidR="008F6FFE" w:rsidRPr="00666EA7">
          <w:rPr>
            <w:rFonts w:asciiTheme="minorHAnsi" w:hAnsiTheme="minorHAnsi" w:cstheme="minorHAnsi"/>
            <w:color w:val="000000" w:themeColor="text1"/>
            <w:sz w:val="16"/>
            <w:szCs w:val="16"/>
            <w:lang w:val="en-US"/>
          </w:rPr>
          <w:t>Martial Jaume</w:t>
        </w:r>
      </w:hyperlink>
      <w:r w:rsidR="008F6FFE" w:rsidRPr="00666EA7">
        <w:rPr>
          <w:rFonts w:asciiTheme="minorHAnsi" w:hAnsiTheme="minorHAnsi" w:cstheme="minorHAnsi"/>
          <w:color w:val="000000" w:themeColor="text1"/>
          <w:sz w:val="16"/>
          <w:szCs w:val="16"/>
          <w:lang w:val="en-US"/>
        </w:rPr>
        <w:t xml:space="preserve"> et al </w:t>
      </w:r>
    </w:p>
    <w:p w:rsidR="008F6FFE" w:rsidRPr="00666EA7" w:rsidRDefault="0052743C" w:rsidP="00571807">
      <w:pPr>
        <w:rPr>
          <w:rFonts w:asciiTheme="minorHAnsi" w:hAnsiTheme="minorHAnsi" w:cstheme="minorHAnsi"/>
          <w:color w:val="000000" w:themeColor="text1"/>
          <w:sz w:val="16"/>
          <w:szCs w:val="16"/>
          <w:lang w:val="en-US"/>
        </w:rPr>
      </w:pPr>
      <w:hyperlink r:id="rId722" w:history="1">
        <w:r w:rsidR="008F6FFE" w:rsidRPr="00666EA7">
          <w:rPr>
            <w:rFonts w:asciiTheme="minorHAnsi" w:hAnsiTheme="minorHAnsi" w:cstheme="minorHAnsi"/>
            <w:color w:val="000000" w:themeColor="text1"/>
            <w:sz w:val="16"/>
            <w:szCs w:val="16"/>
            <w:lang w:val="en-US"/>
          </w:rPr>
          <w:t>https://www.ncbi.nlm.nih.gov/pmc/articles/PMC3187504/pdf/zjv10582.pdf</w:t>
        </w:r>
      </w:hyperlink>
    </w:p>
    <w:p w:rsidR="008F6FFE" w:rsidRPr="00666EA7" w:rsidRDefault="008F6FFE" w:rsidP="00717D4D">
      <w:pPr>
        <w:pStyle w:val="FootnoteText"/>
        <w:rPr>
          <w:rFonts w:asciiTheme="minorHAnsi" w:hAnsiTheme="minorHAnsi" w:cstheme="minorHAnsi"/>
          <w:color w:val="000000" w:themeColor="text1"/>
          <w:sz w:val="16"/>
          <w:szCs w:val="16"/>
          <w:lang w:val="en-US"/>
        </w:rPr>
      </w:pPr>
    </w:p>
    <w:p w:rsidR="008F6FFE" w:rsidRPr="00666EA7"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Biochem Biophys Res Commun 2014 Aug 22;451(2):208-14 doi:10.1016/j.bbrc.2014.07.090. </w:t>
      </w:r>
    </w:p>
    <w:p w:rsidR="008F6FFE" w:rsidRPr="00666EA7"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Antibody-dependent SARS Coronavirus Infection Is Mediated by Antibodies Against Spike Proteins</w:t>
      </w:r>
    </w:p>
    <w:p w:rsidR="008F6FFE" w:rsidRPr="00666EA7" w:rsidRDefault="0052743C"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hyperlink r:id="rId723" w:history="1">
        <w:r w:rsidR="008F6FFE" w:rsidRPr="00666EA7">
          <w:rPr>
            <w:rFonts w:asciiTheme="minorHAnsi" w:hAnsiTheme="minorHAnsi" w:cstheme="minorHAnsi"/>
            <w:color w:val="000000" w:themeColor="text1"/>
            <w:sz w:val="16"/>
            <w:szCs w:val="16"/>
            <w:lang w:val="en-US"/>
          </w:rPr>
          <w:t>Sheng-Fan Wang</w:t>
        </w:r>
      </w:hyperlink>
      <w:r w:rsidR="008F6FFE" w:rsidRPr="00666EA7">
        <w:rPr>
          <w:rFonts w:asciiTheme="minorHAnsi" w:hAnsiTheme="minorHAnsi" w:cstheme="minorHAnsi"/>
          <w:color w:val="000000" w:themeColor="text1"/>
          <w:sz w:val="16"/>
          <w:szCs w:val="16"/>
          <w:lang w:val="en-US"/>
        </w:rPr>
        <w:t> et al</w:t>
      </w:r>
    </w:p>
    <w:p w:rsidR="008F6FFE" w:rsidRPr="00666EA7" w:rsidRDefault="0052743C" w:rsidP="00571807">
      <w:pPr>
        <w:rPr>
          <w:rFonts w:asciiTheme="minorHAnsi" w:hAnsiTheme="minorHAnsi" w:cstheme="minorHAnsi"/>
          <w:color w:val="000000" w:themeColor="text1"/>
          <w:sz w:val="16"/>
          <w:szCs w:val="16"/>
          <w:lang w:val="en-US"/>
        </w:rPr>
      </w:pPr>
      <w:hyperlink r:id="rId724" w:history="1">
        <w:r w:rsidR="008F6FFE" w:rsidRPr="00666EA7">
          <w:rPr>
            <w:rFonts w:asciiTheme="minorHAnsi" w:hAnsiTheme="minorHAnsi" w:cstheme="minorHAnsi"/>
            <w:color w:val="000000" w:themeColor="text1"/>
            <w:sz w:val="16"/>
            <w:szCs w:val="16"/>
            <w:lang w:val="en-US"/>
          </w:rPr>
          <w:t>https://www.ncbi.nlm.nih.gov/pmc/articles/PMC7092860/pdf/main.pdf</w:t>
        </w:r>
      </w:hyperlink>
    </w:p>
    <w:p w:rsidR="008F6FFE" w:rsidRPr="00717D4D"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p>
    <w:p w:rsidR="008F6FFE" w:rsidRPr="00666EA7"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Virol J 2014 May 6;11:82 doi: 10.1186/1743-422X-11-82.</w:t>
      </w:r>
    </w:p>
    <w:p w:rsidR="008F6FFE" w:rsidRPr="00666EA7" w:rsidRDefault="008F6FFE"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Antibody-dependent Infection of Human Macrophages by Severe Acute Respiratory Syndrome Coronavirus</w:t>
      </w:r>
    </w:p>
    <w:p w:rsidR="008F6FFE" w:rsidRPr="00666EA7" w:rsidRDefault="0052743C" w:rsidP="00717D4D">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lang w:val="en-US"/>
        </w:rPr>
      </w:pPr>
      <w:hyperlink r:id="rId725" w:history="1">
        <w:r w:rsidR="008F6FFE" w:rsidRPr="00666EA7">
          <w:rPr>
            <w:rFonts w:asciiTheme="minorHAnsi" w:hAnsiTheme="minorHAnsi" w:cstheme="minorHAnsi"/>
            <w:color w:val="000000" w:themeColor="text1"/>
            <w:sz w:val="16"/>
            <w:szCs w:val="16"/>
            <w:lang w:val="en-US"/>
          </w:rPr>
          <w:t>Ming Shum Yip</w:t>
        </w:r>
      </w:hyperlink>
      <w:r w:rsidR="008F6FFE" w:rsidRPr="00666EA7">
        <w:rPr>
          <w:rFonts w:asciiTheme="minorHAnsi" w:hAnsiTheme="minorHAnsi" w:cstheme="minorHAnsi"/>
          <w:color w:val="000000" w:themeColor="text1"/>
          <w:sz w:val="16"/>
          <w:szCs w:val="16"/>
          <w:lang w:val="en-US"/>
        </w:rPr>
        <w:t xml:space="preserve"> et al </w:t>
      </w:r>
    </w:p>
    <w:p w:rsidR="008F6FFE" w:rsidRPr="00666EA7" w:rsidRDefault="0052743C" w:rsidP="00571807">
      <w:pPr>
        <w:rPr>
          <w:rFonts w:asciiTheme="minorHAnsi" w:hAnsiTheme="minorHAnsi" w:cstheme="minorHAnsi"/>
          <w:color w:val="000000" w:themeColor="text1"/>
          <w:sz w:val="16"/>
          <w:szCs w:val="16"/>
          <w:lang w:val="en-US"/>
        </w:rPr>
      </w:pPr>
      <w:hyperlink r:id="rId726" w:history="1">
        <w:r w:rsidR="008F6FFE" w:rsidRPr="00666EA7">
          <w:rPr>
            <w:rFonts w:asciiTheme="minorHAnsi" w:hAnsiTheme="minorHAnsi" w:cstheme="minorHAnsi"/>
            <w:color w:val="000000" w:themeColor="text1"/>
            <w:sz w:val="16"/>
            <w:szCs w:val="16"/>
            <w:lang w:val="en-US"/>
          </w:rPr>
          <w:t>https://www.ncbi.nlm.nih.gov/pmc/articles/PMC4018502/pdf/1743-422X-11-82.pdf</w:t>
        </w:r>
      </w:hyperlink>
    </w:p>
    <w:p w:rsidR="008F6FFE" w:rsidRPr="00666EA7" w:rsidRDefault="008F6FFE" w:rsidP="00717D4D">
      <w:pPr>
        <w:pStyle w:val="FootnoteText"/>
        <w:rPr>
          <w:rFonts w:asciiTheme="minorHAnsi" w:hAnsiTheme="minorHAnsi" w:cstheme="minorHAnsi"/>
          <w:color w:val="000000" w:themeColor="text1"/>
          <w:sz w:val="16"/>
          <w:szCs w:val="16"/>
          <w:lang w:val="en-US"/>
        </w:rPr>
      </w:pPr>
    </w:p>
  </w:footnote>
  <w:footnote w:id="88">
    <w:p w:rsidR="008F6FFE" w:rsidRPr="00666EA7" w:rsidRDefault="008F6FFE" w:rsidP="00717D4D">
      <w:pPr>
        <w:pStyle w:val="NormalWeb"/>
        <w:spacing w:before="0" w:beforeAutospacing="0" w:after="0" w:afterAutospacing="0"/>
        <w:rPr>
          <w:rFonts w:asciiTheme="minorHAnsi" w:hAnsiTheme="minorHAnsi" w:cstheme="minorHAnsi"/>
          <w:color w:val="000000" w:themeColor="text1"/>
          <w:sz w:val="16"/>
          <w:szCs w:val="16"/>
          <w:lang w:val="en-US"/>
        </w:rPr>
      </w:pPr>
      <w:r w:rsidRPr="00666EA7">
        <w:rPr>
          <w:rStyle w:val="FootnoteReference"/>
          <w:rFonts w:asciiTheme="minorHAnsi" w:hAnsiTheme="minorHAnsi" w:cstheme="minorHAnsi"/>
          <w:color w:val="000000" w:themeColor="text1"/>
          <w:sz w:val="16"/>
          <w:szCs w:val="16"/>
        </w:rPr>
        <w:footnoteRef/>
      </w:r>
      <w:r w:rsidRPr="00666EA7">
        <w:rPr>
          <w:rFonts w:asciiTheme="minorHAnsi" w:hAnsiTheme="minorHAnsi" w:cstheme="minorHAnsi"/>
          <w:color w:val="000000" w:themeColor="text1"/>
          <w:sz w:val="16"/>
          <w:szCs w:val="16"/>
          <w:lang w:val="en-US"/>
        </w:rPr>
        <w:t xml:space="preserve">   Host Microbe. 2016. 19(2):181–193. doi: 10.1016/j.chom.2016.01.007. </w:t>
      </w:r>
    </w:p>
    <w:p w:rsidR="008F6FFE" w:rsidRPr="00666EA7" w:rsidRDefault="008F6FFE" w:rsidP="00717D4D">
      <w:pPr>
        <w:pStyle w:val="NormalWeb"/>
        <w:spacing w:before="0" w:beforeAutospacing="0" w:after="0" w:afterAutospacing="0"/>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Dysregulated Type I Interferon and Inflammatory Monocyte-Macrophage Responses Cause Lethal Pneumonia in SARS-CoV-Infected Mice Cell Channappanavar R, et al.</w:t>
      </w:r>
    </w:p>
    <w:p w:rsidR="008F6FFE" w:rsidRPr="00666EA7" w:rsidRDefault="0052743C" w:rsidP="00571807">
      <w:pPr>
        <w:rPr>
          <w:rFonts w:asciiTheme="minorHAnsi" w:hAnsiTheme="minorHAnsi" w:cstheme="minorHAnsi"/>
          <w:color w:val="000000" w:themeColor="text1"/>
          <w:sz w:val="16"/>
          <w:szCs w:val="16"/>
          <w:lang w:val="en-US"/>
        </w:rPr>
      </w:pPr>
      <w:hyperlink r:id="rId727" w:history="1">
        <w:r w:rsidR="008F6FFE" w:rsidRPr="00666EA7">
          <w:rPr>
            <w:rFonts w:asciiTheme="minorHAnsi" w:hAnsiTheme="minorHAnsi" w:cstheme="minorHAnsi"/>
            <w:color w:val="000000" w:themeColor="text1"/>
            <w:sz w:val="16"/>
            <w:szCs w:val="16"/>
            <w:lang w:val="en-US"/>
          </w:rPr>
          <w:t>https://www.ncbi.nlm.nih.gov/pmc/articles/PMC4752723/pdf/main.pdf</w:t>
        </w:r>
      </w:hyperlink>
    </w:p>
    <w:p w:rsidR="008F6FFE" w:rsidRPr="00666EA7" w:rsidRDefault="008F6FFE" w:rsidP="00717D4D">
      <w:pPr>
        <w:pStyle w:val="NormalWeb"/>
        <w:spacing w:before="0" w:beforeAutospacing="0" w:after="0" w:afterAutospacing="0"/>
        <w:rPr>
          <w:rFonts w:asciiTheme="minorHAnsi" w:hAnsiTheme="minorHAnsi" w:cstheme="minorHAnsi"/>
          <w:color w:val="000000" w:themeColor="text1"/>
          <w:sz w:val="16"/>
          <w:szCs w:val="16"/>
          <w:lang w:val="en-US"/>
        </w:rPr>
      </w:pPr>
    </w:p>
    <w:p w:rsidR="008F6FFE" w:rsidRPr="00666EA7" w:rsidRDefault="008F6FFE" w:rsidP="00717D4D">
      <w:pPr>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Lancet. 2003. 361(9371):1767–1772. doi: 10.1016/S0140-6736(03)13412-5.</w:t>
      </w:r>
    </w:p>
    <w:p w:rsidR="008F6FFE" w:rsidRPr="00666EA7" w:rsidRDefault="008F6FFE" w:rsidP="00717D4D">
      <w:pPr>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 xml:space="preserve">Clinical progression and viral load in a community outbreak of coronavirus-associated SARS pneumonia: a prospective study. </w:t>
      </w:r>
    </w:p>
    <w:p w:rsidR="008F6FFE" w:rsidRPr="00235A16" w:rsidRDefault="008F6FFE" w:rsidP="00717D4D">
      <w:pPr>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Peiris JS, et al.</w:t>
      </w:r>
    </w:p>
    <w:p w:rsidR="008F6FFE" w:rsidRPr="00235A16" w:rsidRDefault="0052743C" w:rsidP="00571807">
      <w:pPr>
        <w:rPr>
          <w:rFonts w:asciiTheme="minorHAnsi" w:hAnsiTheme="minorHAnsi" w:cstheme="minorHAnsi"/>
          <w:color w:val="000000" w:themeColor="text1"/>
          <w:sz w:val="16"/>
          <w:szCs w:val="16"/>
          <w:lang w:val="de-DE"/>
        </w:rPr>
      </w:pPr>
      <w:hyperlink r:id="rId728" w:history="1">
        <w:r w:rsidR="008F6FFE" w:rsidRPr="00235A16">
          <w:rPr>
            <w:rFonts w:asciiTheme="minorHAnsi" w:hAnsiTheme="minorHAnsi" w:cstheme="minorHAnsi"/>
            <w:color w:val="000000" w:themeColor="text1"/>
            <w:sz w:val="16"/>
            <w:szCs w:val="16"/>
            <w:lang w:val="de-DE"/>
          </w:rPr>
          <w:t>https://www.ncbi.nlm.nih.gov/pmc/articles/PMC7112410/pdf/main.pdf</w:t>
        </w:r>
      </w:hyperlink>
    </w:p>
    <w:p w:rsidR="008F6FFE" w:rsidRPr="00235A16" w:rsidRDefault="008F6FFE" w:rsidP="00717D4D">
      <w:pPr>
        <w:rPr>
          <w:rFonts w:asciiTheme="minorHAnsi" w:hAnsiTheme="minorHAnsi" w:cstheme="minorHAnsi"/>
          <w:color w:val="000000" w:themeColor="text1"/>
          <w:sz w:val="16"/>
          <w:szCs w:val="16"/>
          <w:lang w:val="de-DE"/>
        </w:rPr>
      </w:pPr>
    </w:p>
    <w:p w:rsidR="008F6FFE" w:rsidRPr="00666EA7" w:rsidRDefault="008F6FFE" w:rsidP="00717D4D">
      <w:pPr>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J Med Virol 78:1–8 (2006)</w:t>
      </w:r>
    </w:p>
    <w:p w:rsidR="008F6FFE" w:rsidRPr="00666EA7" w:rsidRDefault="008F6FFE" w:rsidP="00717D4D">
      <w:pPr>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 xml:space="preserve">Antibody responses against SARS coronavirus are correlated with disease outcome of infected individuals. </w:t>
      </w:r>
    </w:p>
    <w:p w:rsidR="008F6FFE" w:rsidRPr="00666EA7" w:rsidRDefault="008F6FFE" w:rsidP="00717D4D">
      <w:pPr>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Zhang L, Zhang F, Yu W, He T, Yu J, Yi CE, Ba L, Li W, Farzan M, Chen Z, Yuen KY, Ho D</w:t>
      </w:r>
    </w:p>
    <w:p w:rsidR="008F6FFE" w:rsidRPr="009075A1" w:rsidRDefault="0052743C" w:rsidP="00717D4D">
      <w:pPr>
        <w:rPr>
          <w:rFonts w:asciiTheme="minorHAnsi" w:hAnsiTheme="minorHAnsi" w:cstheme="minorHAnsi"/>
          <w:color w:val="000000" w:themeColor="text1"/>
          <w:sz w:val="16"/>
          <w:szCs w:val="16"/>
          <w:lang w:val="en-US"/>
        </w:rPr>
      </w:pPr>
      <w:hyperlink r:id="rId729" w:history="1">
        <w:r w:rsidR="008F6FFE" w:rsidRPr="00666EA7">
          <w:rPr>
            <w:rFonts w:asciiTheme="minorHAnsi" w:hAnsiTheme="minorHAnsi" w:cstheme="minorHAnsi"/>
            <w:color w:val="000000" w:themeColor="text1"/>
            <w:sz w:val="16"/>
            <w:szCs w:val="16"/>
            <w:lang w:val="en-US"/>
          </w:rPr>
          <w:t>https://www.ncbi.nlm.nih.gov/pmc/articles/PMC7166884/pdf/JMV-78-1.pdf</w:t>
        </w:r>
      </w:hyperlink>
    </w:p>
    <w:p w:rsidR="008F6FFE" w:rsidRPr="00666EA7" w:rsidRDefault="008F6FFE" w:rsidP="00717D4D">
      <w:pPr>
        <w:rPr>
          <w:rFonts w:asciiTheme="minorHAnsi" w:hAnsiTheme="minorHAnsi" w:cstheme="minorHAnsi"/>
          <w:color w:val="000000" w:themeColor="text1"/>
          <w:sz w:val="16"/>
          <w:szCs w:val="16"/>
          <w:lang w:val="en-US"/>
        </w:rPr>
      </w:pPr>
    </w:p>
    <w:p w:rsidR="008F6FFE" w:rsidRPr="00666EA7" w:rsidRDefault="008F6FFE" w:rsidP="00717D4D">
      <w:pPr>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JCI Insight. 2019. 4(4). pii:doi:10.1172/jci.insight.123158.</w:t>
      </w:r>
    </w:p>
    <w:p w:rsidR="008F6FFE" w:rsidRPr="00666EA7" w:rsidRDefault="008F6FFE" w:rsidP="00717D4D">
      <w:pPr>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 xml:space="preserve">Anti-spike IgG causes severe acute lung injury by skewing macrophage responses during acute SARS-CoV infection. </w:t>
      </w:r>
    </w:p>
    <w:p w:rsidR="008F6FFE" w:rsidRPr="00235A16" w:rsidRDefault="008F6FFE" w:rsidP="00717D4D">
      <w:pPr>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Liu L, et al.</w:t>
      </w:r>
    </w:p>
    <w:p w:rsidR="008F6FFE" w:rsidRPr="00235A16" w:rsidRDefault="0052743C" w:rsidP="00571807">
      <w:pPr>
        <w:rPr>
          <w:rFonts w:asciiTheme="minorHAnsi" w:hAnsiTheme="minorHAnsi" w:cstheme="minorHAnsi"/>
          <w:color w:val="000000" w:themeColor="text1"/>
          <w:sz w:val="16"/>
          <w:szCs w:val="16"/>
          <w:lang w:val="de-DE"/>
        </w:rPr>
      </w:pPr>
      <w:hyperlink r:id="rId730" w:history="1">
        <w:r w:rsidR="008F6FFE" w:rsidRPr="00235A16">
          <w:rPr>
            <w:rFonts w:asciiTheme="minorHAnsi" w:hAnsiTheme="minorHAnsi" w:cstheme="minorHAnsi"/>
            <w:color w:val="000000" w:themeColor="text1"/>
            <w:sz w:val="16"/>
            <w:szCs w:val="16"/>
            <w:lang w:val="de-DE"/>
          </w:rPr>
          <w:t>https://www.ncbi.nlm.nih.gov/pmc/articles/PMC6478436/pdf/jciinsight-4-123158.pdf</w:t>
        </w:r>
      </w:hyperlink>
    </w:p>
    <w:p w:rsidR="008F6FFE" w:rsidRPr="00235A16" w:rsidRDefault="008F6FFE" w:rsidP="00717D4D">
      <w:pPr>
        <w:pStyle w:val="FootnoteText"/>
        <w:rPr>
          <w:rFonts w:asciiTheme="minorHAnsi" w:hAnsiTheme="minorHAnsi" w:cstheme="minorHAnsi"/>
          <w:color w:val="000000" w:themeColor="text1"/>
          <w:sz w:val="16"/>
          <w:szCs w:val="16"/>
          <w:lang w:val="de-DE"/>
        </w:rPr>
      </w:pPr>
    </w:p>
  </w:footnote>
  <w:footnote w:id="89">
    <w:p w:rsidR="008F6FFE" w:rsidRPr="00666EA7"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666EA7">
        <w:rPr>
          <w:rFonts w:asciiTheme="minorHAnsi" w:eastAsia="Times New Roman" w:hAnsiTheme="minorHAnsi" w:cstheme="minorHAnsi"/>
          <w:color w:val="000000" w:themeColor="text1"/>
          <w:sz w:val="16"/>
          <w:szCs w:val="16"/>
          <w:vertAlign w:val="superscript"/>
          <w:lang w:val="en-US"/>
        </w:rPr>
        <w:footnoteRef/>
      </w:r>
      <w:r w:rsidRPr="00666EA7">
        <w:rPr>
          <w:rFonts w:asciiTheme="minorHAnsi" w:eastAsia="Times New Roman" w:hAnsiTheme="minorHAnsi" w:cstheme="minorHAnsi"/>
          <w:color w:val="000000" w:themeColor="text1"/>
          <w:sz w:val="16"/>
          <w:szCs w:val="16"/>
          <w:lang w:val="en-US"/>
        </w:rPr>
        <w:t xml:space="preserve"> </w:t>
      </w:r>
      <w:hyperlink r:id="rId731">
        <w:r w:rsidRPr="00666EA7">
          <w:rPr>
            <w:rFonts w:asciiTheme="minorHAnsi" w:eastAsia="Times New Roman" w:hAnsiTheme="minorHAnsi" w:cstheme="minorHAnsi"/>
            <w:color w:val="000000" w:themeColor="text1"/>
            <w:sz w:val="16"/>
            <w:szCs w:val="16"/>
            <w:lang w:val="en-US"/>
          </w:rPr>
          <w:t>Nat Rev Immunol.</w:t>
        </w:r>
      </w:hyperlink>
      <w:r w:rsidRPr="00666EA7">
        <w:rPr>
          <w:rFonts w:asciiTheme="minorHAnsi" w:eastAsia="Times New Roman" w:hAnsiTheme="minorHAnsi" w:cstheme="minorHAnsi"/>
          <w:color w:val="000000" w:themeColor="text1"/>
          <w:sz w:val="16"/>
          <w:szCs w:val="16"/>
          <w:lang w:val="en-US"/>
        </w:rPr>
        <w:t xml:space="preserve"> 2020 Apr 21. doi: 10.1038/s41577-020-0321-6.</w:t>
      </w:r>
    </w:p>
    <w:p w:rsidR="008F6FFE" w:rsidRPr="00666EA7"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666EA7">
        <w:rPr>
          <w:rFonts w:asciiTheme="minorHAnsi" w:eastAsia="Times New Roman" w:hAnsiTheme="minorHAnsi" w:cstheme="minorHAnsi"/>
          <w:color w:val="000000" w:themeColor="text1"/>
          <w:sz w:val="16"/>
          <w:szCs w:val="16"/>
          <w:lang w:val="en-US"/>
        </w:rPr>
        <w:t>The potential danger of suboptimal antibody responses in COVID-19.</w:t>
      </w:r>
    </w:p>
    <w:p w:rsidR="008F6FFE" w:rsidRPr="00666EA7"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32">
        <w:r w:rsidR="008F6FFE" w:rsidRPr="00666EA7">
          <w:rPr>
            <w:rFonts w:asciiTheme="minorHAnsi" w:eastAsia="Times New Roman" w:hAnsiTheme="minorHAnsi" w:cstheme="minorHAnsi"/>
            <w:color w:val="000000" w:themeColor="text1"/>
            <w:sz w:val="16"/>
            <w:szCs w:val="16"/>
            <w:lang w:val="en-US"/>
          </w:rPr>
          <w:t>Iwasaki A</w:t>
        </w:r>
      </w:hyperlink>
      <w:r w:rsidR="008F6FFE" w:rsidRPr="00666EA7">
        <w:rPr>
          <w:rFonts w:asciiTheme="minorHAnsi" w:eastAsia="Times New Roman" w:hAnsiTheme="minorHAnsi" w:cstheme="minorHAnsi"/>
          <w:color w:val="000000" w:themeColor="text1"/>
          <w:sz w:val="16"/>
          <w:szCs w:val="16"/>
          <w:lang w:val="en-US"/>
        </w:rPr>
        <w:t xml:space="preserve">1,2, </w:t>
      </w:r>
      <w:hyperlink r:id="rId733">
        <w:r w:rsidR="008F6FFE" w:rsidRPr="00666EA7">
          <w:rPr>
            <w:rFonts w:asciiTheme="minorHAnsi" w:eastAsia="Times New Roman" w:hAnsiTheme="minorHAnsi" w:cstheme="minorHAnsi"/>
            <w:color w:val="000000" w:themeColor="text1"/>
            <w:sz w:val="16"/>
            <w:szCs w:val="16"/>
            <w:lang w:val="en-US"/>
          </w:rPr>
          <w:t>Yang Y</w:t>
        </w:r>
      </w:hyperlink>
      <w:r w:rsidR="008F6FFE" w:rsidRPr="00666EA7">
        <w:rPr>
          <w:rFonts w:asciiTheme="minorHAnsi" w:eastAsia="Times New Roman" w:hAnsiTheme="minorHAnsi" w:cstheme="minorHAnsi"/>
          <w:color w:val="000000" w:themeColor="text1"/>
          <w:sz w:val="16"/>
          <w:szCs w:val="16"/>
          <w:lang w:val="en-US"/>
        </w:rPr>
        <w:t>3.</w:t>
      </w:r>
    </w:p>
    <w:p w:rsidR="008F6FFE" w:rsidRPr="00666EA7"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34">
        <w:r w:rsidR="008F6FFE" w:rsidRPr="00666EA7">
          <w:rPr>
            <w:rFonts w:asciiTheme="minorHAnsi" w:eastAsia="Times New Roman" w:hAnsiTheme="minorHAnsi" w:cstheme="minorHAnsi"/>
            <w:color w:val="000000" w:themeColor="text1"/>
            <w:sz w:val="16"/>
            <w:szCs w:val="16"/>
            <w:lang w:val="en-US"/>
          </w:rPr>
          <w:t>https://www.nature.com/articles/s41577-020-0321-6</w:t>
        </w:r>
      </w:hyperlink>
    </w:p>
    <w:p w:rsidR="008F6FFE" w:rsidRPr="00666EA7"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p>
    <w:p w:rsidR="008F6FFE" w:rsidRPr="00666EA7"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35">
        <w:r w:rsidR="008F6FFE" w:rsidRPr="00666EA7">
          <w:rPr>
            <w:rFonts w:asciiTheme="minorHAnsi" w:eastAsia="Times New Roman" w:hAnsiTheme="minorHAnsi" w:cstheme="minorHAnsi"/>
            <w:color w:val="000000" w:themeColor="text1"/>
            <w:sz w:val="16"/>
            <w:szCs w:val="16"/>
            <w:lang w:val="en-US"/>
          </w:rPr>
          <w:t>Swiss Med Wkly.</w:t>
        </w:r>
      </w:hyperlink>
      <w:r w:rsidR="008F6FFE" w:rsidRPr="00666EA7">
        <w:rPr>
          <w:rFonts w:asciiTheme="minorHAnsi" w:eastAsia="Times New Roman" w:hAnsiTheme="minorHAnsi" w:cstheme="minorHAnsi"/>
          <w:color w:val="000000" w:themeColor="text1"/>
          <w:sz w:val="16"/>
          <w:szCs w:val="16"/>
          <w:lang w:val="en-US"/>
        </w:rPr>
        <w:t xml:space="preserve"> 2020 Apr 16;150:w20249. doi: 10.4414/smw.2020.20249.</w:t>
      </w:r>
    </w:p>
    <w:p w:rsidR="008F6FFE" w:rsidRPr="00666EA7"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666EA7">
        <w:rPr>
          <w:rFonts w:asciiTheme="minorHAnsi" w:eastAsia="Times New Roman" w:hAnsiTheme="minorHAnsi" w:cstheme="minorHAnsi"/>
          <w:color w:val="000000" w:themeColor="text1"/>
          <w:sz w:val="16"/>
          <w:szCs w:val="16"/>
          <w:lang w:val="en-US"/>
        </w:rPr>
        <w:t>Is antibody-dependent enhancement playing a role in COVID-19 pathogenesis?</w:t>
      </w:r>
    </w:p>
    <w:p w:rsidR="008F6FFE" w:rsidRPr="00666EA7"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36">
        <w:r w:rsidR="008F6FFE" w:rsidRPr="00666EA7">
          <w:rPr>
            <w:rFonts w:asciiTheme="minorHAnsi" w:eastAsia="Times New Roman" w:hAnsiTheme="minorHAnsi" w:cstheme="minorHAnsi"/>
            <w:color w:val="000000" w:themeColor="text1"/>
            <w:sz w:val="16"/>
            <w:szCs w:val="16"/>
            <w:lang w:val="en-US"/>
          </w:rPr>
          <w:t>Negro F</w:t>
        </w:r>
      </w:hyperlink>
      <w:r w:rsidR="008F6FFE" w:rsidRPr="00666EA7">
        <w:rPr>
          <w:rFonts w:asciiTheme="minorHAnsi" w:eastAsia="Times New Roman" w:hAnsiTheme="minorHAnsi" w:cstheme="minorHAnsi"/>
          <w:color w:val="000000" w:themeColor="text1"/>
          <w:sz w:val="16"/>
          <w:szCs w:val="16"/>
          <w:lang w:val="en-US"/>
        </w:rPr>
        <w:t>1.</w:t>
      </w:r>
    </w:p>
    <w:p w:rsidR="008F6FFE" w:rsidRPr="00666EA7" w:rsidRDefault="0052743C" w:rsidP="00571807">
      <w:pPr>
        <w:rPr>
          <w:rFonts w:asciiTheme="minorHAnsi" w:hAnsiTheme="minorHAnsi" w:cstheme="minorHAnsi"/>
          <w:color w:val="000000" w:themeColor="text1"/>
          <w:sz w:val="16"/>
          <w:szCs w:val="16"/>
          <w:lang w:val="en-US"/>
        </w:rPr>
      </w:pPr>
      <w:hyperlink r:id="rId737" w:history="1">
        <w:r w:rsidR="008F6FFE" w:rsidRPr="00666EA7">
          <w:rPr>
            <w:rFonts w:asciiTheme="minorHAnsi" w:hAnsiTheme="minorHAnsi" w:cstheme="minorHAnsi"/>
            <w:color w:val="000000" w:themeColor="text1"/>
            <w:sz w:val="16"/>
            <w:szCs w:val="16"/>
            <w:lang w:val="en-US"/>
          </w:rPr>
          <w:t>https://smw.ch/article/doi/smw.2020.20249</w:t>
        </w:r>
      </w:hyperlink>
    </w:p>
    <w:p w:rsidR="008F6FFE" w:rsidRPr="00666EA7"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p>
    <w:p w:rsidR="008F6FFE" w:rsidRPr="00666EA7"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666EA7">
        <w:rPr>
          <w:rFonts w:asciiTheme="minorHAnsi" w:eastAsia="Times New Roman" w:hAnsiTheme="minorHAnsi" w:cstheme="minorHAnsi"/>
          <w:color w:val="000000" w:themeColor="text1"/>
          <w:sz w:val="16"/>
          <w:szCs w:val="16"/>
          <w:lang w:val="en-US"/>
        </w:rPr>
        <w:t xml:space="preserve">Medical Countermeasures Analysis of 2019-nCoV and Vaccine Risks for Antibody-Dependent Enhancement (ADE) (2/27/2020). </w:t>
      </w:r>
    </w:p>
    <w:p w:rsidR="008F6FFE" w:rsidRPr="00666EA7"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666EA7">
        <w:rPr>
          <w:rFonts w:asciiTheme="minorHAnsi" w:eastAsia="Times New Roman" w:hAnsiTheme="minorHAnsi" w:cstheme="minorHAnsi"/>
          <w:color w:val="000000" w:themeColor="text1"/>
          <w:sz w:val="16"/>
          <w:szCs w:val="16"/>
          <w:lang w:val="en-US"/>
        </w:rPr>
        <w:t xml:space="preserve">Ricke, Darrell and Malone, Robert W., </w:t>
      </w:r>
    </w:p>
    <w:p w:rsidR="008F6FFE" w:rsidRPr="00666EA7"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38">
        <w:r w:rsidR="008F6FFE" w:rsidRPr="00666EA7">
          <w:rPr>
            <w:rFonts w:asciiTheme="minorHAnsi" w:eastAsia="Times New Roman" w:hAnsiTheme="minorHAnsi" w:cstheme="minorHAnsi"/>
            <w:color w:val="000000" w:themeColor="text1"/>
            <w:sz w:val="16"/>
            <w:szCs w:val="16"/>
            <w:lang w:val="en-US"/>
          </w:rPr>
          <w:t>http://dx.doi.org/10.2139/ssrn.3546070</w:t>
        </w:r>
      </w:hyperlink>
    </w:p>
    <w:p w:rsidR="008F6FFE" w:rsidRPr="00666EA7" w:rsidRDefault="008F6FFE" w:rsidP="00717D4D">
      <w:pPr>
        <w:rPr>
          <w:rFonts w:asciiTheme="minorHAnsi" w:hAnsiTheme="minorHAnsi" w:cstheme="minorHAnsi"/>
          <w:color w:val="000000" w:themeColor="text1"/>
          <w:sz w:val="16"/>
          <w:szCs w:val="16"/>
          <w:lang w:val="en-US"/>
        </w:rPr>
      </w:pPr>
    </w:p>
    <w:p w:rsidR="008F6FFE" w:rsidRPr="00666EA7" w:rsidRDefault="008F6FFE" w:rsidP="00717D4D">
      <w:pPr>
        <w:rPr>
          <w:rFonts w:asciiTheme="minorHAnsi" w:hAnsiTheme="minorHAnsi" w:cstheme="minorHAnsi"/>
          <w:color w:val="000000" w:themeColor="text1"/>
          <w:sz w:val="16"/>
          <w:szCs w:val="16"/>
          <w:lang w:val="en-US"/>
        </w:rPr>
      </w:pPr>
      <w:r w:rsidRPr="00666EA7">
        <w:rPr>
          <w:rFonts w:asciiTheme="minorHAnsi" w:hAnsiTheme="minorHAnsi" w:cstheme="minorHAnsi"/>
          <w:color w:val="000000" w:themeColor="text1"/>
          <w:sz w:val="16"/>
          <w:szCs w:val="16"/>
          <w:lang w:val="en-US"/>
        </w:rPr>
        <w:t xml:space="preserve">Front Microbiol. 2018 Dec 5;9:2991. doi: 10.3389/fmicb.2018.02991. </w:t>
      </w:r>
    </w:p>
    <w:p w:rsidR="008F6FFE" w:rsidRPr="00666EA7"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39" w:history="1">
        <w:r w:rsidR="008F6FFE" w:rsidRPr="00666EA7">
          <w:rPr>
            <w:rFonts w:asciiTheme="minorHAnsi" w:eastAsia="Times New Roman" w:hAnsiTheme="minorHAnsi" w:cstheme="minorHAnsi"/>
            <w:color w:val="000000" w:themeColor="text1"/>
            <w:sz w:val="16"/>
            <w:szCs w:val="16"/>
            <w:lang w:val="en-US"/>
          </w:rPr>
          <w:t>Viral-Induced Enhanced Disease Illness.</w:t>
        </w:r>
      </w:hyperlink>
    </w:p>
    <w:p w:rsidR="008F6FFE" w:rsidRPr="00666EA7"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rPr>
      </w:pPr>
      <w:r w:rsidRPr="00666EA7">
        <w:rPr>
          <w:rFonts w:asciiTheme="minorHAnsi" w:eastAsia="Times New Roman" w:hAnsiTheme="minorHAnsi" w:cstheme="minorHAnsi"/>
          <w:color w:val="000000" w:themeColor="text1"/>
          <w:sz w:val="16"/>
          <w:szCs w:val="16"/>
        </w:rPr>
        <w:t>Smatti MK, Al Thani AA, Yassine HM.</w:t>
      </w:r>
    </w:p>
    <w:p w:rsidR="008F6FFE" w:rsidRDefault="0052743C" w:rsidP="00666EA7">
      <w:pPr>
        <w:rPr>
          <w:rFonts w:asciiTheme="minorHAnsi" w:hAnsiTheme="minorHAnsi" w:cstheme="minorHAnsi"/>
          <w:color w:val="000000" w:themeColor="text1"/>
          <w:sz w:val="16"/>
          <w:szCs w:val="16"/>
        </w:rPr>
      </w:pPr>
      <w:hyperlink r:id="rId740" w:history="1">
        <w:r w:rsidR="008F6FFE" w:rsidRPr="00666EA7">
          <w:rPr>
            <w:rFonts w:asciiTheme="minorHAnsi" w:hAnsiTheme="minorHAnsi" w:cstheme="minorHAnsi"/>
            <w:color w:val="000000" w:themeColor="text1"/>
            <w:sz w:val="16"/>
            <w:szCs w:val="16"/>
          </w:rPr>
          <w:t>https://www.ncbi.nlm.nih.gov/pmc/articles/PMC6290032/pdf/fmicb-09-02991.pdf</w:t>
        </w:r>
      </w:hyperlink>
    </w:p>
    <w:p w:rsidR="008F6FFE" w:rsidRPr="00717D4D" w:rsidRDefault="008F6FFE" w:rsidP="00666EA7">
      <w:pPr>
        <w:rPr>
          <w:rFonts w:asciiTheme="minorHAnsi" w:hAnsiTheme="minorHAnsi"/>
          <w:sz w:val="16"/>
          <w:szCs w:val="16"/>
        </w:rPr>
      </w:pPr>
    </w:p>
  </w:footnote>
  <w:footnote w:id="90">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vertAlign w:val="superscript"/>
          <w:lang w:val="en-US"/>
        </w:rPr>
        <w:footnoteRef/>
      </w:r>
      <w:r w:rsidRPr="00717D4D">
        <w:rPr>
          <w:rFonts w:asciiTheme="minorHAnsi" w:eastAsia="Times New Roman" w:hAnsiTheme="minorHAnsi" w:cstheme="minorHAnsi"/>
          <w:color w:val="000000" w:themeColor="text1"/>
          <w:sz w:val="16"/>
          <w:szCs w:val="16"/>
          <w:lang w:val="en-US"/>
        </w:rPr>
        <w:t xml:space="preserve"> Nat Rev Immunol 2005 Dec;5(12):917-27.  doi: 10.1038/nri1732.</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Immunopathogenesis of Coronavirus Infections: Implications for SARS</w:t>
      </w:r>
    </w:p>
    <w:p w:rsidR="008F6FFE" w:rsidRPr="00717D4D"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41" w:history="1">
        <w:r w:rsidR="008F6FFE" w:rsidRPr="00717D4D">
          <w:rPr>
            <w:rFonts w:asciiTheme="minorHAnsi" w:eastAsia="Times New Roman" w:hAnsiTheme="minorHAnsi" w:cstheme="minorHAnsi"/>
            <w:color w:val="000000" w:themeColor="text1"/>
            <w:sz w:val="16"/>
            <w:szCs w:val="16"/>
            <w:lang w:val="en-US"/>
          </w:rPr>
          <w:t>Stanley Perlman</w:t>
        </w:r>
      </w:hyperlink>
      <w:r w:rsidR="008F6FFE" w:rsidRPr="00717D4D">
        <w:rPr>
          <w:rFonts w:asciiTheme="minorHAnsi" w:eastAsia="Times New Roman" w:hAnsiTheme="minorHAnsi" w:cstheme="minorHAnsi"/>
          <w:color w:val="000000" w:themeColor="text1"/>
          <w:sz w:val="16"/>
          <w:szCs w:val="16"/>
          <w:lang w:val="en-US"/>
        </w:rPr>
        <w:t> </w:t>
      </w:r>
      <w:hyperlink r:id="rId742" w:anchor="affiliation-1" w:history="1">
        <w:r w:rsidR="008F6FFE" w:rsidRPr="00717D4D">
          <w:rPr>
            <w:rFonts w:asciiTheme="minorHAnsi" w:eastAsia="Times New Roman" w:hAnsiTheme="minorHAnsi" w:cstheme="minorHAnsi"/>
            <w:color w:val="000000" w:themeColor="text1"/>
            <w:sz w:val="16"/>
            <w:szCs w:val="16"/>
            <w:lang w:val="en-US"/>
          </w:rPr>
          <w:t>1</w:t>
        </w:r>
      </w:hyperlink>
      <w:r w:rsidR="008F6FFE" w:rsidRPr="00717D4D">
        <w:rPr>
          <w:rFonts w:asciiTheme="minorHAnsi" w:eastAsia="Times New Roman" w:hAnsiTheme="minorHAnsi" w:cstheme="minorHAnsi"/>
          <w:color w:val="000000" w:themeColor="text1"/>
          <w:sz w:val="16"/>
          <w:szCs w:val="16"/>
          <w:lang w:val="en-US"/>
        </w:rPr>
        <w:t>, </w:t>
      </w:r>
      <w:hyperlink r:id="rId743" w:history="1">
        <w:r w:rsidR="008F6FFE" w:rsidRPr="00717D4D">
          <w:rPr>
            <w:rFonts w:asciiTheme="minorHAnsi" w:eastAsia="Times New Roman" w:hAnsiTheme="minorHAnsi" w:cstheme="minorHAnsi"/>
            <w:color w:val="000000" w:themeColor="text1"/>
            <w:sz w:val="16"/>
            <w:szCs w:val="16"/>
            <w:lang w:val="en-US"/>
          </w:rPr>
          <w:t>Ajai A Dandekar</w:t>
        </w:r>
      </w:hyperlink>
    </w:p>
    <w:p w:rsidR="008F6FFE" w:rsidRPr="00717D4D" w:rsidRDefault="0052743C" w:rsidP="00717D4D">
      <w:pPr>
        <w:rPr>
          <w:rFonts w:asciiTheme="minorHAnsi" w:hAnsiTheme="minorHAnsi"/>
          <w:color w:val="000000" w:themeColor="text1"/>
          <w:sz w:val="16"/>
          <w:szCs w:val="16"/>
          <w:lang w:val="en-US"/>
        </w:rPr>
      </w:pPr>
      <w:hyperlink r:id="rId744" w:history="1">
        <w:r w:rsidR="008F6FFE" w:rsidRPr="00717D4D">
          <w:rPr>
            <w:rStyle w:val="Hyperlink"/>
            <w:rFonts w:asciiTheme="minorHAnsi" w:eastAsiaTheme="majorEastAsia" w:hAnsiTheme="minorHAnsi"/>
            <w:color w:val="000000" w:themeColor="text1"/>
            <w:sz w:val="16"/>
            <w:szCs w:val="16"/>
            <w:u w:val="none"/>
            <w:lang w:val="en-US"/>
          </w:rPr>
          <w:t>https://www.ncbi.nlm.nih.gov/pmc/articles/PMC7097326/pdf/41577_2005_Article_BFnri1732.pdf</w:t>
        </w:r>
      </w:hyperlink>
    </w:p>
    <w:p w:rsidR="008F6FFE" w:rsidRPr="00717D4D" w:rsidRDefault="008F6FFE" w:rsidP="00717D4D">
      <w:pPr>
        <w:pStyle w:val="FootnoteText"/>
        <w:rPr>
          <w:rFonts w:asciiTheme="minorHAnsi" w:hAnsiTheme="minorHAnsi"/>
          <w:sz w:val="16"/>
          <w:szCs w:val="16"/>
          <w:lang w:val="en-US"/>
        </w:rPr>
      </w:pPr>
    </w:p>
  </w:footnote>
  <w:footnote w:id="91">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vertAlign w:val="superscript"/>
          <w:lang w:val="en-US"/>
        </w:rPr>
        <w:footnoteRef/>
      </w:r>
      <w:r w:rsidRPr="00717D4D">
        <w:rPr>
          <w:rFonts w:asciiTheme="minorHAnsi" w:eastAsia="Times New Roman" w:hAnsiTheme="minorHAnsi" w:cstheme="minorHAnsi"/>
          <w:color w:val="000000" w:themeColor="text1"/>
          <w:sz w:val="16"/>
          <w:szCs w:val="16"/>
          <w:lang w:val="en-US"/>
        </w:rPr>
        <w:t xml:space="preserve"> J Virol 2011 Dec;85(23):12201-15.  doi: 10.1128/JVI.06048-11. </w:t>
      </w:r>
    </w:p>
    <w:p w:rsidR="008F6FFE" w:rsidRPr="009075A1" w:rsidRDefault="008F6FFE" w:rsidP="00743535">
      <w:pPr>
        <w:pStyle w:val="Heading1"/>
        <w:shd w:val="clear" w:color="auto" w:fill="FFFFFF"/>
        <w:spacing w:before="0"/>
        <w:jc w:val="both"/>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lang w:val="en-US"/>
        </w:rPr>
        <w:t>A Double-Inactivated Severe Acute Respiratory Syndrome Coronavirus Vaccine Provides Incomplete Protection in Mice and Induces Increased Eosinophilic Proinflammatory Pulmonary Response Upon Challenge</w:t>
      </w:r>
    </w:p>
    <w:p w:rsidR="008F6FFE" w:rsidRPr="009075A1" w:rsidRDefault="0052743C" w:rsidP="00717D4D">
      <w:pPr>
        <w:rPr>
          <w:rFonts w:asciiTheme="minorHAnsi" w:hAnsiTheme="minorHAnsi" w:cstheme="minorHAnsi"/>
          <w:color w:val="000000" w:themeColor="text1"/>
          <w:sz w:val="16"/>
          <w:szCs w:val="16"/>
          <w:lang w:val="en-US"/>
        </w:rPr>
      </w:pPr>
      <w:hyperlink r:id="rId745" w:history="1">
        <w:r w:rsidR="008F6FFE" w:rsidRPr="009075A1">
          <w:rPr>
            <w:rFonts w:asciiTheme="minorHAnsi" w:hAnsiTheme="minorHAnsi" w:cstheme="minorHAnsi"/>
            <w:color w:val="000000" w:themeColor="text1"/>
            <w:sz w:val="16"/>
            <w:szCs w:val="16"/>
            <w:lang w:val="en-US"/>
          </w:rPr>
          <w:t>Meagan Bolles</w:t>
        </w:r>
      </w:hyperlink>
      <w:r w:rsidR="008F6FFE" w:rsidRPr="009075A1">
        <w:rPr>
          <w:rFonts w:asciiTheme="minorHAnsi" w:hAnsiTheme="minorHAnsi" w:cstheme="minorHAnsi"/>
          <w:color w:val="000000" w:themeColor="text1"/>
          <w:sz w:val="16"/>
          <w:szCs w:val="16"/>
          <w:lang w:val="en-US"/>
        </w:rPr>
        <w:t> et al</w:t>
      </w:r>
    </w:p>
    <w:p w:rsidR="008F6FFE" w:rsidRPr="009075A1" w:rsidRDefault="0052743C" w:rsidP="009075A1">
      <w:pPr>
        <w:rPr>
          <w:rFonts w:asciiTheme="minorHAnsi" w:hAnsiTheme="minorHAnsi" w:cstheme="minorHAnsi"/>
          <w:color w:val="000000" w:themeColor="text1"/>
          <w:sz w:val="16"/>
          <w:szCs w:val="16"/>
          <w:lang w:val="en-US"/>
        </w:rPr>
      </w:pPr>
      <w:hyperlink r:id="rId746" w:history="1">
        <w:r w:rsidR="008F6FFE" w:rsidRPr="009075A1">
          <w:rPr>
            <w:rFonts w:asciiTheme="minorHAnsi" w:hAnsiTheme="minorHAnsi" w:cstheme="minorHAnsi"/>
            <w:color w:val="000000" w:themeColor="text1"/>
            <w:sz w:val="16"/>
            <w:szCs w:val="16"/>
            <w:lang w:val="en-US"/>
          </w:rPr>
          <w:t>https://www.ncbi.nlm.nih.gov/pmc/articles/PMC3209347/pdf/zjv12201.pdf</w:t>
        </w:r>
      </w:hyperlink>
    </w:p>
    <w:p w:rsidR="008F6FFE" w:rsidRPr="009075A1" w:rsidRDefault="008F6FFE" w:rsidP="00717D4D">
      <w:pPr>
        <w:rPr>
          <w:rFonts w:asciiTheme="minorHAnsi" w:hAnsiTheme="minorHAnsi" w:cstheme="minorHAnsi"/>
          <w:color w:val="000000" w:themeColor="text1"/>
          <w:sz w:val="16"/>
          <w:szCs w:val="16"/>
          <w:lang w:val="en-US"/>
        </w:rPr>
      </w:pPr>
    </w:p>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lang w:val="en-US"/>
        </w:rPr>
        <w:t>PLoS One 2012;7(4):e35421.  doi: 10.1371/journal.pone.0035421. </w:t>
      </w:r>
    </w:p>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lang w:val="en-US"/>
        </w:rPr>
        <w:t>Immunization with SARS Coronavirus Vaccines Leads to Pulmonary Immunopathology on Challenge With the SARS Virus</w:t>
      </w:r>
    </w:p>
    <w:p w:rsidR="008F6FFE" w:rsidRPr="00235A16" w:rsidRDefault="0052743C" w:rsidP="00717D4D">
      <w:pPr>
        <w:rPr>
          <w:rFonts w:asciiTheme="minorHAnsi" w:hAnsiTheme="minorHAnsi" w:cstheme="minorHAnsi"/>
          <w:color w:val="000000" w:themeColor="text1"/>
          <w:sz w:val="16"/>
          <w:szCs w:val="16"/>
          <w:lang w:val="de-DE"/>
        </w:rPr>
      </w:pPr>
      <w:hyperlink r:id="rId747" w:history="1">
        <w:r w:rsidR="008F6FFE" w:rsidRPr="00235A16">
          <w:rPr>
            <w:rFonts w:asciiTheme="minorHAnsi" w:hAnsiTheme="minorHAnsi" w:cstheme="minorHAnsi"/>
            <w:color w:val="000000" w:themeColor="text1"/>
            <w:sz w:val="16"/>
            <w:szCs w:val="16"/>
            <w:lang w:val="de-DE"/>
          </w:rPr>
          <w:t>Chien-Te Tseng</w:t>
        </w:r>
      </w:hyperlink>
      <w:r w:rsidR="008F6FFE" w:rsidRPr="00235A16">
        <w:rPr>
          <w:rFonts w:asciiTheme="minorHAnsi" w:hAnsiTheme="minorHAnsi" w:cstheme="minorHAnsi"/>
          <w:color w:val="000000" w:themeColor="text1"/>
          <w:sz w:val="16"/>
          <w:szCs w:val="16"/>
          <w:lang w:val="de-DE"/>
        </w:rPr>
        <w:t> et al</w:t>
      </w:r>
    </w:p>
    <w:p w:rsidR="008F6FFE" w:rsidRPr="00235A16" w:rsidRDefault="0052743C" w:rsidP="009075A1">
      <w:pPr>
        <w:rPr>
          <w:rFonts w:asciiTheme="minorHAnsi" w:hAnsiTheme="minorHAnsi" w:cstheme="minorHAnsi"/>
          <w:color w:val="000000" w:themeColor="text1"/>
          <w:sz w:val="16"/>
          <w:szCs w:val="16"/>
          <w:lang w:val="de-DE"/>
        </w:rPr>
      </w:pPr>
      <w:hyperlink r:id="rId748" w:history="1">
        <w:r w:rsidR="008F6FFE" w:rsidRPr="00235A16">
          <w:rPr>
            <w:rFonts w:asciiTheme="minorHAnsi" w:hAnsiTheme="minorHAnsi" w:cstheme="minorHAnsi"/>
            <w:color w:val="000000" w:themeColor="text1"/>
            <w:sz w:val="16"/>
            <w:szCs w:val="16"/>
            <w:lang w:val="de-DE"/>
          </w:rPr>
          <w:t>https://www.ncbi.nlm.nih.gov/pmc/articles/PMC3335060/pdf/pone.0035421.pdf</w:t>
        </w:r>
      </w:hyperlink>
    </w:p>
    <w:p w:rsidR="008F6FFE" w:rsidRPr="00235A16" w:rsidRDefault="008F6FFE" w:rsidP="00717D4D">
      <w:pPr>
        <w:pStyle w:val="FootnoteText"/>
        <w:rPr>
          <w:rFonts w:asciiTheme="minorHAnsi" w:hAnsiTheme="minorHAnsi" w:cstheme="minorHAnsi"/>
          <w:color w:val="000000" w:themeColor="text1"/>
          <w:sz w:val="16"/>
          <w:szCs w:val="16"/>
          <w:lang w:val="de-DE"/>
        </w:rPr>
      </w:pPr>
    </w:p>
  </w:footnote>
  <w:footnote w:id="92">
    <w:p w:rsidR="008F6FFE" w:rsidRPr="00235A16" w:rsidRDefault="008F6FFE" w:rsidP="00717D4D">
      <w:pPr>
        <w:rPr>
          <w:rFonts w:asciiTheme="minorHAnsi" w:hAnsiTheme="minorHAnsi" w:cstheme="minorHAnsi"/>
          <w:color w:val="000000" w:themeColor="text1"/>
          <w:sz w:val="16"/>
          <w:szCs w:val="16"/>
          <w:lang w:val="de-DE"/>
        </w:rPr>
      </w:pPr>
      <w:r w:rsidRPr="009075A1">
        <w:rPr>
          <w:rStyle w:val="FootnoteReference"/>
          <w:rFonts w:asciiTheme="minorHAnsi" w:hAnsiTheme="minorHAnsi" w:cstheme="minorHAnsi"/>
          <w:color w:val="000000" w:themeColor="text1"/>
          <w:sz w:val="16"/>
          <w:szCs w:val="16"/>
        </w:rPr>
        <w:footnoteRef/>
      </w:r>
      <w:r w:rsidRPr="00235A16">
        <w:rPr>
          <w:rFonts w:asciiTheme="minorHAnsi" w:hAnsiTheme="minorHAnsi" w:cstheme="minorHAnsi"/>
          <w:color w:val="000000" w:themeColor="text1"/>
          <w:sz w:val="16"/>
          <w:szCs w:val="16"/>
          <w:lang w:val="de-DE"/>
        </w:rPr>
        <w:t xml:space="preserve"> </w:t>
      </w:r>
      <w:hyperlink r:id="rId749" w:history="1">
        <w:r w:rsidRPr="00235A16">
          <w:rPr>
            <w:rStyle w:val="Hyperlink"/>
            <w:rFonts w:asciiTheme="minorHAnsi" w:eastAsiaTheme="majorEastAsia" w:hAnsiTheme="minorHAnsi" w:cstheme="minorHAnsi"/>
            <w:color w:val="000000" w:themeColor="text1"/>
            <w:sz w:val="16"/>
            <w:szCs w:val="16"/>
            <w:u w:val="none"/>
            <w:lang w:val="de-DE"/>
          </w:rPr>
          <w:t>https://media.tghn.org/articles/FINAL2__summary_considerations_ED_with_COVID-19_vac-March_20_2020.pdf</w:t>
        </w:r>
      </w:hyperlink>
    </w:p>
    <w:p w:rsidR="008F6FFE" w:rsidRPr="00235A16"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de-DE"/>
        </w:rPr>
      </w:pPr>
    </w:p>
  </w:footnote>
  <w:footnote w:id="93">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vertAlign w:val="superscript"/>
          <w:lang w:val="en-US"/>
        </w:rPr>
        <w:footnoteRef/>
      </w:r>
      <w:r w:rsidRPr="009075A1">
        <w:rPr>
          <w:rFonts w:asciiTheme="minorHAnsi" w:eastAsia="Times New Roman" w:hAnsiTheme="minorHAnsi" w:cstheme="minorHAnsi"/>
          <w:color w:val="000000" w:themeColor="text1"/>
          <w:sz w:val="16"/>
          <w:szCs w:val="16"/>
          <w:vertAlign w:val="superscript"/>
          <w:lang w:val="en-US"/>
        </w:rPr>
        <w:t xml:space="preserve"> </w:t>
      </w:r>
      <w:r w:rsidRPr="009075A1">
        <w:rPr>
          <w:rFonts w:asciiTheme="minorHAnsi" w:eastAsia="Times New Roman" w:hAnsiTheme="minorHAnsi" w:cstheme="minorHAnsi"/>
          <w:color w:val="000000" w:themeColor="text1"/>
          <w:sz w:val="16"/>
          <w:szCs w:val="16"/>
          <w:lang w:val="en-US"/>
        </w:rPr>
        <w:t>Nat Rev Immunol 2020 Apr 28;1-2.  doi: 10.1038/s41577-020-0323-4. </w:t>
      </w:r>
    </w:p>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lang w:val="en-US"/>
        </w:rPr>
        <w:t>COVID-19 Vaccine Design: The Janus Face of Immune Enhancement</w:t>
      </w:r>
    </w:p>
    <w:p w:rsidR="008F6FFE" w:rsidRPr="009075A1"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rPr>
      </w:pPr>
      <w:hyperlink r:id="rId750" w:history="1">
        <w:r w:rsidR="008F6FFE" w:rsidRPr="009075A1">
          <w:rPr>
            <w:rFonts w:asciiTheme="minorHAnsi" w:eastAsia="Times New Roman" w:hAnsiTheme="minorHAnsi" w:cstheme="minorHAnsi"/>
            <w:color w:val="000000" w:themeColor="text1"/>
            <w:sz w:val="16"/>
            <w:szCs w:val="16"/>
          </w:rPr>
          <w:t>Peter J Hotez</w:t>
        </w:r>
      </w:hyperlink>
      <w:r w:rsidR="008F6FFE" w:rsidRPr="009075A1">
        <w:rPr>
          <w:rFonts w:asciiTheme="minorHAnsi" w:eastAsia="Times New Roman" w:hAnsiTheme="minorHAnsi" w:cstheme="minorHAnsi"/>
          <w:color w:val="000000" w:themeColor="text1"/>
          <w:sz w:val="16"/>
          <w:szCs w:val="16"/>
        </w:rPr>
        <w:t> </w:t>
      </w:r>
      <w:hyperlink r:id="rId751" w:anchor="affiliation-1" w:history="1">
        <w:r w:rsidR="008F6FFE" w:rsidRPr="009075A1">
          <w:rPr>
            <w:rFonts w:asciiTheme="minorHAnsi" w:eastAsia="Times New Roman" w:hAnsiTheme="minorHAnsi" w:cstheme="minorHAnsi"/>
            <w:color w:val="000000" w:themeColor="text1"/>
            <w:sz w:val="16"/>
            <w:szCs w:val="16"/>
          </w:rPr>
          <w:t>1</w:t>
        </w:r>
      </w:hyperlink>
      <w:r w:rsidR="008F6FFE" w:rsidRPr="009075A1">
        <w:rPr>
          <w:rFonts w:asciiTheme="minorHAnsi" w:eastAsia="Times New Roman" w:hAnsiTheme="minorHAnsi" w:cstheme="minorHAnsi"/>
          <w:color w:val="000000" w:themeColor="text1"/>
          <w:sz w:val="16"/>
          <w:szCs w:val="16"/>
        </w:rPr>
        <w:t> </w:t>
      </w:r>
      <w:hyperlink r:id="rId752" w:anchor="affiliation-2" w:history="1">
        <w:r w:rsidR="008F6FFE" w:rsidRPr="009075A1">
          <w:rPr>
            <w:rFonts w:asciiTheme="minorHAnsi" w:eastAsia="Times New Roman" w:hAnsiTheme="minorHAnsi" w:cstheme="minorHAnsi"/>
            <w:color w:val="000000" w:themeColor="text1"/>
            <w:sz w:val="16"/>
            <w:szCs w:val="16"/>
          </w:rPr>
          <w:t>2</w:t>
        </w:r>
      </w:hyperlink>
      <w:r w:rsidR="008F6FFE" w:rsidRPr="009075A1">
        <w:rPr>
          <w:rFonts w:asciiTheme="minorHAnsi" w:eastAsia="Times New Roman" w:hAnsiTheme="minorHAnsi" w:cstheme="minorHAnsi"/>
          <w:color w:val="000000" w:themeColor="text1"/>
          <w:sz w:val="16"/>
          <w:szCs w:val="16"/>
        </w:rPr>
        <w:t> </w:t>
      </w:r>
      <w:hyperlink r:id="rId753" w:anchor="affiliation-3" w:history="1">
        <w:r w:rsidR="008F6FFE" w:rsidRPr="009075A1">
          <w:rPr>
            <w:rFonts w:asciiTheme="minorHAnsi" w:eastAsia="Times New Roman" w:hAnsiTheme="minorHAnsi" w:cstheme="minorHAnsi"/>
            <w:color w:val="000000" w:themeColor="text1"/>
            <w:sz w:val="16"/>
            <w:szCs w:val="16"/>
          </w:rPr>
          <w:t>3</w:t>
        </w:r>
      </w:hyperlink>
      <w:r w:rsidR="008F6FFE" w:rsidRPr="009075A1">
        <w:rPr>
          <w:rFonts w:asciiTheme="minorHAnsi" w:eastAsia="Times New Roman" w:hAnsiTheme="minorHAnsi" w:cstheme="minorHAnsi"/>
          <w:color w:val="000000" w:themeColor="text1"/>
          <w:sz w:val="16"/>
          <w:szCs w:val="16"/>
        </w:rPr>
        <w:t> </w:t>
      </w:r>
      <w:hyperlink r:id="rId754" w:anchor="affiliation-4" w:history="1">
        <w:r w:rsidR="008F6FFE" w:rsidRPr="009075A1">
          <w:rPr>
            <w:rFonts w:asciiTheme="minorHAnsi" w:eastAsia="Times New Roman" w:hAnsiTheme="minorHAnsi" w:cstheme="minorHAnsi"/>
            <w:color w:val="000000" w:themeColor="text1"/>
            <w:sz w:val="16"/>
            <w:szCs w:val="16"/>
          </w:rPr>
          <w:t>4</w:t>
        </w:r>
      </w:hyperlink>
      <w:r w:rsidR="008F6FFE" w:rsidRPr="009075A1">
        <w:rPr>
          <w:rFonts w:asciiTheme="minorHAnsi" w:eastAsia="Times New Roman" w:hAnsiTheme="minorHAnsi" w:cstheme="minorHAnsi"/>
          <w:color w:val="000000" w:themeColor="text1"/>
          <w:sz w:val="16"/>
          <w:szCs w:val="16"/>
        </w:rPr>
        <w:t>, </w:t>
      </w:r>
      <w:hyperlink r:id="rId755" w:history="1">
        <w:r w:rsidR="008F6FFE" w:rsidRPr="009075A1">
          <w:rPr>
            <w:rFonts w:asciiTheme="minorHAnsi" w:eastAsia="Times New Roman" w:hAnsiTheme="minorHAnsi" w:cstheme="minorHAnsi"/>
            <w:color w:val="000000" w:themeColor="text1"/>
            <w:sz w:val="16"/>
            <w:szCs w:val="16"/>
          </w:rPr>
          <w:t>David B Corry</w:t>
        </w:r>
      </w:hyperlink>
      <w:r w:rsidR="008F6FFE" w:rsidRPr="009075A1">
        <w:rPr>
          <w:rFonts w:asciiTheme="minorHAnsi" w:eastAsia="Times New Roman" w:hAnsiTheme="minorHAnsi" w:cstheme="minorHAnsi"/>
          <w:color w:val="000000" w:themeColor="text1"/>
          <w:sz w:val="16"/>
          <w:szCs w:val="16"/>
        </w:rPr>
        <w:t> </w:t>
      </w:r>
      <w:hyperlink r:id="rId756" w:anchor="affiliation-5" w:history="1">
        <w:r w:rsidR="008F6FFE" w:rsidRPr="009075A1">
          <w:rPr>
            <w:rFonts w:asciiTheme="minorHAnsi" w:eastAsia="Times New Roman" w:hAnsiTheme="minorHAnsi" w:cstheme="minorHAnsi"/>
            <w:color w:val="000000" w:themeColor="text1"/>
            <w:sz w:val="16"/>
            <w:szCs w:val="16"/>
          </w:rPr>
          <w:t>5</w:t>
        </w:r>
      </w:hyperlink>
      <w:r w:rsidR="008F6FFE" w:rsidRPr="009075A1">
        <w:rPr>
          <w:rFonts w:asciiTheme="minorHAnsi" w:eastAsia="Times New Roman" w:hAnsiTheme="minorHAnsi" w:cstheme="minorHAnsi"/>
          <w:color w:val="000000" w:themeColor="text1"/>
          <w:sz w:val="16"/>
          <w:szCs w:val="16"/>
        </w:rPr>
        <w:t> </w:t>
      </w:r>
      <w:hyperlink r:id="rId757" w:anchor="affiliation-6" w:history="1">
        <w:r w:rsidR="008F6FFE" w:rsidRPr="009075A1">
          <w:rPr>
            <w:rFonts w:asciiTheme="minorHAnsi" w:eastAsia="Times New Roman" w:hAnsiTheme="minorHAnsi" w:cstheme="minorHAnsi"/>
            <w:color w:val="000000" w:themeColor="text1"/>
            <w:sz w:val="16"/>
            <w:szCs w:val="16"/>
          </w:rPr>
          <w:t>6</w:t>
        </w:r>
      </w:hyperlink>
      <w:r w:rsidR="008F6FFE" w:rsidRPr="009075A1">
        <w:rPr>
          <w:rFonts w:asciiTheme="minorHAnsi" w:eastAsia="Times New Roman" w:hAnsiTheme="minorHAnsi" w:cstheme="minorHAnsi"/>
          <w:color w:val="000000" w:themeColor="text1"/>
          <w:sz w:val="16"/>
          <w:szCs w:val="16"/>
        </w:rPr>
        <w:t>, </w:t>
      </w:r>
      <w:hyperlink r:id="rId758" w:history="1">
        <w:r w:rsidR="008F6FFE" w:rsidRPr="009075A1">
          <w:rPr>
            <w:rFonts w:asciiTheme="minorHAnsi" w:eastAsia="Times New Roman" w:hAnsiTheme="minorHAnsi" w:cstheme="minorHAnsi"/>
            <w:color w:val="000000" w:themeColor="text1"/>
            <w:sz w:val="16"/>
            <w:szCs w:val="16"/>
          </w:rPr>
          <w:t>Maria Elena Bottazzi</w:t>
        </w:r>
      </w:hyperlink>
    </w:p>
    <w:p w:rsidR="008F6FFE" w:rsidRPr="009075A1" w:rsidRDefault="0052743C" w:rsidP="009075A1">
      <w:pPr>
        <w:rPr>
          <w:rFonts w:asciiTheme="minorHAnsi" w:hAnsiTheme="minorHAnsi" w:cstheme="minorHAnsi"/>
          <w:color w:val="000000" w:themeColor="text1"/>
          <w:sz w:val="16"/>
          <w:szCs w:val="16"/>
        </w:rPr>
      </w:pPr>
      <w:hyperlink r:id="rId759" w:history="1">
        <w:r w:rsidR="008F6FFE" w:rsidRPr="009075A1">
          <w:rPr>
            <w:rFonts w:asciiTheme="minorHAnsi" w:hAnsiTheme="minorHAnsi" w:cstheme="minorHAnsi"/>
            <w:color w:val="000000" w:themeColor="text1"/>
            <w:sz w:val="16"/>
            <w:szCs w:val="16"/>
          </w:rPr>
          <w:t>https://www.ncbi.nlm.nih.gov/pmc/articles/PMC7187801/pdf/41577_2020_Article_323.pdf</w:t>
        </w:r>
      </w:hyperlink>
    </w:p>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rPr>
      </w:pPr>
    </w:p>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lang w:val="en-US"/>
        </w:rPr>
        <w:t>JCI Insight 2019 Feb 21;4(4):e123158. doi: 10.1172/jci.insight.123158.</w:t>
      </w:r>
    </w:p>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lang w:val="en-US"/>
        </w:rPr>
        <w:t>Anti-spike IgG Causes Severe Acute Lung Injury by Skewing Macrophage Responses During Acute SARS-CoV Infection</w:t>
      </w:r>
    </w:p>
    <w:p w:rsidR="008F6FFE" w:rsidRPr="009075A1" w:rsidRDefault="0052743C" w:rsidP="00717D4D">
      <w:pPr>
        <w:rPr>
          <w:rFonts w:asciiTheme="minorHAnsi" w:hAnsiTheme="minorHAnsi" w:cstheme="minorHAnsi"/>
          <w:color w:val="000000" w:themeColor="text1"/>
          <w:sz w:val="16"/>
          <w:szCs w:val="16"/>
        </w:rPr>
      </w:pPr>
      <w:hyperlink r:id="rId760" w:history="1">
        <w:r w:rsidR="008F6FFE" w:rsidRPr="009075A1">
          <w:rPr>
            <w:rFonts w:asciiTheme="minorHAnsi" w:hAnsiTheme="minorHAnsi" w:cstheme="minorHAnsi"/>
            <w:color w:val="000000" w:themeColor="text1"/>
            <w:sz w:val="16"/>
            <w:szCs w:val="16"/>
          </w:rPr>
          <w:t>Li Liu</w:t>
        </w:r>
      </w:hyperlink>
      <w:r w:rsidR="008F6FFE" w:rsidRPr="009075A1">
        <w:rPr>
          <w:rFonts w:asciiTheme="minorHAnsi" w:hAnsiTheme="minorHAnsi" w:cstheme="minorHAnsi"/>
          <w:color w:val="000000" w:themeColor="text1"/>
          <w:sz w:val="16"/>
          <w:szCs w:val="16"/>
        </w:rPr>
        <w:t> et al</w:t>
      </w:r>
    </w:p>
    <w:p w:rsidR="008F6FFE" w:rsidRPr="009075A1" w:rsidRDefault="0052743C" w:rsidP="009075A1">
      <w:pPr>
        <w:rPr>
          <w:rFonts w:asciiTheme="minorHAnsi" w:hAnsiTheme="minorHAnsi" w:cstheme="minorHAnsi"/>
          <w:color w:val="000000" w:themeColor="text1"/>
          <w:sz w:val="16"/>
          <w:szCs w:val="16"/>
        </w:rPr>
      </w:pPr>
      <w:hyperlink r:id="rId761" w:history="1">
        <w:r w:rsidR="008F6FFE" w:rsidRPr="009075A1">
          <w:rPr>
            <w:rFonts w:asciiTheme="minorHAnsi" w:hAnsiTheme="minorHAnsi" w:cstheme="minorHAnsi"/>
            <w:color w:val="000000" w:themeColor="text1"/>
            <w:sz w:val="16"/>
            <w:szCs w:val="16"/>
          </w:rPr>
          <w:t>https://www.ncbi.nlm.nih.gov/pmc/articles/PMC6478436/</w:t>
        </w:r>
      </w:hyperlink>
    </w:p>
    <w:p w:rsidR="008F6FFE" w:rsidRPr="009075A1" w:rsidRDefault="008F6FFE" w:rsidP="00717D4D">
      <w:pPr>
        <w:rPr>
          <w:rFonts w:asciiTheme="minorHAnsi" w:hAnsiTheme="minorHAnsi" w:cstheme="minorHAnsi"/>
          <w:color w:val="000000" w:themeColor="text1"/>
          <w:sz w:val="16"/>
          <w:szCs w:val="16"/>
        </w:rPr>
      </w:pPr>
    </w:p>
    <w:p w:rsidR="008F6FFE" w:rsidRPr="009075A1" w:rsidRDefault="008F6FFE" w:rsidP="00717D4D">
      <w:pPr>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 xml:space="preserve">J Immunol. </w:t>
      </w:r>
      <w:r w:rsidRPr="009075A1">
        <w:rPr>
          <w:rFonts w:asciiTheme="minorHAnsi" w:hAnsiTheme="minorHAnsi" w:cstheme="minorHAnsi"/>
          <w:color w:val="000000" w:themeColor="text1"/>
          <w:sz w:val="16"/>
          <w:szCs w:val="16"/>
          <w:lang w:val="en-US"/>
        </w:rPr>
        <w:t>2008 Nov 1;181(9):6337-48. doi: 10.4049/jimmunol.181.9.6337.</w:t>
      </w:r>
    </w:p>
    <w:p w:rsidR="008F6FFE" w:rsidRPr="009075A1" w:rsidRDefault="0052743C" w:rsidP="00717D4D">
      <w:pPr>
        <w:jc w:val="both"/>
        <w:rPr>
          <w:rFonts w:asciiTheme="minorHAnsi" w:hAnsiTheme="minorHAnsi" w:cstheme="minorHAnsi"/>
          <w:color w:val="000000" w:themeColor="text1"/>
          <w:sz w:val="16"/>
          <w:szCs w:val="16"/>
          <w:lang w:val="en-US"/>
        </w:rPr>
      </w:pPr>
      <w:hyperlink r:id="rId762" w:history="1">
        <w:r w:rsidR="008F6FFE" w:rsidRPr="009075A1">
          <w:rPr>
            <w:rStyle w:val="Hyperlink"/>
            <w:rFonts w:asciiTheme="minorHAnsi" w:eastAsiaTheme="majorEastAsia" w:hAnsiTheme="minorHAnsi" w:cstheme="minorHAnsi"/>
            <w:color w:val="000000" w:themeColor="text1"/>
            <w:sz w:val="16"/>
            <w:szCs w:val="16"/>
            <w:u w:val="none"/>
            <w:shd w:val="clear" w:color="auto" w:fill="FFFFFF"/>
            <w:lang w:val="en-US"/>
          </w:rPr>
          <w:t>Prior immunization with severe acute respiratory syndrome (SARS)-associated coronavirus (SARS-CoV) nucleocapsid protein causes severe pneumonia in mice infected with SARS-CoV.</w:t>
        </w:r>
      </w:hyperlink>
    </w:p>
    <w:p w:rsidR="008F6FFE" w:rsidRPr="009075A1" w:rsidRDefault="008F6FFE" w:rsidP="00717D4D">
      <w:pPr>
        <w:rPr>
          <w:rFonts w:asciiTheme="minorHAnsi" w:hAnsiTheme="minorHAnsi" w:cstheme="minorHAnsi"/>
          <w:color w:val="000000" w:themeColor="text1"/>
          <w:sz w:val="16"/>
          <w:szCs w:val="16"/>
          <w:lang w:val="en-US"/>
        </w:rPr>
      </w:pPr>
      <w:r w:rsidRPr="009075A1">
        <w:rPr>
          <w:rFonts w:asciiTheme="minorHAnsi" w:hAnsiTheme="minorHAnsi" w:cstheme="minorHAnsi"/>
          <w:color w:val="000000" w:themeColor="text1"/>
          <w:sz w:val="16"/>
          <w:szCs w:val="16"/>
          <w:lang w:val="en-US"/>
        </w:rPr>
        <w:t xml:space="preserve"> Yasui F et al</w:t>
      </w:r>
    </w:p>
    <w:p w:rsidR="008F6FFE" w:rsidRPr="009075A1" w:rsidRDefault="0052743C" w:rsidP="009075A1">
      <w:pPr>
        <w:rPr>
          <w:rFonts w:asciiTheme="minorHAnsi" w:hAnsiTheme="minorHAnsi" w:cstheme="minorHAnsi"/>
          <w:color w:val="000000" w:themeColor="text1"/>
          <w:sz w:val="16"/>
          <w:szCs w:val="16"/>
          <w:lang w:val="en-US"/>
        </w:rPr>
      </w:pPr>
      <w:hyperlink r:id="rId763" w:history="1">
        <w:r w:rsidR="008F6FFE" w:rsidRPr="009075A1">
          <w:rPr>
            <w:rFonts w:asciiTheme="minorHAnsi" w:hAnsiTheme="minorHAnsi" w:cstheme="minorHAnsi"/>
            <w:color w:val="000000" w:themeColor="text1"/>
            <w:sz w:val="16"/>
            <w:szCs w:val="16"/>
            <w:lang w:val="en-US"/>
          </w:rPr>
          <w:t>https://www.jimmunol.org/content/181/9/6337.long</w:t>
        </w:r>
      </w:hyperlink>
    </w:p>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p>
  </w:footnote>
  <w:footnote w:id="94">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vertAlign w:val="superscript"/>
          <w:lang w:val="en-US"/>
        </w:rPr>
        <w:footnoteRef/>
      </w:r>
      <w:r w:rsidRPr="009075A1">
        <w:rPr>
          <w:rFonts w:asciiTheme="minorHAnsi" w:eastAsia="Times New Roman" w:hAnsiTheme="minorHAnsi" w:cstheme="minorHAnsi"/>
          <w:color w:val="000000" w:themeColor="text1"/>
          <w:sz w:val="16"/>
          <w:szCs w:val="16"/>
          <w:lang w:val="en-US"/>
        </w:rPr>
        <w:t xml:space="preserve"> J Microbiol Immunol Infect 2020 Mar 11;S1684-1182(20)30065-7. doi: 10.1016/j.jmii.2020.03.005. </w:t>
      </w:r>
    </w:p>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lang w:val="en-US"/>
        </w:rPr>
        <w:t>TH17 Responses in Cytokine Storm of COVID-19: An Emerging Target of JAK2 Inhibitor Fedratinib</w:t>
      </w:r>
    </w:p>
    <w:p w:rsidR="008F6FFE" w:rsidRPr="00A078ED"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rPr>
      </w:pPr>
      <w:hyperlink r:id="rId764" w:history="1">
        <w:r w:rsidR="008F6FFE" w:rsidRPr="00A078ED">
          <w:rPr>
            <w:rFonts w:asciiTheme="minorHAnsi" w:eastAsia="Times New Roman" w:hAnsiTheme="minorHAnsi" w:cstheme="minorHAnsi"/>
            <w:color w:val="000000" w:themeColor="text1"/>
            <w:sz w:val="16"/>
            <w:szCs w:val="16"/>
          </w:rPr>
          <w:t>Dandan Wu</w:t>
        </w:r>
      </w:hyperlink>
      <w:r w:rsidR="008F6FFE" w:rsidRPr="00A078ED">
        <w:rPr>
          <w:rFonts w:asciiTheme="minorHAnsi" w:eastAsia="Times New Roman" w:hAnsiTheme="minorHAnsi" w:cstheme="minorHAnsi"/>
          <w:color w:val="000000" w:themeColor="text1"/>
          <w:sz w:val="16"/>
          <w:szCs w:val="16"/>
        </w:rPr>
        <w:t> </w:t>
      </w:r>
      <w:hyperlink r:id="rId765" w:anchor="affiliation-1" w:history="1">
        <w:r w:rsidR="008F6FFE" w:rsidRPr="00A078ED">
          <w:rPr>
            <w:rFonts w:asciiTheme="minorHAnsi" w:eastAsia="Times New Roman" w:hAnsiTheme="minorHAnsi" w:cstheme="minorHAnsi"/>
            <w:color w:val="000000" w:themeColor="text1"/>
            <w:sz w:val="16"/>
            <w:szCs w:val="16"/>
          </w:rPr>
          <w:t>1</w:t>
        </w:r>
      </w:hyperlink>
      <w:r w:rsidR="008F6FFE" w:rsidRPr="00A078ED">
        <w:rPr>
          <w:rFonts w:asciiTheme="minorHAnsi" w:eastAsia="Times New Roman" w:hAnsiTheme="minorHAnsi" w:cstheme="minorHAnsi"/>
          <w:color w:val="000000" w:themeColor="text1"/>
          <w:sz w:val="16"/>
          <w:szCs w:val="16"/>
        </w:rPr>
        <w:t>, </w:t>
      </w:r>
      <w:hyperlink r:id="rId766" w:history="1">
        <w:r w:rsidR="008F6FFE" w:rsidRPr="00A078ED">
          <w:rPr>
            <w:rFonts w:asciiTheme="minorHAnsi" w:eastAsia="Times New Roman" w:hAnsiTheme="minorHAnsi" w:cstheme="minorHAnsi"/>
            <w:color w:val="000000" w:themeColor="text1"/>
            <w:sz w:val="16"/>
            <w:szCs w:val="16"/>
          </w:rPr>
          <w:t>Xuexian O Yang</w:t>
        </w:r>
      </w:hyperlink>
      <w:r w:rsidR="008F6FFE" w:rsidRPr="00A078ED">
        <w:rPr>
          <w:rFonts w:asciiTheme="minorHAnsi" w:eastAsia="Times New Roman" w:hAnsiTheme="minorHAnsi" w:cstheme="minorHAnsi"/>
          <w:color w:val="000000" w:themeColor="text1"/>
          <w:sz w:val="16"/>
          <w:szCs w:val="16"/>
        </w:rPr>
        <w:t> </w:t>
      </w:r>
      <w:hyperlink r:id="rId767" w:anchor="affiliation-2" w:history="1">
        <w:r w:rsidR="008F6FFE" w:rsidRPr="00A078ED">
          <w:rPr>
            <w:rFonts w:asciiTheme="minorHAnsi" w:eastAsia="Times New Roman" w:hAnsiTheme="minorHAnsi" w:cstheme="minorHAnsi"/>
            <w:color w:val="000000" w:themeColor="text1"/>
            <w:sz w:val="16"/>
            <w:szCs w:val="16"/>
          </w:rPr>
          <w:t>2</w:t>
        </w:r>
      </w:hyperlink>
    </w:p>
    <w:p w:rsidR="008F6FFE" w:rsidRPr="00A078ED" w:rsidRDefault="0052743C" w:rsidP="009075A1">
      <w:pPr>
        <w:rPr>
          <w:rFonts w:asciiTheme="minorHAnsi" w:hAnsiTheme="minorHAnsi" w:cstheme="minorHAnsi"/>
          <w:color w:val="000000" w:themeColor="text1"/>
          <w:sz w:val="16"/>
          <w:szCs w:val="16"/>
        </w:rPr>
      </w:pPr>
      <w:hyperlink r:id="rId768" w:history="1">
        <w:r w:rsidR="008F6FFE" w:rsidRPr="00A078ED">
          <w:rPr>
            <w:rFonts w:asciiTheme="minorHAnsi" w:hAnsiTheme="minorHAnsi" w:cstheme="minorHAnsi"/>
            <w:color w:val="000000" w:themeColor="text1"/>
            <w:sz w:val="16"/>
            <w:szCs w:val="16"/>
          </w:rPr>
          <w:t>https://www.ncbi.nlm.nih.gov/pmc/articles/PMC7156211/</w:t>
        </w:r>
      </w:hyperlink>
    </w:p>
    <w:p w:rsidR="008F6FFE" w:rsidRPr="00A078E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rPr>
      </w:pPr>
    </w:p>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lang w:val="en-US"/>
        </w:rPr>
        <w:t>J Immunol 2008 Apr 15;180(8):5625-35. doi: 10.4049/jimmunol.180.8.5625.</w:t>
      </w:r>
    </w:p>
    <w:p w:rsidR="008F6FFE" w:rsidRPr="009075A1"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9075A1">
        <w:rPr>
          <w:rFonts w:asciiTheme="minorHAnsi" w:eastAsia="Times New Roman" w:hAnsiTheme="minorHAnsi" w:cstheme="minorHAnsi"/>
          <w:color w:val="000000" w:themeColor="text1"/>
          <w:sz w:val="16"/>
          <w:szCs w:val="16"/>
          <w:lang w:val="en-US"/>
        </w:rPr>
        <w:t>Molecular Mechanisms of Cytokine and Chemokine Release from Eosinophils Activated by IL-17A, IL-17F, and IL-23: Implication for Th17 Lymphocytes-Mediated Allergic Inflammation</w:t>
      </w:r>
    </w:p>
    <w:p w:rsidR="008F6FFE" w:rsidRPr="009075A1"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69" w:history="1">
        <w:r w:rsidR="008F6FFE" w:rsidRPr="009075A1">
          <w:rPr>
            <w:rFonts w:asciiTheme="minorHAnsi" w:eastAsia="Times New Roman" w:hAnsiTheme="minorHAnsi" w:cstheme="minorHAnsi"/>
            <w:color w:val="000000" w:themeColor="text1"/>
            <w:sz w:val="16"/>
            <w:szCs w:val="16"/>
            <w:lang w:val="en-US"/>
          </w:rPr>
          <w:t>Phyllis F Y Cheung</w:t>
        </w:r>
      </w:hyperlink>
      <w:r w:rsidR="008F6FFE" w:rsidRPr="009075A1">
        <w:rPr>
          <w:rFonts w:asciiTheme="minorHAnsi" w:eastAsia="Times New Roman" w:hAnsiTheme="minorHAnsi" w:cstheme="minorHAnsi"/>
          <w:color w:val="000000" w:themeColor="text1"/>
          <w:sz w:val="16"/>
          <w:szCs w:val="16"/>
          <w:lang w:val="en-US"/>
        </w:rPr>
        <w:t> </w:t>
      </w:r>
      <w:hyperlink r:id="rId770" w:anchor="affiliation-1" w:history="1">
        <w:r w:rsidR="008F6FFE" w:rsidRPr="009075A1">
          <w:rPr>
            <w:rFonts w:asciiTheme="minorHAnsi" w:eastAsia="Times New Roman" w:hAnsiTheme="minorHAnsi" w:cstheme="minorHAnsi"/>
            <w:color w:val="000000" w:themeColor="text1"/>
            <w:sz w:val="16"/>
            <w:szCs w:val="16"/>
            <w:lang w:val="en-US"/>
          </w:rPr>
          <w:t>1</w:t>
        </w:r>
      </w:hyperlink>
      <w:r w:rsidR="008F6FFE" w:rsidRPr="009075A1">
        <w:rPr>
          <w:rFonts w:asciiTheme="minorHAnsi" w:eastAsia="Times New Roman" w:hAnsiTheme="minorHAnsi" w:cstheme="minorHAnsi"/>
          <w:color w:val="000000" w:themeColor="text1"/>
          <w:sz w:val="16"/>
          <w:szCs w:val="16"/>
          <w:lang w:val="en-US"/>
        </w:rPr>
        <w:t>, </w:t>
      </w:r>
      <w:hyperlink r:id="rId771" w:history="1">
        <w:r w:rsidR="008F6FFE" w:rsidRPr="009075A1">
          <w:rPr>
            <w:rFonts w:asciiTheme="minorHAnsi" w:eastAsia="Times New Roman" w:hAnsiTheme="minorHAnsi" w:cstheme="minorHAnsi"/>
            <w:color w:val="000000" w:themeColor="text1"/>
            <w:sz w:val="16"/>
            <w:szCs w:val="16"/>
            <w:lang w:val="en-US"/>
          </w:rPr>
          <w:t>Chun K Wong</w:t>
        </w:r>
      </w:hyperlink>
      <w:r w:rsidR="008F6FFE" w:rsidRPr="009075A1">
        <w:rPr>
          <w:rFonts w:asciiTheme="minorHAnsi" w:eastAsia="Times New Roman" w:hAnsiTheme="minorHAnsi" w:cstheme="minorHAnsi"/>
          <w:color w:val="000000" w:themeColor="text1"/>
          <w:sz w:val="16"/>
          <w:szCs w:val="16"/>
          <w:lang w:val="en-US"/>
        </w:rPr>
        <w:t>, </w:t>
      </w:r>
      <w:hyperlink r:id="rId772" w:history="1">
        <w:r w:rsidR="008F6FFE" w:rsidRPr="009075A1">
          <w:rPr>
            <w:rFonts w:asciiTheme="minorHAnsi" w:eastAsia="Times New Roman" w:hAnsiTheme="minorHAnsi" w:cstheme="minorHAnsi"/>
            <w:color w:val="000000" w:themeColor="text1"/>
            <w:sz w:val="16"/>
            <w:szCs w:val="16"/>
            <w:lang w:val="en-US"/>
          </w:rPr>
          <w:t>Christopher W K Lam</w:t>
        </w:r>
      </w:hyperlink>
    </w:p>
    <w:p w:rsidR="008F6FFE" w:rsidRPr="00717D4D" w:rsidRDefault="0052743C" w:rsidP="009075A1">
      <w:pPr>
        <w:rPr>
          <w:rFonts w:asciiTheme="minorHAnsi" w:hAnsiTheme="minorHAnsi" w:cstheme="minorHAnsi"/>
          <w:color w:val="000000" w:themeColor="text1"/>
          <w:sz w:val="16"/>
          <w:szCs w:val="16"/>
          <w:lang w:val="en-US"/>
        </w:rPr>
      </w:pPr>
      <w:hyperlink r:id="rId773" w:history="1">
        <w:r w:rsidR="008F6FFE" w:rsidRPr="009075A1">
          <w:rPr>
            <w:rFonts w:asciiTheme="minorHAnsi" w:hAnsiTheme="minorHAnsi" w:cstheme="minorHAnsi"/>
            <w:color w:val="000000" w:themeColor="text1"/>
            <w:sz w:val="16"/>
            <w:szCs w:val="16"/>
            <w:lang w:val="en-US"/>
          </w:rPr>
          <w:t>https://www.jimmunol.org/content/180/8/5625.long</w:t>
        </w:r>
      </w:hyperlink>
    </w:p>
  </w:footnote>
  <w:footnote w:id="95">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vertAlign w:val="superscript"/>
          <w:lang w:val="en-US"/>
        </w:rPr>
        <w:footnoteRef/>
      </w:r>
      <w:r w:rsidRPr="00717D4D">
        <w:rPr>
          <w:rFonts w:asciiTheme="minorHAnsi" w:eastAsia="Times New Roman" w:hAnsiTheme="minorHAnsi" w:cstheme="minorHAnsi"/>
          <w:color w:val="000000" w:themeColor="text1"/>
          <w:sz w:val="16"/>
          <w:szCs w:val="16"/>
          <w:lang w:val="en-US"/>
        </w:rPr>
        <w:t xml:space="preserve"> Eur J Immunol. 2010 Jul;40(7):1830-5. doi: 10.1002/eji.201040391.</w:t>
      </w:r>
    </w:p>
    <w:p w:rsidR="008F6FFE" w:rsidRPr="00717D4D"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74" w:history="1">
        <w:r w:rsidR="008F6FFE" w:rsidRPr="00717D4D">
          <w:rPr>
            <w:rFonts w:asciiTheme="minorHAnsi" w:eastAsia="Times New Roman" w:hAnsiTheme="minorHAnsi" w:cstheme="minorHAnsi"/>
            <w:color w:val="000000" w:themeColor="text1"/>
            <w:sz w:val="16"/>
            <w:szCs w:val="16"/>
            <w:lang w:val="en-US"/>
          </w:rPr>
          <w:t>IL-6: regulator of Treg/Th17 balance.</w:t>
        </w:r>
      </w:hyperlink>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Kimura A, Kishimoto T.</w:t>
      </w:r>
    </w:p>
    <w:p w:rsidR="008F6FFE" w:rsidRPr="009075A1" w:rsidRDefault="0052743C" w:rsidP="009075A1">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75" w:history="1">
        <w:r w:rsidR="008F6FFE" w:rsidRPr="009075A1">
          <w:rPr>
            <w:rFonts w:asciiTheme="minorHAnsi" w:eastAsia="Times New Roman" w:hAnsiTheme="minorHAnsi" w:cstheme="minorHAnsi"/>
            <w:color w:val="000000" w:themeColor="text1"/>
            <w:sz w:val="16"/>
            <w:szCs w:val="16"/>
            <w:lang w:val="en-US"/>
          </w:rPr>
          <w:t>https://onlinelibrary.wiley.com/doi/full/10.1002/eji.201040391</w:t>
        </w:r>
      </w:hyperlink>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Virology 2007 Sep 1;365(2):324-35.  doi: 10.1016/j.virol.2007.04.009. </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Nucleocapsid Protein of SARS-CoV Activates interleukin-6 Expression Through Cellular Transcription Factor NF-kappaB</w:t>
      </w:r>
    </w:p>
    <w:p w:rsidR="008F6FFE" w:rsidRPr="00717D4D"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76" w:history="1">
        <w:r w:rsidR="008F6FFE" w:rsidRPr="00717D4D">
          <w:rPr>
            <w:rFonts w:asciiTheme="minorHAnsi" w:eastAsia="Times New Roman" w:hAnsiTheme="minorHAnsi" w:cstheme="minorHAnsi"/>
            <w:color w:val="000000" w:themeColor="text1"/>
            <w:sz w:val="16"/>
            <w:szCs w:val="16"/>
            <w:lang w:val="en-US"/>
          </w:rPr>
          <w:t>Xue Zhang</w:t>
        </w:r>
      </w:hyperlink>
      <w:r w:rsidR="008F6FFE" w:rsidRPr="00717D4D">
        <w:rPr>
          <w:rFonts w:asciiTheme="minorHAnsi" w:eastAsia="Times New Roman" w:hAnsiTheme="minorHAnsi" w:cstheme="minorHAnsi"/>
          <w:color w:val="000000" w:themeColor="text1"/>
          <w:sz w:val="16"/>
          <w:szCs w:val="16"/>
          <w:lang w:val="en-US"/>
        </w:rPr>
        <w:t> </w:t>
      </w:r>
      <w:hyperlink r:id="rId777" w:anchor="affiliation-1" w:history="1">
        <w:r w:rsidR="008F6FFE" w:rsidRPr="00717D4D">
          <w:rPr>
            <w:rFonts w:asciiTheme="minorHAnsi" w:eastAsia="Times New Roman" w:hAnsiTheme="minorHAnsi" w:cstheme="minorHAnsi"/>
            <w:color w:val="000000" w:themeColor="text1"/>
            <w:sz w:val="16"/>
            <w:szCs w:val="16"/>
            <w:lang w:val="en-US"/>
          </w:rPr>
          <w:t>1</w:t>
        </w:r>
      </w:hyperlink>
      <w:r w:rsidR="008F6FFE" w:rsidRPr="00717D4D">
        <w:rPr>
          <w:rFonts w:asciiTheme="minorHAnsi" w:eastAsia="Times New Roman" w:hAnsiTheme="minorHAnsi" w:cstheme="minorHAnsi"/>
          <w:color w:val="000000" w:themeColor="text1"/>
          <w:sz w:val="16"/>
          <w:szCs w:val="16"/>
          <w:lang w:val="en-US"/>
        </w:rPr>
        <w:t>, </w:t>
      </w:r>
      <w:hyperlink r:id="rId778" w:history="1">
        <w:r w:rsidR="008F6FFE" w:rsidRPr="00717D4D">
          <w:rPr>
            <w:rFonts w:asciiTheme="minorHAnsi" w:eastAsia="Times New Roman" w:hAnsiTheme="minorHAnsi" w:cstheme="minorHAnsi"/>
            <w:color w:val="000000" w:themeColor="text1"/>
            <w:sz w:val="16"/>
            <w:szCs w:val="16"/>
            <w:lang w:val="en-US"/>
          </w:rPr>
          <w:t>Kailang Wu</w:t>
        </w:r>
      </w:hyperlink>
      <w:r w:rsidR="008F6FFE" w:rsidRPr="00717D4D">
        <w:rPr>
          <w:rFonts w:asciiTheme="minorHAnsi" w:eastAsia="Times New Roman" w:hAnsiTheme="minorHAnsi" w:cstheme="minorHAnsi"/>
          <w:color w:val="000000" w:themeColor="text1"/>
          <w:sz w:val="16"/>
          <w:szCs w:val="16"/>
          <w:lang w:val="en-US"/>
        </w:rPr>
        <w:t>, </w:t>
      </w:r>
      <w:hyperlink r:id="rId779" w:history="1">
        <w:r w:rsidR="008F6FFE" w:rsidRPr="00717D4D">
          <w:rPr>
            <w:rFonts w:asciiTheme="minorHAnsi" w:eastAsia="Times New Roman" w:hAnsiTheme="minorHAnsi" w:cstheme="minorHAnsi"/>
            <w:color w:val="000000" w:themeColor="text1"/>
            <w:sz w:val="16"/>
            <w:szCs w:val="16"/>
            <w:lang w:val="en-US"/>
          </w:rPr>
          <w:t>Di Wang</w:t>
        </w:r>
      </w:hyperlink>
      <w:r w:rsidR="008F6FFE" w:rsidRPr="00717D4D">
        <w:rPr>
          <w:rFonts w:asciiTheme="minorHAnsi" w:eastAsia="Times New Roman" w:hAnsiTheme="minorHAnsi" w:cstheme="minorHAnsi"/>
          <w:color w:val="000000" w:themeColor="text1"/>
          <w:sz w:val="16"/>
          <w:szCs w:val="16"/>
          <w:lang w:val="en-US"/>
        </w:rPr>
        <w:t>, </w:t>
      </w:r>
      <w:hyperlink r:id="rId780" w:history="1">
        <w:r w:rsidR="008F6FFE" w:rsidRPr="00717D4D">
          <w:rPr>
            <w:rFonts w:asciiTheme="minorHAnsi" w:eastAsia="Times New Roman" w:hAnsiTheme="minorHAnsi" w:cstheme="minorHAnsi"/>
            <w:color w:val="000000" w:themeColor="text1"/>
            <w:sz w:val="16"/>
            <w:szCs w:val="16"/>
            <w:lang w:val="en-US"/>
          </w:rPr>
          <w:t>Xin Yue</w:t>
        </w:r>
      </w:hyperlink>
      <w:r w:rsidR="008F6FFE" w:rsidRPr="00717D4D">
        <w:rPr>
          <w:rFonts w:asciiTheme="minorHAnsi" w:eastAsia="Times New Roman" w:hAnsiTheme="minorHAnsi" w:cstheme="minorHAnsi"/>
          <w:color w:val="000000" w:themeColor="text1"/>
          <w:sz w:val="16"/>
          <w:szCs w:val="16"/>
          <w:lang w:val="en-US"/>
        </w:rPr>
        <w:t>, </w:t>
      </w:r>
      <w:hyperlink r:id="rId781" w:history="1">
        <w:r w:rsidR="008F6FFE" w:rsidRPr="00717D4D">
          <w:rPr>
            <w:rFonts w:asciiTheme="minorHAnsi" w:eastAsia="Times New Roman" w:hAnsiTheme="minorHAnsi" w:cstheme="minorHAnsi"/>
            <w:color w:val="000000" w:themeColor="text1"/>
            <w:sz w:val="16"/>
            <w:szCs w:val="16"/>
            <w:lang w:val="en-US"/>
          </w:rPr>
          <w:t>Degui Song</w:t>
        </w:r>
      </w:hyperlink>
      <w:r w:rsidR="008F6FFE" w:rsidRPr="00717D4D">
        <w:rPr>
          <w:rFonts w:asciiTheme="minorHAnsi" w:eastAsia="Times New Roman" w:hAnsiTheme="minorHAnsi" w:cstheme="minorHAnsi"/>
          <w:color w:val="000000" w:themeColor="text1"/>
          <w:sz w:val="16"/>
          <w:szCs w:val="16"/>
          <w:lang w:val="en-US"/>
        </w:rPr>
        <w:t>, </w:t>
      </w:r>
      <w:hyperlink r:id="rId782" w:history="1">
        <w:r w:rsidR="008F6FFE" w:rsidRPr="00717D4D">
          <w:rPr>
            <w:rFonts w:asciiTheme="minorHAnsi" w:eastAsia="Times New Roman" w:hAnsiTheme="minorHAnsi" w:cstheme="minorHAnsi"/>
            <w:color w:val="000000" w:themeColor="text1"/>
            <w:sz w:val="16"/>
            <w:szCs w:val="16"/>
            <w:lang w:val="en-US"/>
          </w:rPr>
          <w:t>Ying Zhu</w:t>
        </w:r>
      </w:hyperlink>
      <w:r w:rsidR="008F6FFE" w:rsidRPr="00717D4D">
        <w:rPr>
          <w:rFonts w:asciiTheme="minorHAnsi" w:eastAsia="Times New Roman" w:hAnsiTheme="minorHAnsi" w:cstheme="minorHAnsi"/>
          <w:color w:val="000000" w:themeColor="text1"/>
          <w:sz w:val="16"/>
          <w:szCs w:val="16"/>
          <w:lang w:val="en-US"/>
        </w:rPr>
        <w:t>, </w:t>
      </w:r>
      <w:hyperlink r:id="rId783" w:history="1">
        <w:r w:rsidR="008F6FFE" w:rsidRPr="00717D4D">
          <w:rPr>
            <w:rFonts w:asciiTheme="minorHAnsi" w:eastAsia="Times New Roman" w:hAnsiTheme="minorHAnsi" w:cstheme="minorHAnsi"/>
            <w:color w:val="000000" w:themeColor="text1"/>
            <w:sz w:val="16"/>
            <w:szCs w:val="16"/>
            <w:lang w:val="en-US"/>
          </w:rPr>
          <w:t>Jianguo Wu</w:t>
        </w:r>
      </w:hyperlink>
    </w:p>
    <w:p w:rsidR="008F6FFE" w:rsidRPr="009075A1" w:rsidRDefault="0052743C" w:rsidP="009075A1">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84" w:history="1">
        <w:r w:rsidR="008F6FFE" w:rsidRPr="009075A1">
          <w:rPr>
            <w:rFonts w:asciiTheme="minorHAnsi" w:eastAsia="Times New Roman" w:hAnsiTheme="minorHAnsi" w:cstheme="minorHAnsi"/>
            <w:color w:val="000000" w:themeColor="text1"/>
            <w:sz w:val="16"/>
            <w:szCs w:val="16"/>
            <w:lang w:val="en-US"/>
          </w:rPr>
          <w:t>https://www.ncbi.nlm.nih.gov/pmc/articles/PMC7103332/</w:t>
        </w:r>
      </w:hyperlink>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p>
  </w:footnote>
  <w:footnote w:id="96">
    <w:p w:rsidR="008F6FFE" w:rsidRPr="00A078E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rPr>
      </w:pPr>
      <w:r w:rsidRPr="00BC5E79">
        <w:rPr>
          <w:rFonts w:asciiTheme="minorHAnsi" w:eastAsia="Times New Roman" w:hAnsiTheme="minorHAnsi" w:cstheme="minorHAnsi"/>
          <w:color w:val="000000" w:themeColor="text1"/>
          <w:sz w:val="16"/>
          <w:szCs w:val="16"/>
          <w:vertAlign w:val="superscript"/>
          <w:lang w:val="en-US"/>
        </w:rPr>
        <w:footnoteRef/>
      </w:r>
      <w:r w:rsidRPr="00A078ED">
        <w:rPr>
          <w:rFonts w:asciiTheme="minorHAnsi" w:eastAsia="Times New Roman" w:hAnsiTheme="minorHAnsi" w:cstheme="minorHAnsi"/>
          <w:color w:val="000000" w:themeColor="text1"/>
          <w:sz w:val="16"/>
          <w:szCs w:val="16"/>
        </w:rPr>
        <w:t xml:space="preserve"> JCI Insight 2016 Jun 16;1(9):e85851.  doi: 10.1172/jci.insight.85851.</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Cardiac myosin-Th17 Responses Promote Heart Failure in Human Myocarditis</w:t>
      </w:r>
    </w:p>
    <w:p w:rsidR="008F6FFE" w:rsidRPr="009075A1" w:rsidRDefault="0052743C" w:rsidP="009075A1">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85" w:history="1">
        <w:r w:rsidR="008F6FFE" w:rsidRPr="009075A1">
          <w:rPr>
            <w:rFonts w:asciiTheme="minorHAnsi" w:eastAsia="Times New Roman" w:hAnsiTheme="minorHAnsi" w:cstheme="minorHAnsi"/>
            <w:color w:val="000000" w:themeColor="text1"/>
            <w:sz w:val="16"/>
            <w:szCs w:val="16"/>
            <w:lang w:val="en-US"/>
          </w:rPr>
          <w:t>Jennifer M Myers</w:t>
        </w:r>
      </w:hyperlink>
      <w:r w:rsidR="008F6FFE" w:rsidRPr="009075A1">
        <w:rPr>
          <w:rFonts w:asciiTheme="minorHAnsi" w:eastAsia="Times New Roman" w:hAnsiTheme="minorHAnsi" w:cstheme="minorHAnsi"/>
          <w:color w:val="000000" w:themeColor="text1"/>
          <w:sz w:val="16"/>
          <w:szCs w:val="16"/>
          <w:lang w:val="en-US"/>
        </w:rPr>
        <w:t> et al</w:t>
      </w:r>
    </w:p>
    <w:p w:rsidR="008F6FFE" w:rsidRPr="009075A1" w:rsidRDefault="0052743C" w:rsidP="009075A1">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786" w:history="1">
        <w:r w:rsidR="008F6FFE" w:rsidRPr="009075A1">
          <w:rPr>
            <w:rFonts w:asciiTheme="minorHAnsi" w:eastAsia="Times New Roman" w:hAnsiTheme="minorHAnsi" w:cstheme="minorHAnsi"/>
            <w:color w:val="000000" w:themeColor="text1"/>
            <w:sz w:val="16"/>
            <w:szCs w:val="16"/>
            <w:lang w:val="en-US"/>
          </w:rPr>
          <w:t>https://www.ncbi.nlm.nih.gov/pmc/articles/PMC4924810/</w:t>
        </w:r>
      </w:hyperlink>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p>
  </w:footnote>
  <w:footnote w:id="97">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BC5E79">
        <w:rPr>
          <w:rFonts w:asciiTheme="minorHAnsi" w:eastAsia="Times New Roman" w:hAnsiTheme="minorHAnsi" w:cstheme="minorHAnsi"/>
          <w:color w:val="000000" w:themeColor="text1"/>
          <w:sz w:val="16"/>
          <w:szCs w:val="16"/>
          <w:vertAlign w:val="superscript"/>
          <w:lang w:val="en-US"/>
        </w:rPr>
        <w:footnoteRef/>
      </w:r>
      <w:r w:rsidRPr="00717D4D">
        <w:rPr>
          <w:rFonts w:asciiTheme="minorHAnsi" w:eastAsia="Times New Roman" w:hAnsiTheme="minorHAnsi" w:cstheme="minorHAnsi"/>
          <w:color w:val="000000" w:themeColor="text1"/>
          <w:sz w:val="16"/>
          <w:szCs w:val="16"/>
          <w:lang w:val="en-US"/>
        </w:rPr>
        <w:t xml:space="preserve"> Front Immunol 2018 Mar 2;9:406.  doi: 10.3389/fimmu.2018.00406. </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Fresh Evidence for Platelets as Neuronal and Innate Immune Cells: Their Role in the Activation, Differentiation, and Deactivation of Th1, Th17, and Tregs During Tissue Inflammation</w:t>
      </w:r>
    </w:p>
    <w:p w:rsidR="008F6FFE" w:rsidRPr="00A078ED"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rPr>
      </w:pPr>
      <w:hyperlink r:id="rId787" w:history="1">
        <w:r w:rsidR="008F6FFE" w:rsidRPr="00A078ED">
          <w:rPr>
            <w:rFonts w:asciiTheme="minorHAnsi" w:eastAsia="Times New Roman" w:hAnsiTheme="minorHAnsi" w:cstheme="minorHAnsi"/>
            <w:color w:val="000000" w:themeColor="text1"/>
            <w:sz w:val="16"/>
            <w:szCs w:val="16"/>
          </w:rPr>
          <w:t>Eugene D Ponomarev</w:t>
        </w:r>
      </w:hyperlink>
      <w:r w:rsidR="008F6FFE" w:rsidRPr="00A078ED">
        <w:rPr>
          <w:rFonts w:asciiTheme="minorHAnsi" w:eastAsia="Times New Roman" w:hAnsiTheme="minorHAnsi" w:cstheme="minorHAnsi"/>
          <w:color w:val="000000" w:themeColor="text1"/>
          <w:sz w:val="16"/>
          <w:szCs w:val="16"/>
        </w:rPr>
        <w:t> </w:t>
      </w:r>
      <w:hyperlink r:id="rId788" w:anchor="affiliation-1" w:history="1">
        <w:r w:rsidR="008F6FFE" w:rsidRPr="00A078ED">
          <w:rPr>
            <w:rFonts w:asciiTheme="minorHAnsi" w:eastAsia="Times New Roman" w:hAnsiTheme="minorHAnsi" w:cstheme="minorHAnsi"/>
            <w:color w:val="000000" w:themeColor="text1"/>
            <w:sz w:val="16"/>
            <w:szCs w:val="16"/>
          </w:rPr>
          <w:t>1</w:t>
        </w:r>
      </w:hyperlink>
    </w:p>
    <w:p w:rsidR="008F6FFE" w:rsidRPr="00A078ED" w:rsidRDefault="0052743C" w:rsidP="009075A1">
      <w:pPr>
        <w:pStyle w:val="Heading1"/>
        <w:shd w:val="clear" w:color="auto" w:fill="FFFFFF"/>
        <w:spacing w:before="0"/>
        <w:rPr>
          <w:rFonts w:asciiTheme="minorHAnsi" w:eastAsia="Times New Roman" w:hAnsiTheme="minorHAnsi" w:cstheme="minorHAnsi"/>
          <w:color w:val="000000" w:themeColor="text1"/>
          <w:sz w:val="16"/>
          <w:szCs w:val="16"/>
        </w:rPr>
      </w:pPr>
      <w:hyperlink r:id="rId789" w:history="1">
        <w:r w:rsidR="008F6FFE" w:rsidRPr="00A078ED">
          <w:rPr>
            <w:rFonts w:asciiTheme="minorHAnsi" w:eastAsia="Times New Roman" w:hAnsiTheme="minorHAnsi" w:cstheme="minorHAnsi"/>
            <w:color w:val="000000" w:themeColor="text1"/>
            <w:sz w:val="16"/>
            <w:szCs w:val="16"/>
          </w:rPr>
          <w:t>https://www.ncbi.nlm.nih.gov/pmc/articles/PMC5863511/</w:t>
        </w:r>
      </w:hyperlink>
    </w:p>
  </w:footnote>
  <w:footnote w:id="98">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eastAsia="Times New Roman" w:hAnsiTheme="minorHAnsi" w:cstheme="minorHAnsi"/>
          <w:color w:val="000000" w:themeColor="text1"/>
          <w:sz w:val="16"/>
          <w:szCs w:val="16"/>
          <w:lang w:val="en-US"/>
        </w:rPr>
        <w:t>Microbes Infect 2020 Mar;22(2):72-73.  doi: 10.1016/j.micinf.2020.02.006. </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Is COVID-19 Receiving ADE from Other Coronaviruses?</w:t>
      </w:r>
    </w:p>
    <w:p w:rsidR="008F6FFE" w:rsidRPr="00BC5E79" w:rsidRDefault="0052743C" w:rsidP="00BC5E79">
      <w:pPr>
        <w:pStyle w:val="NormalWeb"/>
        <w:spacing w:before="0" w:beforeAutospacing="0" w:after="0" w:afterAutospacing="0"/>
        <w:rPr>
          <w:rFonts w:asciiTheme="minorHAnsi" w:hAnsiTheme="minorHAnsi" w:cstheme="minorHAnsi"/>
          <w:color w:val="000000" w:themeColor="text1"/>
          <w:sz w:val="16"/>
          <w:szCs w:val="16"/>
          <w:lang w:val="en-US"/>
        </w:rPr>
      </w:pPr>
      <w:hyperlink r:id="rId790" w:history="1">
        <w:r w:rsidR="008F6FFE" w:rsidRPr="00A078ED">
          <w:rPr>
            <w:rFonts w:asciiTheme="minorHAnsi" w:hAnsiTheme="minorHAnsi" w:cstheme="minorHAnsi"/>
            <w:color w:val="000000" w:themeColor="text1"/>
            <w:sz w:val="16"/>
            <w:szCs w:val="16"/>
            <w:lang w:val="en-US"/>
          </w:rPr>
          <w:t>Jason A Tetro</w:t>
        </w:r>
      </w:hyperlink>
      <w:r w:rsidR="008F6FFE" w:rsidRPr="00A078ED">
        <w:rPr>
          <w:rFonts w:asciiTheme="minorHAnsi" w:hAnsiTheme="minorHAnsi" w:cstheme="minorHAnsi"/>
          <w:color w:val="000000" w:themeColor="text1"/>
          <w:sz w:val="16"/>
          <w:szCs w:val="16"/>
          <w:lang w:val="en-US"/>
        </w:rPr>
        <w:t> </w:t>
      </w:r>
      <w:hyperlink r:id="rId791" w:anchor="affiliation-1" w:history="1">
        <w:r w:rsidR="008F6FFE" w:rsidRPr="00BC5E79">
          <w:rPr>
            <w:rFonts w:asciiTheme="minorHAnsi" w:hAnsiTheme="minorHAnsi" w:cstheme="minorHAnsi"/>
            <w:color w:val="000000" w:themeColor="text1"/>
            <w:sz w:val="16"/>
            <w:szCs w:val="16"/>
            <w:lang w:val="en-US"/>
          </w:rPr>
          <w:t>1</w:t>
        </w:r>
      </w:hyperlink>
    </w:p>
    <w:p w:rsidR="008F6FFE" w:rsidRPr="000C47F1" w:rsidRDefault="0052743C" w:rsidP="00BC5E79">
      <w:pPr>
        <w:pStyle w:val="NormalWeb"/>
        <w:spacing w:before="0" w:beforeAutospacing="0" w:after="0" w:afterAutospacing="0"/>
        <w:rPr>
          <w:rFonts w:asciiTheme="minorHAnsi" w:hAnsiTheme="minorHAnsi" w:cstheme="minorHAnsi"/>
          <w:color w:val="000000" w:themeColor="text1"/>
          <w:sz w:val="16"/>
          <w:szCs w:val="16"/>
          <w:lang w:val="en-US"/>
        </w:rPr>
      </w:pPr>
      <w:hyperlink r:id="rId792" w:history="1">
        <w:r w:rsidR="008F6FFE" w:rsidRPr="000C47F1">
          <w:rPr>
            <w:rFonts w:asciiTheme="minorHAnsi" w:hAnsiTheme="minorHAnsi" w:cstheme="minorHAnsi"/>
            <w:color w:val="000000" w:themeColor="text1"/>
            <w:sz w:val="16"/>
            <w:szCs w:val="16"/>
            <w:lang w:val="en-US"/>
          </w:rPr>
          <w:t>https://www.ncbi.nlm.nih.gov/pmc/articles/PMC7102551/</w:t>
        </w:r>
      </w:hyperlink>
    </w:p>
    <w:p w:rsidR="008F6FFE" w:rsidRPr="00BC5E79" w:rsidRDefault="008F6FFE" w:rsidP="00BC5E79">
      <w:pPr>
        <w:pStyle w:val="NormalWeb"/>
        <w:spacing w:before="0" w:beforeAutospacing="0" w:after="0" w:afterAutospacing="0"/>
        <w:rPr>
          <w:rFonts w:asciiTheme="minorHAnsi" w:hAnsiTheme="minorHAnsi" w:cstheme="minorHAnsi"/>
          <w:color w:val="000000" w:themeColor="text1"/>
          <w:sz w:val="16"/>
          <w:szCs w:val="16"/>
          <w:vertAlign w:val="superscript"/>
          <w:lang w:val="en-US"/>
        </w:rPr>
      </w:pPr>
    </w:p>
  </w:footnote>
  <w:footnote w:id="99">
    <w:p w:rsidR="008F6FFE" w:rsidRPr="00A078ED" w:rsidRDefault="008F6FFE" w:rsidP="00BC5E79">
      <w:pPr>
        <w:pStyle w:val="NormalWeb"/>
        <w:spacing w:before="0" w:beforeAutospacing="0" w:after="0" w:afterAutospacing="0"/>
        <w:rPr>
          <w:rFonts w:asciiTheme="minorHAnsi" w:hAnsiTheme="minorHAnsi" w:cstheme="minorHAnsi"/>
          <w:color w:val="000000" w:themeColor="text1"/>
          <w:sz w:val="16"/>
          <w:szCs w:val="16"/>
        </w:rPr>
      </w:pPr>
      <w:r w:rsidRPr="00BC5E79">
        <w:rPr>
          <w:rFonts w:asciiTheme="minorHAnsi" w:hAnsiTheme="minorHAnsi" w:cstheme="minorHAnsi"/>
          <w:color w:val="000000" w:themeColor="text1"/>
          <w:sz w:val="16"/>
          <w:szCs w:val="16"/>
          <w:vertAlign w:val="superscript"/>
          <w:lang w:val="en-US"/>
        </w:rPr>
        <w:footnoteRef/>
      </w:r>
      <w:r w:rsidRPr="00A078ED">
        <w:rPr>
          <w:rFonts w:asciiTheme="minorHAnsi" w:hAnsiTheme="minorHAnsi" w:cstheme="minorHAnsi"/>
          <w:color w:val="000000" w:themeColor="text1"/>
          <w:sz w:val="16"/>
          <w:szCs w:val="16"/>
        </w:rPr>
        <w:t xml:space="preserve"> J Virol. 2020 Feb 14;94(5):e02015-19. doi: 10.1128/JVI.02015-19</w:t>
      </w:r>
    </w:p>
    <w:p w:rsidR="008F6FFE" w:rsidRPr="00717D4D" w:rsidRDefault="0052743C" w:rsidP="00BC5E79">
      <w:pPr>
        <w:pStyle w:val="NormalWeb"/>
        <w:spacing w:before="0" w:beforeAutospacing="0" w:after="0" w:afterAutospacing="0"/>
        <w:rPr>
          <w:rFonts w:asciiTheme="minorHAnsi" w:hAnsiTheme="minorHAnsi" w:cstheme="minorHAnsi"/>
          <w:color w:val="000000" w:themeColor="text1"/>
          <w:sz w:val="16"/>
          <w:szCs w:val="16"/>
          <w:lang w:val="en-US"/>
        </w:rPr>
      </w:pPr>
      <w:hyperlink r:id="rId793" w:history="1">
        <w:r w:rsidR="008F6FFE" w:rsidRPr="00717D4D">
          <w:rPr>
            <w:rFonts w:asciiTheme="minorHAnsi" w:hAnsiTheme="minorHAnsi" w:cstheme="minorHAnsi"/>
            <w:color w:val="000000" w:themeColor="text1"/>
            <w:sz w:val="16"/>
            <w:szCs w:val="16"/>
            <w:lang w:val="en-US"/>
          </w:rPr>
          <w:t>Molecular Mechanism for Antibody-Dependent Enhancement of Coronavirus Entry.</w:t>
        </w:r>
      </w:hyperlink>
    </w:p>
    <w:p w:rsidR="008F6FFE" w:rsidRPr="00717D4D" w:rsidRDefault="008F6FFE" w:rsidP="00BC5E79">
      <w:pPr>
        <w:pStyle w:val="NormalWeb"/>
        <w:spacing w:before="0" w:beforeAutospacing="0" w:after="0" w:afterAutospacing="0"/>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Wan Y, Shang J, Sun S, Tai W, Chen J, Geng Q, He L, Chen Y, Wu J, Shi Z, Zhou Y, Du L, Li F.</w:t>
      </w:r>
    </w:p>
    <w:p w:rsidR="008F6FFE" w:rsidRPr="000C47F1" w:rsidRDefault="0052743C" w:rsidP="00BC5E79">
      <w:pPr>
        <w:pStyle w:val="NormalWeb"/>
        <w:spacing w:before="0" w:beforeAutospacing="0" w:after="0" w:afterAutospacing="0"/>
        <w:rPr>
          <w:rFonts w:asciiTheme="minorHAnsi" w:hAnsiTheme="minorHAnsi" w:cstheme="minorHAnsi"/>
          <w:color w:val="000000" w:themeColor="text1"/>
          <w:sz w:val="16"/>
          <w:szCs w:val="16"/>
          <w:lang w:val="en-US"/>
        </w:rPr>
      </w:pPr>
      <w:hyperlink r:id="rId794" w:history="1">
        <w:r w:rsidR="008F6FFE" w:rsidRPr="000C47F1">
          <w:rPr>
            <w:rFonts w:asciiTheme="minorHAnsi" w:hAnsiTheme="minorHAnsi" w:cstheme="minorHAnsi"/>
            <w:color w:val="000000" w:themeColor="text1"/>
            <w:sz w:val="16"/>
            <w:szCs w:val="16"/>
            <w:lang w:val="en-US"/>
          </w:rPr>
          <w:t>https://www.ncbi.nlm.nih.gov/pmc/articles/PMC7022351/</w:t>
        </w:r>
      </w:hyperlink>
    </w:p>
    <w:p w:rsidR="008F6FFE" w:rsidRPr="00BC5E79" w:rsidRDefault="008F6FFE" w:rsidP="00BC5E79">
      <w:pPr>
        <w:pStyle w:val="NormalWeb"/>
        <w:spacing w:before="0" w:beforeAutospacing="0" w:after="0" w:afterAutospacing="0"/>
        <w:rPr>
          <w:rFonts w:asciiTheme="minorHAnsi" w:hAnsiTheme="minorHAnsi" w:cstheme="minorHAnsi"/>
          <w:color w:val="000000" w:themeColor="text1"/>
          <w:sz w:val="16"/>
          <w:szCs w:val="16"/>
          <w:lang w:val="en-US"/>
        </w:rPr>
      </w:pPr>
    </w:p>
    <w:p w:rsidR="008F6FFE" w:rsidRPr="00BC5E79" w:rsidRDefault="008F6FFE" w:rsidP="00BC5E79">
      <w:pPr>
        <w:pStyle w:val="NormalWeb"/>
        <w:spacing w:before="0" w:beforeAutospacing="0" w:after="0" w:afterAutospacing="0"/>
        <w:rPr>
          <w:rFonts w:asciiTheme="minorHAnsi" w:hAnsiTheme="minorHAnsi" w:cstheme="minorHAnsi"/>
          <w:color w:val="000000" w:themeColor="text1"/>
          <w:sz w:val="16"/>
          <w:szCs w:val="16"/>
          <w:lang w:val="en-US"/>
        </w:rPr>
      </w:pPr>
      <w:r w:rsidRPr="00BC5E79">
        <w:rPr>
          <w:rFonts w:asciiTheme="minorHAnsi" w:hAnsiTheme="minorHAnsi" w:cstheme="minorHAnsi"/>
          <w:color w:val="000000" w:themeColor="text1"/>
          <w:sz w:val="16"/>
          <w:szCs w:val="16"/>
          <w:lang w:val="en-US"/>
        </w:rPr>
        <w:t xml:space="preserve">Journal of Clinical and Translational Science. 13 April 2020  Doi: 10.1017/cts.2020.39 </w:t>
      </w:r>
    </w:p>
    <w:p w:rsidR="008F6FFE" w:rsidRPr="00BC5E79" w:rsidRDefault="008F6FFE" w:rsidP="00BC5E79">
      <w:pPr>
        <w:pStyle w:val="NormalWeb"/>
        <w:spacing w:before="0" w:beforeAutospacing="0" w:after="0" w:afterAutospacing="0"/>
        <w:rPr>
          <w:rFonts w:asciiTheme="minorHAnsi" w:hAnsiTheme="minorHAnsi" w:cstheme="minorHAnsi"/>
          <w:color w:val="000000" w:themeColor="text1"/>
          <w:sz w:val="16"/>
          <w:szCs w:val="16"/>
          <w:lang w:val="en-US"/>
        </w:rPr>
      </w:pPr>
      <w:r w:rsidRPr="00BC5E79">
        <w:rPr>
          <w:rFonts w:asciiTheme="minorHAnsi" w:hAnsiTheme="minorHAnsi" w:cstheme="minorHAnsi"/>
          <w:color w:val="000000" w:themeColor="text1"/>
          <w:sz w:val="16"/>
          <w:szCs w:val="16"/>
          <w:lang w:val="en-US"/>
        </w:rPr>
        <w:t>The Potential for Antibody-Dependent Enhancement of SARS-CoV-2 Infection: Translational Implications for Vaccine Development</w:t>
      </w:r>
    </w:p>
    <w:p w:rsidR="008F6FFE" w:rsidRPr="00BC5E79" w:rsidRDefault="008F6FFE" w:rsidP="00BC5E79">
      <w:pPr>
        <w:pStyle w:val="NormalWeb"/>
        <w:spacing w:before="0" w:beforeAutospacing="0" w:after="0" w:afterAutospacing="0"/>
        <w:rPr>
          <w:rFonts w:asciiTheme="minorHAnsi" w:hAnsiTheme="minorHAnsi" w:cstheme="minorHAnsi"/>
          <w:color w:val="000000" w:themeColor="text1"/>
          <w:sz w:val="16"/>
          <w:szCs w:val="16"/>
          <w:lang w:val="en-US"/>
        </w:rPr>
      </w:pPr>
      <w:r w:rsidRPr="00BC5E79">
        <w:rPr>
          <w:rFonts w:asciiTheme="minorHAnsi" w:hAnsiTheme="minorHAnsi" w:cstheme="minorHAnsi"/>
          <w:color w:val="000000" w:themeColor="text1"/>
          <w:sz w:val="16"/>
          <w:szCs w:val="16"/>
          <w:lang w:val="en-US"/>
        </w:rPr>
        <w:t>Jiong Wang, Martin S. Zand</w:t>
      </w:r>
    </w:p>
    <w:p w:rsidR="008F6FFE" w:rsidRPr="00C55DF2" w:rsidRDefault="0052743C" w:rsidP="00BC5E79">
      <w:pPr>
        <w:pStyle w:val="NormalWeb"/>
        <w:spacing w:before="0" w:beforeAutospacing="0" w:after="0" w:afterAutospacing="0"/>
        <w:rPr>
          <w:rFonts w:asciiTheme="minorHAnsi" w:hAnsiTheme="minorHAnsi" w:cstheme="minorHAnsi"/>
          <w:color w:val="000000" w:themeColor="text1"/>
          <w:sz w:val="16"/>
          <w:szCs w:val="16"/>
          <w:lang w:val="en-US"/>
        </w:rPr>
      </w:pPr>
      <w:hyperlink r:id="rId795" w:history="1">
        <w:r w:rsidR="008F6FFE" w:rsidRPr="00BC5E79">
          <w:rPr>
            <w:rFonts w:asciiTheme="minorHAnsi" w:hAnsiTheme="minorHAnsi" w:cstheme="minorHAnsi"/>
            <w:color w:val="000000" w:themeColor="text1"/>
            <w:sz w:val="16"/>
            <w:szCs w:val="16"/>
            <w:lang w:val="en-US"/>
          </w:rPr>
          <w:t>https://doi.org/10.1017/cts.2020.39</w:t>
        </w:r>
      </w:hyperlink>
    </w:p>
    <w:p w:rsidR="008F6FFE" w:rsidRPr="00BC5E79" w:rsidRDefault="0052743C" w:rsidP="00BC5E79">
      <w:pPr>
        <w:pStyle w:val="NormalWeb"/>
        <w:spacing w:before="0" w:beforeAutospacing="0" w:after="0" w:afterAutospacing="0"/>
        <w:rPr>
          <w:rFonts w:asciiTheme="minorHAnsi" w:hAnsiTheme="minorHAnsi" w:cstheme="minorHAnsi"/>
          <w:color w:val="000000" w:themeColor="text1"/>
          <w:sz w:val="16"/>
          <w:szCs w:val="16"/>
          <w:lang w:val="en-US"/>
        </w:rPr>
      </w:pPr>
      <w:hyperlink r:id="rId796" w:history="1">
        <w:r w:rsidR="008F6FFE" w:rsidRPr="00BC5E79">
          <w:rPr>
            <w:rFonts w:asciiTheme="minorHAnsi" w:hAnsiTheme="minorHAnsi" w:cstheme="minorHAnsi"/>
            <w:color w:val="000000" w:themeColor="text1"/>
            <w:sz w:val="16"/>
            <w:szCs w:val="16"/>
            <w:lang w:val="en-US"/>
          </w:rPr>
          <w:t>https://www.cambridge.org/core/journals/journal-of-clinical-and-translational-science/article/potential-for-antibodydependent-enhancement-of-sarscov2-infection-translational-implications-for-vaccine-development/504FE38E2475590EFE93872BC6D67D3D/core-reader</w:t>
        </w:r>
      </w:hyperlink>
    </w:p>
    <w:p w:rsidR="008F6FFE" w:rsidRPr="00BC5E79" w:rsidRDefault="008F6FFE" w:rsidP="00BC5E79">
      <w:pPr>
        <w:pStyle w:val="NormalWeb"/>
        <w:spacing w:before="0" w:beforeAutospacing="0" w:after="0" w:afterAutospacing="0"/>
        <w:rPr>
          <w:rFonts w:asciiTheme="minorHAnsi" w:hAnsiTheme="minorHAnsi" w:cstheme="minorHAnsi"/>
          <w:color w:val="000000" w:themeColor="text1"/>
          <w:sz w:val="16"/>
          <w:szCs w:val="16"/>
          <w:lang w:val="en-US"/>
        </w:rPr>
      </w:pPr>
    </w:p>
  </w:footnote>
  <w:footnote w:id="100">
    <w:p w:rsidR="008F6FFE" w:rsidRPr="00BC5E79" w:rsidRDefault="008F6FFE" w:rsidP="00BC5E79">
      <w:pPr>
        <w:pStyle w:val="NormalWeb"/>
        <w:spacing w:before="0" w:beforeAutospacing="0" w:after="0" w:afterAutospacing="0"/>
        <w:rPr>
          <w:rFonts w:asciiTheme="minorHAnsi" w:hAnsiTheme="minorHAnsi" w:cstheme="minorHAnsi"/>
          <w:color w:val="000000" w:themeColor="text1"/>
          <w:sz w:val="16"/>
          <w:szCs w:val="16"/>
          <w:lang w:val="en-US"/>
        </w:rPr>
      </w:pPr>
      <w:r w:rsidRPr="00BC5E79">
        <w:rPr>
          <w:rFonts w:asciiTheme="minorHAnsi" w:hAnsiTheme="minorHAnsi" w:cstheme="minorHAnsi"/>
          <w:color w:val="000000" w:themeColor="text1"/>
          <w:sz w:val="16"/>
          <w:szCs w:val="16"/>
          <w:vertAlign w:val="superscript"/>
          <w:lang w:val="en-US"/>
        </w:rPr>
        <w:footnoteRef/>
      </w:r>
      <w:r w:rsidRPr="00BC5E79">
        <w:rPr>
          <w:rFonts w:asciiTheme="minorHAnsi" w:hAnsiTheme="minorHAnsi" w:cstheme="minorHAnsi"/>
          <w:color w:val="000000" w:themeColor="text1"/>
          <w:sz w:val="16"/>
          <w:szCs w:val="16"/>
          <w:vertAlign w:val="superscript"/>
          <w:lang w:val="en-US"/>
        </w:rPr>
        <w:t xml:space="preserve"> </w:t>
      </w:r>
      <w:r w:rsidRPr="00BC5E79">
        <w:rPr>
          <w:rFonts w:asciiTheme="minorHAnsi" w:hAnsiTheme="minorHAnsi" w:cstheme="minorHAnsi"/>
          <w:color w:val="000000" w:themeColor="text1"/>
          <w:sz w:val="16"/>
          <w:szCs w:val="16"/>
          <w:lang w:val="en-US"/>
        </w:rPr>
        <w:t>BMC Infect Dis 2013 Sep 16;13:433.  doi: 10.1186/1471-2334-13-433.</w:t>
      </w:r>
    </w:p>
    <w:p w:rsidR="008F6FFE" w:rsidRPr="00BC5E79" w:rsidRDefault="008F6FFE" w:rsidP="00BC5E79">
      <w:pPr>
        <w:pStyle w:val="NormalWeb"/>
        <w:spacing w:before="0" w:beforeAutospacing="0" w:after="0" w:afterAutospacing="0"/>
        <w:rPr>
          <w:rFonts w:asciiTheme="minorHAnsi" w:hAnsiTheme="minorHAnsi" w:cstheme="minorHAnsi"/>
          <w:color w:val="000000" w:themeColor="text1"/>
          <w:sz w:val="16"/>
          <w:szCs w:val="16"/>
          <w:lang w:val="en-US"/>
        </w:rPr>
      </w:pPr>
      <w:r w:rsidRPr="00BC5E79">
        <w:rPr>
          <w:rFonts w:asciiTheme="minorHAnsi" w:hAnsiTheme="minorHAnsi" w:cstheme="minorHAnsi"/>
          <w:color w:val="000000" w:themeColor="text1"/>
          <w:sz w:val="16"/>
          <w:szCs w:val="16"/>
          <w:lang w:val="en-US"/>
        </w:rPr>
        <w:t>First Infection by All Four Non-Severe Acute Respiratory Syndrome Human Coronaviruses Takes Place During Childhood</w:t>
      </w:r>
    </w:p>
    <w:p w:rsidR="008F6FFE" w:rsidRPr="00235A16" w:rsidRDefault="0052743C" w:rsidP="00BC5E79">
      <w:pPr>
        <w:pStyle w:val="NormalWeb"/>
        <w:spacing w:before="0" w:beforeAutospacing="0" w:after="0" w:afterAutospacing="0"/>
        <w:rPr>
          <w:rFonts w:asciiTheme="minorHAnsi" w:hAnsiTheme="minorHAnsi" w:cstheme="minorHAnsi"/>
          <w:color w:val="000000" w:themeColor="text1"/>
          <w:sz w:val="16"/>
          <w:szCs w:val="16"/>
          <w:lang w:val="de-DE"/>
        </w:rPr>
      </w:pPr>
      <w:hyperlink r:id="rId797" w:history="1">
        <w:r w:rsidR="008F6FFE" w:rsidRPr="00235A16">
          <w:rPr>
            <w:rFonts w:asciiTheme="minorHAnsi" w:hAnsiTheme="minorHAnsi" w:cstheme="minorHAnsi"/>
            <w:color w:val="000000" w:themeColor="text1"/>
            <w:sz w:val="16"/>
            <w:szCs w:val="16"/>
            <w:lang w:val="de-DE"/>
          </w:rPr>
          <w:t>Weimin Zhou</w:t>
        </w:r>
      </w:hyperlink>
      <w:r w:rsidR="008F6FFE" w:rsidRPr="00235A16">
        <w:rPr>
          <w:rFonts w:asciiTheme="minorHAnsi" w:hAnsiTheme="minorHAnsi" w:cstheme="minorHAnsi"/>
          <w:color w:val="000000" w:themeColor="text1"/>
          <w:sz w:val="16"/>
          <w:szCs w:val="16"/>
          <w:lang w:val="de-DE"/>
        </w:rPr>
        <w:t> </w:t>
      </w:r>
      <w:hyperlink r:id="rId798" w:anchor="affiliation-1" w:history="1">
        <w:r w:rsidR="008F6FFE" w:rsidRPr="00235A16">
          <w:rPr>
            <w:rFonts w:asciiTheme="minorHAnsi" w:hAnsiTheme="minorHAnsi" w:cstheme="minorHAnsi"/>
            <w:color w:val="000000" w:themeColor="text1"/>
            <w:sz w:val="16"/>
            <w:szCs w:val="16"/>
            <w:lang w:val="de-DE"/>
          </w:rPr>
          <w:t>1</w:t>
        </w:r>
      </w:hyperlink>
      <w:r w:rsidR="008F6FFE" w:rsidRPr="00235A16">
        <w:rPr>
          <w:rFonts w:asciiTheme="minorHAnsi" w:hAnsiTheme="minorHAnsi" w:cstheme="minorHAnsi"/>
          <w:color w:val="000000" w:themeColor="text1"/>
          <w:sz w:val="16"/>
          <w:szCs w:val="16"/>
          <w:lang w:val="de-DE"/>
        </w:rPr>
        <w:t>, </w:t>
      </w:r>
      <w:hyperlink r:id="rId799" w:history="1">
        <w:r w:rsidR="008F6FFE" w:rsidRPr="00235A16">
          <w:rPr>
            <w:rFonts w:asciiTheme="minorHAnsi" w:hAnsiTheme="minorHAnsi" w:cstheme="minorHAnsi"/>
            <w:color w:val="000000" w:themeColor="text1"/>
            <w:sz w:val="16"/>
            <w:szCs w:val="16"/>
            <w:lang w:val="de-DE"/>
          </w:rPr>
          <w:t>Wen Wang</w:t>
        </w:r>
      </w:hyperlink>
      <w:r w:rsidR="008F6FFE" w:rsidRPr="00235A16">
        <w:rPr>
          <w:rFonts w:asciiTheme="minorHAnsi" w:hAnsiTheme="minorHAnsi" w:cstheme="minorHAnsi"/>
          <w:color w:val="000000" w:themeColor="text1"/>
          <w:sz w:val="16"/>
          <w:szCs w:val="16"/>
          <w:lang w:val="de-DE"/>
        </w:rPr>
        <w:t>, </w:t>
      </w:r>
      <w:hyperlink r:id="rId800" w:history="1">
        <w:r w:rsidR="008F6FFE" w:rsidRPr="00235A16">
          <w:rPr>
            <w:rFonts w:asciiTheme="minorHAnsi" w:hAnsiTheme="minorHAnsi" w:cstheme="minorHAnsi"/>
            <w:color w:val="000000" w:themeColor="text1"/>
            <w:sz w:val="16"/>
            <w:szCs w:val="16"/>
            <w:lang w:val="de-DE"/>
          </w:rPr>
          <w:t>Huijuan Wang</w:t>
        </w:r>
      </w:hyperlink>
      <w:r w:rsidR="008F6FFE" w:rsidRPr="00235A16">
        <w:rPr>
          <w:rFonts w:asciiTheme="minorHAnsi" w:hAnsiTheme="minorHAnsi" w:cstheme="minorHAnsi"/>
          <w:color w:val="000000" w:themeColor="text1"/>
          <w:sz w:val="16"/>
          <w:szCs w:val="16"/>
          <w:lang w:val="de-DE"/>
        </w:rPr>
        <w:t>, </w:t>
      </w:r>
      <w:hyperlink r:id="rId801" w:history="1">
        <w:r w:rsidR="008F6FFE" w:rsidRPr="00235A16">
          <w:rPr>
            <w:rFonts w:asciiTheme="minorHAnsi" w:hAnsiTheme="minorHAnsi" w:cstheme="minorHAnsi"/>
            <w:color w:val="000000" w:themeColor="text1"/>
            <w:sz w:val="16"/>
            <w:szCs w:val="16"/>
            <w:lang w:val="de-DE"/>
          </w:rPr>
          <w:t>Roujian Lu</w:t>
        </w:r>
      </w:hyperlink>
      <w:r w:rsidR="008F6FFE" w:rsidRPr="00235A16">
        <w:rPr>
          <w:rFonts w:asciiTheme="minorHAnsi" w:hAnsiTheme="minorHAnsi" w:cstheme="minorHAnsi"/>
          <w:color w:val="000000" w:themeColor="text1"/>
          <w:sz w:val="16"/>
          <w:szCs w:val="16"/>
          <w:lang w:val="de-DE"/>
        </w:rPr>
        <w:t>, </w:t>
      </w:r>
      <w:hyperlink r:id="rId802" w:history="1">
        <w:r w:rsidR="008F6FFE" w:rsidRPr="00235A16">
          <w:rPr>
            <w:rFonts w:asciiTheme="minorHAnsi" w:hAnsiTheme="minorHAnsi" w:cstheme="minorHAnsi"/>
            <w:color w:val="000000" w:themeColor="text1"/>
            <w:sz w:val="16"/>
            <w:szCs w:val="16"/>
            <w:lang w:val="de-DE"/>
          </w:rPr>
          <w:t>Wenjie Tan</w:t>
        </w:r>
      </w:hyperlink>
    </w:p>
    <w:p w:rsidR="008F6FFE" w:rsidRPr="00235A16" w:rsidRDefault="0052743C" w:rsidP="00BC5E79">
      <w:pPr>
        <w:pStyle w:val="NormalWeb"/>
        <w:spacing w:before="0" w:beforeAutospacing="0" w:after="0" w:afterAutospacing="0"/>
        <w:rPr>
          <w:rFonts w:asciiTheme="minorHAnsi" w:hAnsiTheme="minorHAnsi" w:cstheme="minorHAnsi"/>
          <w:color w:val="000000" w:themeColor="text1"/>
          <w:sz w:val="16"/>
          <w:szCs w:val="16"/>
          <w:lang w:val="de-DE"/>
        </w:rPr>
      </w:pPr>
      <w:hyperlink r:id="rId803" w:history="1">
        <w:r w:rsidR="008F6FFE" w:rsidRPr="00235A16">
          <w:rPr>
            <w:rFonts w:asciiTheme="minorHAnsi" w:hAnsiTheme="minorHAnsi" w:cstheme="minorHAnsi"/>
            <w:color w:val="000000" w:themeColor="text1"/>
            <w:sz w:val="16"/>
            <w:szCs w:val="16"/>
            <w:lang w:val="de-DE"/>
          </w:rPr>
          <w:t>https://www.ncbi.nlm.nih.gov/pmc/articles/PMC3848659/</w:t>
        </w:r>
      </w:hyperlink>
    </w:p>
    <w:p w:rsidR="008F6FFE" w:rsidRPr="00235A16" w:rsidRDefault="008F6FFE" w:rsidP="00BC5E79">
      <w:pPr>
        <w:pStyle w:val="NormalWeb"/>
        <w:spacing w:before="0" w:beforeAutospacing="0" w:after="0" w:afterAutospacing="0"/>
        <w:rPr>
          <w:rFonts w:asciiTheme="minorHAnsi" w:hAnsiTheme="minorHAnsi" w:cstheme="minorHAnsi"/>
          <w:color w:val="000000" w:themeColor="text1"/>
          <w:sz w:val="16"/>
          <w:szCs w:val="16"/>
          <w:lang w:val="de-DE"/>
        </w:rPr>
      </w:pPr>
    </w:p>
    <w:p w:rsidR="008F6FFE" w:rsidRPr="00C55DF2" w:rsidRDefault="008F6FFE" w:rsidP="008D39D0">
      <w:pPr>
        <w:pStyle w:val="NormalWeb"/>
        <w:spacing w:before="0" w:beforeAutospacing="0" w:after="0" w:afterAutospacing="0"/>
        <w:rPr>
          <w:rFonts w:asciiTheme="minorHAnsi" w:hAnsiTheme="minorHAnsi" w:cstheme="minorHAnsi"/>
          <w:color w:val="000000" w:themeColor="text1"/>
          <w:sz w:val="16"/>
          <w:szCs w:val="16"/>
          <w:lang w:val="en-US"/>
        </w:rPr>
      </w:pPr>
      <w:r w:rsidRPr="00C55DF2">
        <w:rPr>
          <w:rFonts w:asciiTheme="minorHAnsi" w:hAnsiTheme="minorHAnsi" w:cstheme="minorHAnsi"/>
          <w:color w:val="000000" w:themeColor="text1"/>
          <w:sz w:val="16"/>
          <w:szCs w:val="16"/>
          <w:lang w:val="en-US"/>
        </w:rPr>
        <w:t xml:space="preserve">Peron JPS, Nakaya H. </w:t>
      </w:r>
    </w:p>
    <w:p w:rsidR="008F6FFE" w:rsidRPr="00C55DF2" w:rsidRDefault="008F6FFE" w:rsidP="008D39D0">
      <w:pPr>
        <w:pStyle w:val="NormalWeb"/>
        <w:spacing w:before="0" w:beforeAutospacing="0" w:after="0" w:afterAutospacing="0"/>
        <w:rPr>
          <w:rFonts w:asciiTheme="minorHAnsi" w:hAnsiTheme="minorHAnsi" w:cstheme="minorHAnsi"/>
          <w:color w:val="000000" w:themeColor="text1"/>
          <w:sz w:val="16"/>
          <w:szCs w:val="16"/>
          <w:lang w:val="en-US"/>
        </w:rPr>
      </w:pPr>
      <w:r w:rsidRPr="00C55DF2">
        <w:rPr>
          <w:rFonts w:asciiTheme="minorHAnsi" w:hAnsiTheme="minorHAnsi" w:cstheme="minorHAnsi"/>
          <w:color w:val="000000" w:themeColor="text1"/>
          <w:sz w:val="16"/>
          <w:szCs w:val="16"/>
          <w:lang w:val="en-US"/>
        </w:rPr>
        <w:t>Susceptibility of the Elderly to SARS-CoV-2 Infection: ACE-2 Overexpression, Shedding, and Antibody-dependent Enhancement (ADE). </w:t>
      </w:r>
    </w:p>
    <w:p w:rsidR="008F6FFE" w:rsidRPr="00A078ED" w:rsidRDefault="008F6FFE" w:rsidP="008D39D0">
      <w:pPr>
        <w:pStyle w:val="NormalWeb"/>
        <w:spacing w:before="0" w:beforeAutospacing="0" w:after="0" w:afterAutospacing="0"/>
        <w:rPr>
          <w:rFonts w:asciiTheme="minorHAnsi" w:hAnsiTheme="minorHAnsi" w:cstheme="minorHAnsi"/>
          <w:color w:val="000000" w:themeColor="text1"/>
          <w:sz w:val="16"/>
          <w:szCs w:val="16"/>
        </w:rPr>
      </w:pPr>
      <w:r w:rsidRPr="00A078ED">
        <w:rPr>
          <w:rFonts w:asciiTheme="minorHAnsi" w:hAnsiTheme="minorHAnsi" w:cstheme="minorHAnsi"/>
          <w:color w:val="000000" w:themeColor="text1"/>
          <w:sz w:val="16"/>
          <w:szCs w:val="16"/>
        </w:rPr>
        <w:t>Clinics (Sao Paulo). 2020;75:e1912. doi:10.6061/clinics/2020/e1912</w:t>
      </w:r>
    </w:p>
    <w:p w:rsidR="008F6FFE" w:rsidRPr="00A078ED" w:rsidRDefault="0052743C" w:rsidP="00BC5E79">
      <w:pPr>
        <w:pStyle w:val="NormalWeb"/>
        <w:spacing w:before="0" w:beforeAutospacing="0" w:after="0" w:afterAutospacing="0"/>
        <w:rPr>
          <w:rFonts w:asciiTheme="minorHAnsi" w:hAnsiTheme="minorHAnsi" w:cstheme="minorHAnsi"/>
          <w:color w:val="000000" w:themeColor="text1"/>
          <w:sz w:val="16"/>
          <w:szCs w:val="16"/>
        </w:rPr>
      </w:pPr>
      <w:hyperlink r:id="rId804" w:history="1">
        <w:r w:rsidR="008F6FFE" w:rsidRPr="00A078ED">
          <w:rPr>
            <w:rFonts w:asciiTheme="minorHAnsi" w:hAnsiTheme="minorHAnsi" w:cstheme="minorHAnsi"/>
            <w:color w:val="000000" w:themeColor="text1"/>
            <w:sz w:val="16"/>
            <w:szCs w:val="16"/>
          </w:rPr>
          <w:t>https://www.ncbi.nlm.nih.gov/pmc/articles/PMC7213670/</w:t>
        </w:r>
      </w:hyperlink>
    </w:p>
    <w:p w:rsidR="008F6FFE" w:rsidRPr="00A078ED" w:rsidRDefault="008F6FFE" w:rsidP="00BC5E79">
      <w:pPr>
        <w:pStyle w:val="NormalWeb"/>
        <w:spacing w:before="0" w:beforeAutospacing="0" w:after="0" w:afterAutospacing="0"/>
        <w:rPr>
          <w:rFonts w:asciiTheme="minorHAnsi" w:hAnsiTheme="minorHAnsi" w:cstheme="minorHAnsi"/>
          <w:color w:val="000000" w:themeColor="text1"/>
          <w:sz w:val="16"/>
          <w:szCs w:val="16"/>
          <w:vertAlign w:val="superscript"/>
        </w:rPr>
      </w:pPr>
    </w:p>
  </w:footnote>
  <w:footnote w:id="101">
    <w:p w:rsidR="008F6FFE" w:rsidRPr="00BC5E79" w:rsidRDefault="008F6FFE" w:rsidP="00BC5E79">
      <w:pPr>
        <w:pStyle w:val="NormalWeb"/>
        <w:spacing w:before="0" w:beforeAutospacing="0" w:after="0" w:afterAutospacing="0"/>
        <w:rPr>
          <w:rFonts w:asciiTheme="minorHAnsi" w:hAnsiTheme="minorHAnsi" w:cstheme="minorHAnsi"/>
          <w:color w:val="000000" w:themeColor="text1"/>
          <w:sz w:val="16"/>
          <w:szCs w:val="16"/>
          <w:lang w:val="en-US"/>
        </w:rPr>
      </w:pPr>
      <w:r w:rsidRPr="00BC5E79">
        <w:rPr>
          <w:rFonts w:asciiTheme="minorHAnsi" w:hAnsiTheme="minorHAnsi" w:cstheme="minorHAnsi"/>
          <w:color w:val="000000" w:themeColor="text1"/>
          <w:sz w:val="16"/>
          <w:szCs w:val="16"/>
          <w:vertAlign w:val="superscript"/>
          <w:lang w:val="en-US"/>
        </w:rPr>
        <w:footnoteRef/>
      </w:r>
      <w:r w:rsidRPr="00BC5E79">
        <w:rPr>
          <w:rFonts w:asciiTheme="minorHAnsi" w:hAnsiTheme="minorHAnsi" w:cstheme="minorHAnsi"/>
          <w:color w:val="000000" w:themeColor="text1"/>
          <w:sz w:val="16"/>
          <w:szCs w:val="16"/>
          <w:lang w:val="en-US"/>
        </w:rPr>
        <w:t xml:space="preserve"> Pediatr Res 1997 Aug;42(2):237-40.  doi: 10.1203/00006450-199708000-00018.</w:t>
      </w:r>
    </w:p>
    <w:p w:rsidR="008F6FFE" w:rsidRPr="00BC5E79" w:rsidRDefault="008F6FFE" w:rsidP="00BC5E79">
      <w:pPr>
        <w:pStyle w:val="NormalWeb"/>
        <w:spacing w:before="0" w:beforeAutospacing="0" w:after="0" w:afterAutospacing="0"/>
        <w:rPr>
          <w:rFonts w:asciiTheme="minorHAnsi" w:hAnsiTheme="minorHAnsi" w:cstheme="minorHAnsi"/>
          <w:color w:val="000000" w:themeColor="text1"/>
          <w:sz w:val="16"/>
          <w:szCs w:val="16"/>
          <w:lang w:val="en-US"/>
        </w:rPr>
      </w:pPr>
      <w:r w:rsidRPr="00BC5E79">
        <w:rPr>
          <w:rFonts w:asciiTheme="minorHAnsi" w:hAnsiTheme="minorHAnsi" w:cstheme="minorHAnsi"/>
          <w:color w:val="000000" w:themeColor="text1"/>
          <w:sz w:val="16"/>
          <w:szCs w:val="16"/>
          <w:lang w:val="en-US"/>
        </w:rPr>
        <w:t>Cytokine Production Differs in Children and Adults</w:t>
      </w:r>
    </w:p>
    <w:p w:rsidR="008F6FFE" w:rsidRPr="00BC5E79" w:rsidRDefault="0052743C" w:rsidP="00BC5E79">
      <w:pPr>
        <w:pStyle w:val="NormalWeb"/>
        <w:spacing w:before="0" w:beforeAutospacing="0" w:after="0" w:afterAutospacing="0"/>
        <w:rPr>
          <w:rFonts w:asciiTheme="minorHAnsi" w:hAnsiTheme="minorHAnsi" w:cstheme="minorHAnsi"/>
          <w:color w:val="000000" w:themeColor="text1"/>
          <w:sz w:val="16"/>
          <w:szCs w:val="16"/>
          <w:lang w:val="en-US"/>
        </w:rPr>
      </w:pPr>
      <w:hyperlink r:id="rId805" w:history="1">
        <w:r w:rsidR="008F6FFE" w:rsidRPr="00BC5E79">
          <w:rPr>
            <w:rFonts w:asciiTheme="minorHAnsi" w:hAnsiTheme="minorHAnsi" w:cstheme="minorHAnsi"/>
            <w:color w:val="000000" w:themeColor="text1"/>
            <w:sz w:val="16"/>
            <w:szCs w:val="16"/>
            <w:lang w:val="en-US"/>
          </w:rPr>
          <w:t>D Lilic</w:t>
        </w:r>
      </w:hyperlink>
      <w:r w:rsidR="008F6FFE" w:rsidRPr="00BC5E79">
        <w:rPr>
          <w:rFonts w:asciiTheme="minorHAnsi" w:hAnsiTheme="minorHAnsi" w:cstheme="minorHAnsi"/>
          <w:color w:val="000000" w:themeColor="text1"/>
          <w:sz w:val="16"/>
          <w:szCs w:val="16"/>
          <w:lang w:val="en-US"/>
        </w:rPr>
        <w:t> </w:t>
      </w:r>
      <w:hyperlink r:id="rId806" w:anchor="affiliation-1" w:history="1">
        <w:r w:rsidR="008F6FFE" w:rsidRPr="00BC5E79">
          <w:rPr>
            <w:rFonts w:asciiTheme="minorHAnsi" w:hAnsiTheme="minorHAnsi" w:cstheme="minorHAnsi"/>
            <w:color w:val="000000" w:themeColor="text1"/>
            <w:sz w:val="16"/>
            <w:szCs w:val="16"/>
            <w:lang w:val="en-US"/>
          </w:rPr>
          <w:t>1</w:t>
        </w:r>
      </w:hyperlink>
      <w:r w:rsidR="008F6FFE" w:rsidRPr="00BC5E79">
        <w:rPr>
          <w:rFonts w:asciiTheme="minorHAnsi" w:hAnsiTheme="minorHAnsi" w:cstheme="minorHAnsi"/>
          <w:color w:val="000000" w:themeColor="text1"/>
          <w:sz w:val="16"/>
          <w:szCs w:val="16"/>
          <w:lang w:val="en-US"/>
        </w:rPr>
        <w:t>, </w:t>
      </w:r>
      <w:hyperlink r:id="rId807" w:history="1">
        <w:r w:rsidR="008F6FFE" w:rsidRPr="00BC5E79">
          <w:rPr>
            <w:rFonts w:asciiTheme="minorHAnsi" w:hAnsiTheme="minorHAnsi" w:cstheme="minorHAnsi"/>
            <w:color w:val="000000" w:themeColor="text1"/>
            <w:sz w:val="16"/>
            <w:szCs w:val="16"/>
            <w:lang w:val="en-US"/>
          </w:rPr>
          <w:t>A J Cant</w:t>
        </w:r>
      </w:hyperlink>
      <w:r w:rsidR="008F6FFE" w:rsidRPr="00BC5E79">
        <w:rPr>
          <w:rFonts w:asciiTheme="minorHAnsi" w:hAnsiTheme="minorHAnsi" w:cstheme="minorHAnsi"/>
          <w:color w:val="000000" w:themeColor="text1"/>
          <w:sz w:val="16"/>
          <w:szCs w:val="16"/>
          <w:lang w:val="en-US"/>
        </w:rPr>
        <w:t>, </w:t>
      </w:r>
      <w:hyperlink r:id="rId808" w:history="1">
        <w:r w:rsidR="008F6FFE" w:rsidRPr="00BC5E79">
          <w:rPr>
            <w:rFonts w:asciiTheme="minorHAnsi" w:hAnsiTheme="minorHAnsi" w:cstheme="minorHAnsi"/>
            <w:color w:val="000000" w:themeColor="text1"/>
            <w:sz w:val="16"/>
            <w:szCs w:val="16"/>
            <w:lang w:val="en-US"/>
          </w:rPr>
          <w:t>M Abinun</w:t>
        </w:r>
      </w:hyperlink>
      <w:r w:rsidR="008F6FFE" w:rsidRPr="00BC5E79">
        <w:rPr>
          <w:rFonts w:asciiTheme="minorHAnsi" w:hAnsiTheme="minorHAnsi" w:cstheme="minorHAnsi"/>
          <w:color w:val="000000" w:themeColor="text1"/>
          <w:sz w:val="16"/>
          <w:szCs w:val="16"/>
          <w:lang w:val="en-US"/>
        </w:rPr>
        <w:t>, </w:t>
      </w:r>
      <w:hyperlink r:id="rId809" w:history="1">
        <w:r w:rsidR="008F6FFE" w:rsidRPr="00BC5E79">
          <w:rPr>
            <w:rFonts w:asciiTheme="minorHAnsi" w:hAnsiTheme="minorHAnsi" w:cstheme="minorHAnsi"/>
            <w:color w:val="000000" w:themeColor="text1"/>
            <w:sz w:val="16"/>
            <w:szCs w:val="16"/>
            <w:lang w:val="en-US"/>
          </w:rPr>
          <w:t>J E Calvert</w:t>
        </w:r>
      </w:hyperlink>
      <w:r w:rsidR="008F6FFE" w:rsidRPr="00BC5E79">
        <w:rPr>
          <w:rFonts w:asciiTheme="minorHAnsi" w:hAnsiTheme="minorHAnsi" w:cstheme="minorHAnsi"/>
          <w:color w:val="000000" w:themeColor="text1"/>
          <w:sz w:val="16"/>
          <w:szCs w:val="16"/>
          <w:lang w:val="en-US"/>
        </w:rPr>
        <w:t>, </w:t>
      </w:r>
      <w:hyperlink r:id="rId810" w:history="1">
        <w:r w:rsidR="008F6FFE" w:rsidRPr="00BC5E79">
          <w:rPr>
            <w:rFonts w:asciiTheme="minorHAnsi" w:hAnsiTheme="minorHAnsi" w:cstheme="minorHAnsi"/>
            <w:color w:val="000000" w:themeColor="text1"/>
            <w:sz w:val="16"/>
            <w:szCs w:val="16"/>
            <w:lang w:val="en-US"/>
          </w:rPr>
          <w:t>G P Spickett</w:t>
        </w:r>
      </w:hyperlink>
    </w:p>
    <w:p w:rsidR="008F6FFE" w:rsidRPr="00BC5E79" w:rsidRDefault="0052743C" w:rsidP="00BC5E79">
      <w:pPr>
        <w:pStyle w:val="NormalWeb"/>
        <w:spacing w:before="0" w:beforeAutospacing="0" w:after="0" w:afterAutospacing="0"/>
        <w:rPr>
          <w:rFonts w:asciiTheme="minorHAnsi" w:hAnsiTheme="minorHAnsi" w:cstheme="minorHAnsi"/>
          <w:color w:val="000000" w:themeColor="text1"/>
          <w:sz w:val="16"/>
          <w:szCs w:val="16"/>
          <w:lang w:val="en-US"/>
        </w:rPr>
      </w:pPr>
      <w:hyperlink r:id="rId811" w:history="1">
        <w:r w:rsidR="008F6FFE" w:rsidRPr="00BC5E79">
          <w:rPr>
            <w:rFonts w:asciiTheme="minorHAnsi" w:hAnsiTheme="minorHAnsi" w:cstheme="minorHAnsi"/>
            <w:color w:val="000000" w:themeColor="text1"/>
            <w:sz w:val="16"/>
            <w:szCs w:val="16"/>
            <w:lang w:val="en-US"/>
          </w:rPr>
          <w:t>https://www.nature.com/articles/pr19972299</w:t>
        </w:r>
      </w:hyperlink>
    </w:p>
    <w:p w:rsidR="008F6FFE" w:rsidRPr="00717D4D" w:rsidRDefault="008F6FFE" w:rsidP="00717D4D">
      <w:pPr>
        <w:rPr>
          <w:rFonts w:asciiTheme="minorHAnsi" w:hAnsiTheme="minorHAnsi"/>
          <w:color w:val="000000" w:themeColor="text1"/>
          <w:sz w:val="16"/>
          <w:szCs w:val="16"/>
          <w:lang w:val="en-US"/>
        </w:rPr>
      </w:pPr>
    </w:p>
    <w:p w:rsidR="008F6FFE" w:rsidRPr="00717D4D" w:rsidRDefault="008F6FFE" w:rsidP="00717D4D">
      <w:pPr>
        <w:jc w:val="both"/>
        <w:rPr>
          <w:rFonts w:asciiTheme="minorHAnsi" w:hAnsiTheme="minorHAnsi"/>
          <w:color w:val="000000" w:themeColor="text1"/>
          <w:sz w:val="16"/>
          <w:szCs w:val="16"/>
          <w:lang w:val="en-US"/>
        </w:rPr>
      </w:pPr>
      <w:r w:rsidRPr="00717D4D">
        <w:rPr>
          <w:rFonts w:asciiTheme="minorHAnsi" w:hAnsiTheme="minorHAnsi"/>
          <w:color w:val="000000" w:themeColor="text1"/>
          <w:sz w:val="16"/>
          <w:szCs w:val="16"/>
          <w:lang w:val="en-US"/>
        </w:rPr>
        <w:t>J Immunol 2008 Nov 1;181(9):6337-48.  doi: 10.4049/jimmunol.181.9.6337.</w:t>
      </w:r>
    </w:p>
    <w:p w:rsidR="008F6FFE" w:rsidRPr="00717D4D" w:rsidRDefault="008F6FFE" w:rsidP="00717D4D">
      <w:pPr>
        <w:jc w:val="both"/>
        <w:rPr>
          <w:rFonts w:asciiTheme="minorHAnsi" w:hAnsiTheme="minorHAnsi"/>
          <w:color w:val="000000" w:themeColor="text1"/>
          <w:sz w:val="16"/>
          <w:szCs w:val="16"/>
          <w:lang w:val="en-US"/>
        </w:rPr>
      </w:pPr>
      <w:r w:rsidRPr="00717D4D">
        <w:rPr>
          <w:rFonts w:asciiTheme="minorHAnsi" w:hAnsiTheme="minorHAnsi"/>
          <w:color w:val="000000" w:themeColor="text1"/>
          <w:sz w:val="16"/>
          <w:szCs w:val="16"/>
          <w:lang w:val="en-US"/>
        </w:rPr>
        <w:t>Prior Immunization with Severe Acute Respiratory Syndrome (SARS)-associated Coronavirus (SARS-CoV) Nucleocapsid Protein Causes Severe Pneumonia in Mice Infected With SARS-CoV</w:t>
      </w:r>
    </w:p>
    <w:p w:rsidR="008F6FFE" w:rsidRPr="00A078ED" w:rsidRDefault="0052743C" w:rsidP="00BC5E79">
      <w:pPr>
        <w:pStyle w:val="Heading1"/>
        <w:shd w:val="clear" w:color="auto" w:fill="FFFFFF"/>
        <w:spacing w:before="0"/>
        <w:rPr>
          <w:rFonts w:asciiTheme="minorHAnsi" w:eastAsia="Times New Roman" w:hAnsiTheme="minorHAnsi" w:cstheme="minorHAnsi"/>
          <w:color w:val="000000" w:themeColor="text1"/>
          <w:sz w:val="16"/>
          <w:szCs w:val="16"/>
        </w:rPr>
      </w:pPr>
      <w:hyperlink r:id="rId812" w:history="1">
        <w:r w:rsidR="008F6FFE" w:rsidRPr="00A078ED">
          <w:rPr>
            <w:rFonts w:asciiTheme="minorHAnsi" w:eastAsia="Times New Roman" w:hAnsiTheme="minorHAnsi" w:cstheme="minorHAnsi"/>
            <w:color w:val="000000" w:themeColor="text1"/>
            <w:sz w:val="16"/>
            <w:szCs w:val="16"/>
          </w:rPr>
          <w:t>Fumihiko Yasui</w:t>
        </w:r>
      </w:hyperlink>
      <w:r w:rsidR="008F6FFE" w:rsidRPr="00A078ED">
        <w:rPr>
          <w:rFonts w:asciiTheme="minorHAnsi" w:eastAsia="Times New Roman" w:hAnsiTheme="minorHAnsi" w:cstheme="minorHAnsi"/>
          <w:color w:val="000000" w:themeColor="text1"/>
          <w:sz w:val="16"/>
          <w:szCs w:val="16"/>
        </w:rPr>
        <w:t xml:space="preserve"> et al </w:t>
      </w:r>
    </w:p>
    <w:p w:rsidR="008F6FFE" w:rsidRPr="00A078ED" w:rsidRDefault="0052743C" w:rsidP="00BC5E79">
      <w:pPr>
        <w:pStyle w:val="Heading1"/>
        <w:shd w:val="clear" w:color="auto" w:fill="FFFFFF"/>
        <w:spacing w:before="0"/>
        <w:rPr>
          <w:rFonts w:asciiTheme="minorHAnsi" w:eastAsia="Times New Roman" w:hAnsiTheme="minorHAnsi" w:cstheme="minorHAnsi"/>
          <w:color w:val="000000" w:themeColor="text1"/>
          <w:sz w:val="16"/>
          <w:szCs w:val="16"/>
        </w:rPr>
      </w:pPr>
      <w:hyperlink r:id="rId813" w:history="1">
        <w:r w:rsidR="008F6FFE" w:rsidRPr="00A078ED">
          <w:rPr>
            <w:rFonts w:asciiTheme="minorHAnsi" w:eastAsia="Times New Roman" w:hAnsiTheme="minorHAnsi" w:cstheme="minorHAnsi"/>
            <w:color w:val="000000" w:themeColor="text1"/>
            <w:sz w:val="16"/>
            <w:szCs w:val="16"/>
          </w:rPr>
          <w:t>https://www.jimmunol.org/content/181/9/6337.long</w:t>
        </w:r>
      </w:hyperlink>
    </w:p>
    <w:p w:rsidR="008F6FFE" w:rsidRPr="00A078ED" w:rsidRDefault="008F6FFE" w:rsidP="00BC5E79">
      <w:pPr>
        <w:pStyle w:val="Heading1"/>
        <w:shd w:val="clear" w:color="auto" w:fill="FFFFFF"/>
        <w:spacing w:before="0"/>
        <w:rPr>
          <w:rFonts w:asciiTheme="minorHAnsi" w:eastAsia="Times New Roman" w:hAnsiTheme="minorHAnsi" w:cstheme="minorHAnsi"/>
          <w:color w:val="000000" w:themeColor="text1"/>
          <w:sz w:val="16"/>
          <w:szCs w:val="16"/>
          <w:vertAlign w:val="superscript"/>
        </w:rPr>
      </w:pPr>
    </w:p>
  </w:footnote>
  <w:footnote w:id="102">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BC5E79">
        <w:rPr>
          <w:rFonts w:asciiTheme="minorHAnsi" w:eastAsia="Times New Roman" w:hAnsiTheme="minorHAnsi" w:cstheme="minorHAnsi"/>
          <w:color w:val="000000" w:themeColor="text1"/>
          <w:sz w:val="16"/>
          <w:szCs w:val="16"/>
          <w:vertAlign w:val="superscript"/>
          <w:lang w:val="en-US"/>
        </w:rPr>
        <w:footnoteRef/>
      </w:r>
      <w:r w:rsidRPr="00717D4D">
        <w:rPr>
          <w:rFonts w:asciiTheme="minorHAnsi" w:eastAsia="Times New Roman" w:hAnsiTheme="minorHAnsi" w:cstheme="minorHAnsi"/>
          <w:color w:val="000000" w:themeColor="text1"/>
          <w:sz w:val="16"/>
          <w:szCs w:val="16"/>
          <w:lang w:val="en-US"/>
        </w:rPr>
        <w:t xml:space="preserve"> Sci Transl Med 2013 Aug 28;5(200):200ra114. doi: 10.1126/scitranslmed.3006366.</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Vaccine-induced anti-HA2 Antibodies Promote Virus Fusion and Enhance Influenza Virus Respiratory Disease</w:t>
      </w:r>
    </w:p>
    <w:p w:rsidR="008F6FFE" w:rsidRPr="00717D4D"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814" w:history="1">
        <w:r w:rsidR="008F6FFE" w:rsidRPr="00717D4D">
          <w:rPr>
            <w:rFonts w:asciiTheme="minorHAnsi" w:eastAsia="Times New Roman" w:hAnsiTheme="minorHAnsi" w:cstheme="minorHAnsi"/>
            <w:color w:val="000000" w:themeColor="text1"/>
            <w:sz w:val="16"/>
            <w:szCs w:val="16"/>
            <w:lang w:val="en-US"/>
          </w:rPr>
          <w:t>Surender Khurana</w:t>
        </w:r>
      </w:hyperlink>
      <w:r w:rsidR="008F6FFE" w:rsidRPr="00717D4D">
        <w:rPr>
          <w:rFonts w:asciiTheme="minorHAnsi" w:eastAsia="Times New Roman" w:hAnsiTheme="minorHAnsi" w:cstheme="minorHAnsi"/>
          <w:color w:val="000000" w:themeColor="text1"/>
          <w:sz w:val="16"/>
          <w:szCs w:val="16"/>
          <w:lang w:val="en-US"/>
        </w:rPr>
        <w:t> </w:t>
      </w:r>
      <w:hyperlink r:id="rId815" w:anchor="affiliation-1" w:history="1">
        <w:r w:rsidR="008F6FFE" w:rsidRPr="00717D4D">
          <w:rPr>
            <w:rFonts w:asciiTheme="minorHAnsi" w:eastAsia="Times New Roman" w:hAnsiTheme="minorHAnsi" w:cstheme="minorHAnsi"/>
            <w:color w:val="000000" w:themeColor="text1"/>
            <w:sz w:val="16"/>
            <w:szCs w:val="16"/>
            <w:lang w:val="en-US"/>
          </w:rPr>
          <w:t>1</w:t>
        </w:r>
      </w:hyperlink>
      <w:r w:rsidR="008F6FFE" w:rsidRPr="00717D4D">
        <w:rPr>
          <w:rFonts w:asciiTheme="minorHAnsi" w:eastAsia="Times New Roman" w:hAnsiTheme="minorHAnsi" w:cstheme="minorHAnsi"/>
          <w:color w:val="000000" w:themeColor="text1"/>
          <w:sz w:val="16"/>
          <w:szCs w:val="16"/>
          <w:lang w:val="en-US"/>
        </w:rPr>
        <w:t>, </w:t>
      </w:r>
      <w:hyperlink r:id="rId816" w:history="1">
        <w:r w:rsidR="008F6FFE" w:rsidRPr="00717D4D">
          <w:rPr>
            <w:rFonts w:asciiTheme="minorHAnsi" w:eastAsia="Times New Roman" w:hAnsiTheme="minorHAnsi" w:cstheme="minorHAnsi"/>
            <w:color w:val="000000" w:themeColor="text1"/>
            <w:sz w:val="16"/>
            <w:szCs w:val="16"/>
            <w:lang w:val="en-US"/>
          </w:rPr>
          <w:t>Crystal L Loving</w:t>
        </w:r>
      </w:hyperlink>
      <w:r w:rsidR="008F6FFE" w:rsidRPr="00717D4D">
        <w:rPr>
          <w:rFonts w:asciiTheme="minorHAnsi" w:eastAsia="Times New Roman" w:hAnsiTheme="minorHAnsi" w:cstheme="minorHAnsi"/>
          <w:color w:val="000000" w:themeColor="text1"/>
          <w:sz w:val="16"/>
          <w:szCs w:val="16"/>
          <w:lang w:val="en-US"/>
        </w:rPr>
        <w:t>, </w:t>
      </w:r>
      <w:hyperlink r:id="rId817" w:history="1">
        <w:r w:rsidR="008F6FFE" w:rsidRPr="00717D4D">
          <w:rPr>
            <w:rFonts w:asciiTheme="minorHAnsi" w:eastAsia="Times New Roman" w:hAnsiTheme="minorHAnsi" w:cstheme="minorHAnsi"/>
            <w:color w:val="000000" w:themeColor="text1"/>
            <w:sz w:val="16"/>
            <w:szCs w:val="16"/>
            <w:lang w:val="en-US"/>
          </w:rPr>
          <w:t>Jody Manischewitz</w:t>
        </w:r>
      </w:hyperlink>
      <w:r w:rsidR="008F6FFE" w:rsidRPr="00717D4D">
        <w:rPr>
          <w:rFonts w:asciiTheme="minorHAnsi" w:eastAsia="Times New Roman" w:hAnsiTheme="minorHAnsi" w:cstheme="minorHAnsi"/>
          <w:color w:val="000000" w:themeColor="text1"/>
          <w:sz w:val="16"/>
          <w:szCs w:val="16"/>
          <w:lang w:val="en-US"/>
        </w:rPr>
        <w:t>, </w:t>
      </w:r>
      <w:hyperlink r:id="rId818" w:history="1">
        <w:r w:rsidR="008F6FFE" w:rsidRPr="00717D4D">
          <w:rPr>
            <w:rFonts w:asciiTheme="minorHAnsi" w:eastAsia="Times New Roman" w:hAnsiTheme="minorHAnsi" w:cstheme="minorHAnsi"/>
            <w:color w:val="000000" w:themeColor="text1"/>
            <w:sz w:val="16"/>
            <w:szCs w:val="16"/>
            <w:lang w:val="en-US"/>
          </w:rPr>
          <w:t>Lisa R King</w:t>
        </w:r>
      </w:hyperlink>
      <w:r w:rsidR="008F6FFE" w:rsidRPr="00717D4D">
        <w:rPr>
          <w:rFonts w:asciiTheme="minorHAnsi" w:eastAsia="Times New Roman" w:hAnsiTheme="minorHAnsi" w:cstheme="minorHAnsi"/>
          <w:color w:val="000000" w:themeColor="text1"/>
          <w:sz w:val="16"/>
          <w:szCs w:val="16"/>
          <w:lang w:val="en-US"/>
        </w:rPr>
        <w:t>, </w:t>
      </w:r>
      <w:hyperlink r:id="rId819" w:history="1">
        <w:r w:rsidR="008F6FFE" w:rsidRPr="00717D4D">
          <w:rPr>
            <w:rFonts w:asciiTheme="minorHAnsi" w:eastAsia="Times New Roman" w:hAnsiTheme="minorHAnsi" w:cstheme="minorHAnsi"/>
            <w:color w:val="000000" w:themeColor="text1"/>
            <w:sz w:val="16"/>
            <w:szCs w:val="16"/>
            <w:lang w:val="en-US"/>
          </w:rPr>
          <w:t>Phillip C Gauger</w:t>
        </w:r>
      </w:hyperlink>
      <w:r w:rsidR="008F6FFE" w:rsidRPr="00717D4D">
        <w:rPr>
          <w:rFonts w:asciiTheme="minorHAnsi" w:eastAsia="Times New Roman" w:hAnsiTheme="minorHAnsi" w:cstheme="minorHAnsi"/>
          <w:color w:val="000000" w:themeColor="text1"/>
          <w:sz w:val="16"/>
          <w:szCs w:val="16"/>
          <w:lang w:val="en-US"/>
        </w:rPr>
        <w:t>, </w:t>
      </w:r>
      <w:hyperlink r:id="rId820" w:history="1">
        <w:r w:rsidR="008F6FFE" w:rsidRPr="00717D4D">
          <w:rPr>
            <w:rFonts w:asciiTheme="minorHAnsi" w:eastAsia="Times New Roman" w:hAnsiTheme="minorHAnsi" w:cstheme="minorHAnsi"/>
            <w:color w:val="000000" w:themeColor="text1"/>
            <w:sz w:val="16"/>
            <w:szCs w:val="16"/>
            <w:lang w:val="en-US"/>
          </w:rPr>
          <w:t>Jamie Henningson</w:t>
        </w:r>
      </w:hyperlink>
      <w:r w:rsidR="008F6FFE" w:rsidRPr="00717D4D">
        <w:rPr>
          <w:rFonts w:asciiTheme="minorHAnsi" w:eastAsia="Times New Roman" w:hAnsiTheme="minorHAnsi" w:cstheme="minorHAnsi"/>
          <w:color w:val="000000" w:themeColor="text1"/>
          <w:sz w:val="16"/>
          <w:szCs w:val="16"/>
          <w:lang w:val="en-US"/>
        </w:rPr>
        <w:t>, </w:t>
      </w:r>
      <w:hyperlink r:id="rId821" w:history="1">
        <w:r w:rsidR="008F6FFE" w:rsidRPr="00717D4D">
          <w:rPr>
            <w:rFonts w:asciiTheme="minorHAnsi" w:eastAsia="Times New Roman" w:hAnsiTheme="minorHAnsi" w:cstheme="minorHAnsi"/>
            <w:color w:val="000000" w:themeColor="text1"/>
            <w:sz w:val="16"/>
            <w:szCs w:val="16"/>
            <w:lang w:val="en-US"/>
          </w:rPr>
          <w:t>Amy L Vincent</w:t>
        </w:r>
      </w:hyperlink>
      <w:r w:rsidR="008F6FFE" w:rsidRPr="00717D4D">
        <w:rPr>
          <w:rFonts w:asciiTheme="minorHAnsi" w:eastAsia="Times New Roman" w:hAnsiTheme="minorHAnsi" w:cstheme="minorHAnsi"/>
          <w:color w:val="000000" w:themeColor="text1"/>
          <w:sz w:val="16"/>
          <w:szCs w:val="16"/>
          <w:lang w:val="en-US"/>
        </w:rPr>
        <w:t>, </w:t>
      </w:r>
      <w:hyperlink r:id="rId822" w:history="1">
        <w:r w:rsidR="008F6FFE" w:rsidRPr="00717D4D">
          <w:rPr>
            <w:rFonts w:asciiTheme="minorHAnsi" w:eastAsia="Times New Roman" w:hAnsiTheme="minorHAnsi" w:cstheme="minorHAnsi"/>
            <w:color w:val="000000" w:themeColor="text1"/>
            <w:sz w:val="16"/>
            <w:szCs w:val="16"/>
            <w:lang w:val="en-US"/>
          </w:rPr>
          <w:t>Hana Golding</w:t>
        </w:r>
      </w:hyperlink>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 xml:space="preserve">Vaccine. Front Immunol. 2019 Mar 18;10:440. doi: 10.3389/fimmu.2019.00440. </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 xml:space="preserve">Extra-Neutralizing FcR-Mediated Antibody Functions for a Universal Influenza </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Boudreau CM, Alter G.</w:t>
      </w:r>
    </w:p>
    <w:p w:rsidR="008F6FFE" w:rsidRPr="00BC5E79" w:rsidRDefault="0052743C" w:rsidP="00BC5E79">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823" w:history="1">
        <w:r w:rsidR="008F6FFE" w:rsidRPr="00BC5E79">
          <w:rPr>
            <w:rFonts w:asciiTheme="minorHAnsi" w:eastAsia="Times New Roman" w:hAnsiTheme="minorHAnsi" w:cstheme="minorHAnsi"/>
            <w:color w:val="000000" w:themeColor="text1"/>
            <w:sz w:val="16"/>
            <w:szCs w:val="16"/>
            <w:lang w:val="en-US"/>
          </w:rPr>
          <w:t>https://www.ncbi.nlm.nih.gov/pmc/articles/PMC6436086/</w:t>
        </w:r>
      </w:hyperlink>
    </w:p>
    <w:p w:rsidR="008F6FFE" w:rsidRPr="00BC5E79" w:rsidRDefault="008F6FFE" w:rsidP="00BC5E79">
      <w:pPr>
        <w:pStyle w:val="Heading1"/>
        <w:shd w:val="clear" w:color="auto" w:fill="FFFFFF"/>
        <w:spacing w:before="0"/>
        <w:rPr>
          <w:rFonts w:asciiTheme="minorHAnsi" w:eastAsia="Times New Roman" w:hAnsiTheme="minorHAnsi" w:cstheme="minorHAnsi"/>
          <w:color w:val="000000" w:themeColor="text1"/>
          <w:sz w:val="16"/>
          <w:szCs w:val="16"/>
          <w:vertAlign w:val="superscript"/>
          <w:lang w:val="en-US"/>
        </w:rPr>
      </w:pPr>
    </w:p>
  </w:footnote>
  <w:footnote w:id="103">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BC5E79">
        <w:rPr>
          <w:rFonts w:asciiTheme="minorHAnsi" w:eastAsia="Times New Roman" w:hAnsiTheme="minorHAnsi" w:cstheme="minorHAnsi"/>
          <w:color w:val="000000" w:themeColor="text1"/>
          <w:sz w:val="16"/>
          <w:szCs w:val="16"/>
          <w:vertAlign w:val="superscript"/>
          <w:lang w:val="en-US"/>
        </w:rPr>
        <w:footnoteRef/>
      </w:r>
      <w:r w:rsidRPr="00BC5E79">
        <w:rPr>
          <w:rFonts w:asciiTheme="minorHAnsi" w:eastAsia="Times New Roman" w:hAnsiTheme="minorHAnsi" w:cstheme="minorHAnsi"/>
          <w:color w:val="000000" w:themeColor="text1"/>
          <w:sz w:val="16"/>
          <w:szCs w:val="16"/>
          <w:lang w:val="en-US"/>
        </w:rPr>
        <w:t xml:space="preserve"> </w:t>
      </w:r>
      <w:r w:rsidRPr="00717D4D">
        <w:rPr>
          <w:rFonts w:asciiTheme="minorHAnsi" w:eastAsia="Times New Roman" w:hAnsiTheme="minorHAnsi" w:cstheme="minorHAnsi"/>
          <w:color w:val="000000" w:themeColor="text1"/>
          <w:sz w:val="16"/>
          <w:szCs w:val="16"/>
          <w:lang w:val="en-US"/>
        </w:rPr>
        <w:t>J Exp Med 2002 Sep 16;196(6):859-65. doi: 10.1084/jem.20020781.</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A Role for Immune Complexes in Enhanced Respiratory Syncytial Virus Disease</w:t>
      </w:r>
    </w:p>
    <w:p w:rsidR="008F6FFE" w:rsidRPr="00A078ED" w:rsidRDefault="0052743C" w:rsidP="00BC5E79">
      <w:pPr>
        <w:pStyle w:val="Heading1"/>
        <w:shd w:val="clear" w:color="auto" w:fill="FFFFFF"/>
        <w:spacing w:before="0"/>
        <w:rPr>
          <w:rFonts w:asciiTheme="minorHAnsi" w:eastAsia="Times New Roman" w:hAnsiTheme="minorHAnsi" w:cstheme="minorHAnsi"/>
          <w:color w:val="000000" w:themeColor="text1"/>
          <w:sz w:val="16"/>
          <w:szCs w:val="16"/>
        </w:rPr>
      </w:pPr>
      <w:hyperlink r:id="rId824" w:history="1">
        <w:r w:rsidR="008F6FFE" w:rsidRPr="00A078ED">
          <w:rPr>
            <w:rFonts w:asciiTheme="minorHAnsi" w:eastAsia="Times New Roman" w:hAnsiTheme="minorHAnsi" w:cstheme="minorHAnsi"/>
            <w:color w:val="000000" w:themeColor="text1"/>
            <w:sz w:val="16"/>
            <w:szCs w:val="16"/>
          </w:rPr>
          <w:t>Fernando P Polack</w:t>
        </w:r>
      </w:hyperlink>
      <w:r w:rsidR="008F6FFE" w:rsidRPr="00A078ED">
        <w:rPr>
          <w:rFonts w:asciiTheme="minorHAnsi" w:eastAsia="Times New Roman" w:hAnsiTheme="minorHAnsi" w:cstheme="minorHAnsi"/>
          <w:color w:val="000000" w:themeColor="text1"/>
          <w:sz w:val="16"/>
          <w:szCs w:val="16"/>
        </w:rPr>
        <w:t xml:space="preserve"> et al </w:t>
      </w:r>
    </w:p>
    <w:p w:rsidR="008F6FFE" w:rsidRPr="00A078ED" w:rsidRDefault="0052743C" w:rsidP="00BC5E79">
      <w:pPr>
        <w:pStyle w:val="Heading1"/>
        <w:shd w:val="clear" w:color="auto" w:fill="FFFFFF"/>
        <w:spacing w:before="0"/>
        <w:rPr>
          <w:rFonts w:asciiTheme="minorHAnsi" w:eastAsia="Times New Roman" w:hAnsiTheme="minorHAnsi" w:cstheme="minorHAnsi"/>
          <w:color w:val="000000" w:themeColor="text1"/>
          <w:sz w:val="16"/>
          <w:szCs w:val="16"/>
        </w:rPr>
      </w:pPr>
      <w:hyperlink r:id="rId825" w:history="1">
        <w:r w:rsidR="008F6FFE" w:rsidRPr="00A078ED">
          <w:rPr>
            <w:rFonts w:asciiTheme="minorHAnsi" w:eastAsia="Times New Roman" w:hAnsiTheme="minorHAnsi" w:cstheme="minorHAnsi"/>
            <w:color w:val="000000" w:themeColor="text1"/>
            <w:sz w:val="16"/>
            <w:szCs w:val="16"/>
          </w:rPr>
          <w:t>https://www.ncbi.nlm.nih.gov/pmc/articles/PMC2194058/</w:t>
        </w:r>
      </w:hyperlink>
    </w:p>
    <w:p w:rsidR="008F6FFE" w:rsidRPr="00717D4D" w:rsidRDefault="008F6FFE" w:rsidP="00717D4D">
      <w:pPr>
        <w:pStyle w:val="FootnoteText"/>
        <w:rPr>
          <w:rFonts w:asciiTheme="minorHAnsi" w:hAnsiTheme="minorHAnsi"/>
          <w:sz w:val="16"/>
          <w:szCs w:val="16"/>
        </w:rPr>
      </w:pPr>
    </w:p>
  </w:footnote>
  <w:footnote w:id="104">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vertAlign w:val="superscript"/>
          <w:lang w:val="en-US"/>
        </w:rPr>
        <w:footnoteRef/>
      </w:r>
      <w:r w:rsidRPr="00330DB8">
        <w:rPr>
          <w:rFonts w:asciiTheme="minorHAnsi" w:eastAsia="Times New Roman" w:hAnsiTheme="minorHAnsi" w:cstheme="minorHAnsi"/>
          <w:color w:val="000000" w:themeColor="text1"/>
          <w:sz w:val="16"/>
          <w:szCs w:val="16"/>
          <w:vertAlign w:val="superscript"/>
          <w:lang w:val="en-US"/>
        </w:rPr>
        <w:t xml:space="preserve"> </w:t>
      </w:r>
      <w:r w:rsidRPr="00330DB8">
        <w:rPr>
          <w:rFonts w:asciiTheme="minorHAnsi" w:eastAsia="Times New Roman" w:hAnsiTheme="minorHAnsi" w:cstheme="minorHAnsi"/>
          <w:color w:val="000000" w:themeColor="text1"/>
          <w:sz w:val="16"/>
          <w:szCs w:val="16"/>
          <w:lang w:val="en-US"/>
        </w:rPr>
        <w:t>JAMA 1967 Dec 18;202(12):1075-80.  </w:t>
      </w:r>
      <w:r w:rsidRPr="00717D4D">
        <w:rPr>
          <w:rFonts w:asciiTheme="minorHAnsi" w:eastAsia="Times New Roman" w:hAnsiTheme="minorHAnsi" w:cstheme="minorHAnsi"/>
          <w:color w:val="000000" w:themeColor="text1"/>
          <w:sz w:val="16"/>
          <w:szCs w:val="16"/>
          <w:lang w:val="en-US"/>
        </w:rPr>
        <w:t>doi: 10.1001/jama.202.12.1075.</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Altered Reactivity to Measles Virus. Atypical Measles in Children Previously Immunized With Inactivated Measles Virus Vaccines</w:t>
      </w:r>
    </w:p>
    <w:p w:rsidR="008F6FFE" w:rsidRPr="00717D4D"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826" w:history="1">
        <w:r w:rsidR="008F6FFE" w:rsidRPr="00717D4D">
          <w:rPr>
            <w:rFonts w:asciiTheme="minorHAnsi" w:eastAsia="Times New Roman" w:hAnsiTheme="minorHAnsi" w:cstheme="minorHAnsi"/>
            <w:color w:val="000000" w:themeColor="text1"/>
            <w:sz w:val="16"/>
            <w:szCs w:val="16"/>
            <w:lang w:val="en-US"/>
          </w:rPr>
          <w:t>V A Fulginiti</w:t>
        </w:r>
      </w:hyperlink>
      <w:r w:rsidR="008F6FFE" w:rsidRPr="00717D4D">
        <w:rPr>
          <w:rFonts w:asciiTheme="minorHAnsi" w:eastAsia="Times New Roman" w:hAnsiTheme="minorHAnsi" w:cstheme="minorHAnsi"/>
          <w:color w:val="000000" w:themeColor="text1"/>
          <w:sz w:val="16"/>
          <w:szCs w:val="16"/>
          <w:lang w:val="en-US"/>
        </w:rPr>
        <w:t>, </w:t>
      </w:r>
      <w:hyperlink r:id="rId827" w:history="1">
        <w:r w:rsidR="008F6FFE" w:rsidRPr="00717D4D">
          <w:rPr>
            <w:rFonts w:asciiTheme="minorHAnsi" w:eastAsia="Times New Roman" w:hAnsiTheme="minorHAnsi" w:cstheme="minorHAnsi"/>
            <w:color w:val="000000" w:themeColor="text1"/>
            <w:sz w:val="16"/>
            <w:szCs w:val="16"/>
            <w:lang w:val="en-US"/>
          </w:rPr>
          <w:t>J J Eller</w:t>
        </w:r>
      </w:hyperlink>
      <w:r w:rsidR="008F6FFE" w:rsidRPr="00717D4D">
        <w:rPr>
          <w:rFonts w:asciiTheme="minorHAnsi" w:eastAsia="Times New Roman" w:hAnsiTheme="minorHAnsi" w:cstheme="minorHAnsi"/>
          <w:color w:val="000000" w:themeColor="text1"/>
          <w:sz w:val="16"/>
          <w:szCs w:val="16"/>
          <w:lang w:val="en-US"/>
        </w:rPr>
        <w:t>, </w:t>
      </w:r>
      <w:hyperlink r:id="rId828" w:history="1">
        <w:r w:rsidR="008F6FFE" w:rsidRPr="00717D4D">
          <w:rPr>
            <w:rFonts w:asciiTheme="minorHAnsi" w:eastAsia="Times New Roman" w:hAnsiTheme="minorHAnsi" w:cstheme="minorHAnsi"/>
            <w:color w:val="000000" w:themeColor="text1"/>
            <w:sz w:val="16"/>
            <w:szCs w:val="16"/>
            <w:lang w:val="en-US"/>
          </w:rPr>
          <w:t>A W Downie</w:t>
        </w:r>
      </w:hyperlink>
      <w:r w:rsidR="008F6FFE" w:rsidRPr="00717D4D">
        <w:rPr>
          <w:rFonts w:asciiTheme="minorHAnsi" w:eastAsia="Times New Roman" w:hAnsiTheme="minorHAnsi" w:cstheme="minorHAnsi"/>
          <w:color w:val="000000" w:themeColor="text1"/>
          <w:sz w:val="16"/>
          <w:szCs w:val="16"/>
          <w:lang w:val="en-US"/>
        </w:rPr>
        <w:t>, </w:t>
      </w:r>
      <w:hyperlink r:id="rId829" w:history="1">
        <w:r w:rsidR="008F6FFE" w:rsidRPr="00717D4D">
          <w:rPr>
            <w:rFonts w:asciiTheme="minorHAnsi" w:eastAsia="Times New Roman" w:hAnsiTheme="minorHAnsi" w:cstheme="minorHAnsi"/>
            <w:color w:val="000000" w:themeColor="text1"/>
            <w:sz w:val="16"/>
            <w:szCs w:val="16"/>
            <w:lang w:val="en-US"/>
          </w:rPr>
          <w:t>C H Kempe</w:t>
        </w:r>
      </w:hyperlink>
    </w:p>
    <w:p w:rsidR="008F6FFE" w:rsidRPr="00A86DCF" w:rsidRDefault="0052743C" w:rsidP="00A86DCF">
      <w:pPr>
        <w:pStyle w:val="Heading1"/>
        <w:shd w:val="clear" w:color="auto" w:fill="FFFFFF"/>
        <w:spacing w:before="0"/>
        <w:rPr>
          <w:rFonts w:asciiTheme="minorHAnsi" w:eastAsia="Times New Roman" w:hAnsiTheme="minorHAnsi" w:cstheme="minorHAnsi"/>
          <w:color w:val="000000" w:themeColor="text1"/>
          <w:sz w:val="16"/>
          <w:szCs w:val="16"/>
          <w:lang w:val="en-US"/>
        </w:rPr>
      </w:pPr>
      <w:hyperlink r:id="rId830" w:history="1">
        <w:r w:rsidR="008F6FFE" w:rsidRPr="00A86DCF">
          <w:rPr>
            <w:rFonts w:asciiTheme="minorHAnsi" w:eastAsia="Times New Roman" w:hAnsiTheme="minorHAnsi" w:cstheme="minorHAnsi"/>
            <w:color w:val="000000" w:themeColor="text1"/>
            <w:sz w:val="16"/>
            <w:szCs w:val="16"/>
            <w:lang w:val="en-US"/>
          </w:rPr>
          <w:t>https://jamanetwork.com/journals/jama/article-abstract/336928</w:t>
        </w:r>
      </w:hyperlink>
    </w:p>
    <w:p w:rsidR="008F6FFE" w:rsidRPr="00717D4D" w:rsidRDefault="008F6FFE" w:rsidP="00717D4D">
      <w:pPr>
        <w:pStyle w:val="FootnoteText"/>
        <w:rPr>
          <w:rFonts w:asciiTheme="minorHAnsi" w:hAnsiTheme="minorHAnsi"/>
          <w:sz w:val="16"/>
          <w:szCs w:val="16"/>
          <w:lang w:val="en-US"/>
        </w:rPr>
      </w:pPr>
    </w:p>
  </w:footnote>
  <w:footnote w:id="105">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eastAsia="Times New Roman" w:hAnsiTheme="minorHAnsi" w:cstheme="minorHAnsi"/>
          <w:color w:val="000000" w:themeColor="text1"/>
          <w:sz w:val="16"/>
          <w:szCs w:val="16"/>
          <w:lang w:val="en-US"/>
        </w:rPr>
        <w:t>Ann Ist Super Sanità Jan-Mar 2018;54(1):67-71.  doi: 10.4415/ANN_18_01_13.</w:t>
      </w:r>
    </w:p>
    <w:p w:rsidR="008F6FFE" w:rsidRPr="00717D4D" w:rsidRDefault="008F6FFE" w:rsidP="00717D4D">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Influenza Vaccine Effectiveness in an Italian Elderly Population During the 2016-2017 Season</w:t>
      </w:r>
    </w:p>
    <w:p w:rsidR="008F6FFE" w:rsidRPr="00717D4D" w:rsidRDefault="0052743C" w:rsidP="00717D4D">
      <w:pPr>
        <w:pStyle w:val="Heading1"/>
        <w:shd w:val="clear" w:color="auto" w:fill="FFFFFF"/>
        <w:spacing w:before="0"/>
        <w:rPr>
          <w:rFonts w:asciiTheme="minorHAnsi" w:eastAsia="Times New Roman" w:hAnsiTheme="minorHAnsi" w:cstheme="minorHAnsi"/>
          <w:color w:val="000000" w:themeColor="text1"/>
          <w:sz w:val="16"/>
          <w:szCs w:val="16"/>
        </w:rPr>
      </w:pPr>
      <w:hyperlink r:id="rId831" w:history="1">
        <w:r w:rsidR="008F6FFE" w:rsidRPr="00717D4D">
          <w:rPr>
            <w:rFonts w:asciiTheme="minorHAnsi" w:eastAsia="Times New Roman" w:hAnsiTheme="minorHAnsi" w:cstheme="minorHAnsi"/>
            <w:color w:val="000000" w:themeColor="text1"/>
            <w:sz w:val="16"/>
            <w:szCs w:val="16"/>
          </w:rPr>
          <w:t>Francesca Valent</w:t>
        </w:r>
      </w:hyperlink>
      <w:r w:rsidR="008F6FFE" w:rsidRPr="00717D4D">
        <w:rPr>
          <w:rFonts w:asciiTheme="minorHAnsi" w:eastAsia="Times New Roman" w:hAnsiTheme="minorHAnsi" w:cstheme="minorHAnsi"/>
          <w:color w:val="000000" w:themeColor="text1"/>
          <w:sz w:val="16"/>
          <w:szCs w:val="16"/>
        </w:rPr>
        <w:t> </w:t>
      </w:r>
      <w:hyperlink r:id="rId832" w:anchor="affiliation-1" w:history="1">
        <w:r w:rsidR="008F6FFE" w:rsidRPr="00717D4D">
          <w:rPr>
            <w:rFonts w:asciiTheme="minorHAnsi" w:eastAsia="Times New Roman" w:hAnsiTheme="minorHAnsi" w:cstheme="minorHAnsi"/>
            <w:color w:val="000000" w:themeColor="text1"/>
            <w:sz w:val="16"/>
            <w:szCs w:val="16"/>
          </w:rPr>
          <w:t>1</w:t>
        </w:r>
      </w:hyperlink>
      <w:r w:rsidR="008F6FFE" w:rsidRPr="00717D4D">
        <w:rPr>
          <w:rFonts w:asciiTheme="minorHAnsi" w:eastAsia="Times New Roman" w:hAnsiTheme="minorHAnsi" w:cstheme="minorHAnsi"/>
          <w:color w:val="000000" w:themeColor="text1"/>
          <w:sz w:val="16"/>
          <w:szCs w:val="16"/>
        </w:rPr>
        <w:t>, </w:t>
      </w:r>
      <w:hyperlink r:id="rId833" w:history="1">
        <w:r w:rsidR="008F6FFE" w:rsidRPr="00717D4D">
          <w:rPr>
            <w:rFonts w:asciiTheme="minorHAnsi" w:eastAsia="Times New Roman" w:hAnsiTheme="minorHAnsi" w:cstheme="minorHAnsi"/>
            <w:color w:val="000000" w:themeColor="text1"/>
            <w:sz w:val="16"/>
            <w:szCs w:val="16"/>
          </w:rPr>
          <w:t>Tolinda Gallo</w:t>
        </w:r>
      </w:hyperlink>
      <w:r w:rsidR="008F6FFE" w:rsidRPr="00717D4D">
        <w:rPr>
          <w:rFonts w:asciiTheme="minorHAnsi" w:eastAsia="Times New Roman" w:hAnsiTheme="minorHAnsi" w:cstheme="minorHAnsi"/>
          <w:color w:val="000000" w:themeColor="text1"/>
          <w:sz w:val="16"/>
          <w:szCs w:val="16"/>
        </w:rPr>
        <w:t> </w:t>
      </w:r>
      <w:hyperlink r:id="rId834" w:anchor="affiliation-1" w:history="1">
        <w:r w:rsidR="008F6FFE" w:rsidRPr="00717D4D">
          <w:rPr>
            <w:rFonts w:asciiTheme="minorHAnsi" w:eastAsia="Times New Roman" w:hAnsiTheme="minorHAnsi" w:cstheme="minorHAnsi"/>
            <w:color w:val="000000" w:themeColor="text1"/>
            <w:sz w:val="16"/>
            <w:szCs w:val="16"/>
          </w:rPr>
          <w:t>1</w:t>
        </w:r>
      </w:hyperlink>
    </w:p>
    <w:p w:rsidR="008F6FFE" w:rsidRPr="00717D4D" w:rsidRDefault="0052743C" w:rsidP="00A86DCF">
      <w:pPr>
        <w:pStyle w:val="Heading1"/>
        <w:shd w:val="clear" w:color="auto" w:fill="FFFFFF"/>
        <w:spacing w:before="0"/>
        <w:rPr>
          <w:rFonts w:asciiTheme="minorHAnsi" w:hAnsiTheme="minorHAnsi"/>
          <w:sz w:val="16"/>
          <w:szCs w:val="16"/>
        </w:rPr>
      </w:pPr>
      <w:hyperlink r:id="rId835" w:history="1">
        <w:r w:rsidR="008F6FFE" w:rsidRPr="00717D4D">
          <w:rPr>
            <w:rFonts w:asciiTheme="minorHAnsi" w:eastAsia="Times New Roman" w:hAnsiTheme="minorHAnsi" w:cstheme="minorHAnsi"/>
            <w:color w:val="000000" w:themeColor="text1"/>
            <w:sz w:val="16"/>
            <w:szCs w:val="16"/>
          </w:rPr>
          <w:t>http://old.iss.it/binary/publ/cont/ANN_18_01_13.pdf</w:t>
        </w:r>
      </w:hyperlink>
    </w:p>
  </w:footnote>
  <w:footnote w:id="106">
    <w:p w:rsidR="008F6FFE" w:rsidRPr="00717D4D" w:rsidRDefault="008F6FFE" w:rsidP="00717D4D">
      <w:pPr>
        <w:rPr>
          <w:rFonts w:asciiTheme="minorHAnsi" w:eastAsia="Garamond" w:hAnsiTheme="minorHAnsi" w:cs="Garamond"/>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olor w:val="000000" w:themeColor="text1"/>
          <w:spacing w:val="-1"/>
          <w:sz w:val="16"/>
          <w:szCs w:val="16"/>
          <w:lang w:val="en-US"/>
        </w:rPr>
        <w:t>Vaccine.</w:t>
      </w:r>
      <w:r w:rsidRPr="00717D4D">
        <w:rPr>
          <w:rFonts w:asciiTheme="minorHAnsi" w:hAnsiTheme="minorHAnsi"/>
          <w:color w:val="000000" w:themeColor="text1"/>
          <w:spacing w:val="-5"/>
          <w:sz w:val="16"/>
          <w:szCs w:val="16"/>
          <w:lang w:val="en-US"/>
        </w:rPr>
        <w:t xml:space="preserve"> </w:t>
      </w:r>
      <w:r w:rsidRPr="00717D4D">
        <w:rPr>
          <w:rFonts w:asciiTheme="minorHAnsi" w:hAnsiTheme="minorHAnsi"/>
          <w:color w:val="000000" w:themeColor="text1"/>
          <w:sz w:val="16"/>
          <w:szCs w:val="16"/>
          <w:lang w:val="en-US"/>
        </w:rPr>
        <w:t>2020</w:t>
      </w:r>
      <w:r w:rsidRPr="00717D4D">
        <w:rPr>
          <w:rFonts w:asciiTheme="minorHAnsi" w:hAnsiTheme="minorHAnsi"/>
          <w:color w:val="000000" w:themeColor="text1"/>
          <w:spacing w:val="-6"/>
          <w:sz w:val="16"/>
          <w:szCs w:val="16"/>
          <w:lang w:val="en-US"/>
        </w:rPr>
        <w:t xml:space="preserve"> </w:t>
      </w:r>
      <w:r w:rsidRPr="00717D4D">
        <w:rPr>
          <w:rFonts w:asciiTheme="minorHAnsi" w:hAnsiTheme="minorHAnsi"/>
          <w:color w:val="000000" w:themeColor="text1"/>
          <w:spacing w:val="-1"/>
          <w:sz w:val="16"/>
          <w:szCs w:val="16"/>
          <w:lang w:val="en-US"/>
        </w:rPr>
        <w:t>Jan</w:t>
      </w:r>
      <w:r w:rsidRPr="00717D4D">
        <w:rPr>
          <w:rFonts w:asciiTheme="minorHAnsi" w:hAnsiTheme="minorHAnsi"/>
          <w:color w:val="000000" w:themeColor="text1"/>
          <w:spacing w:val="-4"/>
          <w:sz w:val="16"/>
          <w:szCs w:val="16"/>
          <w:lang w:val="en-US"/>
        </w:rPr>
        <w:t xml:space="preserve"> </w:t>
      </w:r>
      <w:r w:rsidRPr="00717D4D">
        <w:rPr>
          <w:rFonts w:asciiTheme="minorHAnsi" w:hAnsiTheme="minorHAnsi"/>
          <w:color w:val="000000" w:themeColor="text1"/>
          <w:sz w:val="16"/>
          <w:szCs w:val="16"/>
          <w:lang w:val="en-US"/>
        </w:rPr>
        <w:t>10;38(2):350-354.</w:t>
      </w:r>
      <w:r w:rsidRPr="00717D4D">
        <w:rPr>
          <w:rFonts w:asciiTheme="minorHAnsi" w:hAnsiTheme="minorHAnsi"/>
          <w:color w:val="000000" w:themeColor="text1"/>
          <w:spacing w:val="-6"/>
          <w:sz w:val="16"/>
          <w:szCs w:val="16"/>
          <w:lang w:val="en-US"/>
        </w:rPr>
        <w:t xml:space="preserve"> </w:t>
      </w:r>
      <w:r w:rsidRPr="00717D4D">
        <w:rPr>
          <w:rFonts w:asciiTheme="minorHAnsi" w:hAnsiTheme="minorHAnsi"/>
          <w:color w:val="000000" w:themeColor="text1"/>
          <w:spacing w:val="-2"/>
          <w:sz w:val="16"/>
          <w:szCs w:val="16"/>
          <w:lang w:val="en-US"/>
        </w:rPr>
        <w:t>doi:</w:t>
      </w:r>
      <w:r w:rsidRPr="00717D4D">
        <w:rPr>
          <w:rFonts w:asciiTheme="minorHAnsi" w:hAnsiTheme="minorHAnsi"/>
          <w:color w:val="000000" w:themeColor="text1"/>
          <w:spacing w:val="-5"/>
          <w:sz w:val="16"/>
          <w:szCs w:val="16"/>
          <w:lang w:val="en-US"/>
        </w:rPr>
        <w:t xml:space="preserve"> </w:t>
      </w:r>
      <w:r w:rsidRPr="00717D4D">
        <w:rPr>
          <w:rFonts w:asciiTheme="minorHAnsi" w:hAnsiTheme="minorHAnsi"/>
          <w:color w:val="000000" w:themeColor="text1"/>
          <w:spacing w:val="-1"/>
          <w:sz w:val="16"/>
          <w:szCs w:val="16"/>
          <w:lang w:val="en-US"/>
        </w:rPr>
        <w:t>10.1016/j.vaccine.2019.10.005..</w:t>
      </w:r>
    </w:p>
    <w:p w:rsidR="008F6FFE" w:rsidRPr="00717D4D" w:rsidRDefault="008F6FFE" w:rsidP="00717D4D">
      <w:pPr>
        <w:ind w:left="110" w:right="476"/>
        <w:rPr>
          <w:rFonts w:asciiTheme="minorHAnsi" w:eastAsia="Garamond" w:hAnsiTheme="minorHAnsi" w:cs="Garamond"/>
          <w:color w:val="000000" w:themeColor="text1"/>
          <w:sz w:val="16"/>
          <w:szCs w:val="16"/>
          <w:lang w:val="en-US"/>
        </w:rPr>
      </w:pPr>
      <w:r w:rsidRPr="00717D4D">
        <w:rPr>
          <w:rFonts w:asciiTheme="minorHAnsi" w:hAnsiTheme="minorHAnsi"/>
          <w:color w:val="000000" w:themeColor="text1"/>
          <w:spacing w:val="-1"/>
          <w:sz w:val="16"/>
          <w:szCs w:val="16"/>
          <w:lang w:val="en-US"/>
        </w:rPr>
        <w:t>Influenza</w:t>
      </w:r>
      <w:r w:rsidRPr="00717D4D">
        <w:rPr>
          <w:rFonts w:asciiTheme="minorHAnsi" w:hAnsiTheme="minorHAnsi"/>
          <w:color w:val="000000" w:themeColor="text1"/>
          <w:spacing w:val="-3"/>
          <w:sz w:val="16"/>
          <w:szCs w:val="16"/>
          <w:lang w:val="en-US"/>
        </w:rPr>
        <w:t xml:space="preserve"> </w:t>
      </w:r>
      <w:r w:rsidRPr="00717D4D">
        <w:rPr>
          <w:rFonts w:asciiTheme="minorHAnsi" w:hAnsiTheme="minorHAnsi"/>
          <w:color w:val="000000" w:themeColor="text1"/>
          <w:spacing w:val="-1"/>
          <w:sz w:val="16"/>
          <w:szCs w:val="16"/>
          <w:lang w:val="en-US"/>
        </w:rPr>
        <w:t>vaccination</w:t>
      </w:r>
      <w:r w:rsidRPr="00717D4D">
        <w:rPr>
          <w:rFonts w:asciiTheme="minorHAnsi" w:hAnsiTheme="minorHAnsi"/>
          <w:color w:val="000000" w:themeColor="text1"/>
          <w:spacing w:val="-2"/>
          <w:sz w:val="16"/>
          <w:szCs w:val="16"/>
          <w:lang w:val="en-US"/>
        </w:rPr>
        <w:t xml:space="preserve"> </w:t>
      </w:r>
      <w:r w:rsidRPr="00717D4D">
        <w:rPr>
          <w:rFonts w:asciiTheme="minorHAnsi" w:hAnsiTheme="minorHAnsi"/>
          <w:color w:val="000000" w:themeColor="text1"/>
          <w:sz w:val="16"/>
          <w:szCs w:val="16"/>
          <w:lang w:val="en-US"/>
        </w:rPr>
        <w:t>and</w:t>
      </w:r>
      <w:r w:rsidRPr="00717D4D">
        <w:rPr>
          <w:rFonts w:asciiTheme="minorHAnsi" w:hAnsiTheme="minorHAnsi"/>
          <w:color w:val="000000" w:themeColor="text1"/>
          <w:spacing w:val="-3"/>
          <w:sz w:val="16"/>
          <w:szCs w:val="16"/>
          <w:lang w:val="en-US"/>
        </w:rPr>
        <w:t xml:space="preserve"> </w:t>
      </w:r>
      <w:r w:rsidRPr="00717D4D">
        <w:rPr>
          <w:rFonts w:asciiTheme="minorHAnsi" w:hAnsiTheme="minorHAnsi"/>
          <w:color w:val="000000" w:themeColor="text1"/>
          <w:spacing w:val="-1"/>
          <w:sz w:val="16"/>
          <w:szCs w:val="16"/>
          <w:lang w:val="en-US"/>
        </w:rPr>
        <w:t xml:space="preserve">respiratory </w:t>
      </w:r>
      <w:r w:rsidRPr="00717D4D">
        <w:rPr>
          <w:rFonts w:asciiTheme="minorHAnsi" w:hAnsiTheme="minorHAnsi"/>
          <w:color w:val="000000" w:themeColor="text1"/>
          <w:sz w:val="16"/>
          <w:szCs w:val="16"/>
          <w:lang w:val="en-US"/>
        </w:rPr>
        <w:t>virus</w:t>
      </w:r>
      <w:r w:rsidRPr="00717D4D">
        <w:rPr>
          <w:rFonts w:asciiTheme="minorHAnsi" w:hAnsiTheme="minorHAnsi"/>
          <w:color w:val="000000" w:themeColor="text1"/>
          <w:spacing w:val="-4"/>
          <w:sz w:val="16"/>
          <w:szCs w:val="16"/>
          <w:lang w:val="en-US"/>
        </w:rPr>
        <w:t xml:space="preserve"> </w:t>
      </w:r>
      <w:r w:rsidRPr="00717D4D">
        <w:rPr>
          <w:rFonts w:asciiTheme="minorHAnsi" w:hAnsiTheme="minorHAnsi"/>
          <w:color w:val="000000" w:themeColor="text1"/>
          <w:spacing w:val="-1"/>
          <w:sz w:val="16"/>
          <w:szCs w:val="16"/>
          <w:lang w:val="en-US"/>
        </w:rPr>
        <w:t>interference</w:t>
      </w:r>
      <w:r w:rsidRPr="00717D4D">
        <w:rPr>
          <w:rFonts w:asciiTheme="minorHAnsi" w:hAnsiTheme="minorHAnsi"/>
          <w:color w:val="000000" w:themeColor="text1"/>
          <w:spacing w:val="-4"/>
          <w:sz w:val="16"/>
          <w:szCs w:val="16"/>
          <w:lang w:val="en-US"/>
        </w:rPr>
        <w:t xml:space="preserve"> </w:t>
      </w:r>
      <w:r w:rsidRPr="00717D4D">
        <w:rPr>
          <w:rFonts w:asciiTheme="minorHAnsi" w:hAnsiTheme="minorHAnsi"/>
          <w:color w:val="000000" w:themeColor="text1"/>
          <w:spacing w:val="-1"/>
          <w:sz w:val="16"/>
          <w:szCs w:val="16"/>
          <w:lang w:val="en-US"/>
        </w:rPr>
        <w:t>among</w:t>
      </w:r>
      <w:r w:rsidRPr="00717D4D">
        <w:rPr>
          <w:rFonts w:asciiTheme="minorHAnsi" w:hAnsiTheme="minorHAnsi"/>
          <w:color w:val="000000" w:themeColor="text1"/>
          <w:spacing w:val="-4"/>
          <w:sz w:val="16"/>
          <w:szCs w:val="16"/>
          <w:lang w:val="en-US"/>
        </w:rPr>
        <w:t xml:space="preserve"> </w:t>
      </w:r>
      <w:r w:rsidRPr="00717D4D">
        <w:rPr>
          <w:rFonts w:asciiTheme="minorHAnsi" w:hAnsiTheme="minorHAnsi"/>
          <w:color w:val="000000" w:themeColor="text1"/>
          <w:spacing w:val="-1"/>
          <w:sz w:val="16"/>
          <w:szCs w:val="16"/>
          <w:lang w:val="en-US"/>
        </w:rPr>
        <w:t>Department</w:t>
      </w:r>
      <w:r w:rsidRPr="00717D4D">
        <w:rPr>
          <w:rFonts w:asciiTheme="minorHAnsi" w:hAnsiTheme="minorHAnsi"/>
          <w:color w:val="000000" w:themeColor="text1"/>
          <w:spacing w:val="-2"/>
          <w:sz w:val="16"/>
          <w:szCs w:val="16"/>
          <w:lang w:val="en-US"/>
        </w:rPr>
        <w:t xml:space="preserve"> </w:t>
      </w:r>
      <w:r w:rsidRPr="00717D4D">
        <w:rPr>
          <w:rFonts w:asciiTheme="minorHAnsi" w:hAnsiTheme="minorHAnsi"/>
          <w:color w:val="000000" w:themeColor="text1"/>
          <w:spacing w:val="-1"/>
          <w:sz w:val="16"/>
          <w:szCs w:val="16"/>
          <w:lang w:val="en-US"/>
        </w:rPr>
        <w:t>of</w:t>
      </w:r>
      <w:r w:rsidRPr="00717D4D">
        <w:rPr>
          <w:rFonts w:asciiTheme="minorHAnsi" w:hAnsiTheme="minorHAnsi"/>
          <w:color w:val="000000" w:themeColor="text1"/>
          <w:spacing w:val="-2"/>
          <w:sz w:val="16"/>
          <w:szCs w:val="16"/>
          <w:lang w:val="en-US"/>
        </w:rPr>
        <w:t xml:space="preserve"> </w:t>
      </w:r>
      <w:r w:rsidRPr="00717D4D">
        <w:rPr>
          <w:rFonts w:asciiTheme="minorHAnsi" w:hAnsiTheme="minorHAnsi"/>
          <w:color w:val="000000" w:themeColor="text1"/>
          <w:spacing w:val="-1"/>
          <w:sz w:val="16"/>
          <w:szCs w:val="16"/>
          <w:lang w:val="en-US"/>
        </w:rPr>
        <w:t>Defense</w:t>
      </w:r>
      <w:r w:rsidRPr="00717D4D">
        <w:rPr>
          <w:rFonts w:asciiTheme="minorHAnsi" w:hAnsiTheme="minorHAnsi"/>
          <w:color w:val="000000" w:themeColor="text1"/>
          <w:spacing w:val="-4"/>
          <w:sz w:val="16"/>
          <w:szCs w:val="16"/>
          <w:lang w:val="en-US"/>
        </w:rPr>
        <w:t xml:space="preserve"> </w:t>
      </w:r>
      <w:r w:rsidRPr="00717D4D">
        <w:rPr>
          <w:rFonts w:asciiTheme="minorHAnsi" w:hAnsiTheme="minorHAnsi"/>
          <w:color w:val="000000" w:themeColor="text1"/>
          <w:spacing w:val="-1"/>
          <w:sz w:val="16"/>
          <w:szCs w:val="16"/>
          <w:lang w:val="en-US"/>
        </w:rPr>
        <w:t>personnel</w:t>
      </w:r>
      <w:r w:rsidRPr="00717D4D">
        <w:rPr>
          <w:rFonts w:asciiTheme="minorHAnsi" w:hAnsiTheme="minorHAnsi"/>
          <w:color w:val="000000" w:themeColor="text1"/>
          <w:spacing w:val="2"/>
          <w:sz w:val="16"/>
          <w:szCs w:val="16"/>
          <w:lang w:val="en-US"/>
        </w:rPr>
        <w:t xml:space="preserve"> </w:t>
      </w:r>
      <w:r w:rsidRPr="00717D4D">
        <w:rPr>
          <w:rFonts w:asciiTheme="minorHAnsi" w:hAnsiTheme="minorHAnsi"/>
          <w:color w:val="000000" w:themeColor="text1"/>
          <w:sz w:val="16"/>
          <w:szCs w:val="16"/>
          <w:lang w:val="en-US"/>
        </w:rPr>
        <w:t>during</w:t>
      </w:r>
      <w:r w:rsidRPr="00717D4D">
        <w:rPr>
          <w:rFonts w:asciiTheme="minorHAnsi" w:hAnsiTheme="minorHAnsi"/>
          <w:color w:val="000000" w:themeColor="text1"/>
          <w:spacing w:val="-4"/>
          <w:sz w:val="16"/>
          <w:szCs w:val="16"/>
          <w:lang w:val="en-US"/>
        </w:rPr>
        <w:t xml:space="preserve"> </w:t>
      </w:r>
      <w:r w:rsidRPr="00717D4D">
        <w:rPr>
          <w:rFonts w:asciiTheme="minorHAnsi" w:hAnsiTheme="minorHAnsi"/>
          <w:color w:val="000000" w:themeColor="text1"/>
          <w:spacing w:val="-1"/>
          <w:sz w:val="16"/>
          <w:szCs w:val="16"/>
          <w:lang w:val="en-US"/>
        </w:rPr>
        <w:t>the</w:t>
      </w:r>
      <w:r w:rsidRPr="00717D4D">
        <w:rPr>
          <w:rFonts w:asciiTheme="minorHAnsi" w:hAnsiTheme="minorHAnsi"/>
          <w:color w:val="000000" w:themeColor="text1"/>
          <w:spacing w:val="-4"/>
          <w:sz w:val="16"/>
          <w:szCs w:val="16"/>
          <w:lang w:val="en-US"/>
        </w:rPr>
        <w:t xml:space="preserve"> </w:t>
      </w:r>
      <w:r w:rsidRPr="00717D4D">
        <w:rPr>
          <w:rFonts w:asciiTheme="minorHAnsi" w:hAnsiTheme="minorHAnsi"/>
          <w:color w:val="000000" w:themeColor="text1"/>
          <w:sz w:val="16"/>
          <w:szCs w:val="16"/>
          <w:lang w:val="en-US"/>
        </w:rPr>
        <w:t>2017-2018</w:t>
      </w:r>
      <w:r w:rsidRPr="00717D4D">
        <w:rPr>
          <w:rFonts w:asciiTheme="minorHAnsi" w:hAnsiTheme="minorHAnsi"/>
          <w:color w:val="000000" w:themeColor="text1"/>
          <w:spacing w:val="89"/>
          <w:w w:val="99"/>
          <w:sz w:val="16"/>
          <w:szCs w:val="16"/>
          <w:lang w:val="en-US"/>
        </w:rPr>
        <w:t xml:space="preserve"> </w:t>
      </w:r>
      <w:r w:rsidRPr="00717D4D">
        <w:rPr>
          <w:rFonts w:asciiTheme="minorHAnsi" w:hAnsiTheme="minorHAnsi"/>
          <w:color w:val="000000" w:themeColor="text1"/>
          <w:spacing w:val="-1"/>
          <w:sz w:val="16"/>
          <w:szCs w:val="16"/>
          <w:lang w:val="en-US"/>
        </w:rPr>
        <w:t>influenza</w:t>
      </w:r>
      <w:r w:rsidRPr="00717D4D">
        <w:rPr>
          <w:rFonts w:asciiTheme="minorHAnsi" w:hAnsiTheme="minorHAnsi"/>
          <w:color w:val="000000" w:themeColor="text1"/>
          <w:spacing w:val="-6"/>
          <w:sz w:val="16"/>
          <w:szCs w:val="16"/>
          <w:lang w:val="en-US"/>
        </w:rPr>
        <w:t xml:space="preserve"> </w:t>
      </w:r>
      <w:r w:rsidRPr="00717D4D">
        <w:rPr>
          <w:rFonts w:asciiTheme="minorHAnsi" w:hAnsiTheme="minorHAnsi"/>
          <w:color w:val="000000" w:themeColor="text1"/>
          <w:spacing w:val="-2"/>
          <w:sz w:val="16"/>
          <w:szCs w:val="16"/>
          <w:lang w:val="en-US"/>
        </w:rPr>
        <w:t>season.</w:t>
      </w:r>
    </w:p>
    <w:p w:rsidR="008F6FFE" w:rsidRPr="00235A16" w:rsidRDefault="008F6FFE" w:rsidP="00717D4D">
      <w:pPr>
        <w:ind w:left="110" w:right="2673"/>
        <w:rPr>
          <w:rFonts w:asciiTheme="minorHAnsi" w:hAnsiTheme="minorHAnsi"/>
          <w:color w:val="000000" w:themeColor="text1"/>
          <w:spacing w:val="24"/>
          <w:w w:val="99"/>
          <w:sz w:val="16"/>
          <w:szCs w:val="16"/>
          <w:lang w:val="de-DE"/>
        </w:rPr>
      </w:pPr>
      <w:r w:rsidRPr="00235A16">
        <w:rPr>
          <w:rFonts w:asciiTheme="minorHAnsi" w:hAnsiTheme="minorHAnsi"/>
          <w:color w:val="000000" w:themeColor="text1"/>
          <w:spacing w:val="-1"/>
          <w:sz w:val="16"/>
          <w:szCs w:val="16"/>
          <w:lang w:val="de-DE"/>
        </w:rPr>
        <w:t>Wolff</w:t>
      </w:r>
      <w:r w:rsidRPr="00235A16">
        <w:rPr>
          <w:rFonts w:asciiTheme="minorHAnsi" w:hAnsiTheme="minorHAnsi"/>
          <w:color w:val="000000" w:themeColor="text1"/>
          <w:spacing w:val="-4"/>
          <w:sz w:val="16"/>
          <w:szCs w:val="16"/>
          <w:lang w:val="de-DE"/>
        </w:rPr>
        <w:t xml:space="preserve"> </w:t>
      </w:r>
      <w:r w:rsidRPr="00235A16">
        <w:rPr>
          <w:rFonts w:asciiTheme="minorHAnsi" w:hAnsiTheme="minorHAnsi"/>
          <w:color w:val="000000" w:themeColor="text1"/>
          <w:sz w:val="16"/>
          <w:szCs w:val="16"/>
          <w:lang w:val="de-DE"/>
        </w:rPr>
        <w:t>GG1.</w:t>
      </w:r>
      <w:r w:rsidRPr="00235A16">
        <w:rPr>
          <w:rFonts w:asciiTheme="minorHAnsi" w:hAnsiTheme="minorHAnsi"/>
          <w:color w:val="000000" w:themeColor="text1"/>
          <w:spacing w:val="24"/>
          <w:w w:val="99"/>
          <w:sz w:val="16"/>
          <w:szCs w:val="16"/>
          <w:lang w:val="de-DE"/>
        </w:rPr>
        <w:t xml:space="preserve"> </w:t>
      </w:r>
    </w:p>
    <w:p w:rsidR="008F6FFE" w:rsidRPr="00235A16" w:rsidRDefault="008F6FFE" w:rsidP="00717D4D">
      <w:pPr>
        <w:ind w:left="110" w:right="476"/>
        <w:rPr>
          <w:rFonts w:asciiTheme="minorHAnsi" w:hAnsiTheme="minorHAnsi"/>
          <w:color w:val="000000" w:themeColor="text1"/>
          <w:spacing w:val="-1"/>
          <w:sz w:val="16"/>
          <w:szCs w:val="16"/>
          <w:lang w:val="de-DE"/>
        </w:rPr>
      </w:pPr>
      <w:r w:rsidRPr="00235A16">
        <w:rPr>
          <w:rFonts w:asciiTheme="minorHAnsi" w:hAnsiTheme="minorHAnsi"/>
          <w:color w:val="000000" w:themeColor="text1"/>
          <w:spacing w:val="-1"/>
          <w:sz w:val="16"/>
          <w:szCs w:val="16"/>
          <w:lang w:val="de-DE"/>
        </w:rPr>
        <w:t>https</w:t>
      </w:r>
      <w:hyperlink r:id="rId836">
        <w:r w:rsidRPr="00235A16">
          <w:rPr>
            <w:rFonts w:asciiTheme="minorHAnsi" w:hAnsiTheme="minorHAnsi"/>
            <w:color w:val="000000" w:themeColor="text1"/>
            <w:spacing w:val="-1"/>
            <w:sz w:val="16"/>
            <w:szCs w:val="16"/>
            <w:lang w:val="de-DE"/>
          </w:rPr>
          <w:t>://www.n</w:t>
        </w:r>
      </w:hyperlink>
      <w:r w:rsidRPr="00235A16">
        <w:rPr>
          <w:rFonts w:asciiTheme="minorHAnsi" w:hAnsiTheme="minorHAnsi"/>
          <w:color w:val="000000" w:themeColor="text1"/>
          <w:spacing w:val="-1"/>
          <w:sz w:val="16"/>
          <w:szCs w:val="16"/>
          <w:lang w:val="de-DE"/>
        </w:rPr>
        <w:t>cbi</w:t>
      </w:r>
      <w:hyperlink r:id="rId837">
        <w:r w:rsidRPr="00235A16">
          <w:rPr>
            <w:rFonts w:asciiTheme="minorHAnsi" w:hAnsiTheme="minorHAnsi"/>
            <w:color w:val="000000" w:themeColor="text1"/>
            <w:spacing w:val="-1"/>
            <w:sz w:val="16"/>
            <w:szCs w:val="16"/>
            <w:lang w:val="de-DE"/>
          </w:rPr>
          <w:t>.nlm.nih.gov/pmc/articles/PMC7126676/pdf/main.pdf</w:t>
        </w:r>
      </w:hyperlink>
    </w:p>
    <w:p w:rsidR="008F6FFE" w:rsidRPr="00235A16" w:rsidRDefault="008F6FFE" w:rsidP="00717D4D">
      <w:pPr>
        <w:ind w:left="110" w:right="476"/>
        <w:rPr>
          <w:rFonts w:asciiTheme="minorHAnsi" w:hAnsiTheme="minorHAnsi"/>
          <w:color w:val="000000" w:themeColor="text1"/>
          <w:spacing w:val="-1"/>
          <w:sz w:val="16"/>
          <w:szCs w:val="16"/>
          <w:lang w:val="de-DE"/>
        </w:rPr>
      </w:pPr>
    </w:p>
  </w:footnote>
  <w:footnote w:id="107">
    <w:p w:rsidR="008F6FFE" w:rsidRPr="00717D4D" w:rsidRDefault="008F6FFE" w:rsidP="00717D4D">
      <w:pPr>
        <w:ind w:right="476"/>
        <w:rPr>
          <w:rFonts w:asciiTheme="minorHAnsi" w:hAnsiTheme="minorHAnsi"/>
          <w:color w:val="000000" w:themeColor="text1"/>
          <w:spacing w:val="-1"/>
          <w:sz w:val="16"/>
          <w:szCs w:val="16"/>
          <w:lang w:val="en-US"/>
        </w:rPr>
      </w:pPr>
      <w:r w:rsidRPr="00717D4D">
        <w:rPr>
          <w:rFonts w:asciiTheme="minorHAnsi" w:hAnsiTheme="minorHAnsi"/>
          <w:color w:val="000000" w:themeColor="text1"/>
          <w:spacing w:val="-1"/>
          <w:sz w:val="16"/>
          <w:szCs w:val="16"/>
          <w:vertAlign w:val="superscript"/>
          <w:lang w:val="en-US"/>
        </w:rPr>
        <w:footnoteRef/>
      </w:r>
      <w:r w:rsidRPr="00717D4D">
        <w:rPr>
          <w:rFonts w:asciiTheme="minorHAnsi" w:hAnsiTheme="minorHAnsi"/>
          <w:color w:val="000000" w:themeColor="text1"/>
          <w:spacing w:val="-1"/>
          <w:sz w:val="16"/>
          <w:szCs w:val="16"/>
          <w:vertAlign w:val="superscript"/>
          <w:lang w:val="en-US"/>
        </w:rPr>
        <w:t xml:space="preserve"> </w:t>
      </w:r>
      <w:r w:rsidRPr="00717D4D">
        <w:rPr>
          <w:rFonts w:asciiTheme="minorHAnsi" w:hAnsiTheme="minorHAnsi"/>
          <w:color w:val="000000" w:themeColor="text1"/>
          <w:spacing w:val="-1"/>
          <w:sz w:val="16"/>
          <w:szCs w:val="16"/>
          <w:lang w:val="en-US"/>
        </w:rPr>
        <w:t>Proc Natl Acad Sci U S A. 2008 Jul 1;105(26):9065-9. doi: 10.1073/pnas.0800502105.</w:t>
      </w:r>
    </w:p>
    <w:p w:rsidR="008F6FFE" w:rsidRDefault="008F6FFE" w:rsidP="00717D4D">
      <w:pPr>
        <w:ind w:left="110" w:right="476"/>
        <w:rPr>
          <w:rFonts w:asciiTheme="minorHAnsi" w:hAnsiTheme="minorHAnsi"/>
          <w:color w:val="000000" w:themeColor="text1"/>
          <w:spacing w:val="-1"/>
          <w:sz w:val="16"/>
          <w:szCs w:val="16"/>
          <w:lang w:val="en-US"/>
        </w:rPr>
      </w:pPr>
      <w:r w:rsidRPr="00717D4D">
        <w:rPr>
          <w:rFonts w:asciiTheme="minorHAnsi" w:hAnsiTheme="minorHAnsi"/>
          <w:color w:val="000000" w:themeColor="text1"/>
          <w:spacing w:val="-1"/>
          <w:sz w:val="16"/>
          <w:szCs w:val="16"/>
          <w:lang w:val="en-US"/>
        </w:rPr>
        <w:t xml:space="preserve">Structure of coronavirus hemagglutinin-esterase offers insight into corona and influenza virus evolution. </w:t>
      </w:r>
    </w:p>
    <w:p w:rsidR="008F6FFE" w:rsidRPr="00235A16" w:rsidRDefault="008F6FFE" w:rsidP="00A86DCF">
      <w:pPr>
        <w:ind w:left="110" w:right="476"/>
        <w:rPr>
          <w:rFonts w:asciiTheme="minorHAnsi" w:hAnsiTheme="minorHAnsi"/>
          <w:color w:val="000000" w:themeColor="text1"/>
          <w:spacing w:val="-1"/>
          <w:sz w:val="16"/>
          <w:szCs w:val="16"/>
          <w:lang w:val="de-DE"/>
        </w:rPr>
      </w:pPr>
      <w:r w:rsidRPr="00235A16">
        <w:rPr>
          <w:rFonts w:asciiTheme="minorHAnsi" w:hAnsiTheme="minorHAnsi"/>
          <w:color w:val="000000" w:themeColor="text1"/>
          <w:spacing w:val="-1"/>
          <w:sz w:val="16"/>
          <w:szCs w:val="16"/>
          <w:lang w:val="de-DE"/>
        </w:rPr>
        <w:t>Zeng Q1, Langereis MA, van Vliet AL, Huizinga EG, de Groot RJ.</w:t>
      </w:r>
    </w:p>
    <w:p w:rsidR="008F6FFE" w:rsidRPr="00235A16" w:rsidRDefault="0052743C" w:rsidP="00A86DCF">
      <w:pPr>
        <w:ind w:left="110" w:right="476"/>
        <w:rPr>
          <w:rFonts w:asciiTheme="minorHAnsi" w:hAnsiTheme="minorHAnsi"/>
          <w:color w:val="000000" w:themeColor="text1"/>
          <w:spacing w:val="-1"/>
          <w:sz w:val="16"/>
          <w:szCs w:val="16"/>
          <w:lang w:val="de-DE"/>
        </w:rPr>
      </w:pPr>
      <w:hyperlink r:id="rId838" w:history="1">
        <w:r w:rsidR="008F6FFE" w:rsidRPr="00235A16">
          <w:rPr>
            <w:rFonts w:asciiTheme="minorHAnsi" w:hAnsiTheme="minorHAnsi"/>
            <w:color w:val="000000" w:themeColor="text1"/>
            <w:spacing w:val="-1"/>
            <w:sz w:val="16"/>
            <w:szCs w:val="16"/>
            <w:lang w:val="de-DE"/>
          </w:rPr>
          <w:t>https://www.ncbi.nlm.nih.gov/pmc/articles/PMC2449365/</w:t>
        </w:r>
      </w:hyperlink>
    </w:p>
  </w:footnote>
  <w:footnote w:id="108">
    <w:p w:rsidR="008F6FFE" w:rsidRPr="00235A16" w:rsidRDefault="008F6FFE" w:rsidP="00BC1E0C">
      <w:pPr>
        <w:rPr>
          <w:rFonts w:asciiTheme="minorHAnsi" w:eastAsiaTheme="minorHAnsi" w:hAnsiTheme="minorHAnsi"/>
          <w:color w:val="000000" w:themeColor="text1"/>
          <w:spacing w:val="-1"/>
          <w:sz w:val="16"/>
          <w:szCs w:val="16"/>
          <w:lang w:val="de-DE" w:eastAsia="en-US"/>
        </w:rPr>
      </w:pPr>
      <w:r w:rsidRPr="00BC1E0C">
        <w:rPr>
          <w:rFonts w:asciiTheme="minorHAnsi" w:eastAsiaTheme="minorHAnsi" w:hAnsiTheme="minorHAnsi"/>
          <w:color w:val="000000" w:themeColor="text1"/>
          <w:spacing w:val="-1"/>
          <w:sz w:val="16"/>
          <w:szCs w:val="16"/>
          <w:vertAlign w:val="superscript"/>
          <w:lang w:val="en-US" w:eastAsia="en-US"/>
        </w:rPr>
        <w:footnoteRef/>
      </w:r>
      <w:r w:rsidRPr="00235A16">
        <w:rPr>
          <w:rFonts w:asciiTheme="minorHAnsi" w:eastAsiaTheme="minorHAnsi" w:hAnsiTheme="minorHAnsi"/>
          <w:color w:val="000000" w:themeColor="text1"/>
          <w:spacing w:val="-1"/>
          <w:sz w:val="16"/>
          <w:szCs w:val="16"/>
          <w:vertAlign w:val="superscript"/>
          <w:lang w:val="de-DE" w:eastAsia="en-US"/>
        </w:rPr>
        <w:t xml:space="preserve"> </w:t>
      </w:r>
      <w:r w:rsidRPr="00235A16">
        <w:rPr>
          <w:rFonts w:asciiTheme="minorHAnsi" w:eastAsiaTheme="minorHAnsi" w:hAnsiTheme="minorHAnsi"/>
          <w:color w:val="000000" w:themeColor="text1"/>
          <w:spacing w:val="-1"/>
          <w:sz w:val="16"/>
          <w:szCs w:val="16"/>
          <w:lang w:val="de-DE" w:eastAsia="en-US"/>
        </w:rPr>
        <w:t xml:space="preserve">Nguyen AA, Habiballah SB, Platt CD, Geha RS, Chou JS, McDonald DR. </w:t>
      </w:r>
    </w:p>
    <w:p w:rsidR="008F6FFE" w:rsidRPr="006442E5" w:rsidRDefault="008F6FFE" w:rsidP="00BC1E0C">
      <w:pPr>
        <w:rPr>
          <w:rFonts w:asciiTheme="minorHAnsi" w:eastAsiaTheme="minorHAnsi" w:hAnsiTheme="minorHAnsi"/>
          <w:color w:val="000000" w:themeColor="text1"/>
          <w:spacing w:val="-1"/>
          <w:sz w:val="16"/>
          <w:szCs w:val="16"/>
          <w:lang w:val="en-US" w:eastAsia="en-US"/>
        </w:rPr>
      </w:pPr>
      <w:r w:rsidRPr="00BC1E0C">
        <w:rPr>
          <w:rFonts w:asciiTheme="minorHAnsi" w:eastAsiaTheme="minorHAnsi" w:hAnsiTheme="minorHAnsi"/>
          <w:color w:val="000000" w:themeColor="text1"/>
          <w:spacing w:val="-1"/>
          <w:sz w:val="16"/>
          <w:szCs w:val="16"/>
          <w:lang w:val="en-US" w:eastAsia="en-US"/>
        </w:rPr>
        <w:t>Immunoglobulins in the treatment of COVID-19 infection: Proceed with caution! </w:t>
      </w:r>
    </w:p>
    <w:p w:rsidR="008F6FFE" w:rsidRPr="00BC1E0C" w:rsidRDefault="008F6FFE" w:rsidP="00BC1E0C">
      <w:pPr>
        <w:rPr>
          <w:rFonts w:asciiTheme="minorHAnsi" w:eastAsiaTheme="minorHAnsi" w:hAnsiTheme="minorHAnsi"/>
          <w:color w:val="000000" w:themeColor="text1"/>
          <w:spacing w:val="-1"/>
          <w:sz w:val="16"/>
          <w:szCs w:val="16"/>
          <w:lang w:val="en-US" w:eastAsia="en-US"/>
        </w:rPr>
      </w:pPr>
      <w:r w:rsidRPr="00BC1E0C">
        <w:rPr>
          <w:rFonts w:asciiTheme="minorHAnsi" w:eastAsiaTheme="minorHAnsi" w:hAnsiTheme="minorHAnsi"/>
          <w:color w:val="000000" w:themeColor="text1"/>
          <w:spacing w:val="-1"/>
          <w:sz w:val="16"/>
          <w:szCs w:val="16"/>
          <w:lang w:val="en-US" w:eastAsia="en-US"/>
        </w:rPr>
        <w:t>Clin Immunol. 2020;216:108459. doi:10.1016/j.clim.2020.108459</w:t>
      </w:r>
    </w:p>
    <w:p w:rsidR="008F6FFE" w:rsidRPr="00A86DCF" w:rsidRDefault="0052743C" w:rsidP="00A86DCF">
      <w:pPr>
        <w:rPr>
          <w:rFonts w:asciiTheme="minorHAnsi" w:eastAsiaTheme="minorHAnsi" w:hAnsiTheme="minorHAnsi"/>
          <w:color w:val="000000" w:themeColor="text1"/>
          <w:spacing w:val="-1"/>
          <w:sz w:val="16"/>
          <w:szCs w:val="16"/>
          <w:lang w:val="en-US" w:eastAsia="en-US"/>
        </w:rPr>
      </w:pPr>
      <w:hyperlink r:id="rId839" w:history="1">
        <w:r w:rsidR="008F6FFE" w:rsidRPr="00A86DCF">
          <w:rPr>
            <w:rFonts w:asciiTheme="minorHAnsi" w:eastAsiaTheme="minorHAnsi" w:hAnsiTheme="minorHAnsi"/>
            <w:color w:val="000000" w:themeColor="text1"/>
            <w:spacing w:val="-1"/>
            <w:sz w:val="16"/>
            <w:szCs w:val="16"/>
            <w:lang w:val="en-US" w:eastAsia="en-US"/>
          </w:rPr>
          <w:t>https://www.ncbi.nlm.nih.gov/pmc/articles/PMC7211658/</w:t>
        </w:r>
      </w:hyperlink>
    </w:p>
    <w:p w:rsidR="008F6FFE" w:rsidRPr="00A86DCF" w:rsidRDefault="008F6FFE" w:rsidP="00A86DCF">
      <w:pPr>
        <w:rPr>
          <w:rFonts w:asciiTheme="minorHAnsi" w:eastAsiaTheme="minorHAnsi" w:hAnsiTheme="minorHAnsi"/>
          <w:color w:val="000000" w:themeColor="text1"/>
          <w:spacing w:val="-1"/>
          <w:sz w:val="16"/>
          <w:szCs w:val="16"/>
          <w:lang w:val="en-US" w:eastAsia="en-US"/>
        </w:rPr>
      </w:pPr>
    </w:p>
  </w:footnote>
  <w:footnote w:id="109">
    <w:p w:rsidR="008F6FFE" w:rsidRPr="00235A16" w:rsidRDefault="008F6FFE" w:rsidP="00A86DCF">
      <w:pPr>
        <w:rPr>
          <w:rFonts w:asciiTheme="minorHAnsi" w:eastAsiaTheme="minorHAnsi" w:hAnsiTheme="minorHAnsi"/>
          <w:color w:val="000000" w:themeColor="text1"/>
          <w:spacing w:val="-1"/>
          <w:sz w:val="16"/>
          <w:szCs w:val="16"/>
          <w:lang w:val="de-DE" w:eastAsia="en-US"/>
        </w:rPr>
      </w:pPr>
      <w:r w:rsidRPr="00A86DCF">
        <w:rPr>
          <w:rFonts w:asciiTheme="minorHAnsi" w:eastAsiaTheme="minorHAnsi" w:hAnsiTheme="minorHAnsi"/>
          <w:color w:val="000000" w:themeColor="text1"/>
          <w:spacing w:val="-1"/>
          <w:sz w:val="16"/>
          <w:szCs w:val="16"/>
          <w:lang w:val="en-US" w:eastAsia="en-US"/>
        </w:rPr>
        <w:footnoteRef/>
      </w:r>
      <w:r w:rsidRPr="00235A16">
        <w:rPr>
          <w:rFonts w:asciiTheme="minorHAnsi" w:eastAsiaTheme="minorHAnsi" w:hAnsiTheme="minorHAnsi"/>
          <w:color w:val="000000" w:themeColor="text1"/>
          <w:spacing w:val="-1"/>
          <w:sz w:val="16"/>
          <w:szCs w:val="16"/>
          <w:lang w:val="de-DE" w:eastAsia="en-US"/>
        </w:rPr>
        <w:t xml:space="preserve"> Front Immunol. 2019 Jun 11;10:1090. doi: 10.3389/fimmu.2019.01090. </w:t>
      </w:r>
    </w:p>
    <w:p w:rsidR="008F6FFE" w:rsidRPr="00A86DCF" w:rsidRDefault="008F6FFE" w:rsidP="00A86DCF">
      <w:pPr>
        <w:rPr>
          <w:rFonts w:asciiTheme="minorHAnsi" w:eastAsiaTheme="minorHAnsi" w:hAnsiTheme="minorHAnsi"/>
          <w:color w:val="000000" w:themeColor="text1"/>
          <w:spacing w:val="-1"/>
          <w:sz w:val="16"/>
          <w:szCs w:val="16"/>
          <w:lang w:val="en-US" w:eastAsia="en-US"/>
        </w:rPr>
      </w:pPr>
      <w:r w:rsidRPr="00717D4D">
        <w:rPr>
          <w:rFonts w:asciiTheme="minorHAnsi" w:eastAsiaTheme="minorHAnsi" w:hAnsiTheme="minorHAnsi"/>
          <w:color w:val="000000" w:themeColor="text1"/>
          <w:spacing w:val="-1"/>
          <w:sz w:val="16"/>
          <w:szCs w:val="16"/>
          <w:lang w:val="en-US" w:eastAsia="en-US"/>
        </w:rPr>
        <w:t>High-Dose Intravenous Immunoglobulin in Skin Autoimmune Disease</w:t>
      </w:r>
    </w:p>
    <w:p w:rsidR="008F6FFE" w:rsidRPr="00235A16" w:rsidRDefault="008F6FFE" w:rsidP="00A86DCF">
      <w:pPr>
        <w:rPr>
          <w:rFonts w:asciiTheme="minorHAnsi" w:eastAsiaTheme="minorHAnsi" w:hAnsiTheme="minorHAnsi"/>
          <w:color w:val="000000" w:themeColor="text1"/>
          <w:spacing w:val="-1"/>
          <w:sz w:val="16"/>
          <w:szCs w:val="16"/>
          <w:lang w:val="de-DE" w:eastAsia="en-US"/>
        </w:rPr>
      </w:pPr>
      <w:r w:rsidRPr="00235A16">
        <w:rPr>
          <w:rFonts w:asciiTheme="minorHAnsi" w:eastAsiaTheme="minorHAnsi" w:hAnsiTheme="minorHAnsi"/>
          <w:color w:val="000000" w:themeColor="text1"/>
          <w:spacing w:val="-1"/>
          <w:sz w:val="16"/>
          <w:szCs w:val="16"/>
          <w:lang w:val="de-DE" w:eastAsia="en-US"/>
        </w:rPr>
        <w:t>Hoffmann JHO, Enk AH.</w:t>
      </w:r>
    </w:p>
    <w:p w:rsidR="008F6FFE" w:rsidRPr="00235A16" w:rsidRDefault="0052743C" w:rsidP="00A86DCF">
      <w:pPr>
        <w:rPr>
          <w:rFonts w:asciiTheme="minorHAnsi" w:hAnsiTheme="minorHAnsi"/>
          <w:sz w:val="16"/>
          <w:szCs w:val="16"/>
          <w:lang w:val="de-DE"/>
        </w:rPr>
      </w:pPr>
      <w:hyperlink r:id="rId840" w:history="1">
        <w:r w:rsidR="008F6FFE" w:rsidRPr="00235A16">
          <w:rPr>
            <w:rFonts w:asciiTheme="minorHAnsi" w:eastAsiaTheme="minorHAnsi" w:hAnsiTheme="minorHAnsi"/>
            <w:color w:val="000000" w:themeColor="text1"/>
            <w:spacing w:val="-1"/>
            <w:sz w:val="16"/>
            <w:szCs w:val="16"/>
            <w:lang w:val="de-DE" w:eastAsia="en-US"/>
          </w:rPr>
          <w:t>https://www.ncbi.nlm.nih.gov/pmc/articles/PMC6579842/</w:t>
        </w:r>
      </w:hyperlink>
    </w:p>
  </w:footnote>
  <w:footnote w:id="110">
    <w:p w:rsidR="008F6FFE" w:rsidRPr="00717D4D"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vertAlign w:val="superscript"/>
          <w:lang w:val="en-US"/>
        </w:rPr>
        <w:footnoteRef/>
      </w:r>
      <w:r w:rsidRPr="00AA3C97">
        <w:rPr>
          <w:rFonts w:asciiTheme="minorHAnsi" w:hAnsiTheme="minorHAnsi" w:cstheme="minorHAnsi"/>
          <w:color w:val="000000" w:themeColor="text1"/>
          <w:sz w:val="16"/>
          <w:szCs w:val="16"/>
          <w:vertAlign w:val="superscript"/>
          <w:lang w:val="en-US"/>
        </w:rPr>
        <w:t xml:space="preserve"> </w:t>
      </w:r>
      <w:r w:rsidRPr="00717D4D">
        <w:rPr>
          <w:rFonts w:asciiTheme="minorHAnsi" w:hAnsiTheme="minorHAnsi" w:cstheme="minorHAnsi"/>
          <w:color w:val="000000" w:themeColor="text1"/>
          <w:sz w:val="16"/>
          <w:szCs w:val="16"/>
          <w:lang w:val="en-US"/>
        </w:rPr>
        <w:t>Nat Rev Immunol 2013 Mar;13(3):176-89.  doi: 10.1038/nri3401. Epub 2013 Feb 15.</w:t>
      </w:r>
    </w:p>
    <w:p w:rsidR="008F6FFE" w:rsidRPr="00717D4D" w:rsidRDefault="008F6FFE" w:rsidP="00872820">
      <w:pPr>
        <w:pStyle w:val="Heading1"/>
        <w:shd w:val="clear" w:color="auto" w:fill="FFFFFF"/>
        <w:spacing w:before="0"/>
        <w:rPr>
          <w:rFonts w:asciiTheme="minorHAnsi" w:eastAsia="Times New Roman" w:hAnsiTheme="minorHAnsi" w:cstheme="minorHAnsi"/>
          <w:color w:val="000000" w:themeColor="text1"/>
          <w:sz w:val="16"/>
          <w:szCs w:val="16"/>
          <w:lang w:val="en-US"/>
        </w:rPr>
      </w:pPr>
      <w:r w:rsidRPr="00717D4D">
        <w:rPr>
          <w:rFonts w:asciiTheme="minorHAnsi" w:eastAsia="Times New Roman" w:hAnsiTheme="minorHAnsi" w:cstheme="minorHAnsi"/>
          <w:color w:val="000000" w:themeColor="text1"/>
          <w:sz w:val="16"/>
          <w:szCs w:val="16"/>
          <w:lang w:val="en-US"/>
        </w:rPr>
        <w:t>Intravenous Immunoglobulin Therapy: How Does IgG Modulate the Immune System?</w:t>
      </w:r>
    </w:p>
    <w:p w:rsidR="008F6FFE" w:rsidRPr="00235A16" w:rsidRDefault="0052743C" w:rsidP="00872820">
      <w:pPr>
        <w:shd w:val="clear" w:color="auto" w:fill="FFFFFF"/>
        <w:rPr>
          <w:rFonts w:asciiTheme="minorHAnsi" w:hAnsiTheme="minorHAnsi" w:cstheme="minorHAnsi"/>
          <w:color w:val="000000" w:themeColor="text1"/>
          <w:sz w:val="16"/>
          <w:szCs w:val="16"/>
          <w:lang w:val="de-DE"/>
        </w:rPr>
      </w:pPr>
      <w:hyperlink r:id="rId841" w:history="1">
        <w:r w:rsidR="008F6FFE" w:rsidRPr="00235A16">
          <w:rPr>
            <w:rFonts w:asciiTheme="minorHAnsi" w:hAnsiTheme="minorHAnsi" w:cstheme="minorHAnsi"/>
            <w:color w:val="000000" w:themeColor="text1"/>
            <w:sz w:val="16"/>
            <w:szCs w:val="16"/>
            <w:lang w:val="de-DE"/>
          </w:rPr>
          <w:t>Inessa Schwab</w:t>
        </w:r>
      </w:hyperlink>
      <w:r w:rsidR="008F6FFE" w:rsidRPr="00235A16">
        <w:rPr>
          <w:rFonts w:asciiTheme="minorHAnsi" w:hAnsiTheme="minorHAnsi" w:cstheme="minorHAnsi"/>
          <w:color w:val="000000" w:themeColor="text1"/>
          <w:sz w:val="16"/>
          <w:szCs w:val="16"/>
          <w:lang w:val="de-DE"/>
        </w:rPr>
        <w:t> </w:t>
      </w:r>
      <w:hyperlink r:id="rId842" w:anchor="affiliation-1" w:history="1">
        <w:r w:rsidR="008F6FFE" w:rsidRPr="00235A16">
          <w:rPr>
            <w:rFonts w:asciiTheme="minorHAnsi" w:hAnsiTheme="minorHAnsi" w:cstheme="minorHAnsi"/>
            <w:color w:val="000000" w:themeColor="text1"/>
            <w:sz w:val="16"/>
            <w:szCs w:val="16"/>
            <w:lang w:val="de-DE"/>
          </w:rPr>
          <w:t>1</w:t>
        </w:r>
      </w:hyperlink>
      <w:r w:rsidR="008F6FFE" w:rsidRPr="00235A16">
        <w:rPr>
          <w:rFonts w:asciiTheme="minorHAnsi" w:hAnsiTheme="minorHAnsi" w:cstheme="minorHAnsi"/>
          <w:color w:val="000000" w:themeColor="text1"/>
          <w:sz w:val="16"/>
          <w:szCs w:val="16"/>
          <w:lang w:val="de-DE"/>
        </w:rPr>
        <w:t>, </w:t>
      </w:r>
      <w:hyperlink r:id="rId843" w:history="1">
        <w:r w:rsidR="008F6FFE" w:rsidRPr="00235A16">
          <w:rPr>
            <w:rFonts w:asciiTheme="minorHAnsi" w:hAnsiTheme="minorHAnsi" w:cstheme="minorHAnsi"/>
            <w:color w:val="000000" w:themeColor="text1"/>
            <w:sz w:val="16"/>
            <w:szCs w:val="16"/>
            <w:lang w:val="de-DE"/>
          </w:rPr>
          <w:t>Falk Nimmerjahn</w:t>
        </w:r>
      </w:hyperlink>
    </w:p>
    <w:p w:rsidR="008F6FFE" w:rsidRPr="00235A16" w:rsidRDefault="008F6FFE" w:rsidP="00872820">
      <w:pPr>
        <w:shd w:val="clear" w:color="auto" w:fill="FFFFFF"/>
        <w:rPr>
          <w:rFonts w:asciiTheme="minorHAnsi" w:hAnsiTheme="minorHAnsi" w:cstheme="minorHAnsi"/>
          <w:color w:val="000000" w:themeColor="text1"/>
          <w:sz w:val="16"/>
          <w:szCs w:val="16"/>
          <w:lang w:val="de-DE"/>
        </w:rPr>
      </w:pPr>
    </w:p>
    <w:p w:rsidR="008F6FFE" w:rsidRPr="00235A16" w:rsidRDefault="008F6FFE" w:rsidP="00872820">
      <w:pPr>
        <w:shd w:val="clear" w:color="auto" w:fill="FFFFFF"/>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 xml:space="preserve">Rojas M, et al. </w:t>
      </w: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 xml:space="preserve">Convalescent plasma in Covid-19: Possible mechanisms of action </w:t>
      </w:r>
    </w:p>
    <w:p w:rsidR="008F6FFE" w:rsidRPr="00AA3C97"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Autoimmun Rev. 2020;102554. doi:10.1016/j.autrev.2020.102554</w:t>
      </w:r>
    </w:p>
    <w:p w:rsidR="008F6FFE" w:rsidRPr="00A86DCF" w:rsidRDefault="0052743C" w:rsidP="00872820">
      <w:pPr>
        <w:shd w:val="clear" w:color="auto" w:fill="FFFFFF"/>
        <w:rPr>
          <w:rFonts w:asciiTheme="minorHAnsi" w:hAnsiTheme="minorHAnsi" w:cstheme="minorHAnsi"/>
          <w:color w:val="000000" w:themeColor="text1"/>
          <w:sz w:val="16"/>
          <w:szCs w:val="16"/>
          <w:lang w:val="en-US"/>
        </w:rPr>
      </w:pPr>
      <w:hyperlink r:id="rId844" w:history="1">
        <w:r w:rsidR="008F6FFE" w:rsidRPr="00A86DCF">
          <w:rPr>
            <w:rFonts w:asciiTheme="minorHAnsi" w:hAnsiTheme="minorHAnsi" w:cstheme="minorHAnsi"/>
            <w:color w:val="000000" w:themeColor="text1"/>
            <w:sz w:val="16"/>
            <w:szCs w:val="16"/>
            <w:lang w:val="en-US"/>
          </w:rPr>
          <w:t>https://www.ncbi.nlm.nih.gov/pmc/articles/PMC7198427/</w:t>
        </w:r>
      </w:hyperlink>
    </w:p>
    <w:p w:rsidR="008F6FFE" w:rsidRPr="00AA3C97" w:rsidRDefault="008F6FFE" w:rsidP="00872820">
      <w:pPr>
        <w:shd w:val="clear" w:color="auto" w:fill="FFFFFF"/>
        <w:rPr>
          <w:rFonts w:asciiTheme="minorHAnsi" w:hAnsiTheme="minorHAnsi" w:cstheme="minorHAnsi"/>
          <w:color w:val="000000" w:themeColor="text1"/>
          <w:sz w:val="16"/>
          <w:szCs w:val="16"/>
          <w:lang w:val="en-US"/>
        </w:rPr>
      </w:pP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 xml:space="preserve">Fischer JC, et al. </w:t>
      </w: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The role of passive immunization in the age of SARS-CoV-2: an update.</w:t>
      </w:r>
    </w:p>
    <w:p w:rsidR="008F6FFE" w:rsidRPr="00AA3C97"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Eur J Med Res. 2020;25(1):16. doi:10.1186/s40001-020-00414-5</w:t>
      </w:r>
    </w:p>
    <w:p w:rsidR="008F6FFE" w:rsidRPr="00A86DCF" w:rsidRDefault="0052743C" w:rsidP="00872820">
      <w:pPr>
        <w:shd w:val="clear" w:color="auto" w:fill="FFFFFF"/>
        <w:rPr>
          <w:rFonts w:asciiTheme="minorHAnsi" w:hAnsiTheme="minorHAnsi" w:cstheme="minorHAnsi"/>
          <w:color w:val="000000" w:themeColor="text1"/>
          <w:sz w:val="16"/>
          <w:szCs w:val="16"/>
          <w:lang w:val="en-US"/>
        </w:rPr>
      </w:pPr>
      <w:hyperlink r:id="rId845" w:history="1">
        <w:r w:rsidR="008F6FFE" w:rsidRPr="00A86DCF">
          <w:rPr>
            <w:rFonts w:asciiTheme="minorHAnsi" w:hAnsiTheme="minorHAnsi" w:cstheme="minorHAnsi"/>
            <w:color w:val="000000" w:themeColor="text1"/>
            <w:sz w:val="16"/>
            <w:szCs w:val="16"/>
            <w:lang w:val="en-US"/>
          </w:rPr>
          <w:t>https://www.ncbi.nlm.nih.gov/pmc/articles/PMC7220618/</w:t>
        </w:r>
      </w:hyperlink>
    </w:p>
    <w:p w:rsidR="008F6FFE" w:rsidRPr="00A86DCF" w:rsidRDefault="008F6FFE" w:rsidP="00872820">
      <w:pPr>
        <w:shd w:val="clear" w:color="auto" w:fill="FFFFFF"/>
        <w:rPr>
          <w:rFonts w:asciiTheme="minorHAnsi" w:hAnsiTheme="minorHAnsi" w:cstheme="minorHAnsi"/>
          <w:color w:val="000000" w:themeColor="text1"/>
          <w:sz w:val="16"/>
          <w:szCs w:val="16"/>
          <w:lang w:val="en-US"/>
        </w:rPr>
      </w:pP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 xml:space="preserve">Brown BL, McCullough J. </w:t>
      </w: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Treatment for emerging viruses: Convalescent plasma and COVID-19. </w:t>
      </w:r>
    </w:p>
    <w:p w:rsidR="008F6FFE" w:rsidRPr="00AA3C97"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Transfus Apher Sci. 2020;102790. doi:10.1016/j.transci.2020.102790</w:t>
      </w:r>
    </w:p>
    <w:p w:rsidR="008F6FFE" w:rsidRPr="00A86DCF" w:rsidRDefault="0052743C" w:rsidP="00872820">
      <w:pPr>
        <w:shd w:val="clear" w:color="auto" w:fill="FFFFFF"/>
        <w:rPr>
          <w:rFonts w:asciiTheme="minorHAnsi" w:hAnsiTheme="minorHAnsi" w:cstheme="minorHAnsi"/>
          <w:color w:val="000000" w:themeColor="text1"/>
          <w:sz w:val="16"/>
          <w:szCs w:val="16"/>
          <w:lang w:val="en-US"/>
        </w:rPr>
      </w:pPr>
      <w:hyperlink r:id="rId846" w:history="1">
        <w:r w:rsidR="008F6FFE" w:rsidRPr="00A86DCF">
          <w:rPr>
            <w:rFonts w:asciiTheme="minorHAnsi" w:hAnsiTheme="minorHAnsi" w:cstheme="minorHAnsi"/>
            <w:color w:val="000000" w:themeColor="text1"/>
            <w:sz w:val="16"/>
            <w:szCs w:val="16"/>
            <w:lang w:val="en-US"/>
          </w:rPr>
          <w:t>https://www.ncbi.nlm.nih.gov/pmc/articles/PMC7194745/</w:t>
        </w:r>
      </w:hyperlink>
    </w:p>
    <w:p w:rsidR="008F6FFE" w:rsidRDefault="008F6FFE" w:rsidP="00872820">
      <w:pPr>
        <w:shd w:val="clear" w:color="auto" w:fill="FFFFFF"/>
        <w:rPr>
          <w:rFonts w:asciiTheme="minorHAnsi" w:hAnsiTheme="minorHAnsi" w:cstheme="minorHAnsi"/>
          <w:color w:val="000000" w:themeColor="text1"/>
          <w:sz w:val="16"/>
          <w:szCs w:val="16"/>
          <w:lang w:val="en-US"/>
        </w:rPr>
      </w:pP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 xml:space="preserve">Bloch EM, et al. </w:t>
      </w: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Deployment of convalescent plasma for the prevention and treatment of COVID-19. </w:t>
      </w:r>
    </w:p>
    <w:p w:rsidR="008F6FFE" w:rsidRPr="00AA3C97"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J Clin Invest. 2020;130(6):2757‐2765. doi:10.1172/JCI138745</w:t>
      </w:r>
    </w:p>
    <w:p w:rsidR="008F6FFE" w:rsidRPr="00A86DCF" w:rsidRDefault="0052743C" w:rsidP="00872820">
      <w:pPr>
        <w:shd w:val="clear" w:color="auto" w:fill="FFFFFF"/>
        <w:rPr>
          <w:rFonts w:asciiTheme="minorHAnsi" w:hAnsiTheme="minorHAnsi" w:cstheme="minorHAnsi"/>
          <w:color w:val="000000" w:themeColor="text1"/>
          <w:sz w:val="16"/>
          <w:szCs w:val="16"/>
          <w:lang w:val="en-US"/>
        </w:rPr>
      </w:pPr>
      <w:hyperlink r:id="rId847" w:history="1">
        <w:r w:rsidR="008F6FFE" w:rsidRPr="00A86DCF">
          <w:rPr>
            <w:rFonts w:asciiTheme="minorHAnsi" w:hAnsiTheme="minorHAnsi" w:cstheme="minorHAnsi"/>
            <w:color w:val="000000" w:themeColor="text1"/>
            <w:sz w:val="16"/>
            <w:szCs w:val="16"/>
            <w:lang w:val="en-US"/>
          </w:rPr>
          <w:t>https://www.jci.org/articles/view/138745</w:t>
        </w:r>
      </w:hyperlink>
    </w:p>
    <w:p w:rsidR="008F6FFE" w:rsidRPr="00AA3C97" w:rsidRDefault="008F6FFE" w:rsidP="00872820">
      <w:pPr>
        <w:shd w:val="clear" w:color="auto" w:fill="FFFFFF"/>
        <w:rPr>
          <w:rFonts w:asciiTheme="minorHAnsi" w:hAnsiTheme="minorHAnsi" w:cstheme="minorHAnsi"/>
          <w:color w:val="000000" w:themeColor="text1"/>
          <w:sz w:val="16"/>
          <w:szCs w:val="16"/>
          <w:lang w:val="en-US"/>
        </w:rPr>
      </w:pP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 xml:space="preserve">Sullivan HC, Roback JD. </w:t>
      </w: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 xml:space="preserve">Convalescent Plasma: Therapeutic Hope or Hopeless Strategy in the SARS-CoV-2 Pandemic </w:t>
      </w:r>
    </w:p>
    <w:p w:rsidR="008F6FFE" w:rsidRPr="00AA3C97"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Transfus Med Rev. 2020;S0887-7963(20)30025-0. doi:10.1016/j.tmrv.2020.04.001</w:t>
      </w:r>
    </w:p>
    <w:p w:rsidR="008F6FFE" w:rsidRPr="00A86DCF" w:rsidRDefault="0052743C" w:rsidP="00872820">
      <w:pPr>
        <w:shd w:val="clear" w:color="auto" w:fill="FFFFFF"/>
        <w:rPr>
          <w:rFonts w:asciiTheme="minorHAnsi" w:hAnsiTheme="minorHAnsi" w:cstheme="minorHAnsi"/>
          <w:color w:val="000000" w:themeColor="text1"/>
          <w:sz w:val="16"/>
          <w:szCs w:val="16"/>
          <w:lang w:val="en-US"/>
        </w:rPr>
      </w:pPr>
      <w:hyperlink r:id="rId848" w:history="1">
        <w:r w:rsidR="008F6FFE" w:rsidRPr="00A86DCF">
          <w:rPr>
            <w:rFonts w:asciiTheme="minorHAnsi" w:hAnsiTheme="minorHAnsi" w:cstheme="minorHAnsi"/>
            <w:color w:val="000000" w:themeColor="text1"/>
            <w:sz w:val="16"/>
            <w:szCs w:val="16"/>
            <w:lang w:val="en-US"/>
          </w:rPr>
          <w:t>https://www.ncbi.nlm.nih.gov/pmc/articles/PMC7179481/</w:t>
        </w:r>
      </w:hyperlink>
    </w:p>
    <w:p w:rsidR="008F6FFE" w:rsidRPr="00AA3C97" w:rsidRDefault="008F6FFE" w:rsidP="00872820">
      <w:pPr>
        <w:shd w:val="clear" w:color="auto" w:fill="FFFFFF"/>
        <w:rPr>
          <w:rFonts w:asciiTheme="minorHAnsi" w:hAnsiTheme="minorHAnsi" w:cstheme="minorHAnsi"/>
          <w:color w:val="000000" w:themeColor="text1"/>
          <w:sz w:val="16"/>
          <w:szCs w:val="16"/>
          <w:lang w:val="en-US"/>
        </w:rPr>
      </w:pP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 xml:space="preserve">Knudson CM, Jackson JB. </w:t>
      </w: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COVID-19 convalescent plasma: phase 2. </w:t>
      </w:r>
    </w:p>
    <w:p w:rsidR="008F6FFE"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Transfusion. 2020;10.1111/trf.15842. doi:10.1111/trf.15842</w:t>
      </w:r>
    </w:p>
    <w:p w:rsidR="008F6FFE" w:rsidRDefault="0052743C" w:rsidP="00872820">
      <w:pPr>
        <w:shd w:val="clear" w:color="auto" w:fill="FFFFFF"/>
        <w:rPr>
          <w:rFonts w:asciiTheme="minorHAnsi" w:hAnsiTheme="minorHAnsi" w:cstheme="minorHAnsi"/>
          <w:color w:val="000000" w:themeColor="text1"/>
          <w:sz w:val="16"/>
          <w:szCs w:val="16"/>
          <w:lang w:val="en-US"/>
        </w:rPr>
      </w:pPr>
      <w:hyperlink r:id="rId849" w:history="1">
        <w:r w:rsidR="008F6FFE" w:rsidRPr="00A86DCF">
          <w:rPr>
            <w:rFonts w:asciiTheme="minorHAnsi" w:hAnsiTheme="minorHAnsi" w:cstheme="minorHAnsi"/>
            <w:color w:val="000000" w:themeColor="text1"/>
            <w:sz w:val="16"/>
            <w:szCs w:val="16"/>
            <w:lang w:val="en-US"/>
          </w:rPr>
          <w:t>https://www.ncbi.nlm.nih.gov/pmc/articles/PMC7267265/</w:t>
        </w:r>
      </w:hyperlink>
    </w:p>
    <w:p w:rsidR="008F6FFE" w:rsidRDefault="008F6FFE" w:rsidP="00872820">
      <w:pPr>
        <w:shd w:val="clear" w:color="auto" w:fill="FFFFFF"/>
        <w:rPr>
          <w:rFonts w:asciiTheme="minorHAnsi" w:hAnsiTheme="minorHAnsi" w:cstheme="minorHAnsi"/>
          <w:color w:val="000000" w:themeColor="text1"/>
          <w:sz w:val="16"/>
          <w:szCs w:val="16"/>
          <w:lang w:val="en-US"/>
        </w:rPr>
      </w:pPr>
    </w:p>
    <w:p w:rsidR="008F6FFE" w:rsidRPr="00AA3C97"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 xml:space="preserve">de Alwis R, Chen S, Gan ES, Ooi EE. </w:t>
      </w:r>
    </w:p>
    <w:p w:rsidR="008F6FFE" w:rsidRPr="00AA3C97" w:rsidRDefault="008F6FFE" w:rsidP="00872820">
      <w:pPr>
        <w:shd w:val="clear" w:color="auto" w:fill="FFFFFF"/>
        <w:rPr>
          <w:rFonts w:asciiTheme="minorHAnsi" w:hAnsiTheme="minorHAnsi" w:cstheme="minorHAnsi"/>
          <w:color w:val="000000" w:themeColor="text1"/>
          <w:sz w:val="16"/>
          <w:szCs w:val="16"/>
          <w:lang w:val="en-US"/>
        </w:rPr>
      </w:pPr>
      <w:r w:rsidRPr="00AA3C97">
        <w:rPr>
          <w:rFonts w:asciiTheme="minorHAnsi" w:hAnsiTheme="minorHAnsi" w:cstheme="minorHAnsi"/>
          <w:color w:val="000000" w:themeColor="text1"/>
          <w:sz w:val="16"/>
          <w:szCs w:val="16"/>
          <w:lang w:val="en-US"/>
        </w:rPr>
        <w:t>Impact of immune enhancement on Covid-19 polyclonal hyperimmune globulin therapy and vaccine development. </w:t>
      </w:r>
    </w:p>
    <w:p w:rsidR="008F6FFE" w:rsidRPr="00A078ED" w:rsidRDefault="008F6FFE" w:rsidP="00872820">
      <w:pPr>
        <w:shd w:val="clear" w:color="auto" w:fill="FFFFFF"/>
        <w:rPr>
          <w:rFonts w:asciiTheme="minorHAnsi" w:hAnsiTheme="minorHAnsi" w:cstheme="minorHAnsi"/>
          <w:color w:val="000000" w:themeColor="text1"/>
          <w:sz w:val="16"/>
          <w:szCs w:val="16"/>
        </w:rPr>
      </w:pPr>
      <w:r w:rsidRPr="00A078ED">
        <w:rPr>
          <w:rFonts w:asciiTheme="minorHAnsi" w:hAnsiTheme="minorHAnsi" w:cstheme="minorHAnsi"/>
          <w:color w:val="000000" w:themeColor="text1"/>
          <w:sz w:val="16"/>
          <w:szCs w:val="16"/>
        </w:rPr>
        <w:t>EBioMedicine. 2020;55:102768. doi:10.1016/j.ebiom.2020.102768</w:t>
      </w:r>
    </w:p>
    <w:p w:rsidR="008F6FFE" w:rsidRPr="00A078ED" w:rsidRDefault="0052743C" w:rsidP="00872820">
      <w:pPr>
        <w:shd w:val="clear" w:color="auto" w:fill="FFFFFF"/>
        <w:rPr>
          <w:rFonts w:asciiTheme="minorHAnsi" w:hAnsiTheme="minorHAnsi" w:cstheme="minorHAnsi"/>
          <w:color w:val="000000" w:themeColor="text1"/>
          <w:sz w:val="16"/>
          <w:szCs w:val="16"/>
        </w:rPr>
      </w:pPr>
      <w:hyperlink r:id="rId850" w:history="1">
        <w:r w:rsidR="008F6FFE" w:rsidRPr="00A078ED">
          <w:rPr>
            <w:rFonts w:asciiTheme="minorHAnsi" w:hAnsiTheme="minorHAnsi" w:cstheme="minorHAnsi"/>
            <w:color w:val="000000" w:themeColor="text1"/>
            <w:sz w:val="16"/>
            <w:szCs w:val="16"/>
          </w:rPr>
          <w:t>https://www.ncbi.nlm.nih.gov/pmc/articles/PMC7161485/</w:t>
        </w:r>
      </w:hyperlink>
    </w:p>
    <w:p w:rsidR="008F6FFE" w:rsidRPr="00A078ED" w:rsidRDefault="008F6FFE" w:rsidP="00872820">
      <w:pPr>
        <w:pStyle w:val="FootnoteText"/>
        <w:rPr>
          <w:rFonts w:asciiTheme="minorHAnsi" w:hAnsiTheme="minorHAnsi" w:cstheme="minorHAnsi"/>
          <w:sz w:val="16"/>
          <w:szCs w:val="16"/>
        </w:rPr>
      </w:pPr>
    </w:p>
  </w:footnote>
  <w:footnote w:id="111">
    <w:p w:rsidR="008F6FFE" w:rsidRPr="00717D4D" w:rsidRDefault="008F6FFE" w:rsidP="00717D4D">
      <w:pPr>
        <w:shd w:val="clear" w:color="auto" w:fill="FFFFFF"/>
        <w:jc w:val="both"/>
        <w:rPr>
          <w:rFonts w:asciiTheme="minorHAnsi" w:hAnsiTheme="minorHAnsi" w:cstheme="minorHAnsi"/>
          <w:color w:val="000000" w:themeColor="text1"/>
          <w:sz w:val="16"/>
          <w:szCs w:val="16"/>
          <w:lang w:val="en-US"/>
        </w:rPr>
      </w:pPr>
      <w:r w:rsidRPr="00717D4D">
        <w:rPr>
          <w:rStyle w:val="FootnoteReference"/>
          <w:rFonts w:asciiTheme="minorHAnsi" w:hAnsiTheme="minorHAnsi" w:cstheme="maj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theme="minorHAnsi"/>
          <w:color w:val="000000" w:themeColor="text1"/>
          <w:sz w:val="16"/>
          <w:szCs w:val="16"/>
          <w:lang w:val="en-US"/>
        </w:rPr>
        <w:t>Med Microbiol Immunol 2014 Aug;203(4):231-50. doi: 10.1007/s00430-014-0334-5. </w:t>
      </w:r>
    </w:p>
    <w:p w:rsidR="008F6FFE" w:rsidRPr="00717D4D" w:rsidRDefault="008F6FFE" w:rsidP="00717D4D">
      <w:pPr>
        <w:shd w:val="clear" w:color="auto" w:fill="FFFFFF"/>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Subversion of Early Innate Antiviral Responses During Antibody-Dependent Enhancement of Dengue Virus Infection Induces Severe Disease in Immunocompetent Mice</w:t>
      </w:r>
    </w:p>
    <w:p w:rsidR="008F6FFE" w:rsidRPr="00717D4D" w:rsidRDefault="0052743C" w:rsidP="00717D4D">
      <w:pPr>
        <w:shd w:val="clear" w:color="auto" w:fill="FFFFFF"/>
        <w:jc w:val="both"/>
        <w:rPr>
          <w:rFonts w:asciiTheme="minorHAnsi" w:hAnsiTheme="minorHAnsi" w:cstheme="minorHAnsi"/>
          <w:color w:val="000000" w:themeColor="text1"/>
          <w:sz w:val="16"/>
          <w:szCs w:val="16"/>
        </w:rPr>
      </w:pPr>
      <w:hyperlink r:id="rId851" w:history="1">
        <w:r w:rsidR="008F6FFE" w:rsidRPr="00717D4D">
          <w:rPr>
            <w:rFonts w:asciiTheme="minorHAnsi" w:hAnsiTheme="minorHAnsi" w:cstheme="minorHAnsi"/>
            <w:color w:val="000000" w:themeColor="text1"/>
            <w:sz w:val="16"/>
            <w:szCs w:val="16"/>
          </w:rPr>
          <w:t>Vivian V Costa</w:t>
        </w:r>
      </w:hyperlink>
      <w:r w:rsidR="008F6FFE" w:rsidRPr="00717D4D">
        <w:rPr>
          <w:rFonts w:asciiTheme="minorHAnsi" w:hAnsiTheme="minorHAnsi" w:cstheme="minorHAnsi"/>
          <w:color w:val="000000" w:themeColor="text1"/>
          <w:sz w:val="16"/>
          <w:szCs w:val="16"/>
        </w:rPr>
        <w:t> </w:t>
      </w:r>
      <w:r w:rsidR="008F6FFE" w:rsidRPr="00717D4D">
        <w:rPr>
          <w:rFonts w:asciiTheme="minorHAnsi" w:hAnsiTheme="minorHAnsi"/>
          <w:sz w:val="16"/>
          <w:szCs w:val="16"/>
        </w:rPr>
        <w:t>et al</w:t>
      </w:r>
      <w:r w:rsidR="008F6FFE" w:rsidRPr="00717D4D">
        <w:rPr>
          <w:rFonts w:asciiTheme="minorHAnsi" w:hAnsiTheme="minorHAnsi" w:cstheme="minorHAnsi"/>
          <w:color w:val="000000" w:themeColor="text1"/>
          <w:sz w:val="16"/>
          <w:szCs w:val="16"/>
        </w:rPr>
        <w:t xml:space="preserve"> </w:t>
      </w:r>
    </w:p>
    <w:p w:rsidR="008F6FFE" w:rsidRPr="00A078ED" w:rsidRDefault="0052743C" w:rsidP="00A86DCF">
      <w:pPr>
        <w:rPr>
          <w:rFonts w:asciiTheme="minorHAnsi" w:hAnsiTheme="minorHAnsi" w:cstheme="minorHAnsi"/>
          <w:color w:val="000000" w:themeColor="text1"/>
          <w:sz w:val="16"/>
          <w:szCs w:val="16"/>
        </w:rPr>
      </w:pPr>
      <w:hyperlink r:id="rId852" w:history="1">
        <w:r w:rsidR="008F6FFE" w:rsidRPr="00A078ED">
          <w:rPr>
            <w:rFonts w:asciiTheme="minorHAnsi" w:hAnsiTheme="minorHAnsi" w:cstheme="minorHAnsi"/>
            <w:color w:val="000000" w:themeColor="text1"/>
            <w:sz w:val="16"/>
            <w:szCs w:val="16"/>
          </w:rPr>
          <w:t>https://link.springer.com/article/10.1007/s00430-014-0334-5</w:t>
        </w:r>
      </w:hyperlink>
    </w:p>
    <w:p w:rsidR="008F6FFE" w:rsidRPr="006442E5" w:rsidRDefault="008F6FFE" w:rsidP="00EF1785">
      <w:pPr>
        <w:shd w:val="clear" w:color="auto" w:fill="FFFFFF"/>
        <w:jc w:val="both"/>
        <w:rPr>
          <w:rFonts w:asciiTheme="minorHAnsi" w:hAnsiTheme="minorHAnsi" w:cstheme="minorHAnsi"/>
          <w:color w:val="000000" w:themeColor="text1"/>
          <w:sz w:val="16"/>
          <w:szCs w:val="16"/>
        </w:rPr>
      </w:pPr>
    </w:p>
  </w:footnote>
  <w:footnote w:id="112">
    <w:p w:rsidR="008F6FFE" w:rsidRPr="00A078ED" w:rsidRDefault="008F6FFE" w:rsidP="00EF1785">
      <w:pPr>
        <w:shd w:val="clear" w:color="auto" w:fill="FFFFFF"/>
        <w:jc w:val="both"/>
        <w:rPr>
          <w:rFonts w:asciiTheme="minorHAnsi" w:hAnsiTheme="minorHAnsi" w:cstheme="minorHAnsi"/>
          <w:color w:val="000000" w:themeColor="text1"/>
          <w:sz w:val="16"/>
          <w:szCs w:val="16"/>
          <w:lang w:val="en-US"/>
        </w:rPr>
      </w:pPr>
      <w:r w:rsidRPr="00EF1785">
        <w:rPr>
          <w:rFonts w:asciiTheme="minorHAnsi" w:hAnsiTheme="minorHAnsi" w:cstheme="minorHAnsi"/>
          <w:color w:val="000000" w:themeColor="text1"/>
          <w:sz w:val="16"/>
          <w:szCs w:val="16"/>
          <w:vertAlign w:val="superscript"/>
          <w:lang w:val="en-US"/>
        </w:rPr>
        <w:footnoteRef/>
      </w:r>
      <w:r w:rsidRPr="00A078ED">
        <w:rPr>
          <w:rFonts w:asciiTheme="minorHAnsi" w:hAnsiTheme="minorHAnsi" w:cstheme="minorHAnsi"/>
          <w:color w:val="000000" w:themeColor="text1"/>
          <w:sz w:val="16"/>
          <w:szCs w:val="16"/>
          <w:vertAlign w:val="superscript"/>
          <w:lang w:val="en-US"/>
        </w:rPr>
        <w:t xml:space="preserve"> </w:t>
      </w:r>
      <w:r w:rsidRPr="00A078ED">
        <w:rPr>
          <w:rFonts w:asciiTheme="minorHAnsi" w:hAnsiTheme="minorHAnsi" w:cstheme="minorHAnsi"/>
          <w:color w:val="000000" w:themeColor="text1"/>
          <w:sz w:val="16"/>
          <w:szCs w:val="16"/>
          <w:lang w:val="en-US"/>
        </w:rPr>
        <w:t xml:space="preserve">Shoenfeld Y. </w:t>
      </w:r>
    </w:p>
    <w:p w:rsidR="008F6FFE" w:rsidRPr="00EF1785" w:rsidRDefault="008F6FFE" w:rsidP="00EF1785">
      <w:pPr>
        <w:shd w:val="clear" w:color="auto" w:fill="FFFFFF"/>
        <w:jc w:val="both"/>
        <w:rPr>
          <w:rFonts w:asciiTheme="minorHAnsi" w:hAnsiTheme="minorHAnsi" w:cstheme="minorHAnsi"/>
          <w:color w:val="000000" w:themeColor="text1"/>
          <w:sz w:val="16"/>
          <w:szCs w:val="16"/>
          <w:lang w:val="en-US"/>
        </w:rPr>
      </w:pPr>
      <w:r w:rsidRPr="00EF1785">
        <w:rPr>
          <w:rFonts w:asciiTheme="minorHAnsi" w:hAnsiTheme="minorHAnsi" w:cstheme="minorHAnsi"/>
          <w:color w:val="000000" w:themeColor="text1"/>
          <w:sz w:val="16"/>
          <w:szCs w:val="16"/>
          <w:lang w:val="en-US"/>
        </w:rPr>
        <w:t>Corona (COVID-19) time musings: Our involvement in COVID-19 pathogenesis, diagnosis, treatment and vaccine planning. </w:t>
      </w:r>
    </w:p>
    <w:p w:rsidR="008F6FFE" w:rsidRPr="00EF1785" w:rsidRDefault="008F6FFE" w:rsidP="00EF1785">
      <w:pPr>
        <w:shd w:val="clear" w:color="auto" w:fill="FFFFFF"/>
        <w:jc w:val="both"/>
        <w:rPr>
          <w:rFonts w:asciiTheme="minorHAnsi" w:hAnsiTheme="minorHAnsi" w:cstheme="minorHAnsi"/>
          <w:color w:val="000000" w:themeColor="text1"/>
          <w:sz w:val="16"/>
          <w:szCs w:val="16"/>
          <w:lang w:val="en-US"/>
        </w:rPr>
      </w:pPr>
      <w:r w:rsidRPr="00EF1785">
        <w:rPr>
          <w:rFonts w:asciiTheme="minorHAnsi" w:hAnsiTheme="minorHAnsi" w:cstheme="minorHAnsi"/>
          <w:color w:val="000000" w:themeColor="text1"/>
          <w:sz w:val="16"/>
          <w:szCs w:val="16"/>
          <w:lang w:val="en-US"/>
        </w:rPr>
        <w:t>Autoimmun Rev. 2020;19(6):102538. doi:10.1016/j.autrev.2020.102538</w:t>
      </w:r>
    </w:p>
    <w:p w:rsidR="008F6FFE" w:rsidRPr="00A86DCF" w:rsidRDefault="0052743C" w:rsidP="00A86DCF">
      <w:pPr>
        <w:shd w:val="clear" w:color="auto" w:fill="FFFFFF"/>
        <w:jc w:val="both"/>
        <w:rPr>
          <w:rFonts w:asciiTheme="minorHAnsi" w:hAnsiTheme="minorHAnsi" w:cstheme="minorHAnsi"/>
          <w:color w:val="000000" w:themeColor="text1"/>
          <w:sz w:val="16"/>
          <w:szCs w:val="16"/>
          <w:lang w:val="en-US"/>
        </w:rPr>
      </w:pPr>
      <w:hyperlink r:id="rId853" w:history="1">
        <w:r w:rsidR="008F6FFE" w:rsidRPr="00A86DCF">
          <w:rPr>
            <w:rFonts w:asciiTheme="minorHAnsi" w:hAnsiTheme="minorHAnsi" w:cstheme="minorHAnsi"/>
            <w:color w:val="000000" w:themeColor="text1"/>
            <w:sz w:val="16"/>
            <w:szCs w:val="16"/>
            <w:lang w:val="en-US"/>
          </w:rPr>
          <w:t>https://www.ncbi.nlm.nih.gov/pmc/articles/PMC7131471/</w:t>
        </w:r>
      </w:hyperlink>
    </w:p>
    <w:p w:rsidR="008F6FFE" w:rsidRPr="00EF1785" w:rsidRDefault="008F6FFE">
      <w:pPr>
        <w:pStyle w:val="FootnoteText"/>
        <w:rPr>
          <w:rFonts w:asciiTheme="minorHAnsi" w:hAnsiTheme="minorHAnsi" w:cstheme="minorHAnsi"/>
          <w:sz w:val="16"/>
          <w:szCs w:val="16"/>
          <w:lang w:val="en-US"/>
        </w:rPr>
      </w:pPr>
    </w:p>
  </w:footnote>
  <w:footnote w:id="113">
    <w:p w:rsidR="008F6FFE" w:rsidRPr="00717D4D" w:rsidRDefault="008F6FFE" w:rsidP="00717D4D">
      <w:pPr>
        <w:rPr>
          <w:rFonts w:asciiTheme="minorHAnsi" w:hAnsiTheme="minorHAnsi" w:cstheme="minorHAnsi"/>
          <w:sz w:val="16"/>
          <w:szCs w:val="16"/>
        </w:rPr>
      </w:pPr>
      <w:r w:rsidRPr="00717D4D">
        <w:rPr>
          <w:rStyle w:val="FootnoteReference"/>
          <w:rFonts w:asciiTheme="minorHAnsi" w:hAnsiTheme="minorHAnsi" w:cstheme="minorHAnsi"/>
          <w:sz w:val="16"/>
          <w:szCs w:val="16"/>
        </w:rPr>
        <w:footnoteRef/>
      </w:r>
      <w:r w:rsidRPr="00717D4D">
        <w:rPr>
          <w:rFonts w:asciiTheme="minorHAnsi" w:hAnsiTheme="minorHAnsi" w:cstheme="minorHAnsi"/>
          <w:sz w:val="16"/>
          <w:szCs w:val="16"/>
        </w:rPr>
        <w:t xml:space="preserve"> </w:t>
      </w:r>
      <w:r w:rsidRPr="008B42D4">
        <w:rPr>
          <w:rFonts w:asciiTheme="minorHAnsi" w:hAnsiTheme="minorHAnsi" w:cstheme="minorHAnsi"/>
          <w:color w:val="C00000"/>
          <w:sz w:val="16"/>
          <w:szCs w:val="16"/>
        </w:rPr>
        <w:t>vedi letteratura allegata all’articolo riportata in apice nel testo tra parentesi quadre</w:t>
      </w:r>
    </w:p>
    <w:p w:rsidR="008F6FFE" w:rsidRPr="00717D4D" w:rsidRDefault="0052743C" w:rsidP="00717D4D">
      <w:pPr>
        <w:rPr>
          <w:rFonts w:asciiTheme="minorHAnsi" w:hAnsiTheme="minorHAnsi" w:cstheme="minorHAnsi"/>
          <w:color w:val="000000" w:themeColor="text1"/>
          <w:sz w:val="16"/>
          <w:szCs w:val="16"/>
          <w:lang w:val="en-US"/>
        </w:rPr>
      </w:pPr>
      <w:hyperlink r:id="rId854" w:tooltip="Clinical immunology (Orlando, Fla.)." w:history="1">
        <w:r w:rsidR="008F6FFE" w:rsidRPr="00717D4D">
          <w:rPr>
            <w:rStyle w:val="Hyperlink"/>
            <w:rFonts w:asciiTheme="minorHAnsi" w:eastAsiaTheme="majorEastAsia" w:hAnsiTheme="minorHAnsi" w:cstheme="minorHAnsi"/>
            <w:color w:val="000000" w:themeColor="text1"/>
            <w:sz w:val="16"/>
            <w:szCs w:val="16"/>
            <w:u w:val="none"/>
            <w:lang w:val="en-US"/>
          </w:rPr>
          <w:t>Clin Immunol.</w:t>
        </w:r>
      </w:hyperlink>
      <w:r w:rsidR="008F6FFE" w:rsidRPr="00717D4D">
        <w:rPr>
          <w:rFonts w:asciiTheme="minorHAnsi" w:hAnsiTheme="minorHAnsi" w:cstheme="minorHAnsi"/>
          <w:color w:val="000000" w:themeColor="text1"/>
          <w:sz w:val="16"/>
          <w:szCs w:val="16"/>
          <w:lang w:val="en-US"/>
        </w:rPr>
        <w:t xml:space="preserve"> 2020 Apr 27;215:108448. doi: 10.1016/j.clim.2020.108448. </w:t>
      </w:r>
    </w:p>
    <w:p w:rsidR="008F6FFE" w:rsidRPr="00717D4D" w:rsidRDefault="008F6FFE" w:rsidP="00717D4D">
      <w:pPr>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COVID-19: Immunology and treatment options.</w:t>
      </w:r>
    </w:p>
    <w:p w:rsidR="008F6FFE" w:rsidRPr="00235A16" w:rsidRDefault="0052743C" w:rsidP="00717D4D">
      <w:pPr>
        <w:rPr>
          <w:rFonts w:asciiTheme="minorHAnsi" w:hAnsiTheme="minorHAnsi" w:cstheme="minorHAnsi"/>
          <w:color w:val="000000" w:themeColor="text1"/>
          <w:sz w:val="16"/>
          <w:szCs w:val="16"/>
          <w:lang w:val="de-DE"/>
        </w:rPr>
      </w:pPr>
      <w:hyperlink r:id="rId855" w:history="1">
        <w:r w:rsidR="008F6FFE" w:rsidRPr="00235A16">
          <w:rPr>
            <w:rStyle w:val="Hyperlink"/>
            <w:rFonts w:asciiTheme="minorHAnsi" w:eastAsiaTheme="majorEastAsia" w:hAnsiTheme="minorHAnsi" w:cstheme="minorHAnsi"/>
            <w:color w:val="000000" w:themeColor="text1"/>
            <w:sz w:val="16"/>
            <w:szCs w:val="16"/>
            <w:u w:val="none"/>
            <w:lang w:val="de-DE"/>
          </w:rPr>
          <w:t>Felsenstein S</w:t>
        </w:r>
      </w:hyperlink>
      <w:r w:rsidR="008F6FFE" w:rsidRPr="00235A16">
        <w:rPr>
          <w:rFonts w:asciiTheme="minorHAnsi" w:hAnsiTheme="minorHAnsi" w:cstheme="minorHAnsi"/>
          <w:color w:val="000000" w:themeColor="text1"/>
          <w:sz w:val="16"/>
          <w:szCs w:val="16"/>
          <w:lang w:val="de-DE"/>
        </w:rPr>
        <w:t>1, </w:t>
      </w:r>
      <w:hyperlink r:id="rId856" w:history="1">
        <w:r w:rsidR="008F6FFE" w:rsidRPr="00235A16">
          <w:rPr>
            <w:rStyle w:val="Hyperlink"/>
            <w:rFonts w:asciiTheme="minorHAnsi" w:eastAsiaTheme="majorEastAsia" w:hAnsiTheme="minorHAnsi" w:cstheme="minorHAnsi"/>
            <w:color w:val="000000" w:themeColor="text1"/>
            <w:sz w:val="16"/>
            <w:szCs w:val="16"/>
            <w:u w:val="none"/>
            <w:lang w:val="de-DE"/>
          </w:rPr>
          <w:t>Herbert JA</w:t>
        </w:r>
      </w:hyperlink>
      <w:r w:rsidR="008F6FFE" w:rsidRPr="00235A16">
        <w:rPr>
          <w:rFonts w:asciiTheme="minorHAnsi" w:hAnsiTheme="minorHAnsi" w:cstheme="minorHAnsi"/>
          <w:color w:val="000000" w:themeColor="text1"/>
          <w:sz w:val="16"/>
          <w:szCs w:val="16"/>
          <w:lang w:val="de-DE"/>
        </w:rPr>
        <w:t>2, </w:t>
      </w:r>
      <w:hyperlink r:id="rId857" w:history="1">
        <w:r w:rsidR="008F6FFE" w:rsidRPr="00235A16">
          <w:rPr>
            <w:rStyle w:val="Hyperlink"/>
            <w:rFonts w:asciiTheme="minorHAnsi" w:eastAsiaTheme="majorEastAsia" w:hAnsiTheme="minorHAnsi" w:cstheme="minorHAnsi"/>
            <w:color w:val="000000" w:themeColor="text1"/>
            <w:sz w:val="16"/>
            <w:szCs w:val="16"/>
            <w:u w:val="none"/>
            <w:lang w:val="de-DE"/>
          </w:rPr>
          <w:t>McNamara PS</w:t>
        </w:r>
      </w:hyperlink>
      <w:r w:rsidR="008F6FFE" w:rsidRPr="00235A16">
        <w:rPr>
          <w:rFonts w:asciiTheme="minorHAnsi" w:hAnsiTheme="minorHAnsi" w:cstheme="minorHAnsi"/>
          <w:color w:val="000000" w:themeColor="text1"/>
          <w:sz w:val="16"/>
          <w:szCs w:val="16"/>
          <w:lang w:val="de-DE"/>
        </w:rPr>
        <w:t>2, </w:t>
      </w:r>
      <w:hyperlink r:id="rId858" w:history="1">
        <w:r w:rsidR="008F6FFE" w:rsidRPr="00235A16">
          <w:rPr>
            <w:rStyle w:val="Hyperlink"/>
            <w:rFonts w:asciiTheme="minorHAnsi" w:eastAsiaTheme="majorEastAsia" w:hAnsiTheme="minorHAnsi" w:cstheme="minorHAnsi"/>
            <w:color w:val="000000" w:themeColor="text1"/>
            <w:sz w:val="16"/>
            <w:szCs w:val="16"/>
            <w:u w:val="none"/>
            <w:lang w:val="de-DE"/>
          </w:rPr>
          <w:t>Hedrich CM</w:t>
        </w:r>
      </w:hyperlink>
      <w:r w:rsidR="008F6FFE" w:rsidRPr="00235A16">
        <w:rPr>
          <w:rFonts w:asciiTheme="minorHAnsi" w:hAnsiTheme="minorHAnsi" w:cstheme="minorHAnsi"/>
          <w:color w:val="000000" w:themeColor="text1"/>
          <w:sz w:val="16"/>
          <w:szCs w:val="16"/>
          <w:lang w:val="de-DE"/>
        </w:rPr>
        <w:t>3.</w:t>
      </w:r>
    </w:p>
    <w:p w:rsidR="008F6FFE" w:rsidRPr="00235A16" w:rsidRDefault="0052743C" w:rsidP="00717D4D">
      <w:pPr>
        <w:rPr>
          <w:rFonts w:asciiTheme="minorHAnsi" w:hAnsiTheme="minorHAnsi" w:cstheme="minorHAnsi"/>
          <w:color w:val="000000" w:themeColor="text1"/>
          <w:sz w:val="16"/>
          <w:szCs w:val="16"/>
          <w:lang w:val="de-DE"/>
        </w:rPr>
      </w:pPr>
      <w:hyperlink r:id="rId859" w:history="1">
        <w:r w:rsidR="008F6FFE" w:rsidRPr="00235A16">
          <w:rPr>
            <w:rFonts w:asciiTheme="minorHAnsi" w:hAnsiTheme="minorHAnsi" w:cstheme="minorHAnsi"/>
            <w:color w:val="000000" w:themeColor="text1"/>
            <w:sz w:val="16"/>
            <w:szCs w:val="16"/>
            <w:lang w:val="de-DE"/>
          </w:rPr>
          <w:t>https://www.ncbi.nlm.nih.gov/pmc/articles/PMC7185015/pdf/main.pdf</w:t>
        </w:r>
      </w:hyperlink>
    </w:p>
    <w:p w:rsidR="008F6FFE" w:rsidRPr="00235A16" w:rsidRDefault="008F6FFE" w:rsidP="00717D4D">
      <w:pPr>
        <w:pStyle w:val="FootnoteText"/>
        <w:rPr>
          <w:rFonts w:asciiTheme="minorHAnsi" w:hAnsiTheme="minorHAnsi"/>
          <w:sz w:val="16"/>
          <w:szCs w:val="16"/>
          <w:lang w:val="de-DE"/>
        </w:rPr>
      </w:pPr>
    </w:p>
  </w:footnote>
  <w:footnote w:id="114">
    <w:p w:rsidR="008F6FFE" w:rsidRPr="00717D4D" w:rsidRDefault="008F6FFE" w:rsidP="00717D4D">
      <w:pPr>
        <w:shd w:val="clear" w:color="auto" w:fill="FFFFFF"/>
        <w:rPr>
          <w:rStyle w:val="nowrap"/>
          <w:rFonts w:asciiTheme="minorHAnsi" w:hAnsiTheme="minorHAnsi" w:cstheme="minorHAnsi"/>
          <w:color w:val="000000"/>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cstheme="minorHAnsi"/>
          <w:sz w:val="16"/>
          <w:szCs w:val="16"/>
          <w:lang w:val="en-US"/>
        </w:rPr>
        <w:t xml:space="preserve"> </w:t>
      </w:r>
      <w:r w:rsidRPr="00717D4D">
        <w:rPr>
          <w:rStyle w:val="ref-journal"/>
          <w:rFonts w:asciiTheme="minorHAnsi" w:hAnsiTheme="minorHAnsi" w:cstheme="minorHAnsi"/>
          <w:color w:val="000000"/>
          <w:sz w:val="16"/>
          <w:szCs w:val="16"/>
          <w:lang w:val="en-US"/>
        </w:rPr>
        <w:t>J. Inf. Secur. </w:t>
      </w:r>
      <w:r w:rsidRPr="00717D4D">
        <w:rPr>
          <w:rStyle w:val="element-citation"/>
          <w:rFonts w:asciiTheme="minorHAnsi" w:hAnsiTheme="minorHAnsi" w:cstheme="minorHAnsi"/>
          <w:color w:val="000000"/>
          <w:sz w:val="16"/>
          <w:szCs w:val="16"/>
          <w:lang w:val="en-US"/>
        </w:rPr>
        <w:t>2015;</w:t>
      </w:r>
      <w:r w:rsidRPr="00717D4D">
        <w:rPr>
          <w:rStyle w:val="ref-vol"/>
          <w:rFonts w:asciiTheme="minorHAnsi" w:hAnsiTheme="minorHAnsi" w:cstheme="minorHAnsi"/>
          <w:color w:val="000000"/>
          <w:sz w:val="16"/>
          <w:szCs w:val="16"/>
          <w:lang w:val="en-US"/>
        </w:rPr>
        <w:t>71</w:t>
      </w:r>
      <w:r w:rsidRPr="00717D4D">
        <w:rPr>
          <w:rStyle w:val="element-citation"/>
          <w:rFonts w:asciiTheme="minorHAnsi" w:hAnsiTheme="minorHAnsi" w:cstheme="minorHAnsi"/>
          <w:color w:val="000000"/>
          <w:sz w:val="16"/>
          <w:szCs w:val="16"/>
          <w:lang w:val="en-US"/>
        </w:rPr>
        <w:t>(5):599–602. </w:t>
      </w:r>
    </w:p>
    <w:p w:rsidR="008F6FFE" w:rsidRPr="00717D4D" w:rsidRDefault="008F6FFE" w:rsidP="00717D4D">
      <w:pPr>
        <w:shd w:val="clear" w:color="auto" w:fill="FFFFFF"/>
        <w:rPr>
          <w:rFonts w:asciiTheme="minorHAnsi" w:hAnsiTheme="minorHAnsi" w:cstheme="minorHAnsi"/>
          <w:color w:val="000000"/>
          <w:sz w:val="16"/>
          <w:szCs w:val="16"/>
          <w:lang w:val="en-US"/>
        </w:rPr>
      </w:pPr>
      <w:r w:rsidRPr="00717D4D">
        <w:rPr>
          <w:rStyle w:val="element-citation"/>
          <w:rFonts w:asciiTheme="minorHAnsi" w:hAnsiTheme="minorHAnsi" w:cstheme="minorHAnsi"/>
          <w:color w:val="000000"/>
          <w:sz w:val="16"/>
          <w:szCs w:val="16"/>
          <w:lang w:val="en-US"/>
        </w:rPr>
        <w:t>Antibody against nucleocapsid protein predicts susceptibility to human coronavirus infection.</w:t>
      </w:r>
    </w:p>
    <w:p w:rsidR="008F6FFE" w:rsidRPr="00717D4D" w:rsidRDefault="008F6FFE" w:rsidP="00717D4D">
      <w:pPr>
        <w:shd w:val="clear" w:color="auto" w:fill="FFFFFF"/>
        <w:rPr>
          <w:rStyle w:val="element-citation"/>
          <w:rFonts w:asciiTheme="minorHAnsi" w:hAnsiTheme="minorHAnsi" w:cstheme="minorHAnsi"/>
          <w:color w:val="000000"/>
          <w:sz w:val="16"/>
          <w:szCs w:val="16"/>
          <w:lang w:val="en-US"/>
        </w:rPr>
      </w:pPr>
      <w:r w:rsidRPr="00717D4D">
        <w:rPr>
          <w:rStyle w:val="element-citation"/>
          <w:rFonts w:asciiTheme="minorHAnsi" w:hAnsiTheme="minorHAnsi" w:cstheme="minorHAnsi"/>
          <w:color w:val="000000"/>
          <w:sz w:val="16"/>
          <w:szCs w:val="16"/>
          <w:lang w:val="en-US"/>
        </w:rPr>
        <w:t xml:space="preserve">Gao X., Zhou H., Wu C., Xiao Y., Ren L., Paranhos-Baccala G.  </w:t>
      </w:r>
    </w:p>
    <w:p w:rsidR="008F6FFE" w:rsidRPr="008B42D4" w:rsidRDefault="0052743C" w:rsidP="008B42D4">
      <w:pPr>
        <w:shd w:val="clear" w:color="auto" w:fill="FFFFFF"/>
        <w:rPr>
          <w:rStyle w:val="element-citation"/>
          <w:rFonts w:asciiTheme="minorHAnsi" w:hAnsiTheme="minorHAnsi" w:cstheme="minorHAnsi"/>
          <w:color w:val="000000"/>
          <w:sz w:val="16"/>
          <w:szCs w:val="16"/>
          <w:lang w:val="en-US"/>
        </w:rPr>
      </w:pPr>
      <w:hyperlink r:id="rId860" w:history="1">
        <w:r w:rsidR="008F6FFE" w:rsidRPr="008B42D4">
          <w:rPr>
            <w:rStyle w:val="element-citation"/>
            <w:rFonts w:asciiTheme="minorHAnsi" w:hAnsiTheme="minorHAnsi" w:cstheme="minorHAnsi"/>
            <w:color w:val="000000"/>
            <w:sz w:val="16"/>
            <w:szCs w:val="16"/>
            <w:lang w:val="en-US"/>
          </w:rPr>
          <w:t>https://www.ncbi.nlm.nih.gov/pmc/articles/PMC7127429/</w:t>
        </w:r>
      </w:hyperlink>
    </w:p>
    <w:p w:rsidR="008F6FFE" w:rsidRPr="00717D4D" w:rsidRDefault="008F6FFE" w:rsidP="008B42D4">
      <w:pPr>
        <w:shd w:val="clear" w:color="auto" w:fill="FFFFFF"/>
        <w:rPr>
          <w:rStyle w:val="element-citation"/>
          <w:rFonts w:asciiTheme="minorHAnsi" w:hAnsiTheme="minorHAnsi" w:cstheme="minorHAnsi"/>
          <w:color w:val="000000"/>
          <w:sz w:val="16"/>
          <w:szCs w:val="16"/>
          <w:lang w:val="en-US"/>
        </w:rPr>
      </w:pPr>
    </w:p>
    <w:p w:rsidR="008F6FFE" w:rsidRPr="008B42D4" w:rsidRDefault="008F6FFE" w:rsidP="00717D4D">
      <w:pPr>
        <w:shd w:val="clear" w:color="auto" w:fill="FFFFFF"/>
        <w:rPr>
          <w:rStyle w:val="element-citation"/>
          <w:rFonts w:asciiTheme="minorHAnsi" w:hAnsiTheme="minorHAnsi" w:cstheme="minorHAnsi"/>
          <w:color w:val="000000"/>
          <w:sz w:val="16"/>
          <w:szCs w:val="16"/>
          <w:lang w:val="en-US"/>
        </w:rPr>
      </w:pPr>
      <w:r w:rsidRPr="008B42D4">
        <w:rPr>
          <w:rStyle w:val="element-citation"/>
          <w:rFonts w:asciiTheme="minorHAnsi" w:hAnsiTheme="minorHAnsi" w:cstheme="minorHAnsi"/>
          <w:color w:val="000000"/>
          <w:sz w:val="16"/>
          <w:szCs w:val="16"/>
          <w:lang w:val="en-US"/>
        </w:rPr>
        <w:t>J. Infect. Dis. </w:t>
      </w:r>
      <w:r w:rsidRPr="00717D4D">
        <w:rPr>
          <w:rStyle w:val="element-citation"/>
          <w:rFonts w:asciiTheme="minorHAnsi" w:hAnsiTheme="minorHAnsi" w:cstheme="minorHAnsi"/>
          <w:color w:val="000000"/>
          <w:sz w:val="16"/>
          <w:szCs w:val="16"/>
          <w:lang w:val="en-US"/>
        </w:rPr>
        <w:t>2005;</w:t>
      </w:r>
      <w:r w:rsidRPr="008B42D4">
        <w:rPr>
          <w:rStyle w:val="element-citation"/>
          <w:rFonts w:asciiTheme="minorHAnsi" w:hAnsiTheme="minorHAnsi" w:cstheme="minorHAnsi"/>
          <w:color w:val="000000"/>
          <w:sz w:val="16"/>
          <w:szCs w:val="16"/>
          <w:lang w:val="en-US"/>
        </w:rPr>
        <w:t>191</w:t>
      </w:r>
      <w:r w:rsidRPr="00717D4D">
        <w:rPr>
          <w:rStyle w:val="element-citation"/>
          <w:rFonts w:asciiTheme="minorHAnsi" w:hAnsiTheme="minorHAnsi" w:cstheme="minorHAnsi"/>
          <w:color w:val="000000"/>
          <w:sz w:val="16"/>
          <w:szCs w:val="16"/>
          <w:lang w:val="en-US"/>
        </w:rPr>
        <w:t>(12):2033–2037. </w:t>
      </w:r>
    </w:p>
    <w:p w:rsidR="008F6FFE" w:rsidRPr="008B42D4" w:rsidRDefault="008F6FFE" w:rsidP="00717D4D">
      <w:pPr>
        <w:shd w:val="clear" w:color="auto" w:fill="FFFFFF"/>
        <w:rPr>
          <w:rStyle w:val="element-citation"/>
          <w:rFonts w:asciiTheme="minorHAnsi" w:hAnsiTheme="minorHAnsi" w:cstheme="minorHAnsi"/>
          <w:color w:val="000000"/>
          <w:sz w:val="16"/>
          <w:szCs w:val="16"/>
          <w:lang w:val="en-US"/>
        </w:rPr>
      </w:pPr>
      <w:r w:rsidRPr="00717D4D">
        <w:rPr>
          <w:rStyle w:val="element-citation"/>
          <w:rFonts w:asciiTheme="minorHAnsi" w:hAnsiTheme="minorHAnsi" w:cstheme="minorHAnsi"/>
          <w:color w:val="000000"/>
          <w:sz w:val="16"/>
          <w:szCs w:val="16"/>
          <w:lang w:val="en-US"/>
        </w:rPr>
        <w:t>Antigenic cross-reactivity between severe acute respiratory syndrome-associated coronavirus and human coronaviruses 229E and OC43. </w:t>
      </w:r>
    </w:p>
    <w:p w:rsidR="008F6FFE" w:rsidRPr="00717D4D" w:rsidRDefault="008F6FFE" w:rsidP="00717D4D">
      <w:pPr>
        <w:shd w:val="clear" w:color="auto" w:fill="FFFFFF"/>
        <w:rPr>
          <w:rStyle w:val="element-citation"/>
          <w:rFonts w:asciiTheme="minorHAnsi" w:hAnsiTheme="minorHAnsi" w:cstheme="minorHAnsi"/>
          <w:color w:val="000000"/>
          <w:sz w:val="16"/>
          <w:szCs w:val="16"/>
          <w:lang w:val="en-US"/>
        </w:rPr>
      </w:pPr>
      <w:r w:rsidRPr="00717D4D">
        <w:rPr>
          <w:rStyle w:val="element-citation"/>
          <w:rFonts w:asciiTheme="minorHAnsi" w:hAnsiTheme="minorHAnsi" w:cstheme="minorHAnsi"/>
          <w:color w:val="000000"/>
          <w:sz w:val="16"/>
          <w:szCs w:val="16"/>
          <w:lang w:val="en-US"/>
        </w:rPr>
        <w:t xml:space="preserve">Che X.Y., Qiu L.W., Liao Z.Y., Wang Y.D., Wen K., Pan Y.X. </w:t>
      </w:r>
    </w:p>
    <w:p w:rsidR="008F6FFE" w:rsidRPr="008B42D4" w:rsidRDefault="0052743C" w:rsidP="008B42D4">
      <w:pPr>
        <w:shd w:val="clear" w:color="auto" w:fill="FFFFFF"/>
        <w:rPr>
          <w:rStyle w:val="element-citation"/>
          <w:rFonts w:asciiTheme="minorHAnsi" w:hAnsiTheme="minorHAnsi" w:cstheme="minorHAnsi"/>
          <w:color w:val="000000"/>
          <w:sz w:val="16"/>
          <w:szCs w:val="16"/>
          <w:lang w:val="en-US"/>
        </w:rPr>
      </w:pPr>
      <w:hyperlink r:id="rId861" w:history="1">
        <w:r w:rsidR="008F6FFE" w:rsidRPr="008B42D4">
          <w:rPr>
            <w:rStyle w:val="element-citation"/>
            <w:rFonts w:asciiTheme="minorHAnsi" w:hAnsiTheme="minorHAnsi" w:cstheme="minorHAnsi"/>
            <w:color w:val="000000"/>
            <w:sz w:val="16"/>
            <w:szCs w:val="16"/>
            <w:lang w:val="en-US"/>
          </w:rPr>
          <w:t>https://www.ncbi.nlm.nih.gov/pmc/articles/PMC7109809/</w:t>
        </w:r>
      </w:hyperlink>
    </w:p>
    <w:p w:rsidR="008F6FFE" w:rsidRPr="008B42D4" w:rsidRDefault="008F6FFE" w:rsidP="00717D4D">
      <w:pPr>
        <w:shd w:val="clear" w:color="auto" w:fill="FFFFFF"/>
        <w:rPr>
          <w:rStyle w:val="element-citation"/>
          <w:rFonts w:asciiTheme="minorHAnsi" w:hAnsiTheme="minorHAnsi" w:cstheme="minorHAnsi"/>
          <w:color w:val="000000"/>
          <w:sz w:val="16"/>
          <w:szCs w:val="16"/>
          <w:lang w:val="en-US"/>
        </w:rPr>
      </w:pPr>
    </w:p>
    <w:p w:rsidR="008F6FFE" w:rsidRPr="00717D4D" w:rsidRDefault="008F6FFE" w:rsidP="00717D4D">
      <w:pPr>
        <w:shd w:val="clear" w:color="auto" w:fill="FFFFFF"/>
        <w:rPr>
          <w:rStyle w:val="element-citation"/>
          <w:rFonts w:asciiTheme="minorHAnsi" w:hAnsiTheme="minorHAnsi" w:cstheme="minorHAnsi"/>
          <w:color w:val="000000"/>
          <w:sz w:val="16"/>
          <w:szCs w:val="16"/>
          <w:lang w:val="en-US"/>
        </w:rPr>
      </w:pPr>
      <w:r w:rsidRPr="008B42D4">
        <w:rPr>
          <w:rStyle w:val="element-citation"/>
          <w:rFonts w:asciiTheme="minorHAnsi" w:hAnsiTheme="minorHAnsi" w:cstheme="minorHAnsi"/>
          <w:color w:val="000000"/>
          <w:sz w:val="16"/>
          <w:szCs w:val="16"/>
          <w:lang w:val="en-US"/>
        </w:rPr>
        <w:t>Virus Res. </w:t>
      </w:r>
      <w:r w:rsidRPr="00717D4D">
        <w:rPr>
          <w:rStyle w:val="element-citation"/>
          <w:rFonts w:asciiTheme="minorHAnsi" w:hAnsiTheme="minorHAnsi" w:cstheme="minorHAnsi"/>
          <w:color w:val="000000"/>
          <w:sz w:val="16"/>
          <w:szCs w:val="16"/>
          <w:lang w:val="en-US"/>
        </w:rPr>
        <w:t>2008;</w:t>
      </w:r>
      <w:r w:rsidRPr="008B42D4">
        <w:rPr>
          <w:rStyle w:val="element-citation"/>
          <w:rFonts w:asciiTheme="minorHAnsi" w:hAnsiTheme="minorHAnsi" w:cstheme="minorHAnsi"/>
          <w:color w:val="000000"/>
          <w:sz w:val="16"/>
          <w:szCs w:val="16"/>
          <w:lang w:val="en-US"/>
        </w:rPr>
        <w:t>133</w:t>
      </w:r>
      <w:r w:rsidRPr="00717D4D">
        <w:rPr>
          <w:rStyle w:val="element-citation"/>
          <w:rFonts w:asciiTheme="minorHAnsi" w:hAnsiTheme="minorHAnsi" w:cstheme="minorHAnsi"/>
          <w:color w:val="000000"/>
          <w:sz w:val="16"/>
          <w:szCs w:val="16"/>
          <w:lang w:val="en-US"/>
        </w:rPr>
        <w:t>(1):20–32. </w:t>
      </w:r>
    </w:p>
    <w:p w:rsidR="008F6FFE" w:rsidRPr="008B42D4" w:rsidRDefault="008F6FFE" w:rsidP="00717D4D">
      <w:pPr>
        <w:shd w:val="clear" w:color="auto" w:fill="FFFFFF"/>
        <w:rPr>
          <w:rStyle w:val="element-citation"/>
          <w:rFonts w:asciiTheme="minorHAnsi" w:hAnsiTheme="minorHAnsi" w:cstheme="minorHAnsi"/>
          <w:color w:val="000000"/>
          <w:sz w:val="16"/>
          <w:szCs w:val="16"/>
          <w:lang w:val="en-US"/>
        </w:rPr>
      </w:pPr>
      <w:r w:rsidRPr="00717D4D">
        <w:rPr>
          <w:rStyle w:val="element-citation"/>
          <w:rFonts w:asciiTheme="minorHAnsi" w:hAnsiTheme="minorHAnsi" w:cstheme="minorHAnsi"/>
          <w:color w:val="000000"/>
          <w:sz w:val="16"/>
          <w:szCs w:val="16"/>
          <w:lang w:val="en-US"/>
        </w:rPr>
        <w:t>Animal models and vaccines for SARS-CoV infection. </w:t>
      </w:r>
    </w:p>
    <w:p w:rsidR="008F6FFE" w:rsidRPr="00717D4D" w:rsidRDefault="008F6FFE" w:rsidP="00717D4D">
      <w:pPr>
        <w:shd w:val="clear" w:color="auto" w:fill="FFFFFF"/>
        <w:rPr>
          <w:rStyle w:val="element-citation"/>
          <w:rFonts w:asciiTheme="minorHAnsi" w:hAnsiTheme="minorHAnsi" w:cstheme="minorHAnsi"/>
          <w:color w:val="000000"/>
          <w:sz w:val="16"/>
          <w:szCs w:val="16"/>
          <w:lang w:val="en-US"/>
        </w:rPr>
      </w:pPr>
      <w:r w:rsidRPr="00717D4D">
        <w:rPr>
          <w:rStyle w:val="element-citation"/>
          <w:rFonts w:asciiTheme="minorHAnsi" w:hAnsiTheme="minorHAnsi" w:cstheme="minorHAnsi"/>
          <w:color w:val="000000"/>
          <w:sz w:val="16"/>
          <w:szCs w:val="16"/>
          <w:lang w:val="en-US"/>
        </w:rPr>
        <w:t xml:space="preserve">Roberts A., Lamirande E.W., Vogel L., Jackson J.P., Paddock C.D., Guarner J. </w:t>
      </w:r>
    </w:p>
    <w:p w:rsidR="008F6FFE" w:rsidRPr="008B42D4" w:rsidRDefault="0052743C" w:rsidP="008B42D4">
      <w:pPr>
        <w:shd w:val="clear" w:color="auto" w:fill="FFFFFF"/>
        <w:rPr>
          <w:rStyle w:val="element-citation"/>
          <w:rFonts w:asciiTheme="minorHAnsi" w:hAnsiTheme="minorHAnsi" w:cstheme="minorHAnsi"/>
          <w:color w:val="000000"/>
          <w:sz w:val="16"/>
          <w:szCs w:val="16"/>
          <w:lang w:val="en-US"/>
        </w:rPr>
      </w:pPr>
      <w:hyperlink r:id="rId862" w:history="1">
        <w:r w:rsidR="008F6FFE" w:rsidRPr="008B42D4">
          <w:rPr>
            <w:rStyle w:val="element-citation"/>
            <w:rFonts w:asciiTheme="minorHAnsi" w:hAnsiTheme="minorHAnsi" w:cstheme="minorHAnsi"/>
            <w:color w:val="000000"/>
            <w:sz w:val="16"/>
            <w:szCs w:val="16"/>
            <w:lang w:val="en-US"/>
          </w:rPr>
          <w:t>https://www.ncbi.nlm.nih.gov/pmc/articles/PMC6357155/</w:t>
        </w:r>
      </w:hyperlink>
    </w:p>
    <w:p w:rsidR="008F6FFE" w:rsidRPr="008B42D4" w:rsidRDefault="008F6FFE" w:rsidP="00717D4D">
      <w:pPr>
        <w:shd w:val="clear" w:color="auto" w:fill="FFFFFF"/>
        <w:rPr>
          <w:rStyle w:val="element-citation"/>
          <w:rFonts w:asciiTheme="minorHAnsi" w:hAnsiTheme="minorHAnsi" w:cstheme="minorHAnsi"/>
          <w:color w:val="000000"/>
          <w:sz w:val="16"/>
          <w:szCs w:val="16"/>
          <w:lang w:val="en-US"/>
        </w:rPr>
      </w:pPr>
      <w:r w:rsidRPr="008B42D4">
        <w:rPr>
          <w:rStyle w:val="element-citation"/>
          <w:rFonts w:asciiTheme="minorHAnsi" w:hAnsiTheme="minorHAnsi" w:cstheme="minorHAnsi"/>
          <w:color w:val="000000"/>
          <w:sz w:val="16"/>
          <w:szCs w:val="16"/>
          <w:lang w:val="en-US"/>
        </w:rPr>
        <w:t xml:space="preserve"> </w:t>
      </w:r>
    </w:p>
    <w:p w:rsidR="008F6FFE" w:rsidRPr="008B42D4" w:rsidRDefault="008F6FFE" w:rsidP="00717D4D">
      <w:pPr>
        <w:shd w:val="clear" w:color="auto" w:fill="FFFFFF"/>
        <w:rPr>
          <w:rStyle w:val="element-citation"/>
          <w:rFonts w:asciiTheme="minorHAnsi" w:hAnsiTheme="minorHAnsi" w:cstheme="minorHAnsi"/>
          <w:color w:val="000000"/>
          <w:sz w:val="16"/>
          <w:szCs w:val="16"/>
          <w:lang w:val="en-US"/>
        </w:rPr>
      </w:pPr>
      <w:r w:rsidRPr="008B42D4">
        <w:rPr>
          <w:rStyle w:val="element-citation"/>
          <w:rFonts w:asciiTheme="minorHAnsi" w:hAnsiTheme="minorHAnsi" w:cstheme="minorHAnsi"/>
          <w:color w:val="000000"/>
          <w:sz w:val="16"/>
          <w:szCs w:val="16"/>
          <w:lang w:val="en-US"/>
        </w:rPr>
        <w:t>Sci Rep. </w:t>
      </w:r>
      <w:r w:rsidRPr="00717D4D">
        <w:rPr>
          <w:rStyle w:val="element-citation"/>
          <w:rFonts w:asciiTheme="minorHAnsi" w:hAnsiTheme="minorHAnsi" w:cstheme="minorHAnsi"/>
          <w:color w:val="000000"/>
          <w:sz w:val="16"/>
          <w:szCs w:val="16"/>
          <w:lang w:val="en-US"/>
        </w:rPr>
        <w:t>2016;</w:t>
      </w:r>
      <w:r w:rsidRPr="008B42D4">
        <w:rPr>
          <w:rStyle w:val="element-citation"/>
          <w:rFonts w:asciiTheme="minorHAnsi" w:hAnsiTheme="minorHAnsi" w:cstheme="minorHAnsi"/>
          <w:color w:val="000000"/>
          <w:sz w:val="16"/>
          <w:szCs w:val="16"/>
          <w:lang w:val="en-US"/>
        </w:rPr>
        <w:t>6</w:t>
      </w:r>
      <w:r w:rsidRPr="00717D4D">
        <w:rPr>
          <w:rStyle w:val="element-citation"/>
          <w:rFonts w:asciiTheme="minorHAnsi" w:hAnsiTheme="minorHAnsi" w:cstheme="minorHAnsi"/>
          <w:color w:val="000000"/>
          <w:sz w:val="16"/>
          <w:szCs w:val="16"/>
          <w:lang w:val="en-US"/>
        </w:rPr>
        <w:t>:29201</w:t>
      </w:r>
    </w:p>
    <w:p w:rsidR="008F6FFE" w:rsidRPr="00717D4D" w:rsidRDefault="008F6FFE" w:rsidP="00717D4D">
      <w:pPr>
        <w:shd w:val="clear" w:color="auto" w:fill="FFFFFF"/>
        <w:rPr>
          <w:rStyle w:val="element-citation"/>
          <w:rFonts w:asciiTheme="minorHAnsi" w:hAnsiTheme="minorHAnsi" w:cstheme="minorHAnsi"/>
          <w:color w:val="000000"/>
          <w:sz w:val="16"/>
          <w:szCs w:val="16"/>
          <w:lang w:val="en-US"/>
        </w:rPr>
      </w:pPr>
      <w:r w:rsidRPr="00717D4D">
        <w:rPr>
          <w:rStyle w:val="element-citation"/>
          <w:rFonts w:asciiTheme="minorHAnsi" w:hAnsiTheme="minorHAnsi" w:cstheme="minorHAnsi"/>
          <w:color w:val="000000"/>
          <w:sz w:val="16"/>
          <w:szCs w:val="16"/>
          <w:lang w:val="en-US"/>
        </w:rPr>
        <w:t>Antibody-Dependent Enhancement of Dengue Virus Infection in Primary Human Macrophages. </w:t>
      </w:r>
      <w:r w:rsidRPr="008B42D4">
        <w:rPr>
          <w:rStyle w:val="element-citation"/>
          <w:rFonts w:asciiTheme="minorHAnsi" w:hAnsiTheme="minorHAnsi" w:cstheme="minorHAnsi"/>
          <w:color w:val="000000"/>
          <w:sz w:val="16"/>
          <w:szCs w:val="16"/>
          <w:lang w:val="en-US"/>
        </w:rPr>
        <w:t>Balancing Higher Fusion against Antiviral Responses</w:t>
      </w:r>
      <w:r w:rsidRPr="00717D4D">
        <w:rPr>
          <w:rStyle w:val="element-citation"/>
          <w:rFonts w:asciiTheme="minorHAnsi" w:hAnsiTheme="minorHAnsi" w:cstheme="minorHAnsi"/>
          <w:color w:val="000000"/>
          <w:sz w:val="16"/>
          <w:szCs w:val="16"/>
          <w:lang w:val="en-US"/>
        </w:rPr>
        <w:t>. </w:t>
      </w:r>
    </w:p>
    <w:p w:rsidR="008F6FFE" w:rsidRPr="00717D4D" w:rsidRDefault="008F6FFE" w:rsidP="00717D4D">
      <w:pPr>
        <w:shd w:val="clear" w:color="auto" w:fill="FFFFFF"/>
        <w:rPr>
          <w:rStyle w:val="element-citation"/>
          <w:rFonts w:asciiTheme="minorHAnsi" w:hAnsiTheme="minorHAnsi" w:cstheme="minorHAnsi"/>
          <w:color w:val="000000"/>
          <w:sz w:val="16"/>
          <w:szCs w:val="16"/>
          <w:lang w:val="en-US"/>
        </w:rPr>
      </w:pPr>
      <w:r w:rsidRPr="00717D4D">
        <w:rPr>
          <w:rStyle w:val="element-citation"/>
          <w:rFonts w:asciiTheme="minorHAnsi" w:hAnsiTheme="minorHAnsi" w:cstheme="minorHAnsi"/>
          <w:color w:val="000000"/>
          <w:sz w:val="16"/>
          <w:szCs w:val="16"/>
          <w:lang w:val="en-US"/>
        </w:rPr>
        <w:t xml:space="preserve">Flipse J., Diosa-Toro M.A., Hoornweg T.E., van de Pol D.P., Urcuqui-Inchima S., Smit J.M. </w:t>
      </w:r>
    </w:p>
    <w:p w:rsidR="008F6FFE" w:rsidRPr="008B42D4" w:rsidRDefault="0052743C" w:rsidP="008B42D4">
      <w:pPr>
        <w:shd w:val="clear" w:color="auto" w:fill="FFFFFF"/>
        <w:rPr>
          <w:rStyle w:val="element-citation"/>
          <w:rFonts w:asciiTheme="minorHAnsi" w:hAnsiTheme="minorHAnsi" w:cstheme="minorHAnsi"/>
          <w:color w:val="000000"/>
          <w:sz w:val="16"/>
          <w:szCs w:val="16"/>
          <w:lang w:val="en-US"/>
        </w:rPr>
      </w:pPr>
      <w:hyperlink r:id="rId863" w:history="1">
        <w:r w:rsidR="008F6FFE" w:rsidRPr="008B42D4">
          <w:rPr>
            <w:rStyle w:val="element-citation"/>
            <w:rFonts w:asciiTheme="minorHAnsi" w:hAnsiTheme="minorHAnsi" w:cstheme="minorHAnsi"/>
            <w:color w:val="000000"/>
            <w:sz w:val="16"/>
            <w:szCs w:val="16"/>
            <w:lang w:val="en-US"/>
          </w:rPr>
          <w:t>https://www.ncbi.nlm.nih.gov/pmc/articles/PMC4933910/</w:t>
        </w:r>
      </w:hyperlink>
    </w:p>
    <w:p w:rsidR="008F6FFE" w:rsidRPr="008B42D4" w:rsidRDefault="008F6FFE" w:rsidP="00717D4D">
      <w:pPr>
        <w:shd w:val="clear" w:color="auto" w:fill="FFFFFF"/>
        <w:rPr>
          <w:rStyle w:val="element-citation"/>
          <w:rFonts w:asciiTheme="minorHAnsi" w:hAnsiTheme="minorHAnsi" w:cstheme="minorHAnsi"/>
          <w:color w:val="000000"/>
          <w:sz w:val="16"/>
          <w:szCs w:val="16"/>
          <w:lang w:val="en-US"/>
        </w:rPr>
      </w:pPr>
      <w:r w:rsidRPr="008B42D4">
        <w:rPr>
          <w:rStyle w:val="element-citation"/>
          <w:rFonts w:asciiTheme="minorHAnsi" w:hAnsiTheme="minorHAnsi" w:cstheme="minorHAnsi"/>
          <w:color w:val="000000"/>
          <w:sz w:val="16"/>
          <w:szCs w:val="16"/>
          <w:lang w:val="en-US"/>
        </w:rPr>
        <w:t xml:space="preserve"> </w:t>
      </w:r>
    </w:p>
    <w:p w:rsidR="008F6FFE" w:rsidRPr="00717D4D" w:rsidRDefault="008F6FFE" w:rsidP="00717D4D">
      <w:pPr>
        <w:shd w:val="clear" w:color="auto" w:fill="FFFFFF"/>
        <w:rPr>
          <w:rStyle w:val="element-citation"/>
          <w:rFonts w:asciiTheme="minorHAnsi" w:hAnsiTheme="minorHAnsi" w:cstheme="minorHAnsi"/>
          <w:color w:val="000000"/>
          <w:sz w:val="16"/>
          <w:szCs w:val="16"/>
          <w:lang w:val="en-US"/>
        </w:rPr>
      </w:pPr>
      <w:r w:rsidRPr="008B42D4">
        <w:rPr>
          <w:rStyle w:val="element-citation"/>
          <w:rFonts w:asciiTheme="minorHAnsi" w:hAnsiTheme="minorHAnsi" w:cstheme="minorHAnsi"/>
          <w:color w:val="000000"/>
          <w:sz w:val="16"/>
          <w:szCs w:val="16"/>
          <w:lang w:val="en-US"/>
        </w:rPr>
        <w:t>J. Virol. </w:t>
      </w:r>
      <w:r w:rsidRPr="00717D4D">
        <w:rPr>
          <w:rStyle w:val="element-citation"/>
          <w:rFonts w:asciiTheme="minorHAnsi" w:hAnsiTheme="minorHAnsi" w:cstheme="minorHAnsi"/>
          <w:color w:val="000000"/>
          <w:sz w:val="16"/>
          <w:szCs w:val="16"/>
          <w:lang w:val="en-US"/>
        </w:rPr>
        <w:t>2005;</w:t>
      </w:r>
      <w:r w:rsidRPr="008B42D4">
        <w:rPr>
          <w:rStyle w:val="element-citation"/>
          <w:rFonts w:asciiTheme="minorHAnsi" w:hAnsiTheme="minorHAnsi" w:cstheme="minorHAnsi"/>
          <w:color w:val="000000"/>
          <w:sz w:val="16"/>
          <w:szCs w:val="16"/>
          <w:lang w:val="en-US"/>
        </w:rPr>
        <w:t>79</w:t>
      </w:r>
      <w:r w:rsidRPr="00717D4D">
        <w:rPr>
          <w:rStyle w:val="element-citation"/>
          <w:rFonts w:asciiTheme="minorHAnsi" w:hAnsiTheme="minorHAnsi" w:cstheme="minorHAnsi"/>
          <w:color w:val="000000"/>
          <w:sz w:val="16"/>
          <w:szCs w:val="16"/>
          <w:lang w:val="en-US"/>
        </w:rPr>
        <w:t>(12):7819–7826. </w:t>
      </w:r>
    </w:p>
    <w:p w:rsidR="008F6FFE" w:rsidRPr="00717D4D" w:rsidRDefault="008F6FFE" w:rsidP="00717D4D">
      <w:pPr>
        <w:shd w:val="clear" w:color="auto" w:fill="FFFFFF"/>
        <w:rPr>
          <w:rStyle w:val="element-citation"/>
          <w:rFonts w:asciiTheme="minorHAnsi" w:hAnsiTheme="minorHAnsi" w:cstheme="minorHAnsi"/>
          <w:color w:val="000000"/>
          <w:sz w:val="16"/>
          <w:szCs w:val="16"/>
          <w:lang w:val="en-US"/>
        </w:rPr>
      </w:pPr>
      <w:r w:rsidRPr="00717D4D">
        <w:rPr>
          <w:rStyle w:val="element-citation"/>
          <w:rFonts w:asciiTheme="minorHAnsi" w:hAnsiTheme="minorHAnsi" w:cstheme="minorHAnsi"/>
          <w:color w:val="000000"/>
          <w:sz w:val="16"/>
          <w:szCs w:val="16"/>
          <w:lang w:val="en-US"/>
        </w:rPr>
        <w:t>Cytokine responses in severe acute respiratory syndrome coronavirus-infected macrophages in vitro: possible relevance to pathogenesis. </w:t>
      </w:r>
    </w:p>
    <w:p w:rsidR="008F6FFE" w:rsidRPr="008B42D4" w:rsidRDefault="008F6FFE" w:rsidP="00717D4D">
      <w:pPr>
        <w:shd w:val="clear" w:color="auto" w:fill="FFFFFF"/>
        <w:rPr>
          <w:rStyle w:val="element-citation"/>
          <w:rFonts w:asciiTheme="minorHAnsi" w:hAnsiTheme="minorHAnsi" w:cstheme="minorHAnsi"/>
          <w:color w:val="000000"/>
          <w:sz w:val="16"/>
          <w:szCs w:val="16"/>
          <w:lang w:val="en-US"/>
        </w:rPr>
      </w:pPr>
      <w:r w:rsidRPr="00717D4D">
        <w:rPr>
          <w:rStyle w:val="element-citation"/>
          <w:rFonts w:asciiTheme="minorHAnsi" w:hAnsiTheme="minorHAnsi" w:cstheme="minorHAnsi"/>
          <w:color w:val="000000"/>
          <w:sz w:val="16"/>
          <w:szCs w:val="16"/>
          <w:lang w:val="en-US"/>
        </w:rPr>
        <w:t>Cheung C.Y., Poon L.L., Ng I.H., Luk W., Sia S.F., Wu M.H.</w:t>
      </w:r>
    </w:p>
    <w:p w:rsidR="008F6FFE" w:rsidRPr="00717D4D" w:rsidRDefault="0052743C" w:rsidP="008B42D4">
      <w:pPr>
        <w:shd w:val="clear" w:color="auto" w:fill="FFFFFF"/>
        <w:rPr>
          <w:rFonts w:asciiTheme="minorHAnsi" w:hAnsiTheme="minorHAnsi"/>
          <w:sz w:val="16"/>
          <w:szCs w:val="16"/>
          <w:lang w:val="en-US"/>
        </w:rPr>
      </w:pPr>
      <w:hyperlink r:id="rId864" w:history="1">
        <w:r w:rsidR="008F6FFE" w:rsidRPr="008B42D4">
          <w:rPr>
            <w:rStyle w:val="element-citation"/>
            <w:rFonts w:asciiTheme="minorHAnsi" w:hAnsiTheme="minorHAnsi" w:cstheme="minorHAnsi"/>
            <w:color w:val="000000"/>
            <w:sz w:val="16"/>
            <w:szCs w:val="16"/>
            <w:lang w:val="en-US"/>
          </w:rPr>
          <w:t>https://www.ncbi.nlm.nih.gov/pmc/articles/PMC1143636/</w:t>
        </w:r>
      </w:hyperlink>
    </w:p>
  </w:footnote>
  <w:footnote w:id="115">
    <w:p w:rsidR="008F6FFE" w:rsidRPr="00717D4D" w:rsidRDefault="008F6FFE" w:rsidP="00717D4D">
      <w:pPr>
        <w:shd w:val="clear" w:color="auto" w:fill="FFFFFF"/>
        <w:rPr>
          <w:rStyle w:val="ref-journal"/>
          <w:rFonts w:asciiTheme="minorHAnsi" w:hAnsiTheme="minorHAnsi" w:cstheme="minorHAnsi"/>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cstheme="minorHAnsi"/>
          <w:sz w:val="16"/>
          <w:szCs w:val="16"/>
          <w:lang w:val="en-US"/>
        </w:rPr>
        <w:t xml:space="preserve"> </w:t>
      </w:r>
      <w:r w:rsidRPr="00717D4D">
        <w:rPr>
          <w:rStyle w:val="ref-journal"/>
          <w:rFonts w:asciiTheme="minorHAnsi" w:hAnsiTheme="minorHAnsi" w:cstheme="minorHAnsi"/>
          <w:color w:val="000000"/>
          <w:sz w:val="16"/>
          <w:szCs w:val="16"/>
          <w:lang w:val="en-US"/>
        </w:rPr>
        <w:t>Clin. Immunol. </w:t>
      </w:r>
      <w:r w:rsidRPr="00717D4D">
        <w:rPr>
          <w:rStyle w:val="ref-journal"/>
          <w:rFonts w:asciiTheme="minorHAnsi" w:hAnsiTheme="minorHAnsi" w:cstheme="minorHAnsi"/>
          <w:sz w:val="16"/>
          <w:szCs w:val="16"/>
          <w:lang w:val="en-US"/>
        </w:rPr>
        <w:t xml:space="preserve">2020;214:108420.  </w:t>
      </w:r>
    </w:p>
    <w:p w:rsidR="008F6FFE" w:rsidRPr="00717D4D" w:rsidRDefault="008F6FFE" w:rsidP="00717D4D">
      <w:pPr>
        <w:shd w:val="clear" w:color="auto" w:fill="FFFFFF"/>
        <w:rPr>
          <w:rStyle w:val="ref-journal"/>
          <w:rFonts w:asciiTheme="minorHAnsi" w:hAnsiTheme="minorHAnsi" w:cstheme="minorHAnsi"/>
          <w:sz w:val="16"/>
          <w:szCs w:val="16"/>
          <w:lang w:val="en-US"/>
        </w:rPr>
      </w:pPr>
      <w:r w:rsidRPr="00717D4D">
        <w:rPr>
          <w:rStyle w:val="ref-journal"/>
          <w:rFonts w:asciiTheme="minorHAnsi" w:hAnsiTheme="minorHAnsi" w:cstheme="minorHAnsi"/>
          <w:sz w:val="16"/>
          <w:szCs w:val="16"/>
          <w:lang w:val="en-US"/>
        </w:rPr>
        <w:t>COVID-19 - Considerations for the paediatric rheumatologist</w:t>
      </w:r>
    </w:p>
    <w:p w:rsidR="008F6FFE" w:rsidRPr="00717D4D" w:rsidRDefault="008F6FFE" w:rsidP="00717D4D">
      <w:pPr>
        <w:shd w:val="clear" w:color="auto" w:fill="FFFFFF"/>
        <w:rPr>
          <w:rStyle w:val="ref-journal"/>
          <w:rFonts w:asciiTheme="minorHAnsi" w:hAnsiTheme="minorHAnsi" w:cstheme="minorHAnsi"/>
          <w:sz w:val="16"/>
          <w:szCs w:val="16"/>
          <w:lang w:val="en-US"/>
        </w:rPr>
      </w:pPr>
      <w:r w:rsidRPr="00717D4D">
        <w:rPr>
          <w:rStyle w:val="ref-journal"/>
          <w:rFonts w:asciiTheme="minorHAnsi" w:hAnsiTheme="minorHAnsi" w:cstheme="minorHAnsi"/>
          <w:sz w:val="16"/>
          <w:szCs w:val="16"/>
          <w:lang w:val="en-US"/>
        </w:rPr>
        <w:t>Hedrich C.M.</w:t>
      </w:r>
    </w:p>
    <w:p w:rsidR="008F6FFE" w:rsidRPr="00717D4D" w:rsidRDefault="008F6FFE" w:rsidP="00717D4D">
      <w:pPr>
        <w:shd w:val="clear" w:color="auto" w:fill="FFFFFF"/>
        <w:rPr>
          <w:rStyle w:val="ref-journal"/>
          <w:rFonts w:asciiTheme="minorHAnsi" w:hAnsiTheme="minorHAnsi" w:cstheme="minorHAnsi"/>
          <w:sz w:val="16"/>
          <w:szCs w:val="16"/>
          <w:lang w:val="en-US"/>
        </w:rPr>
      </w:pPr>
    </w:p>
    <w:p w:rsidR="008F6FFE" w:rsidRPr="00717D4D" w:rsidRDefault="008F6FFE" w:rsidP="00717D4D">
      <w:pPr>
        <w:shd w:val="clear" w:color="auto" w:fill="FFFFFF"/>
        <w:rPr>
          <w:rStyle w:val="ref-journal"/>
          <w:rFonts w:asciiTheme="minorHAnsi" w:hAnsiTheme="minorHAnsi" w:cstheme="minorHAnsi"/>
          <w:sz w:val="16"/>
          <w:szCs w:val="16"/>
          <w:lang w:val="en-US"/>
        </w:rPr>
      </w:pPr>
      <w:r w:rsidRPr="00717D4D">
        <w:rPr>
          <w:rStyle w:val="ref-journal"/>
          <w:rFonts w:asciiTheme="minorHAnsi" w:hAnsiTheme="minorHAnsi" w:cstheme="minorHAnsi"/>
          <w:iCs/>
          <w:color w:val="000000"/>
          <w:sz w:val="16"/>
          <w:szCs w:val="16"/>
          <w:lang w:val="en-US"/>
        </w:rPr>
        <w:t>Preprints</w:t>
      </w:r>
      <w:r w:rsidRPr="00717D4D">
        <w:rPr>
          <w:rStyle w:val="ref-journal"/>
          <w:rFonts w:asciiTheme="minorHAnsi" w:hAnsiTheme="minorHAnsi" w:cstheme="minorHAnsi"/>
          <w:color w:val="000000"/>
          <w:sz w:val="16"/>
          <w:szCs w:val="16"/>
          <w:lang w:val="en-US"/>
        </w:rPr>
        <w:t> 2020, 2020030191 </w:t>
      </w:r>
      <w:hyperlink r:id="rId865" w:tgtFrame="_blank" w:history="1">
        <w:r w:rsidRPr="00717D4D">
          <w:rPr>
            <w:rStyle w:val="ref-journal"/>
            <w:rFonts w:asciiTheme="minorHAnsi" w:hAnsiTheme="minorHAnsi" w:cstheme="minorHAnsi"/>
            <w:color w:val="000000"/>
            <w:sz w:val="16"/>
            <w:szCs w:val="16"/>
            <w:lang w:val="en-US"/>
          </w:rPr>
          <w:t>https://www.preprints.org/manuscript/202003.0191/v1</w:t>
        </w:r>
      </w:hyperlink>
      <w:r w:rsidRPr="00717D4D">
        <w:rPr>
          <w:rStyle w:val="ref-journal"/>
          <w:rFonts w:asciiTheme="minorHAnsi" w:hAnsiTheme="minorHAnsi" w:cstheme="minorHAnsi"/>
          <w:sz w:val="16"/>
          <w:szCs w:val="16"/>
          <w:lang w:val="en-US"/>
        </w:rPr>
        <w:t> </w:t>
      </w:r>
    </w:p>
    <w:p w:rsidR="008F6FFE" w:rsidRPr="00717D4D" w:rsidRDefault="008F6FFE" w:rsidP="00717D4D">
      <w:pPr>
        <w:shd w:val="clear" w:color="auto" w:fill="FFFFFF"/>
        <w:rPr>
          <w:rStyle w:val="ref-journal"/>
          <w:rFonts w:asciiTheme="minorHAnsi" w:hAnsiTheme="minorHAnsi" w:cstheme="minorHAnsi"/>
          <w:sz w:val="16"/>
          <w:szCs w:val="16"/>
          <w:lang w:val="en-US"/>
        </w:rPr>
      </w:pPr>
      <w:r w:rsidRPr="00717D4D">
        <w:rPr>
          <w:rStyle w:val="ref-journal"/>
          <w:rFonts w:asciiTheme="minorHAnsi" w:hAnsiTheme="minorHAnsi" w:cstheme="minorHAnsi"/>
          <w:sz w:val="16"/>
          <w:szCs w:val="16"/>
          <w:lang w:val="en-US"/>
        </w:rPr>
        <w:t xml:space="preserve">Individual Variation of the SARS-CoV2 Receptor ACE2 Gene Expression and Regulation. </w:t>
      </w:r>
    </w:p>
    <w:p w:rsidR="008F6FFE" w:rsidRPr="00717D4D" w:rsidRDefault="008F6FFE" w:rsidP="00717D4D">
      <w:pPr>
        <w:shd w:val="clear" w:color="auto" w:fill="FFFFFF"/>
        <w:rPr>
          <w:rStyle w:val="ref-journal"/>
          <w:rFonts w:asciiTheme="minorHAnsi" w:hAnsiTheme="minorHAnsi" w:cstheme="minorHAnsi"/>
          <w:sz w:val="16"/>
          <w:szCs w:val="16"/>
          <w:lang w:val="en-US"/>
        </w:rPr>
      </w:pPr>
      <w:r w:rsidRPr="00717D4D">
        <w:rPr>
          <w:rStyle w:val="ref-journal"/>
          <w:rFonts w:asciiTheme="minorHAnsi" w:hAnsiTheme="minorHAnsi" w:cstheme="minorHAnsi"/>
          <w:sz w:val="16"/>
          <w:szCs w:val="16"/>
          <w:lang w:val="en-US"/>
        </w:rPr>
        <w:t xml:space="preserve">Chen J.J.Q.X., Liu K., Yu Z., Tao W., Gong W., Han J.D.J </w:t>
      </w:r>
    </w:p>
    <w:p w:rsidR="008F6FFE" w:rsidRPr="00717D4D" w:rsidRDefault="008F6FFE" w:rsidP="00717D4D">
      <w:pPr>
        <w:pStyle w:val="FootnoteText"/>
        <w:rPr>
          <w:rFonts w:asciiTheme="minorHAnsi" w:hAnsiTheme="minorHAnsi"/>
          <w:sz w:val="16"/>
          <w:szCs w:val="16"/>
          <w:lang w:val="en-US"/>
        </w:rPr>
      </w:pPr>
    </w:p>
  </w:footnote>
  <w:footnote w:id="116">
    <w:p w:rsidR="008F6FFE" w:rsidRPr="00717D4D" w:rsidRDefault="008F6FFE" w:rsidP="00717D4D">
      <w:pPr>
        <w:shd w:val="clear" w:color="auto" w:fill="FFFFFF"/>
        <w:rPr>
          <w:rStyle w:val="ref-journal"/>
          <w:rFonts w:asciiTheme="minorHAnsi" w:hAnsiTheme="minorHAnsi" w:cstheme="minorHAnsi"/>
          <w:iCs/>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cstheme="minorHAnsi"/>
          <w:sz w:val="16"/>
          <w:szCs w:val="16"/>
          <w:lang w:val="en-US"/>
        </w:rPr>
        <w:t xml:space="preserve"> </w:t>
      </w:r>
      <w:r w:rsidRPr="00717D4D">
        <w:rPr>
          <w:rFonts w:asciiTheme="minorHAnsi" w:hAnsiTheme="minorHAnsi" w:cstheme="minorHAnsi"/>
          <w:color w:val="000000"/>
          <w:sz w:val="16"/>
          <w:szCs w:val="16"/>
          <w:shd w:val="clear" w:color="auto" w:fill="FFFFFF"/>
          <w:lang w:val="en-US"/>
        </w:rPr>
        <w:t> </w:t>
      </w:r>
      <w:r w:rsidRPr="00717D4D">
        <w:rPr>
          <w:rStyle w:val="ref-journal"/>
          <w:rFonts w:asciiTheme="minorHAnsi" w:hAnsiTheme="minorHAnsi" w:cstheme="minorHAnsi"/>
          <w:iCs/>
          <w:color w:val="000000"/>
          <w:sz w:val="16"/>
          <w:szCs w:val="16"/>
          <w:lang w:val="en-US"/>
        </w:rPr>
        <w:t>Lancet. </w:t>
      </w:r>
      <w:r w:rsidRPr="00717D4D">
        <w:rPr>
          <w:rStyle w:val="ref-journal"/>
          <w:rFonts w:asciiTheme="minorHAnsi" w:hAnsiTheme="minorHAnsi" w:cstheme="minorHAnsi"/>
          <w:iCs/>
          <w:sz w:val="16"/>
          <w:szCs w:val="16"/>
          <w:lang w:val="en-US"/>
        </w:rPr>
        <w:t xml:space="preserve">2020;395(10223):497–506.  </w:t>
      </w:r>
    </w:p>
    <w:p w:rsidR="008F6FFE" w:rsidRPr="00235A16" w:rsidRDefault="008F6FFE" w:rsidP="00717D4D">
      <w:pPr>
        <w:shd w:val="clear" w:color="auto" w:fill="FFFFFF"/>
        <w:rPr>
          <w:rStyle w:val="ref-journal"/>
          <w:rFonts w:asciiTheme="minorHAnsi" w:hAnsiTheme="minorHAnsi" w:cstheme="minorHAnsi"/>
          <w:iCs/>
          <w:color w:val="000000"/>
          <w:sz w:val="16"/>
          <w:szCs w:val="16"/>
          <w:lang w:val="de-DE"/>
        </w:rPr>
      </w:pPr>
      <w:r w:rsidRPr="00717D4D">
        <w:rPr>
          <w:rStyle w:val="ref-journal"/>
          <w:rFonts w:asciiTheme="minorHAnsi" w:hAnsiTheme="minorHAnsi" w:cstheme="minorHAnsi"/>
          <w:iCs/>
          <w:sz w:val="16"/>
          <w:szCs w:val="16"/>
          <w:lang w:val="en-US"/>
        </w:rPr>
        <w:t>Clinical features of patients infected with 2019 novel coronavirus in Wuhan. </w:t>
      </w:r>
      <w:r w:rsidRPr="00235A16">
        <w:rPr>
          <w:rStyle w:val="ref-journal"/>
          <w:rFonts w:asciiTheme="minorHAnsi" w:hAnsiTheme="minorHAnsi" w:cstheme="minorHAnsi"/>
          <w:iCs/>
          <w:color w:val="000000"/>
          <w:sz w:val="16"/>
          <w:szCs w:val="16"/>
          <w:lang w:val="de-DE"/>
        </w:rPr>
        <w:t xml:space="preserve">China. </w:t>
      </w:r>
    </w:p>
    <w:p w:rsidR="008F6FFE" w:rsidRPr="00235A16" w:rsidRDefault="008F6FFE" w:rsidP="00717D4D">
      <w:pPr>
        <w:shd w:val="clear" w:color="auto" w:fill="FFFFFF"/>
        <w:rPr>
          <w:rStyle w:val="ref-journal"/>
          <w:rFonts w:asciiTheme="minorHAnsi" w:hAnsiTheme="minorHAnsi" w:cstheme="minorHAnsi"/>
          <w:iCs/>
          <w:color w:val="000000"/>
          <w:sz w:val="16"/>
          <w:szCs w:val="16"/>
          <w:lang w:val="de-DE"/>
        </w:rPr>
      </w:pPr>
      <w:r w:rsidRPr="00235A16">
        <w:rPr>
          <w:rStyle w:val="ref-journal"/>
          <w:rFonts w:asciiTheme="minorHAnsi" w:hAnsiTheme="minorHAnsi" w:cstheme="minorHAnsi"/>
          <w:iCs/>
          <w:sz w:val="16"/>
          <w:szCs w:val="16"/>
          <w:lang w:val="de-DE"/>
        </w:rPr>
        <w:t>Huang C., Wang Y., Li X., Ren L., Zhao J., Hu Y.</w:t>
      </w:r>
    </w:p>
    <w:p w:rsidR="008F6FFE" w:rsidRPr="00235A16" w:rsidRDefault="008F6FFE" w:rsidP="00717D4D">
      <w:pPr>
        <w:shd w:val="clear" w:color="auto" w:fill="FFFFFF"/>
        <w:rPr>
          <w:rStyle w:val="ref-journal"/>
          <w:rFonts w:asciiTheme="minorHAnsi" w:hAnsiTheme="minorHAnsi" w:cstheme="minorHAnsi"/>
          <w:iCs/>
          <w:color w:val="000000"/>
          <w:sz w:val="16"/>
          <w:szCs w:val="16"/>
          <w:lang w:val="de-DE"/>
        </w:rPr>
      </w:pPr>
    </w:p>
    <w:p w:rsidR="008F6FFE" w:rsidRPr="00717D4D" w:rsidRDefault="008F6FFE" w:rsidP="00717D4D">
      <w:pPr>
        <w:shd w:val="clear" w:color="auto" w:fill="FFFFFF"/>
        <w:rPr>
          <w:rStyle w:val="ref-journal"/>
          <w:rFonts w:asciiTheme="minorHAnsi" w:hAnsiTheme="minorHAnsi" w:cstheme="minorHAnsi"/>
          <w:iCs/>
          <w:sz w:val="16"/>
          <w:szCs w:val="16"/>
          <w:lang w:val="en-US"/>
        </w:rPr>
      </w:pPr>
      <w:r w:rsidRPr="00717D4D">
        <w:rPr>
          <w:rStyle w:val="ref-journal"/>
          <w:rFonts w:asciiTheme="minorHAnsi" w:hAnsiTheme="minorHAnsi" w:cstheme="minorHAnsi"/>
          <w:iCs/>
          <w:color w:val="000000"/>
          <w:sz w:val="16"/>
          <w:szCs w:val="16"/>
          <w:lang w:val="en-US"/>
        </w:rPr>
        <w:t>Viruses. </w:t>
      </w:r>
      <w:r w:rsidRPr="00717D4D">
        <w:rPr>
          <w:rStyle w:val="ref-journal"/>
          <w:rFonts w:asciiTheme="minorHAnsi" w:hAnsiTheme="minorHAnsi" w:cstheme="minorHAnsi"/>
          <w:iCs/>
          <w:sz w:val="16"/>
          <w:szCs w:val="16"/>
          <w:lang w:val="en-US"/>
        </w:rPr>
        <w:t xml:space="preserve">2020;12(4) </w:t>
      </w:r>
    </w:p>
    <w:p w:rsidR="008F6FFE" w:rsidRPr="00717D4D" w:rsidRDefault="008F6FFE" w:rsidP="00717D4D">
      <w:pPr>
        <w:shd w:val="clear" w:color="auto" w:fill="FFFFFF"/>
        <w:rPr>
          <w:rStyle w:val="ref-journal"/>
          <w:rFonts w:asciiTheme="minorHAnsi" w:hAnsiTheme="minorHAnsi" w:cstheme="minorHAnsi"/>
          <w:iCs/>
          <w:color w:val="000000"/>
          <w:sz w:val="16"/>
          <w:szCs w:val="16"/>
          <w:lang w:val="en-US"/>
        </w:rPr>
      </w:pPr>
      <w:r w:rsidRPr="00717D4D">
        <w:rPr>
          <w:rStyle w:val="ref-journal"/>
          <w:rFonts w:asciiTheme="minorHAnsi" w:hAnsiTheme="minorHAnsi" w:cstheme="minorHAnsi"/>
          <w:iCs/>
          <w:sz w:val="16"/>
          <w:szCs w:val="16"/>
          <w:lang w:val="en-US"/>
        </w:rPr>
        <w:t>Virology, Epidemiology, Pathogenesis, and Control of COVID-19. </w:t>
      </w:r>
    </w:p>
    <w:p w:rsidR="008F6FFE" w:rsidRPr="00235A16" w:rsidRDefault="008F6FFE" w:rsidP="00717D4D">
      <w:pPr>
        <w:shd w:val="clear" w:color="auto" w:fill="FFFFFF"/>
        <w:rPr>
          <w:rFonts w:asciiTheme="minorHAnsi" w:hAnsiTheme="minorHAnsi"/>
          <w:sz w:val="16"/>
          <w:szCs w:val="16"/>
          <w:lang w:val="de-DE"/>
        </w:rPr>
      </w:pPr>
      <w:r w:rsidRPr="00235A16">
        <w:rPr>
          <w:rStyle w:val="ref-journal"/>
          <w:rFonts w:asciiTheme="minorHAnsi" w:hAnsiTheme="minorHAnsi" w:cstheme="minorHAnsi"/>
          <w:iCs/>
          <w:sz w:val="16"/>
          <w:szCs w:val="16"/>
          <w:lang w:val="de-DE"/>
        </w:rPr>
        <w:t>Jin Y., Yang H., Ji W., Wu W., Chen S., Zhang W.</w:t>
      </w:r>
    </w:p>
  </w:footnote>
  <w:footnote w:id="117">
    <w:p w:rsidR="008F6FFE" w:rsidRPr="00235A16" w:rsidRDefault="008F6FFE" w:rsidP="00717D4D">
      <w:pPr>
        <w:rPr>
          <w:rStyle w:val="Hyperlink"/>
          <w:rFonts w:asciiTheme="minorHAnsi" w:eastAsiaTheme="majorEastAsia" w:hAnsiTheme="minorHAnsi" w:cstheme="minorHAnsi"/>
          <w:color w:val="000000" w:themeColor="text1"/>
          <w:sz w:val="16"/>
          <w:szCs w:val="16"/>
          <w:lang w:val="de-DE"/>
        </w:rPr>
      </w:pPr>
      <w:r w:rsidRPr="00717D4D">
        <w:rPr>
          <w:rStyle w:val="FootnoteReference"/>
          <w:rFonts w:asciiTheme="minorHAnsi" w:hAnsiTheme="minorHAnsi" w:cstheme="minorHAnsi"/>
          <w:sz w:val="16"/>
          <w:szCs w:val="16"/>
        </w:rPr>
        <w:footnoteRef/>
      </w:r>
      <w:r w:rsidRPr="00235A16">
        <w:rPr>
          <w:rFonts w:asciiTheme="minorHAnsi" w:hAnsiTheme="minorHAnsi"/>
          <w:sz w:val="16"/>
          <w:szCs w:val="16"/>
          <w:lang w:val="de-DE"/>
        </w:rPr>
        <w:t xml:space="preserve"> </w:t>
      </w:r>
      <w:hyperlink r:id="rId866" w:history="1">
        <w:r w:rsidRPr="00235A16">
          <w:rPr>
            <w:rStyle w:val="Hyperlink"/>
            <w:rFonts w:asciiTheme="minorHAnsi" w:eastAsiaTheme="majorEastAsia" w:hAnsiTheme="minorHAnsi" w:cstheme="minorHAnsi"/>
            <w:color w:val="000000" w:themeColor="text1"/>
            <w:sz w:val="16"/>
            <w:szCs w:val="16"/>
            <w:u w:val="none"/>
            <w:lang w:val="de-DE"/>
          </w:rPr>
          <w:t>https://www.epicentro.iss.it/coronavirus/bollettino/Bollettino-sorveglianza-integrata-COVID-19_16-aprile-2020.pdf</w:t>
        </w:r>
      </w:hyperlink>
    </w:p>
    <w:p w:rsidR="008F6FFE" w:rsidRPr="00235A16" w:rsidRDefault="008F6FFE" w:rsidP="00717D4D">
      <w:pPr>
        <w:rPr>
          <w:rStyle w:val="Hyperlink"/>
          <w:rFonts w:asciiTheme="minorHAnsi" w:eastAsiaTheme="majorEastAsia" w:hAnsiTheme="minorHAnsi" w:cstheme="minorHAnsi"/>
          <w:sz w:val="16"/>
          <w:szCs w:val="16"/>
          <w:lang w:val="de-DE"/>
        </w:rPr>
      </w:pPr>
    </w:p>
    <w:p w:rsidR="008F6FFE" w:rsidRPr="00717D4D" w:rsidRDefault="0052743C" w:rsidP="00717D4D">
      <w:pPr>
        <w:shd w:val="clear" w:color="auto" w:fill="FFFFFF"/>
        <w:rPr>
          <w:rFonts w:asciiTheme="minorHAnsi" w:hAnsiTheme="minorHAnsi" w:cstheme="minorHAnsi"/>
          <w:color w:val="1C1E21"/>
          <w:sz w:val="16"/>
          <w:szCs w:val="16"/>
          <w:lang w:val="en-US"/>
        </w:rPr>
      </w:pPr>
      <w:hyperlink r:id="rId867" w:tooltip="Proceedings. Biological sciences." w:history="1">
        <w:r w:rsidR="008F6FFE" w:rsidRPr="00717D4D">
          <w:rPr>
            <w:rFonts w:asciiTheme="minorHAnsi" w:hAnsiTheme="minorHAnsi" w:cstheme="minorHAnsi"/>
            <w:color w:val="1C1E21"/>
            <w:sz w:val="16"/>
            <w:szCs w:val="16"/>
            <w:lang w:val="en-US"/>
          </w:rPr>
          <w:t>Proc Biol Sci.</w:t>
        </w:r>
      </w:hyperlink>
      <w:r w:rsidR="008F6FFE" w:rsidRPr="00717D4D">
        <w:rPr>
          <w:rFonts w:asciiTheme="minorHAnsi" w:hAnsiTheme="minorHAnsi" w:cstheme="minorHAnsi"/>
          <w:color w:val="1C1E21"/>
          <w:sz w:val="16"/>
          <w:szCs w:val="16"/>
          <w:lang w:val="en-US"/>
        </w:rPr>
        <w:t> 2015 Dec 22;282(1821):20143085. doi: 10.1098/rspb.2014.3085.</w:t>
      </w:r>
    </w:p>
    <w:p w:rsidR="008F6FFE" w:rsidRPr="00717D4D" w:rsidRDefault="008F6FFE" w:rsidP="00717D4D">
      <w:pPr>
        <w:shd w:val="clear" w:color="auto" w:fill="FFFFFF"/>
        <w:outlineLvl w:val="0"/>
        <w:rPr>
          <w:rFonts w:asciiTheme="minorHAnsi" w:hAnsiTheme="minorHAnsi" w:cstheme="minorHAnsi"/>
          <w:color w:val="1C1E21"/>
          <w:sz w:val="16"/>
          <w:szCs w:val="16"/>
          <w:lang w:val="en-US"/>
        </w:rPr>
      </w:pPr>
      <w:r w:rsidRPr="00717D4D">
        <w:rPr>
          <w:rFonts w:asciiTheme="minorHAnsi" w:hAnsiTheme="minorHAnsi" w:cstheme="minorHAnsi"/>
          <w:color w:val="1C1E21"/>
          <w:sz w:val="16"/>
          <w:szCs w:val="16"/>
          <w:lang w:val="en-US"/>
        </w:rPr>
        <w:t>Evolution of the immune system in humans from infancy to old age.</w:t>
      </w:r>
    </w:p>
    <w:p w:rsidR="008F6FFE" w:rsidRPr="00717D4D" w:rsidRDefault="0052743C" w:rsidP="00717D4D">
      <w:pPr>
        <w:shd w:val="clear" w:color="auto" w:fill="FFFFFF"/>
        <w:rPr>
          <w:rFonts w:asciiTheme="minorHAnsi" w:hAnsiTheme="minorHAnsi" w:cstheme="minorHAnsi"/>
          <w:color w:val="1C1E21"/>
          <w:sz w:val="16"/>
          <w:szCs w:val="16"/>
          <w:lang w:val="en-US"/>
        </w:rPr>
      </w:pPr>
      <w:hyperlink r:id="rId868" w:history="1">
        <w:r w:rsidR="008F6FFE" w:rsidRPr="00717D4D">
          <w:rPr>
            <w:rFonts w:asciiTheme="minorHAnsi" w:hAnsiTheme="minorHAnsi" w:cstheme="minorHAnsi"/>
            <w:color w:val="1C1E21"/>
            <w:sz w:val="16"/>
            <w:szCs w:val="16"/>
            <w:lang w:val="en-US"/>
          </w:rPr>
          <w:t>Simon AK</w:t>
        </w:r>
      </w:hyperlink>
      <w:r w:rsidR="008F6FFE" w:rsidRPr="00717D4D">
        <w:rPr>
          <w:rFonts w:asciiTheme="minorHAnsi" w:hAnsiTheme="minorHAnsi" w:cstheme="minorHAnsi"/>
          <w:color w:val="1C1E21"/>
          <w:sz w:val="16"/>
          <w:szCs w:val="16"/>
          <w:lang w:val="en-US"/>
        </w:rPr>
        <w:t>1, </w:t>
      </w:r>
      <w:hyperlink r:id="rId869" w:history="1">
        <w:r w:rsidR="008F6FFE" w:rsidRPr="00717D4D">
          <w:rPr>
            <w:rFonts w:asciiTheme="minorHAnsi" w:hAnsiTheme="minorHAnsi" w:cstheme="minorHAnsi"/>
            <w:color w:val="1C1E21"/>
            <w:sz w:val="16"/>
            <w:szCs w:val="16"/>
            <w:lang w:val="en-US"/>
          </w:rPr>
          <w:t>Hollander GA</w:t>
        </w:r>
      </w:hyperlink>
      <w:r w:rsidR="008F6FFE" w:rsidRPr="00717D4D">
        <w:rPr>
          <w:rFonts w:asciiTheme="minorHAnsi" w:hAnsiTheme="minorHAnsi" w:cstheme="minorHAnsi"/>
          <w:color w:val="1C1E21"/>
          <w:sz w:val="16"/>
          <w:szCs w:val="16"/>
          <w:lang w:val="en-US"/>
        </w:rPr>
        <w:t>2, </w:t>
      </w:r>
      <w:hyperlink r:id="rId870" w:history="1">
        <w:r w:rsidR="008F6FFE" w:rsidRPr="00717D4D">
          <w:rPr>
            <w:rFonts w:asciiTheme="minorHAnsi" w:hAnsiTheme="minorHAnsi" w:cstheme="minorHAnsi"/>
            <w:color w:val="1C1E21"/>
            <w:sz w:val="16"/>
            <w:szCs w:val="16"/>
            <w:lang w:val="en-US"/>
          </w:rPr>
          <w:t>McMichael A</w:t>
        </w:r>
      </w:hyperlink>
      <w:r w:rsidR="008F6FFE" w:rsidRPr="00717D4D">
        <w:rPr>
          <w:rFonts w:asciiTheme="minorHAnsi" w:hAnsiTheme="minorHAnsi" w:cstheme="minorHAnsi"/>
          <w:color w:val="1C1E21"/>
          <w:sz w:val="16"/>
          <w:szCs w:val="16"/>
          <w:lang w:val="en-US"/>
        </w:rPr>
        <w:t>3.</w:t>
      </w:r>
    </w:p>
    <w:p w:rsidR="008F6FFE" w:rsidRPr="001B3870" w:rsidRDefault="0052743C" w:rsidP="001B3870">
      <w:pPr>
        <w:shd w:val="clear" w:color="auto" w:fill="FFFFFF"/>
        <w:outlineLvl w:val="0"/>
        <w:rPr>
          <w:rFonts w:asciiTheme="minorHAnsi" w:hAnsiTheme="minorHAnsi" w:cstheme="minorHAnsi"/>
          <w:color w:val="1C1E21"/>
          <w:sz w:val="16"/>
          <w:szCs w:val="16"/>
          <w:lang w:val="en-US"/>
        </w:rPr>
      </w:pPr>
      <w:hyperlink r:id="rId871" w:history="1">
        <w:r w:rsidR="008F6FFE" w:rsidRPr="001B3870">
          <w:rPr>
            <w:rFonts w:asciiTheme="minorHAnsi" w:hAnsiTheme="minorHAnsi" w:cstheme="minorHAnsi"/>
            <w:color w:val="1C1E21"/>
            <w:sz w:val="16"/>
            <w:szCs w:val="16"/>
            <w:lang w:val="en-US"/>
          </w:rPr>
          <w:t>https://www.ncbi.nlm.nih.gov/pmc/articles/PMC4707740/</w:t>
        </w:r>
      </w:hyperlink>
    </w:p>
    <w:p w:rsidR="008F6FFE" w:rsidRPr="001B3870" w:rsidRDefault="008F6FFE" w:rsidP="001B3870">
      <w:pPr>
        <w:rPr>
          <w:rFonts w:asciiTheme="minorHAnsi" w:hAnsiTheme="minorHAnsi" w:cstheme="minorHAnsi"/>
          <w:sz w:val="16"/>
          <w:szCs w:val="16"/>
          <w:lang w:val="en-US"/>
        </w:rPr>
      </w:pPr>
    </w:p>
    <w:p w:rsidR="008F6FFE" w:rsidRPr="00717D4D" w:rsidRDefault="008F6FFE" w:rsidP="00717D4D">
      <w:pPr>
        <w:shd w:val="clear" w:color="auto" w:fill="FFFFFF"/>
        <w:rPr>
          <w:rFonts w:asciiTheme="minorHAnsi" w:hAnsiTheme="minorHAnsi" w:cstheme="minorHAnsi"/>
          <w:color w:val="1C1E21"/>
          <w:sz w:val="16"/>
          <w:szCs w:val="16"/>
          <w:lang w:val="en-US"/>
        </w:rPr>
      </w:pPr>
      <w:r w:rsidRPr="00717D4D">
        <w:rPr>
          <w:rFonts w:asciiTheme="minorHAnsi" w:hAnsiTheme="minorHAnsi" w:cstheme="minorHAnsi"/>
          <w:color w:val="1C1E21"/>
          <w:sz w:val="16"/>
          <w:szCs w:val="16"/>
          <w:lang w:val="en-US"/>
        </w:rPr>
        <w:t xml:space="preserve">Electron J Gen Med. 2020;17(4):em202. </w:t>
      </w:r>
      <w:hyperlink r:id="rId872" w:history="1">
        <w:r w:rsidRPr="00717D4D">
          <w:rPr>
            <w:rFonts w:asciiTheme="minorHAnsi" w:hAnsiTheme="minorHAnsi" w:cstheme="minorHAnsi"/>
            <w:color w:val="1C1E21"/>
            <w:sz w:val="16"/>
            <w:szCs w:val="16"/>
            <w:lang w:val="en-US"/>
          </w:rPr>
          <w:t>https://doi.org/10.29333/ejgm/78</w:t>
        </w:r>
      </w:hyperlink>
      <w:r w:rsidRPr="00717D4D">
        <w:rPr>
          <w:rFonts w:asciiTheme="minorHAnsi" w:hAnsiTheme="minorHAnsi" w:cstheme="minorHAnsi"/>
          <w:color w:val="1C1E21"/>
          <w:sz w:val="16"/>
          <w:szCs w:val="16"/>
          <w:lang w:val="en-US"/>
        </w:rPr>
        <w:t>50</w:t>
      </w:r>
    </w:p>
    <w:p w:rsidR="008F6FFE" w:rsidRPr="00717D4D" w:rsidRDefault="008F6FFE" w:rsidP="00717D4D">
      <w:pPr>
        <w:shd w:val="clear" w:color="auto" w:fill="FFFFFF"/>
        <w:rPr>
          <w:rFonts w:asciiTheme="minorHAnsi" w:hAnsiTheme="minorHAnsi" w:cstheme="minorHAnsi"/>
          <w:color w:val="1C1E21"/>
          <w:sz w:val="16"/>
          <w:szCs w:val="16"/>
          <w:lang w:val="en-US"/>
        </w:rPr>
      </w:pPr>
      <w:r w:rsidRPr="00717D4D">
        <w:rPr>
          <w:rFonts w:asciiTheme="minorHAnsi" w:hAnsiTheme="minorHAnsi" w:cstheme="minorHAnsi"/>
          <w:color w:val="1C1E21"/>
          <w:sz w:val="16"/>
          <w:szCs w:val="16"/>
          <w:lang w:val="en-US"/>
        </w:rPr>
        <w:t xml:space="preserve">The Possible Immunological Pathways for the Variable Immunopathogenesis of COVID—19 Infections among Healthy Adults, Elderly and Children. </w:t>
      </w:r>
    </w:p>
    <w:p w:rsidR="008F6FFE" w:rsidRDefault="008F6FFE" w:rsidP="00717D4D">
      <w:pPr>
        <w:shd w:val="clear" w:color="auto" w:fill="FFFFFF"/>
        <w:rPr>
          <w:rFonts w:asciiTheme="minorHAnsi" w:hAnsiTheme="minorHAnsi" w:cstheme="minorHAnsi"/>
          <w:color w:val="1C1E21"/>
          <w:sz w:val="16"/>
          <w:szCs w:val="16"/>
          <w:lang w:val="en-US"/>
        </w:rPr>
      </w:pPr>
      <w:r w:rsidRPr="00717D4D">
        <w:rPr>
          <w:rFonts w:asciiTheme="minorHAnsi" w:hAnsiTheme="minorHAnsi" w:cstheme="minorHAnsi"/>
          <w:color w:val="1C1E21"/>
          <w:sz w:val="16"/>
          <w:szCs w:val="16"/>
          <w:lang w:val="en-US"/>
        </w:rPr>
        <w:t>Abdulamir AS, Hafidh RR.</w:t>
      </w:r>
    </w:p>
    <w:p w:rsidR="008F6FFE" w:rsidRPr="001B3870" w:rsidRDefault="0052743C" w:rsidP="001B3870">
      <w:pPr>
        <w:shd w:val="clear" w:color="auto" w:fill="FFFFFF"/>
        <w:rPr>
          <w:rFonts w:asciiTheme="minorHAnsi" w:hAnsiTheme="minorHAnsi" w:cstheme="minorHAnsi"/>
          <w:color w:val="1C1E21"/>
          <w:sz w:val="16"/>
          <w:szCs w:val="16"/>
          <w:lang w:val="en-US"/>
        </w:rPr>
      </w:pPr>
      <w:hyperlink r:id="rId873" w:history="1">
        <w:r w:rsidR="008F6FFE" w:rsidRPr="001B3870">
          <w:rPr>
            <w:rFonts w:asciiTheme="minorHAnsi" w:hAnsiTheme="minorHAnsi" w:cstheme="minorHAnsi"/>
            <w:color w:val="1C1E21"/>
            <w:sz w:val="16"/>
            <w:szCs w:val="16"/>
            <w:lang w:val="en-US"/>
          </w:rPr>
          <w:t>https://www.ejgm.co.uk/download/the-possible-immunological-pathways-for-the-variable-immunopathogenesis-of-covid-19-infections-among-7850.pdf</w:t>
        </w:r>
      </w:hyperlink>
    </w:p>
    <w:p w:rsidR="008F6FFE" w:rsidRPr="00717D4D" w:rsidRDefault="008F6FFE" w:rsidP="00717D4D">
      <w:pPr>
        <w:shd w:val="clear" w:color="auto" w:fill="FFFFFF"/>
        <w:rPr>
          <w:rFonts w:asciiTheme="minorHAnsi" w:hAnsiTheme="minorHAnsi" w:cstheme="minorHAnsi"/>
          <w:color w:val="1C1E21"/>
          <w:sz w:val="16"/>
          <w:szCs w:val="16"/>
          <w:lang w:val="en-US"/>
        </w:rPr>
      </w:pPr>
    </w:p>
    <w:p w:rsidR="008F6FFE" w:rsidRPr="00717D4D" w:rsidRDefault="0052743C" w:rsidP="00717D4D">
      <w:pPr>
        <w:shd w:val="clear" w:color="auto" w:fill="FFFFFF"/>
        <w:rPr>
          <w:rFonts w:asciiTheme="minorHAnsi" w:hAnsiTheme="minorHAnsi" w:cstheme="minorHAnsi"/>
          <w:color w:val="1C1E21"/>
          <w:sz w:val="16"/>
          <w:szCs w:val="16"/>
          <w:lang w:val="en-US"/>
        </w:rPr>
      </w:pPr>
      <w:hyperlink r:id="rId874" w:tooltip="Annals of the New York Academy of Sciences." w:history="1">
        <w:r w:rsidR="008F6FFE" w:rsidRPr="00717D4D">
          <w:rPr>
            <w:rFonts w:asciiTheme="minorHAnsi" w:hAnsiTheme="minorHAnsi" w:cstheme="minorHAnsi"/>
            <w:color w:val="1C1E21"/>
            <w:sz w:val="16"/>
            <w:szCs w:val="16"/>
            <w:lang w:val="en-US"/>
          </w:rPr>
          <w:t>Ann N Y Acad Sci.</w:t>
        </w:r>
      </w:hyperlink>
      <w:r w:rsidR="008F6FFE" w:rsidRPr="00717D4D">
        <w:rPr>
          <w:rFonts w:asciiTheme="minorHAnsi" w:hAnsiTheme="minorHAnsi" w:cstheme="minorHAnsi"/>
          <w:color w:val="1C1E21"/>
          <w:sz w:val="16"/>
          <w:szCs w:val="16"/>
          <w:lang w:val="en-US"/>
        </w:rPr>
        <w:t> 2000 Jun;908:244-54.</w:t>
      </w:r>
    </w:p>
    <w:p w:rsidR="008F6FFE" w:rsidRPr="00717D4D" w:rsidRDefault="008F6FFE" w:rsidP="00717D4D">
      <w:pPr>
        <w:shd w:val="clear" w:color="auto" w:fill="FFFFFF"/>
        <w:rPr>
          <w:rFonts w:asciiTheme="minorHAnsi" w:hAnsiTheme="minorHAnsi" w:cstheme="minorHAnsi"/>
          <w:color w:val="1C1E21"/>
          <w:sz w:val="16"/>
          <w:szCs w:val="16"/>
          <w:lang w:val="en-US"/>
        </w:rPr>
      </w:pPr>
      <w:r w:rsidRPr="00717D4D">
        <w:rPr>
          <w:rFonts w:asciiTheme="minorHAnsi" w:hAnsiTheme="minorHAnsi" w:cstheme="minorHAnsi"/>
          <w:color w:val="1C1E21"/>
          <w:sz w:val="16"/>
          <w:szCs w:val="16"/>
          <w:lang w:val="en-US"/>
        </w:rPr>
        <w:t>Inflamm-aging. An evolutionary perspective on immunosenescence.</w:t>
      </w:r>
    </w:p>
    <w:p w:rsidR="008F6FFE" w:rsidRPr="00F37F04" w:rsidRDefault="0052743C" w:rsidP="00717D4D">
      <w:pPr>
        <w:shd w:val="clear" w:color="auto" w:fill="FFFFFF"/>
        <w:rPr>
          <w:rFonts w:asciiTheme="minorHAnsi" w:hAnsiTheme="minorHAnsi" w:cstheme="minorHAnsi"/>
          <w:color w:val="1C1E21"/>
          <w:sz w:val="16"/>
          <w:szCs w:val="16"/>
        </w:rPr>
      </w:pPr>
      <w:hyperlink r:id="rId875" w:history="1">
        <w:r w:rsidR="008F6FFE" w:rsidRPr="00F37F04">
          <w:rPr>
            <w:rFonts w:asciiTheme="minorHAnsi" w:hAnsiTheme="minorHAnsi" w:cstheme="minorHAnsi"/>
            <w:color w:val="1C1E21"/>
            <w:sz w:val="16"/>
            <w:szCs w:val="16"/>
          </w:rPr>
          <w:t>Franceschi C</w:t>
        </w:r>
      </w:hyperlink>
      <w:r w:rsidR="008F6FFE" w:rsidRPr="00F37F04">
        <w:rPr>
          <w:rFonts w:asciiTheme="minorHAnsi" w:hAnsiTheme="minorHAnsi" w:cstheme="minorHAnsi"/>
          <w:color w:val="1C1E21"/>
          <w:sz w:val="16"/>
          <w:szCs w:val="16"/>
        </w:rPr>
        <w:t>1, </w:t>
      </w:r>
      <w:hyperlink r:id="rId876" w:history="1">
        <w:r w:rsidR="008F6FFE" w:rsidRPr="00F37F04">
          <w:rPr>
            <w:rFonts w:asciiTheme="minorHAnsi" w:hAnsiTheme="minorHAnsi" w:cstheme="minorHAnsi"/>
            <w:color w:val="1C1E21"/>
            <w:sz w:val="16"/>
            <w:szCs w:val="16"/>
          </w:rPr>
          <w:t>Bonafè M</w:t>
        </w:r>
      </w:hyperlink>
      <w:r w:rsidR="008F6FFE" w:rsidRPr="00F37F04">
        <w:rPr>
          <w:rFonts w:asciiTheme="minorHAnsi" w:hAnsiTheme="minorHAnsi" w:cstheme="minorHAnsi"/>
          <w:color w:val="1C1E21"/>
          <w:sz w:val="16"/>
          <w:szCs w:val="16"/>
        </w:rPr>
        <w:t>, </w:t>
      </w:r>
      <w:hyperlink r:id="rId877" w:history="1">
        <w:r w:rsidR="008F6FFE" w:rsidRPr="00F37F04">
          <w:rPr>
            <w:rFonts w:asciiTheme="minorHAnsi" w:hAnsiTheme="minorHAnsi" w:cstheme="minorHAnsi"/>
            <w:color w:val="1C1E21"/>
            <w:sz w:val="16"/>
            <w:szCs w:val="16"/>
          </w:rPr>
          <w:t>Valensin S</w:t>
        </w:r>
      </w:hyperlink>
      <w:r w:rsidR="008F6FFE" w:rsidRPr="00F37F04">
        <w:rPr>
          <w:rFonts w:asciiTheme="minorHAnsi" w:hAnsiTheme="minorHAnsi" w:cstheme="minorHAnsi"/>
          <w:color w:val="1C1E21"/>
          <w:sz w:val="16"/>
          <w:szCs w:val="16"/>
        </w:rPr>
        <w:t>, </w:t>
      </w:r>
      <w:hyperlink r:id="rId878" w:history="1">
        <w:r w:rsidR="008F6FFE" w:rsidRPr="00F37F04">
          <w:rPr>
            <w:rFonts w:asciiTheme="minorHAnsi" w:hAnsiTheme="minorHAnsi" w:cstheme="minorHAnsi"/>
            <w:color w:val="1C1E21"/>
            <w:sz w:val="16"/>
            <w:szCs w:val="16"/>
          </w:rPr>
          <w:t>Olivieri F</w:t>
        </w:r>
      </w:hyperlink>
      <w:r w:rsidR="008F6FFE" w:rsidRPr="00F37F04">
        <w:rPr>
          <w:rFonts w:asciiTheme="minorHAnsi" w:hAnsiTheme="minorHAnsi" w:cstheme="minorHAnsi"/>
          <w:color w:val="1C1E21"/>
          <w:sz w:val="16"/>
          <w:szCs w:val="16"/>
        </w:rPr>
        <w:t>, </w:t>
      </w:r>
      <w:hyperlink r:id="rId879" w:history="1">
        <w:r w:rsidR="008F6FFE" w:rsidRPr="00F37F04">
          <w:rPr>
            <w:rFonts w:asciiTheme="minorHAnsi" w:hAnsiTheme="minorHAnsi" w:cstheme="minorHAnsi"/>
            <w:color w:val="1C1E21"/>
            <w:sz w:val="16"/>
            <w:szCs w:val="16"/>
          </w:rPr>
          <w:t>De Luca M</w:t>
        </w:r>
      </w:hyperlink>
      <w:r w:rsidR="008F6FFE" w:rsidRPr="00F37F04">
        <w:rPr>
          <w:rFonts w:asciiTheme="minorHAnsi" w:hAnsiTheme="minorHAnsi" w:cstheme="minorHAnsi"/>
          <w:color w:val="1C1E21"/>
          <w:sz w:val="16"/>
          <w:szCs w:val="16"/>
        </w:rPr>
        <w:t>, </w:t>
      </w:r>
      <w:hyperlink r:id="rId880" w:history="1">
        <w:r w:rsidR="008F6FFE" w:rsidRPr="00F37F04">
          <w:rPr>
            <w:rFonts w:asciiTheme="minorHAnsi" w:hAnsiTheme="minorHAnsi" w:cstheme="minorHAnsi"/>
            <w:color w:val="1C1E21"/>
            <w:sz w:val="16"/>
            <w:szCs w:val="16"/>
          </w:rPr>
          <w:t>Ottaviani E</w:t>
        </w:r>
      </w:hyperlink>
      <w:r w:rsidR="008F6FFE" w:rsidRPr="00F37F04">
        <w:rPr>
          <w:rFonts w:asciiTheme="minorHAnsi" w:hAnsiTheme="minorHAnsi" w:cstheme="minorHAnsi"/>
          <w:color w:val="1C1E21"/>
          <w:sz w:val="16"/>
          <w:szCs w:val="16"/>
        </w:rPr>
        <w:t>, </w:t>
      </w:r>
      <w:hyperlink r:id="rId881" w:history="1">
        <w:r w:rsidR="008F6FFE" w:rsidRPr="00F37F04">
          <w:rPr>
            <w:rFonts w:asciiTheme="minorHAnsi" w:hAnsiTheme="minorHAnsi" w:cstheme="minorHAnsi"/>
            <w:color w:val="1C1E21"/>
            <w:sz w:val="16"/>
            <w:szCs w:val="16"/>
          </w:rPr>
          <w:t>De Benedictis G</w:t>
        </w:r>
      </w:hyperlink>
      <w:r w:rsidR="008F6FFE" w:rsidRPr="00F37F04">
        <w:rPr>
          <w:rFonts w:asciiTheme="minorHAnsi" w:hAnsiTheme="minorHAnsi" w:cstheme="minorHAnsi"/>
          <w:color w:val="1C1E21"/>
          <w:sz w:val="16"/>
          <w:szCs w:val="16"/>
        </w:rPr>
        <w:t>.</w:t>
      </w:r>
    </w:p>
    <w:p w:rsidR="008F6FFE" w:rsidRPr="00F37F04" w:rsidRDefault="0052743C" w:rsidP="001B3870">
      <w:pPr>
        <w:shd w:val="clear" w:color="auto" w:fill="FFFFFF"/>
        <w:rPr>
          <w:rFonts w:asciiTheme="minorHAnsi" w:hAnsiTheme="minorHAnsi" w:cstheme="minorHAnsi"/>
          <w:color w:val="1C1E21"/>
          <w:sz w:val="16"/>
          <w:szCs w:val="16"/>
        </w:rPr>
      </w:pPr>
      <w:hyperlink r:id="rId882" w:history="1">
        <w:r w:rsidR="008F6FFE" w:rsidRPr="00F37F04">
          <w:rPr>
            <w:rFonts w:asciiTheme="minorHAnsi" w:hAnsiTheme="minorHAnsi" w:cstheme="minorHAnsi"/>
            <w:color w:val="1C1E21"/>
            <w:sz w:val="16"/>
            <w:szCs w:val="16"/>
          </w:rPr>
          <w:t>https://pubmed.ncbi.nlm.nih.gov/10911963/</w:t>
        </w:r>
      </w:hyperlink>
    </w:p>
    <w:p w:rsidR="008F6FFE" w:rsidRPr="00F37F04" w:rsidRDefault="008F6FFE" w:rsidP="00717D4D">
      <w:pPr>
        <w:shd w:val="clear" w:color="auto" w:fill="FFFFFF"/>
        <w:rPr>
          <w:rFonts w:asciiTheme="minorHAnsi" w:hAnsiTheme="minorHAnsi" w:cstheme="minorHAnsi"/>
          <w:color w:val="1C1E21"/>
          <w:sz w:val="16"/>
          <w:szCs w:val="16"/>
        </w:rPr>
      </w:pPr>
    </w:p>
    <w:p w:rsidR="008F6FFE" w:rsidRPr="00717D4D" w:rsidRDefault="0052743C" w:rsidP="00717D4D">
      <w:pPr>
        <w:shd w:val="clear" w:color="auto" w:fill="FFFFFF"/>
        <w:rPr>
          <w:rFonts w:asciiTheme="minorHAnsi" w:hAnsiTheme="minorHAnsi" w:cstheme="minorHAnsi"/>
          <w:color w:val="1C1E21"/>
          <w:sz w:val="16"/>
          <w:szCs w:val="16"/>
          <w:lang w:val="en-US"/>
        </w:rPr>
      </w:pPr>
      <w:hyperlink r:id="rId883" w:tooltip="FEBS letters." w:history="1">
        <w:r w:rsidR="008F6FFE" w:rsidRPr="00717D4D">
          <w:rPr>
            <w:rFonts w:asciiTheme="minorHAnsi" w:hAnsiTheme="minorHAnsi" w:cstheme="minorHAnsi"/>
            <w:color w:val="1C1E21"/>
            <w:sz w:val="16"/>
            <w:szCs w:val="16"/>
            <w:lang w:val="en-US"/>
          </w:rPr>
          <w:t>FEBS Lett.</w:t>
        </w:r>
      </w:hyperlink>
      <w:r w:rsidR="008F6FFE" w:rsidRPr="00717D4D">
        <w:rPr>
          <w:rFonts w:asciiTheme="minorHAnsi" w:hAnsiTheme="minorHAnsi" w:cstheme="minorHAnsi"/>
          <w:color w:val="1C1E21"/>
          <w:sz w:val="16"/>
          <w:szCs w:val="16"/>
          <w:lang w:val="en-US"/>
        </w:rPr>
        <w:t> 2005 Apr 11;579(10):2035-9.</w:t>
      </w:r>
    </w:p>
    <w:p w:rsidR="008F6FFE" w:rsidRPr="00717D4D" w:rsidRDefault="008F6FFE" w:rsidP="00717D4D">
      <w:pPr>
        <w:shd w:val="clear" w:color="auto" w:fill="FFFFFF"/>
        <w:rPr>
          <w:rFonts w:asciiTheme="minorHAnsi" w:hAnsiTheme="minorHAnsi" w:cstheme="minorHAnsi"/>
          <w:color w:val="1C1E21"/>
          <w:sz w:val="16"/>
          <w:szCs w:val="16"/>
          <w:lang w:val="en-US"/>
        </w:rPr>
      </w:pPr>
      <w:r w:rsidRPr="00717D4D">
        <w:rPr>
          <w:rFonts w:asciiTheme="minorHAnsi" w:hAnsiTheme="minorHAnsi" w:cstheme="minorHAnsi"/>
          <w:color w:val="1C1E21"/>
          <w:sz w:val="16"/>
          <w:szCs w:val="16"/>
          <w:lang w:val="en-US"/>
        </w:rPr>
        <w:t>Inflamm-ageing and lifelong antigenic load as major determinants of ageing rate and longevity.</w:t>
      </w:r>
    </w:p>
    <w:p w:rsidR="008F6FFE" w:rsidRPr="001B3870" w:rsidRDefault="0052743C" w:rsidP="00717D4D">
      <w:pPr>
        <w:shd w:val="clear" w:color="auto" w:fill="FFFFFF"/>
        <w:rPr>
          <w:rFonts w:asciiTheme="minorHAnsi" w:hAnsiTheme="minorHAnsi" w:cstheme="minorHAnsi"/>
          <w:color w:val="1C1E21"/>
          <w:sz w:val="16"/>
          <w:szCs w:val="16"/>
        </w:rPr>
      </w:pPr>
      <w:hyperlink r:id="rId884" w:history="1">
        <w:r w:rsidR="008F6FFE" w:rsidRPr="001B3870">
          <w:rPr>
            <w:rFonts w:asciiTheme="minorHAnsi" w:hAnsiTheme="minorHAnsi" w:cstheme="minorHAnsi"/>
            <w:color w:val="1C1E21"/>
            <w:sz w:val="16"/>
            <w:szCs w:val="16"/>
          </w:rPr>
          <w:t>De Martinis M</w:t>
        </w:r>
      </w:hyperlink>
      <w:r w:rsidR="008F6FFE" w:rsidRPr="001B3870">
        <w:rPr>
          <w:rFonts w:asciiTheme="minorHAnsi" w:hAnsiTheme="minorHAnsi" w:cstheme="minorHAnsi"/>
          <w:color w:val="1C1E21"/>
          <w:sz w:val="16"/>
          <w:szCs w:val="16"/>
        </w:rPr>
        <w:t>1, </w:t>
      </w:r>
      <w:hyperlink r:id="rId885" w:history="1">
        <w:r w:rsidR="008F6FFE" w:rsidRPr="001B3870">
          <w:rPr>
            <w:rFonts w:asciiTheme="minorHAnsi" w:hAnsiTheme="minorHAnsi" w:cstheme="minorHAnsi"/>
            <w:color w:val="1C1E21"/>
            <w:sz w:val="16"/>
            <w:szCs w:val="16"/>
          </w:rPr>
          <w:t>Franceschi C</w:t>
        </w:r>
      </w:hyperlink>
      <w:r w:rsidR="008F6FFE" w:rsidRPr="001B3870">
        <w:rPr>
          <w:rFonts w:asciiTheme="minorHAnsi" w:hAnsiTheme="minorHAnsi" w:cstheme="minorHAnsi"/>
          <w:color w:val="1C1E21"/>
          <w:sz w:val="16"/>
          <w:szCs w:val="16"/>
        </w:rPr>
        <w:t>, </w:t>
      </w:r>
      <w:hyperlink r:id="rId886" w:history="1">
        <w:r w:rsidR="008F6FFE" w:rsidRPr="001B3870">
          <w:rPr>
            <w:rFonts w:asciiTheme="minorHAnsi" w:hAnsiTheme="minorHAnsi" w:cstheme="minorHAnsi"/>
            <w:color w:val="1C1E21"/>
            <w:sz w:val="16"/>
            <w:szCs w:val="16"/>
          </w:rPr>
          <w:t>Monti D</w:t>
        </w:r>
      </w:hyperlink>
      <w:r w:rsidR="008F6FFE" w:rsidRPr="001B3870">
        <w:rPr>
          <w:rFonts w:asciiTheme="minorHAnsi" w:hAnsiTheme="minorHAnsi" w:cstheme="minorHAnsi"/>
          <w:color w:val="1C1E21"/>
          <w:sz w:val="16"/>
          <w:szCs w:val="16"/>
        </w:rPr>
        <w:t>, </w:t>
      </w:r>
      <w:hyperlink r:id="rId887" w:history="1">
        <w:r w:rsidR="008F6FFE" w:rsidRPr="001B3870">
          <w:rPr>
            <w:rFonts w:asciiTheme="minorHAnsi" w:hAnsiTheme="minorHAnsi" w:cstheme="minorHAnsi"/>
            <w:color w:val="1C1E21"/>
            <w:sz w:val="16"/>
            <w:szCs w:val="16"/>
          </w:rPr>
          <w:t>Ginaldi L</w:t>
        </w:r>
      </w:hyperlink>
      <w:r w:rsidR="008F6FFE" w:rsidRPr="001B3870">
        <w:rPr>
          <w:rFonts w:asciiTheme="minorHAnsi" w:hAnsiTheme="minorHAnsi" w:cstheme="minorHAnsi"/>
          <w:color w:val="1C1E21"/>
          <w:sz w:val="16"/>
          <w:szCs w:val="16"/>
        </w:rPr>
        <w:t>.</w:t>
      </w:r>
    </w:p>
    <w:p w:rsidR="008F6FFE" w:rsidRPr="00A078ED" w:rsidRDefault="0052743C" w:rsidP="001B3870">
      <w:pPr>
        <w:shd w:val="clear" w:color="auto" w:fill="FFFFFF"/>
        <w:rPr>
          <w:rFonts w:asciiTheme="minorHAnsi" w:hAnsiTheme="minorHAnsi" w:cstheme="minorHAnsi"/>
          <w:color w:val="1C1E21"/>
          <w:sz w:val="16"/>
          <w:szCs w:val="16"/>
        </w:rPr>
      </w:pPr>
      <w:hyperlink r:id="rId888" w:history="1">
        <w:r w:rsidR="008F6FFE" w:rsidRPr="00A078ED">
          <w:rPr>
            <w:rFonts w:asciiTheme="minorHAnsi" w:hAnsiTheme="minorHAnsi" w:cstheme="minorHAnsi"/>
            <w:color w:val="1C1E21"/>
            <w:sz w:val="16"/>
            <w:szCs w:val="16"/>
          </w:rPr>
          <w:t>https://febs.onlinelibrary.wiley.com/doi/full/10.1016/j.febslet.2005.02.055</w:t>
        </w:r>
      </w:hyperlink>
    </w:p>
    <w:p w:rsidR="008F6FFE" w:rsidRPr="00A078ED" w:rsidRDefault="008F6FFE" w:rsidP="00717D4D">
      <w:pPr>
        <w:shd w:val="clear" w:color="auto" w:fill="FFFFFF"/>
        <w:rPr>
          <w:rFonts w:asciiTheme="minorHAnsi" w:hAnsiTheme="minorHAnsi" w:cstheme="minorHAnsi"/>
          <w:color w:val="1C1E21"/>
          <w:sz w:val="16"/>
          <w:szCs w:val="16"/>
        </w:rPr>
      </w:pPr>
    </w:p>
    <w:p w:rsidR="008F6FFE" w:rsidRPr="00717D4D" w:rsidRDefault="0052743C" w:rsidP="00717D4D">
      <w:pPr>
        <w:shd w:val="clear" w:color="auto" w:fill="FFFFFF"/>
        <w:rPr>
          <w:rFonts w:asciiTheme="minorHAnsi" w:hAnsiTheme="minorHAnsi" w:cstheme="minorHAnsi"/>
          <w:color w:val="1C1E21"/>
          <w:sz w:val="16"/>
          <w:szCs w:val="16"/>
          <w:lang w:val="en-US"/>
        </w:rPr>
      </w:pPr>
      <w:hyperlink r:id="rId889" w:tooltip="Endocrine, metabolic &amp; immune disorders drug targets." w:history="1">
        <w:r w:rsidR="008F6FFE" w:rsidRPr="00717D4D">
          <w:rPr>
            <w:rFonts w:asciiTheme="minorHAnsi" w:hAnsiTheme="minorHAnsi" w:cstheme="minorHAnsi"/>
            <w:color w:val="1C1E21"/>
            <w:sz w:val="16"/>
            <w:szCs w:val="16"/>
            <w:lang w:val="en-US"/>
          </w:rPr>
          <w:t>Endocr Metab Immune Disord Drug Targets.</w:t>
        </w:r>
      </w:hyperlink>
      <w:r w:rsidR="008F6FFE" w:rsidRPr="00717D4D">
        <w:rPr>
          <w:rFonts w:asciiTheme="minorHAnsi" w:hAnsiTheme="minorHAnsi" w:cstheme="minorHAnsi"/>
          <w:color w:val="1C1E21"/>
          <w:sz w:val="16"/>
          <w:szCs w:val="16"/>
          <w:lang w:val="en-US"/>
        </w:rPr>
        <w:t xml:space="preserve"> 2020 Apr 6. doi: 10.2174/1871530320666200406123734. </w:t>
      </w:r>
    </w:p>
    <w:p w:rsidR="008F6FFE" w:rsidRPr="00717D4D" w:rsidRDefault="008F6FFE" w:rsidP="00717D4D">
      <w:pPr>
        <w:shd w:val="clear" w:color="auto" w:fill="FFFFFF"/>
        <w:rPr>
          <w:rFonts w:asciiTheme="minorHAnsi" w:hAnsiTheme="minorHAnsi" w:cstheme="minorHAnsi"/>
          <w:color w:val="1C1E21"/>
          <w:sz w:val="16"/>
          <w:szCs w:val="16"/>
          <w:lang w:val="en-US"/>
        </w:rPr>
      </w:pPr>
      <w:r w:rsidRPr="00717D4D">
        <w:rPr>
          <w:rFonts w:asciiTheme="minorHAnsi" w:hAnsiTheme="minorHAnsi" w:cstheme="minorHAnsi"/>
          <w:color w:val="1C1E21"/>
          <w:sz w:val="16"/>
          <w:szCs w:val="16"/>
          <w:lang w:val="en-US"/>
        </w:rPr>
        <w:t>Peripheral Immunosenescence and Central Neuroinflammation: A Dangerous Liaison. A Dietary Approach.</w:t>
      </w:r>
    </w:p>
    <w:p w:rsidR="008F6FFE" w:rsidRPr="00F37F04" w:rsidRDefault="0052743C" w:rsidP="00717D4D">
      <w:pPr>
        <w:shd w:val="clear" w:color="auto" w:fill="FFFFFF"/>
        <w:rPr>
          <w:rFonts w:asciiTheme="minorHAnsi" w:hAnsiTheme="minorHAnsi" w:cstheme="minorHAnsi"/>
          <w:color w:val="1C1E21"/>
          <w:sz w:val="16"/>
          <w:szCs w:val="16"/>
        </w:rPr>
      </w:pPr>
      <w:hyperlink r:id="rId890" w:history="1">
        <w:r w:rsidR="008F6FFE" w:rsidRPr="00F37F04">
          <w:rPr>
            <w:rFonts w:asciiTheme="minorHAnsi" w:hAnsiTheme="minorHAnsi" w:cstheme="minorHAnsi"/>
            <w:color w:val="1C1E21"/>
            <w:sz w:val="16"/>
            <w:szCs w:val="16"/>
          </w:rPr>
          <w:t>Magrone T</w:t>
        </w:r>
      </w:hyperlink>
      <w:r w:rsidR="008F6FFE" w:rsidRPr="00F37F04">
        <w:rPr>
          <w:rFonts w:asciiTheme="minorHAnsi" w:hAnsiTheme="minorHAnsi" w:cstheme="minorHAnsi"/>
          <w:color w:val="1C1E21"/>
          <w:sz w:val="16"/>
          <w:szCs w:val="16"/>
        </w:rPr>
        <w:t>1, </w:t>
      </w:r>
      <w:hyperlink r:id="rId891" w:history="1">
        <w:r w:rsidR="008F6FFE" w:rsidRPr="00F37F04">
          <w:rPr>
            <w:rFonts w:asciiTheme="minorHAnsi" w:hAnsiTheme="minorHAnsi" w:cstheme="minorHAnsi"/>
            <w:color w:val="1C1E21"/>
            <w:sz w:val="16"/>
            <w:szCs w:val="16"/>
          </w:rPr>
          <w:t>Magrone M</w:t>
        </w:r>
      </w:hyperlink>
      <w:r w:rsidR="008F6FFE" w:rsidRPr="00F37F04">
        <w:rPr>
          <w:rFonts w:asciiTheme="minorHAnsi" w:hAnsiTheme="minorHAnsi" w:cstheme="minorHAnsi"/>
          <w:color w:val="1C1E21"/>
          <w:sz w:val="16"/>
          <w:szCs w:val="16"/>
        </w:rPr>
        <w:t>1, </w:t>
      </w:r>
      <w:hyperlink r:id="rId892" w:history="1">
        <w:r w:rsidR="008F6FFE" w:rsidRPr="00F37F04">
          <w:rPr>
            <w:rFonts w:asciiTheme="minorHAnsi" w:hAnsiTheme="minorHAnsi" w:cstheme="minorHAnsi"/>
            <w:color w:val="1C1E21"/>
            <w:sz w:val="16"/>
            <w:szCs w:val="16"/>
          </w:rPr>
          <w:t>Russo MA</w:t>
        </w:r>
      </w:hyperlink>
      <w:r w:rsidR="008F6FFE" w:rsidRPr="00F37F04">
        <w:rPr>
          <w:rFonts w:asciiTheme="minorHAnsi" w:hAnsiTheme="minorHAnsi" w:cstheme="minorHAnsi"/>
          <w:color w:val="1C1E21"/>
          <w:sz w:val="16"/>
          <w:szCs w:val="16"/>
        </w:rPr>
        <w:t>2, </w:t>
      </w:r>
      <w:hyperlink r:id="rId893" w:history="1">
        <w:r w:rsidR="008F6FFE" w:rsidRPr="00F37F04">
          <w:rPr>
            <w:rFonts w:asciiTheme="minorHAnsi" w:hAnsiTheme="minorHAnsi" w:cstheme="minorHAnsi"/>
            <w:color w:val="1C1E21"/>
            <w:sz w:val="16"/>
            <w:szCs w:val="16"/>
          </w:rPr>
          <w:t>Jirillo E</w:t>
        </w:r>
      </w:hyperlink>
      <w:r w:rsidR="008F6FFE" w:rsidRPr="00F37F04">
        <w:rPr>
          <w:rFonts w:asciiTheme="minorHAnsi" w:hAnsiTheme="minorHAnsi" w:cstheme="minorHAnsi"/>
          <w:color w:val="1C1E21"/>
          <w:sz w:val="16"/>
          <w:szCs w:val="16"/>
        </w:rPr>
        <w:t>1.</w:t>
      </w:r>
    </w:p>
    <w:p w:rsidR="008F6FFE" w:rsidRPr="00F37F04" w:rsidRDefault="0052743C" w:rsidP="001B3870">
      <w:pPr>
        <w:shd w:val="clear" w:color="auto" w:fill="FFFFFF"/>
        <w:rPr>
          <w:rFonts w:asciiTheme="minorHAnsi" w:hAnsiTheme="minorHAnsi" w:cstheme="minorHAnsi"/>
          <w:color w:val="1C1E21"/>
          <w:sz w:val="16"/>
          <w:szCs w:val="16"/>
        </w:rPr>
      </w:pPr>
      <w:hyperlink r:id="rId894" w:history="1">
        <w:r w:rsidR="008F6FFE" w:rsidRPr="00F37F04">
          <w:rPr>
            <w:rFonts w:asciiTheme="minorHAnsi" w:hAnsiTheme="minorHAnsi" w:cstheme="minorHAnsi"/>
            <w:color w:val="1C1E21"/>
            <w:sz w:val="16"/>
            <w:szCs w:val="16"/>
          </w:rPr>
          <w:t>https://pubmed.ncbi.nlm.nih.gov/32250234/</w:t>
        </w:r>
      </w:hyperlink>
    </w:p>
    <w:p w:rsidR="008F6FFE" w:rsidRPr="00F37F04" w:rsidRDefault="008F6FFE" w:rsidP="00717D4D">
      <w:pPr>
        <w:shd w:val="clear" w:color="auto" w:fill="FFFFFF"/>
        <w:rPr>
          <w:rFonts w:asciiTheme="minorHAnsi" w:hAnsiTheme="minorHAnsi" w:cstheme="minorHAnsi"/>
          <w:color w:val="1C1E21"/>
          <w:sz w:val="16"/>
          <w:szCs w:val="16"/>
        </w:rPr>
      </w:pPr>
    </w:p>
    <w:p w:rsidR="008F6FFE" w:rsidRPr="00717D4D" w:rsidRDefault="0052743C" w:rsidP="00717D4D">
      <w:pPr>
        <w:shd w:val="clear" w:color="auto" w:fill="FFFFFF"/>
        <w:rPr>
          <w:rFonts w:asciiTheme="minorHAnsi" w:hAnsiTheme="minorHAnsi" w:cstheme="minorHAnsi"/>
          <w:color w:val="1C1E21"/>
          <w:sz w:val="16"/>
          <w:szCs w:val="16"/>
          <w:lang w:val="en-US"/>
        </w:rPr>
      </w:pPr>
      <w:hyperlink r:id="rId895" w:tooltip="European heart journal." w:history="1">
        <w:r w:rsidR="008F6FFE" w:rsidRPr="00717D4D">
          <w:rPr>
            <w:rFonts w:asciiTheme="minorHAnsi" w:hAnsiTheme="minorHAnsi" w:cstheme="minorHAnsi"/>
            <w:color w:val="1C1E21"/>
            <w:sz w:val="16"/>
            <w:szCs w:val="16"/>
            <w:lang w:val="en-US"/>
          </w:rPr>
          <w:t>Eur Heart J.</w:t>
        </w:r>
      </w:hyperlink>
      <w:r w:rsidR="008F6FFE" w:rsidRPr="00717D4D">
        <w:rPr>
          <w:rFonts w:asciiTheme="minorHAnsi" w:hAnsiTheme="minorHAnsi" w:cstheme="minorHAnsi"/>
          <w:color w:val="1C1E21"/>
          <w:sz w:val="16"/>
          <w:szCs w:val="16"/>
          <w:lang w:val="en-US"/>
        </w:rPr>
        <w:t xml:space="preserve"> 2020 Feb 1. pii: ehz961. doi: 10.1093/eurheartj/ehz961. </w:t>
      </w:r>
    </w:p>
    <w:p w:rsidR="008F6FFE" w:rsidRPr="00717D4D" w:rsidRDefault="008F6FFE" w:rsidP="00717D4D">
      <w:pPr>
        <w:shd w:val="clear" w:color="auto" w:fill="FFFFFF"/>
        <w:rPr>
          <w:rFonts w:asciiTheme="minorHAnsi" w:hAnsiTheme="minorHAnsi" w:cstheme="minorHAnsi"/>
          <w:color w:val="1C1E21"/>
          <w:sz w:val="16"/>
          <w:szCs w:val="16"/>
          <w:lang w:val="en-US"/>
        </w:rPr>
      </w:pPr>
      <w:r w:rsidRPr="00717D4D">
        <w:rPr>
          <w:rFonts w:asciiTheme="minorHAnsi" w:hAnsiTheme="minorHAnsi" w:cstheme="minorHAnsi"/>
          <w:color w:val="1C1E21"/>
          <w:sz w:val="16"/>
          <w:szCs w:val="16"/>
          <w:lang w:val="en-US"/>
        </w:rPr>
        <w:t>Inflamm-ageing: the role of inflammation in age-dependent cardiovascular disease.</w:t>
      </w:r>
    </w:p>
    <w:p w:rsidR="008F6FFE" w:rsidRPr="001B3870" w:rsidRDefault="0052743C" w:rsidP="00717D4D">
      <w:pPr>
        <w:shd w:val="clear" w:color="auto" w:fill="FFFFFF"/>
        <w:rPr>
          <w:rFonts w:asciiTheme="minorHAnsi" w:hAnsiTheme="minorHAnsi" w:cstheme="minorHAnsi"/>
          <w:color w:val="1C1E21"/>
          <w:sz w:val="16"/>
          <w:szCs w:val="16"/>
        </w:rPr>
      </w:pPr>
      <w:hyperlink r:id="rId896" w:history="1">
        <w:r w:rsidR="008F6FFE" w:rsidRPr="001B3870">
          <w:rPr>
            <w:rFonts w:asciiTheme="minorHAnsi" w:hAnsiTheme="minorHAnsi" w:cstheme="minorHAnsi"/>
            <w:color w:val="1C1E21"/>
            <w:sz w:val="16"/>
            <w:szCs w:val="16"/>
          </w:rPr>
          <w:t>Liberale L</w:t>
        </w:r>
      </w:hyperlink>
      <w:r w:rsidR="008F6FFE" w:rsidRPr="001B3870">
        <w:rPr>
          <w:rFonts w:asciiTheme="minorHAnsi" w:hAnsiTheme="minorHAnsi" w:cstheme="minorHAnsi"/>
          <w:color w:val="1C1E21"/>
          <w:sz w:val="16"/>
          <w:szCs w:val="16"/>
        </w:rPr>
        <w:t>1,2, </w:t>
      </w:r>
      <w:hyperlink r:id="rId897" w:history="1">
        <w:r w:rsidR="008F6FFE" w:rsidRPr="001B3870">
          <w:rPr>
            <w:rFonts w:asciiTheme="minorHAnsi" w:hAnsiTheme="minorHAnsi" w:cstheme="minorHAnsi"/>
            <w:color w:val="1C1E21"/>
            <w:sz w:val="16"/>
            <w:szCs w:val="16"/>
          </w:rPr>
          <w:t>Montecucco F</w:t>
        </w:r>
      </w:hyperlink>
      <w:r w:rsidR="008F6FFE" w:rsidRPr="001B3870">
        <w:rPr>
          <w:rFonts w:asciiTheme="minorHAnsi" w:hAnsiTheme="minorHAnsi" w:cstheme="minorHAnsi"/>
          <w:color w:val="1C1E21"/>
          <w:sz w:val="16"/>
          <w:szCs w:val="16"/>
        </w:rPr>
        <w:t>3,4, </w:t>
      </w:r>
      <w:hyperlink r:id="rId898" w:history="1">
        <w:r w:rsidR="008F6FFE" w:rsidRPr="001B3870">
          <w:rPr>
            <w:rFonts w:asciiTheme="minorHAnsi" w:hAnsiTheme="minorHAnsi" w:cstheme="minorHAnsi"/>
            <w:color w:val="1C1E21"/>
            <w:sz w:val="16"/>
            <w:szCs w:val="16"/>
          </w:rPr>
          <w:t>Tardif JC</w:t>
        </w:r>
      </w:hyperlink>
      <w:r w:rsidR="008F6FFE" w:rsidRPr="001B3870">
        <w:rPr>
          <w:rFonts w:asciiTheme="minorHAnsi" w:hAnsiTheme="minorHAnsi" w:cstheme="minorHAnsi"/>
          <w:color w:val="1C1E21"/>
          <w:sz w:val="16"/>
          <w:szCs w:val="16"/>
        </w:rPr>
        <w:t>5, </w:t>
      </w:r>
      <w:hyperlink r:id="rId899" w:history="1">
        <w:r w:rsidR="008F6FFE" w:rsidRPr="001B3870">
          <w:rPr>
            <w:rFonts w:asciiTheme="minorHAnsi" w:hAnsiTheme="minorHAnsi" w:cstheme="minorHAnsi"/>
            <w:color w:val="1C1E21"/>
            <w:sz w:val="16"/>
            <w:szCs w:val="16"/>
          </w:rPr>
          <w:t>Libby P</w:t>
        </w:r>
      </w:hyperlink>
      <w:r w:rsidR="008F6FFE" w:rsidRPr="001B3870">
        <w:rPr>
          <w:rFonts w:asciiTheme="minorHAnsi" w:hAnsiTheme="minorHAnsi" w:cstheme="minorHAnsi"/>
          <w:color w:val="1C1E21"/>
          <w:sz w:val="16"/>
          <w:szCs w:val="16"/>
        </w:rPr>
        <w:t>6, </w:t>
      </w:r>
      <w:hyperlink r:id="rId900" w:history="1">
        <w:r w:rsidR="008F6FFE" w:rsidRPr="001B3870">
          <w:rPr>
            <w:rFonts w:asciiTheme="minorHAnsi" w:hAnsiTheme="minorHAnsi" w:cstheme="minorHAnsi"/>
            <w:color w:val="1C1E21"/>
            <w:sz w:val="16"/>
            <w:szCs w:val="16"/>
          </w:rPr>
          <w:t>Camici GG</w:t>
        </w:r>
      </w:hyperlink>
      <w:r w:rsidR="008F6FFE" w:rsidRPr="001B3870">
        <w:rPr>
          <w:rFonts w:asciiTheme="minorHAnsi" w:hAnsiTheme="minorHAnsi" w:cstheme="minorHAnsi"/>
          <w:color w:val="1C1E21"/>
          <w:sz w:val="16"/>
          <w:szCs w:val="16"/>
        </w:rPr>
        <w:t>1,7,8.</w:t>
      </w:r>
    </w:p>
    <w:p w:rsidR="008F6FFE" w:rsidRPr="00A078ED" w:rsidRDefault="0052743C" w:rsidP="001B3870">
      <w:pPr>
        <w:shd w:val="clear" w:color="auto" w:fill="FFFFFF"/>
        <w:rPr>
          <w:rFonts w:asciiTheme="minorHAnsi" w:hAnsiTheme="minorHAnsi" w:cstheme="minorHAnsi"/>
          <w:color w:val="1C1E21"/>
          <w:sz w:val="16"/>
          <w:szCs w:val="16"/>
        </w:rPr>
      </w:pPr>
      <w:hyperlink r:id="rId901" w:history="1">
        <w:r w:rsidR="008F6FFE" w:rsidRPr="00A078ED">
          <w:rPr>
            <w:rFonts w:asciiTheme="minorHAnsi" w:hAnsiTheme="minorHAnsi" w:cstheme="minorHAnsi"/>
            <w:color w:val="1C1E21"/>
            <w:sz w:val="16"/>
            <w:szCs w:val="16"/>
          </w:rPr>
          <w:t>https://pubmed.ncbi.nlm.nih.gov/32006431/</w:t>
        </w:r>
      </w:hyperlink>
    </w:p>
    <w:p w:rsidR="008F6FFE" w:rsidRPr="00A078ED" w:rsidRDefault="008F6FFE" w:rsidP="00717D4D">
      <w:pPr>
        <w:shd w:val="clear" w:color="auto" w:fill="FFFFFF"/>
        <w:rPr>
          <w:rFonts w:asciiTheme="minorHAnsi" w:hAnsiTheme="minorHAnsi" w:cstheme="minorHAnsi"/>
          <w:color w:val="1C1E21"/>
          <w:sz w:val="16"/>
          <w:szCs w:val="16"/>
        </w:rPr>
      </w:pPr>
    </w:p>
    <w:p w:rsidR="008F6FFE" w:rsidRPr="00717D4D" w:rsidRDefault="0052743C" w:rsidP="00717D4D">
      <w:pPr>
        <w:shd w:val="clear" w:color="auto" w:fill="FFFFFF"/>
        <w:rPr>
          <w:rFonts w:asciiTheme="minorHAnsi" w:hAnsiTheme="minorHAnsi" w:cstheme="minorHAnsi"/>
          <w:color w:val="1C1E21"/>
          <w:sz w:val="16"/>
          <w:szCs w:val="16"/>
          <w:lang w:val="en-US"/>
        </w:rPr>
      </w:pPr>
      <w:hyperlink r:id="rId902" w:tooltip="Clinical and experimental immunology." w:history="1">
        <w:r w:rsidR="008F6FFE" w:rsidRPr="00717D4D">
          <w:rPr>
            <w:rFonts w:asciiTheme="minorHAnsi" w:hAnsiTheme="minorHAnsi" w:cstheme="minorHAnsi"/>
            <w:color w:val="1C1E21"/>
            <w:sz w:val="16"/>
            <w:szCs w:val="16"/>
            <w:lang w:val="en-US"/>
          </w:rPr>
          <w:t>Clin Exp Immunol.</w:t>
        </w:r>
      </w:hyperlink>
      <w:r w:rsidR="008F6FFE" w:rsidRPr="00717D4D">
        <w:rPr>
          <w:rFonts w:asciiTheme="minorHAnsi" w:hAnsiTheme="minorHAnsi" w:cstheme="minorHAnsi"/>
          <w:color w:val="1C1E21"/>
          <w:sz w:val="16"/>
          <w:szCs w:val="16"/>
          <w:lang w:val="en-US"/>
        </w:rPr>
        <w:t xml:space="preserve"> 2017 Jan;187(1):16-25. doi: 10.1111/cei.12881. </w:t>
      </w:r>
    </w:p>
    <w:p w:rsidR="008F6FFE" w:rsidRPr="00717D4D" w:rsidRDefault="008F6FFE" w:rsidP="00717D4D">
      <w:pPr>
        <w:shd w:val="clear" w:color="auto" w:fill="FFFFFF"/>
        <w:rPr>
          <w:rFonts w:asciiTheme="minorHAnsi" w:hAnsiTheme="minorHAnsi" w:cstheme="minorHAnsi"/>
          <w:color w:val="1C1E21"/>
          <w:sz w:val="16"/>
          <w:szCs w:val="16"/>
          <w:lang w:val="en-US"/>
        </w:rPr>
      </w:pPr>
      <w:r w:rsidRPr="00717D4D">
        <w:rPr>
          <w:rFonts w:asciiTheme="minorHAnsi" w:hAnsiTheme="minorHAnsi" w:cstheme="minorHAnsi"/>
          <w:color w:val="1C1E21"/>
          <w:sz w:val="16"/>
          <w:szCs w:val="16"/>
          <w:lang w:val="en-US"/>
        </w:rPr>
        <w:t>Innate immune responses in the ageing lung.</w:t>
      </w:r>
    </w:p>
    <w:p w:rsidR="008F6FFE" w:rsidRPr="00A078ED" w:rsidRDefault="0052743C" w:rsidP="00717D4D">
      <w:pPr>
        <w:shd w:val="clear" w:color="auto" w:fill="FFFFFF"/>
        <w:rPr>
          <w:rFonts w:asciiTheme="minorHAnsi" w:hAnsiTheme="minorHAnsi" w:cstheme="minorHAnsi"/>
          <w:color w:val="1C1E21"/>
          <w:sz w:val="16"/>
          <w:szCs w:val="16"/>
        </w:rPr>
      </w:pPr>
      <w:hyperlink r:id="rId903" w:history="1">
        <w:r w:rsidR="008F6FFE" w:rsidRPr="00A078ED">
          <w:rPr>
            <w:rFonts w:asciiTheme="minorHAnsi" w:hAnsiTheme="minorHAnsi" w:cstheme="minorHAnsi"/>
            <w:color w:val="1C1E21"/>
            <w:sz w:val="16"/>
            <w:szCs w:val="16"/>
          </w:rPr>
          <w:t>Boe DM</w:t>
        </w:r>
      </w:hyperlink>
      <w:r w:rsidR="008F6FFE" w:rsidRPr="00A078ED">
        <w:rPr>
          <w:rFonts w:asciiTheme="minorHAnsi" w:hAnsiTheme="minorHAnsi" w:cstheme="minorHAnsi"/>
          <w:color w:val="1C1E21"/>
          <w:sz w:val="16"/>
          <w:szCs w:val="16"/>
        </w:rPr>
        <w:t>1, </w:t>
      </w:r>
      <w:hyperlink r:id="rId904" w:history="1">
        <w:r w:rsidR="008F6FFE" w:rsidRPr="00A078ED">
          <w:rPr>
            <w:rFonts w:asciiTheme="minorHAnsi" w:hAnsiTheme="minorHAnsi" w:cstheme="minorHAnsi"/>
            <w:color w:val="1C1E21"/>
            <w:sz w:val="16"/>
            <w:szCs w:val="16"/>
          </w:rPr>
          <w:t>Boule LA</w:t>
        </w:r>
      </w:hyperlink>
      <w:r w:rsidR="008F6FFE" w:rsidRPr="00A078ED">
        <w:rPr>
          <w:rFonts w:asciiTheme="minorHAnsi" w:hAnsiTheme="minorHAnsi" w:cstheme="minorHAnsi"/>
          <w:color w:val="1C1E21"/>
          <w:sz w:val="16"/>
          <w:szCs w:val="16"/>
        </w:rPr>
        <w:t>1, </w:t>
      </w:r>
      <w:hyperlink r:id="rId905" w:history="1">
        <w:r w:rsidR="008F6FFE" w:rsidRPr="00A078ED">
          <w:rPr>
            <w:rFonts w:asciiTheme="minorHAnsi" w:hAnsiTheme="minorHAnsi" w:cstheme="minorHAnsi"/>
            <w:color w:val="1C1E21"/>
            <w:sz w:val="16"/>
            <w:szCs w:val="16"/>
          </w:rPr>
          <w:t>Kovacs EJ</w:t>
        </w:r>
      </w:hyperlink>
      <w:r w:rsidR="008F6FFE" w:rsidRPr="00A078ED">
        <w:rPr>
          <w:rFonts w:asciiTheme="minorHAnsi" w:hAnsiTheme="minorHAnsi" w:cstheme="minorHAnsi"/>
          <w:color w:val="1C1E21"/>
          <w:sz w:val="16"/>
          <w:szCs w:val="16"/>
        </w:rPr>
        <w:t>1.</w:t>
      </w:r>
    </w:p>
    <w:p w:rsidR="008F6FFE" w:rsidRPr="00A078ED" w:rsidRDefault="0052743C" w:rsidP="001B3870">
      <w:pPr>
        <w:shd w:val="clear" w:color="auto" w:fill="FFFFFF"/>
        <w:rPr>
          <w:rFonts w:asciiTheme="minorHAnsi" w:hAnsiTheme="minorHAnsi" w:cstheme="minorHAnsi"/>
          <w:color w:val="1C1E21"/>
          <w:sz w:val="16"/>
          <w:szCs w:val="16"/>
        </w:rPr>
      </w:pPr>
      <w:hyperlink r:id="rId906" w:history="1">
        <w:r w:rsidR="008F6FFE" w:rsidRPr="00A078ED">
          <w:rPr>
            <w:rFonts w:asciiTheme="minorHAnsi" w:hAnsiTheme="minorHAnsi" w:cstheme="minorHAnsi"/>
            <w:color w:val="1C1E21"/>
            <w:sz w:val="16"/>
            <w:szCs w:val="16"/>
          </w:rPr>
          <w:t>https://www.ncbi.nlm.nih.gov/pmc/articles/PMC5167032/</w:t>
        </w:r>
      </w:hyperlink>
    </w:p>
    <w:p w:rsidR="008F6FFE" w:rsidRPr="00A078ED" w:rsidRDefault="008F6FFE" w:rsidP="00717D4D">
      <w:pPr>
        <w:shd w:val="clear" w:color="auto" w:fill="FFFFFF"/>
        <w:rPr>
          <w:rFonts w:asciiTheme="minorHAnsi" w:hAnsiTheme="minorHAnsi" w:cstheme="minorHAnsi"/>
          <w:color w:val="1C1E21"/>
          <w:sz w:val="16"/>
          <w:szCs w:val="16"/>
        </w:rPr>
      </w:pPr>
    </w:p>
  </w:footnote>
  <w:footnote w:id="118">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lang w:val="en-US"/>
        </w:rPr>
        <w:t xml:space="preserve"> Indian J Pediatr. 2020 May 14:1–10. doi: 10.1007/s12098-020-03322-y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Pathophysiology of COVID-19: Why Children Fare Better than Adults?</w:t>
      </w:r>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Dhochak N, Singhal T, Kabra SK, Lodha R.</w:t>
      </w:r>
    </w:p>
    <w:p w:rsidR="008F6FFE" w:rsidRPr="00235A16" w:rsidRDefault="0052743C" w:rsidP="001B3870">
      <w:pPr>
        <w:shd w:val="clear" w:color="auto" w:fill="FFFFFF"/>
        <w:rPr>
          <w:rFonts w:asciiTheme="minorHAnsi" w:hAnsiTheme="minorHAnsi" w:cstheme="minorHAnsi"/>
          <w:color w:val="000000" w:themeColor="text1"/>
          <w:sz w:val="16"/>
          <w:szCs w:val="16"/>
          <w:lang w:val="de-DE"/>
        </w:rPr>
      </w:pPr>
      <w:hyperlink r:id="rId907" w:history="1">
        <w:r w:rsidR="008F6FFE" w:rsidRPr="00235A16">
          <w:rPr>
            <w:rFonts w:asciiTheme="minorHAnsi" w:hAnsiTheme="minorHAnsi" w:cstheme="minorHAnsi"/>
            <w:color w:val="000000" w:themeColor="text1"/>
            <w:sz w:val="16"/>
            <w:szCs w:val="16"/>
            <w:lang w:val="de-DE"/>
          </w:rPr>
          <w:t>https://www.ncbi.nlm.nih.gov/pmc/articles/PMC7221011/</w:t>
        </w:r>
      </w:hyperlink>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Acta Biomed 2020 May 11;91(2):214-215.  doi: 10.23750/abm.v91i2.9563.</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SARS-CoV-2 Infection in Children in Parma</w:t>
      </w:r>
    </w:p>
    <w:p w:rsidR="008F6FFE" w:rsidRPr="00A078ED" w:rsidRDefault="0052743C" w:rsidP="00717D4D">
      <w:pPr>
        <w:shd w:val="clear" w:color="auto" w:fill="FFFFFF"/>
        <w:rPr>
          <w:rFonts w:asciiTheme="minorHAnsi" w:hAnsiTheme="minorHAnsi" w:cstheme="minorHAnsi"/>
          <w:color w:val="000000" w:themeColor="text1"/>
          <w:sz w:val="16"/>
          <w:szCs w:val="16"/>
        </w:rPr>
      </w:pPr>
      <w:hyperlink r:id="rId908" w:history="1">
        <w:r w:rsidR="008F6FFE" w:rsidRPr="00A078ED">
          <w:rPr>
            <w:rFonts w:asciiTheme="minorHAnsi" w:hAnsiTheme="minorHAnsi" w:cstheme="minorHAnsi"/>
            <w:color w:val="000000" w:themeColor="text1"/>
            <w:sz w:val="16"/>
            <w:szCs w:val="16"/>
          </w:rPr>
          <w:t>Icilio Dodi</w:t>
        </w:r>
      </w:hyperlink>
      <w:r w:rsidR="008F6FFE" w:rsidRPr="00A078ED">
        <w:rPr>
          <w:rFonts w:asciiTheme="minorHAnsi" w:hAnsiTheme="minorHAnsi" w:cstheme="minorHAnsi"/>
          <w:color w:val="000000" w:themeColor="text1"/>
          <w:sz w:val="16"/>
          <w:szCs w:val="16"/>
        </w:rPr>
        <w:t> et al</w:t>
      </w:r>
    </w:p>
    <w:p w:rsidR="008F6FFE" w:rsidRPr="00717D4D" w:rsidRDefault="0052743C" w:rsidP="001B3870">
      <w:pPr>
        <w:shd w:val="clear" w:color="auto" w:fill="FFFFFF"/>
        <w:rPr>
          <w:rFonts w:asciiTheme="minorHAnsi" w:hAnsiTheme="minorHAnsi" w:cstheme="minorHAnsi"/>
          <w:color w:val="000000" w:themeColor="text1"/>
          <w:sz w:val="16"/>
          <w:szCs w:val="16"/>
        </w:rPr>
      </w:pPr>
      <w:hyperlink r:id="rId909" w:history="1">
        <w:r w:rsidR="008F6FFE" w:rsidRPr="00A078ED">
          <w:rPr>
            <w:rFonts w:asciiTheme="minorHAnsi" w:hAnsiTheme="minorHAnsi" w:cstheme="minorHAnsi"/>
            <w:color w:val="000000" w:themeColor="text1"/>
            <w:sz w:val="16"/>
            <w:szCs w:val="16"/>
          </w:rPr>
          <w:t>https://www.mattioli1885journals.com/index.php/actabiomedica/article/view/9563/8770</w:t>
        </w:r>
      </w:hyperlink>
    </w:p>
  </w:footnote>
  <w:footnote w:id="119">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color w:val="000000" w:themeColor="text1"/>
          <w:sz w:val="16"/>
          <w:szCs w:val="16"/>
        </w:rPr>
        <w:footnoteRef/>
      </w:r>
      <w:r w:rsidRPr="00A078ED">
        <w:rPr>
          <w:rFonts w:asciiTheme="minorHAnsi" w:hAnsiTheme="minorHAnsi"/>
          <w:color w:val="000000" w:themeColor="text1"/>
          <w:sz w:val="16"/>
          <w:szCs w:val="16"/>
          <w:lang w:val="en-US"/>
        </w:rPr>
        <w:t xml:space="preserve"> </w:t>
      </w:r>
      <w:r w:rsidRPr="00A078ED">
        <w:rPr>
          <w:rFonts w:asciiTheme="minorHAnsi" w:hAnsiTheme="minorHAnsi" w:cstheme="minorHAnsi"/>
          <w:color w:val="000000" w:themeColor="text1"/>
          <w:sz w:val="16"/>
          <w:szCs w:val="16"/>
          <w:lang w:val="en-US"/>
        </w:rPr>
        <w:t>N Engl J Med 2020 Apr 23;382(17):1663-1665.  </w:t>
      </w:r>
      <w:r w:rsidRPr="00717D4D">
        <w:rPr>
          <w:rFonts w:asciiTheme="minorHAnsi" w:hAnsiTheme="minorHAnsi" w:cstheme="minorHAnsi"/>
          <w:color w:val="000000" w:themeColor="text1"/>
          <w:sz w:val="16"/>
          <w:szCs w:val="16"/>
          <w:lang w:val="en-US"/>
        </w:rPr>
        <w:t>doi: 10.1056/NEJMc2005073.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SARS-CoV-2 Infection in Children</w:t>
      </w:r>
    </w:p>
    <w:p w:rsidR="008F6FFE" w:rsidRPr="00A078ED" w:rsidRDefault="0052743C" w:rsidP="00717D4D">
      <w:pPr>
        <w:shd w:val="clear" w:color="auto" w:fill="FFFFFF"/>
        <w:rPr>
          <w:rFonts w:asciiTheme="minorHAnsi" w:hAnsiTheme="minorHAnsi" w:cstheme="minorHAnsi"/>
          <w:color w:val="000000" w:themeColor="text1"/>
          <w:sz w:val="16"/>
          <w:szCs w:val="16"/>
        </w:rPr>
      </w:pPr>
      <w:hyperlink r:id="rId910" w:history="1">
        <w:r w:rsidR="008F6FFE" w:rsidRPr="00A078ED">
          <w:rPr>
            <w:rFonts w:asciiTheme="minorHAnsi" w:hAnsiTheme="minorHAnsi" w:cstheme="minorHAnsi"/>
            <w:color w:val="000000" w:themeColor="text1"/>
            <w:sz w:val="16"/>
            <w:szCs w:val="16"/>
          </w:rPr>
          <w:t>Xiaoxia Lu</w:t>
        </w:r>
      </w:hyperlink>
      <w:r w:rsidR="008F6FFE" w:rsidRPr="00A078ED">
        <w:rPr>
          <w:rFonts w:asciiTheme="minorHAnsi" w:hAnsiTheme="minorHAnsi" w:cstheme="minorHAnsi"/>
          <w:color w:val="000000" w:themeColor="text1"/>
          <w:sz w:val="16"/>
          <w:szCs w:val="16"/>
        </w:rPr>
        <w:t> </w:t>
      </w:r>
      <w:r w:rsidR="008F6FFE" w:rsidRPr="00A078ED">
        <w:rPr>
          <w:rFonts w:asciiTheme="minorHAnsi" w:hAnsiTheme="minorHAnsi"/>
          <w:sz w:val="16"/>
          <w:szCs w:val="16"/>
        </w:rPr>
        <w:t>et al</w:t>
      </w:r>
    </w:p>
    <w:p w:rsidR="008F6FFE" w:rsidRPr="00A078ED" w:rsidRDefault="0052743C" w:rsidP="0052255F">
      <w:pPr>
        <w:shd w:val="clear" w:color="auto" w:fill="FFFFFF"/>
        <w:rPr>
          <w:rFonts w:asciiTheme="minorHAnsi" w:hAnsiTheme="minorHAnsi" w:cstheme="minorHAnsi"/>
          <w:color w:val="000000" w:themeColor="text1"/>
          <w:sz w:val="16"/>
          <w:szCs w:val="16"/>
        </w:rPr>
      </w:pPr>
      <w:hyperlink r:id="rId911" w:history="1">
        <w:r w:rsidR="008F6FFE" w:rsidRPr="00A078ED">
          <w:rPr>
            <w:rFonts w:asciiTheme="minorHAnsi" w:hAnsiTheme="minorHAnsi" w:cstheme="minorHAnsi"/>
            <w:color w:val="000000" w:themeColor="text1"/>
            <w:sz w:val="16"/>
            <w:szCs w:val="16"/>
          </w:rPr>
          <w:t>https://www.ncbi.nlm.nih.gov/pmc/articles/PMC7121177/</w:t>
        </w:r>
      </w:hyperlink>
    </w:p>
    <w:p w:rsidR="008F6FFE" w:rsidRPr="00A078ED" w:rsidRDefault="008F6FFE" w:rsidP="0052255F">
      <w:pPr>
        <w:shd w:val="clear" w:color="auto" w:fill="FFFFFF"/>
        <w:rPr>
          <w:rFonts w:asciiTheme="minorHAnsi" w:hAnsiTheme="minorHAnsi" w:cstheme="minorHAnsi"/>
          <w:color w:val="000000" w:themeColor="text1"/>
          <w:sz w:val="16"/>
          <w:szCs w:val="16"/>
        </w:rPr>
      </w:pPr>
    </w:p>
    <w:p w:rsidR="008F6FFE" w:rsidRPr="00717D4D" w:rsidRDefault="008F6FFE" w:rsidP="0052255F">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MMWR Morb Mortal Wkly Rep. 2020; 10.15585/mmwr.mm6914e4</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CDC COVID-19 Response Team. Coronavirus disease 2019 in children — United States, February 12–April 2, 2020.</w:t>
      </w:r>
    </w:p>
    <w:p w:rsidR="008F6FFE" w:rsidRPr="0052255F" w:rsidRDefault="0052743C" w:rsidP="0052255F">
      <w:pPr>
        <w:shd w:val="clear" w:color="auto" w:fill="FFFFFF"/>
        <w:rPr>
          <w:rFonts w:asciiTheme="minorHAnsi" w:hAnsiTheme="minorHAnsi" w:cstheme="minorHAnsi"/>
          <w:color w:val="000000" w:themeColor="text1"/>
          <w:sz w:val="16"/>
          <w:szCs w:val="16"/>
          <w:lang w:val="en-US"/>
        </w:rPr>
      </w:pPr>
      <w:hyperlink r:id="rId912" w:history="1">
        <w:r w:rsidR="008F6FFE" w:rsidRPr="0052255F">
          <w:rPr>
            <w:rFonts w:asciiTheme="minorHAnsi" w:hAnsiTheme="minorHAnsi" w:cstheme="minorHAnsi"/>
            <w:color w:val="000000" w:themeColor="text1"/>
            <w:sz w:val="16"/>
            <w:szCs w:val="16"/>
            <w:lang w:val="en-US"/>
          </w:rPr>
          <w:t>https://www.ncbi.nlm.nih.gov/pmc/articles/PMC7147903/</w:t>
        </w:r>
      </w:hyperlink>
    </w:p>
    <w:p w:rsidR="008F6FFE" w:rsidRPr="0052255F"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Pediatrics. 2020:e20200702. 10.1542/peds.2020-0702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Epidemiology of COVID-19 among children in China. </w:t>
      </w:r>
    </w:p>
    <w:p w:rsidR="008F6FFE" w:rsidRDefault="0052743C" w:rsidP="00717D4D">
      <w:pPr>
        <w:shd w:val="clear" w:color="auto" w:fill="FFFFFF"/>
        <w:rPr>
          <w:rFonts w:asciiTheme="minorHAnsi" w:hAnsiTheme="minorHAnsi" w:cstheme="minorHAnsi"/>
          <w:color w:val="000000" w:themeColor="text1"/>
          <w:sz w:val="16"/>
          <w:szCs w:val="16"/>
          <w:lang w:val="en-US"/>
        </w:rPr>
      </w:pPr>
      <w:hyperlink r:id="rId913" w:history="1">
        <w:r w:rsidR="008F6FFE" w:rsidRPr="00717D4D">
          <w:rPr>
            <w:rFonts w:asciiTheme="minorHAnsi" w:hAnsiTheme="minorHAnsi" w:cstheme="minorHAnsi"/>
            <w:color w:val="000000" w:themeColor="text1"/>
            <w:sz w:val="16"/>
            <w:szCs w:val="16"/>
            <w:lang w:val="en-US"/>
          </w:rPr>
          <w:t>Yuanyuan Dong</w:t>
        </w:r>
      </w:hyperlink>
      <w:r w:rsidR="008F6FFE" w:rsidRPr="00717D4D">
        <w:rPr>
          <w:rFonts w:asciiTheme="minorHAnsi" w:hAnsiTheme="minorHAnsi" w:cstheme="minorHAnsi"/>
          <w:color w:val="000000" w:themeColor="text1"/>
          <w:sz w:val="16"/>
          <w:szCs w:val="16"/>
          <w:lang w:val="en-US"/>
        </w:rPr>
        <w:t> </w:t>
      </w:r>
      <w:hyperlink r:id="rId914"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915" w:anchor="affiliation-2" w:history="1">
        <w:r w:rsidR="008F6FFE" w:rsidRPr="00717D4D">
          <w:rPr>
            <w:rFonts w:asciiTheme="minorHAnsi" w:hAnsiTheme="minorHAnsi" w:cstheme="minorHAnsi"/>
            <w:color w:val="000000" w:themeColor="text1"/>
            <w:sz w:val="16"/>
            <w:szCs w:val="16"/>
            <w:lang w:val="en-US"/>
          </w:rPr>
          <w:t>2</w:t>
        </w:r>
      </w:hyperlink>
      <w:r w:rsidR="008F6FFE" w:rsidRPr="00717D4D">
        <w:rPr>
          <w:rFonts w:asciiTheme="minorHAnsi" w:hAnsiTheme="minorHAnsi" w:cstheme="minorHAnsi"/>
          <w:color w:val="000000" w:themeColor="text1"/>
          <w:sz w:val="16"/>
          <w:szCs w:val="16"/>
          <w:lang w:val="en-US"/>
        </w:rPr>
        <w:t> </w:t>
      </w:r>
      <w:hyperlink r:id="rId916" w:anchor="affiliation-3" w:history="1">
        <w:r w:rsidR="008F6FFE" w:rsidRPr="00717D4D">
          <w:rPr>
            <w:rFonts w:asciiTheme="minorHAnsi" w:hAnsiTheme="minorHAnsi" w:cstheme="minorHAnsi"/>
            <w:color w:val="000000" w:themeColor="text1"/>
            <w:sz w:val="16"/>
            <w:szCs w:val="16"/>
            <w:lang w:val="en-US"/>
          </w:rPr>
          <w:t>3</w:t>
        </w:r>
      </w:hyperlink>
      <w:r w:rsidR="008F6FFE" w:rsidRPr="00717D4D">
        <w:rPr>
          <w:rFonts w:asciiTheme="minorHAnsi" w:hAnsiTheme="minorHAnsi" w:cstheme="minorHAnsi"/>
          <w:color w:val="000000" w:themeColor="text1"/>
          <w:sz w:val="16"/>
          <w:szCs w:val="16"/>
          <w:lang w:val="en-US"/>
        </w:rPr>
        <w:t>, </w:t>
      </w:r>
      <w:hyperlink r:id="rId917" w:history="1">
        <w:r w:rsidR="008F6FFE" w:rsidRPr="00717D4D">
          <w:rPr>
            <w:rFonts w:asciiTheme="minorHAnsi" w:hAnsiTheme="minorHAnsi" w:cstheme="minorHAnsi"/>
            <w:color w:val="000000" w:themeColor="text1"/>
            <w:sz w:val="16"/>
            <w:szCs w:val="16"/>
            <w:lang w:val="en-US"/>
          </w:rPr>
          <w:t>Xi Mo</w:t>
        </w:r>
      </w:hyperlink>
      <w:r w:rsidR="008F6FFE" w:rsidRPr="00717D4D">
        <w:rPr>
          <w:rFonts w:asciiTheme="minorHAnsi" w:hAnsiTheme="minorHAnsi" w:cstheme="minorHAnsi"/>
          <w:color w:val="000000" w:themeColor="text1"/>
          <w:sz w:val="16"/>
          <w:szCs w:val="16"/>
          <w:lang w:val="en-US"/>
        </w:rPr>
        <w:t> </w:t>
      </w:r>
      <w:hyperlink r:id="rId918"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919" w:anchor="affiliation-3" w:history="1">
        <w:r w:rsidR="008F6FFE" w:rsidRPr="00717D4D">
          <w:rPr>
            <w:rFonts w:asciiTheme="minorHAnsi" w:hAnsiTheme="minorHAnsi" w:cstheme="minorHAnsi"/>
            <w:color w:val="000000" w:themeColor="text1"/>
            <w:sz w:val="16"/>
            <w:szCs w:val="16"/>
            <w:lang w:val="en-US"/>
          </w:rPr>
          <w:t>3</w:t>
        </w:r>
      </w:hyperlink>
      <w:r w:rsidR="008F6FFE" w:rsidRPr="00717D4D">
        <w:rPr>
          <w:rFonts w:asciiTheme="minorHAnsi" w:hAnsiTheme="minorHAnsi" w:cstheme="minorHAnsi"/>
          <w:color w:val="000000" w:themeColor="text1"/>
          <w:sz w:val="16"/>
          <w:szCs w:val="16"/>
          <w:lang w:val="en-US"/>
        </w:rPr>
        <w:t>, </w:t>
      </w:r>
      <w:hyperlink r:id="rId920" w:history="1">
        <w:r w:rsidR="008F6FFE" w:rsidRPr="00717D4D">
          <w:rPr>
            <w:rFonts w:asciiTheme="minorHAnsi" w:hAnsiTheme="minorHAnsi" w:cstheme="minorHAnsi"/>
            <w:color w:val="000000" w:themeColor="text1"/>
            <w:sz w:val="16"/>
            <w:szCs w:val="16"/>
            <w:lang w:val="en-US"/>
          </w:rPr>
          <w:t>Yabin Hu</w:t>
        </w:r>
      </w:hyperlink>
      <w:r w:rsidR="008F6FFE" w:rsidRPr="00717D4D">
        <w:rPr>
          <w:rFonts w:asciiTheme="minorHAnsi" w:hAnsiTheme="minorHAnsi" w:cstheme="minorHAnsi"/>
          <w:color w:val="000000" w:themeColor="text1"/>
          <w:sz w:val="16"/>
          <w:szCs w:val="16"/>
          <w:lang w:val="en-US"/>
        </w:rPr>
        <w:t> </w:t>
      </w:r>
      <w:hyperlink r:id="rId921"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922" w:history="1">
        <w:r w:rsidR="008F6FFE" w:rsidRPr="00717D4D">
          <w:rPr>
            <w:rFonts w:asciiTheme="minorHAnsi" w:hAnsiTheme="minorHAnsi" w:cstheme="minorHAnsi"/>
            <w:color w:val="000000" w:themeColor="text1"/>
            <w:sz w:val="16"/>
            <w:szCs w:val="16"/>
            <w:lang w:val="en-US"/>
          </w:rPr>
          <w:t>Xin Qi</w:t>
        </w:r>
      </w:hyperlink>
      <w:r w:rsidR="008F6FFE" w:rsidRPr="00717D4D">
        <w:rPr>
          <w:rFonts w:asciiTheme="minorHAnsi" w:hAnsiTheme="minorHAnsi" w:cstheme="minorHAnsi"/>
          <w:color w:val="000000" w:themeColor="text1"/>
          <w:sz w:val="16"/>
          <w:szCs w:val="16"/>
          <w:lang w:val="en-US"/>
        </w:rPr>
        <w:t> </w:t>
      </w:r>
      <w:hyperlink r:id="rId923" w:anchor="affiliation-4" w:history="1">
        <w:r w:rsidR="008F6FFE" w:rsidRPr="00717D4D">
          <w:rPr>
            <w:rFonts w:asciiTheme="minorHAnsi" w:hAnsiTheme="minorHAnsi" w:cstheme="minorHAnsi"/>
            <w:color w:val="000000" w:themeColor="text1"/>
            <w:sz w:val="16"/>
            <w:szCs w:val="16"/>
            <w:lang w:val="en-US"/>
          </w:rPr>
          <w:t>4</w:t>
        </w:r>
      </w:hyperlink>
      <w:r w:rsidR="008F6FFE" w:rsidRPr="00717D4D">
        <w:rPr>
          <w:rFonts w:asciiTheme="minorHAnsi" w:hAnsiTheme="minorHAnsi" w:cstheme="minorHAnsi"/>
          <w:color w:val="000000" w:themeColor="text1"/>
          <w:sz w:val="16"/>
          <w:szCs w:val="16"/>
          <w:lang w:val="en-US"/>
        </w:rPr>
        <w:t>, </w:t>
      </w:r>
      <w:hyperlink r:id="rId924" w:history="1">
        <w:r w:rsidR="008F6FFE" w:rsidRPr="00717D4D">
          <w:rPr>
            <w:rFonts w:asciiTheme="minorHAnsi" w:hAnsiTheme="minorHAnsi" w:cstheme="minorHAnsi"/>
            <w:color w:val="000000" w:themeColor="text1"/>
            <w:sz w:val="16"/>
            <w:szCs w:val="16"/>
            <w:lang w:val="en-US"/>
          </w:rPr>
          <w:t>Fan Jiang</w:t>
        </w:r>
      </w:hyperlink>
      <w:r w:rsidR="008F6FFE" w:rsidRPr="00717D4D">
        <w:rPr>
          <w:rFonts w:asciiTheme="minorHAnsi" w:hAnsiTheme="minorHAnsi" w:cstheme="minorHAnsi"/>
          <w:color w:val="000000" w:themeColor="text1"/>
          <w:sz w:val="16"/>
          <w:szCs w:val="16"/>
          <w:lang w:val="en-US"/>
        </w:rPr>
        <w:t> </w:t>
      </w:r>
      <w:hyperlink r:id="rId925"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926" w:history="1">
        <w:r w:rsidR="008F6FFE" w:rsidRPr="00717D4D">
          <w:rPr>
            <w:rFonts w:asciiTheme="minorHAnsi" w:hAnsiTheme="minorHAnsi" w:cstheme="minorHAnsi"/>
            <w:color w:val="000000" w:themeColor="text1"/>
            <w:sz w:val="16"/>
            <w:szCs w:val="16"/>
            <w:lang w:val="en-US"/>
          </w:rPr>
          <w:t>Zhongyi Jiang</w:t>
        </w:r>
      </w:hyperlink>
      <w:r w:rsidR="008F6FFE" w:rsidRPr="00717D4D">
        <w:rPr>
          <w:rFonts w:asciiTheme="minorHAnsi" w:hAnsiTheme="minorHAnsi" w:cstheme="minorHAnsi"/>
          <w:color w:val="000000" w:themeColor="text1"/>
          <w:sz w:val="16"/>
          <w:szCs w:val="16"/>
          <w:lang w:val="en-US"/>
        </w:rPr>
        <w:t> </w:t>
      </w:r>
      <w:hyperlink r:id="rId927"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928" w:anchor="affiliation-2" w:history="1">
        <w:r w:rsidR="008F6FFE" w:rsidRPr="00717D4D">
          <w:rPr>
            <w:rFonts w:asciiTheme="minorHAnsi" w:hAnsiTheme="minorHAnsi" w:cstheme="minorHAnsi"/>
            <w:color w:val="000000" w:themeColor="text1"/>
            <w:sz w:val="16"/>
            <w:szCs w:val="16"/>
            <w:lang w:val="en-US"/>
          </w:rPr>
          <w:t>2</w:t>
        </w:r>
      </w:hyperlink>
      <w:r w:rsidR="008F6FFE" w:rsidRPr="00717D4D">
        <w:rPr>
          <w:rFonts w:asciiTheme="minorHAnsi" w:hAnsiTheme="minorHAnsi" w:cstheme="minorHAnsi"/>
          <w:color w:val="000000" w:themeColor="text1"/>
          <w:sz w:val="16"/>
          <w:szCs w:val="16"/>
          <w:lang w:val="en-US"/>
        </w:rPr>
        <w:t>, </w:t>
      </w:r>
      <w:hyperlink r:id="rId929" w:history="1">
        <w:r w:rsidR="008F6FFE" w:rsidRPr="00717D4D">
          <w:rPr>
            <w:rFonts w:asciiTheme="minorHAnsi" w:hAnsiTheme="minorHAnsi" w:cstheme="minorHAnsi"/>
            <w:color w:val="000000" w:themeColor="text1"/>
            <w:sz w:val="16"/>
            <w:szCs w:val="16"/>
            <w:lang w:val="en-US"/>
          </w:rPr>
          <w:t>Shilu Tong</w:t>
        </w:r>
      </w:hyperlink>
      <w:r w:rsidR="008F6FFE" w:rsidRPr="00717D4D">
        <w:rPr>
          <w:rFonts w:asciiTheme="minorHAnsi" w:hAnsiTheme="minorHAnsi" w:cstheme="minorHAnsi"/>
          <w:color w:val="000000" w:themeColor="text1"/>
          <w:sz w:val="16"/>
          <w:szCs w:val="16"/>
          <w:lang w:val="en-US"/>
        </w:rPr>
        <w:t> </w:t>
      </w:r>
    </w:p>
    <w:p w:rsidR="008F6FFE" w:rsidRPr="00717D4D" w:rsidRDefault="0052743C" w:rsidP="0052255F">
      <w:pPr>
        <w:shd w:val="clear" w:color="auto" w:fill="FFFFFF"/>
        <w:rPr>
          <w:rFonts w:asciiTheme="minorHAnsi" w:hAnsiTheme="minorHAnsi" w:cstheme="minorHAnsi"/>
          <w:color w:val="000000" w:themeColor="text1"/>
          <w:sz w:val="16"/>
          <w:szCs w:val="16"/>
          <w:lang w:val="en-US"/>
        </w:rPr>
      </w:pPr>
      <w:hyperlink r:id="rId930" w:history="1">
        <w:r w:rsidR="008F6FFE" w:rsidRPr="0052255F">
          <w:rPr>
            <w:rFonts w:asciiTheme="minorHAnsi" w:hAnsiTheme="minorHAnsi" w:cstheme="minorHAnsi"/>
            <w:color w:val="000000" w:themeColor="text1"/>
            <w:sz w:val="16"/>
            <w:szCs w:val="16"/>
            <w:lang w:val="en-US"/>
          </w:rPr>
          <w:t>https://pediatrics.aappublications.org/content/145/6/e20200702.long</w:t>
        </w:r>
      </w:hyperlink>
    </w:p>
    <w:p w:rsidR="008F6FFE" w:rsidRPr="00717D4D" w:rsidRDefault="008F6FFE" w:rsidP="00717D4D">
      <w:pPr>
        <w:pStyle w:val="FootnoteText"/>
        <w:rPr>
          <w:rFonts w:asciiTheme="minorHAnsi" w:hAnsiTheme="minorHAnsi"/>
          <w:color w:val="000000" w:themeColor="text1"/>
          <w:sz w:val="16"/>
          <w:szCs w:val="16"/>
          <w:lang w:val="en-US"/>
        </w:rPr>
      </w:pPr>
    </w:p>
  </w:footnote>
  <w:footnote w:id="120">
    <w:p w:rsidR="008F6FFE" w:rsidRPr="00165563" w:rsidRDefault="008F6FFE" w:rsidP="00FC0838">
      <w:pPr>
        <w:rPr>
          <w:rStyle w:val="Hyperlink"/>
          <w:rFonts w:asciiTheme="minorHAnsi" w:eastAsiaTheme="majorEastAsia" w:hAnsiTheme="minorHAnsi" w:cstheme="minorHAnsi"/>
          <w:color w:val="000000" w:themeColor="text1"/>
          <w:sz w:val="16"/>
          <w:szCs w:val="16"/>
          <w:u w:val="none"/>
          <w:lang w:val="en-US"/>
        </w:rPr>
      </w:pPr>
      <w:r w:rsidRPr="00717D4D">
        <w:rPr>
          <w:rStyle w:val="FootnoteReference"/>
          <w:rFonts w:asciiTheme="minorHAnsi" w:hAnsiTheme="minorHAnsi" w:cstheme="minorHAnsi"/>
          <w:color w:val="000000" w:themeColor="text1"/>
          <w:sz w:val="16"/>
          <w:szCs w:val="16"/>
        </w:rPr>
        <w:footnoteRef/>
      </w:r>
      <w:r w:rsidRPr="00717D4D">
        <w:rPr>
          <w:rFonts w:asciiTheme="minorHAnsi" w:hAnsiTheme="minorHAnsi" w:cstheme="minorHAnsi"/>
          <w:color w:val="000000" w:themeColor="text1"/>
          <w:sz w:val="16"/>
          <w:szCs w:val="16"/>
          <w:lang w:val="en-US"/>
        </w:rPr>
        <w:t xml:space="preserve"> </w:t>
      </w:r>
      <w:hyperlink r:id="rId931" w:history="1">
        <w:r w:rsidRPr="00165563">
          <w:rPr>
            <w:rStyle w:val="Hyperlink"/>
            <w:rFonts w:asciiTheme="minorHAnsi" w:eastAsiaTheme="majorEastAsia" w:hAnsiTheme="minorHAnsi" w:cstheme="minorHAnsi"/>
            <w:color w:val="000000" w:themeColor="text1"/>
            <w:sz w:val="16"/>
            <w:szCs w:val="16"/>
            <w:u w:val="none"/>
            <w:lang w:val="en-US"/>
          </w:rPr>
          <w:t>https://www.fip-ifp.org/wp-content/uploads/2020/04/acroischemia-ENG.pdf</w:t>
        </w:r>
      </w:hyperlink>
    </w:p>
    <w:p w:rsidR="008F6FFE" w:rsidRPr="00717D4D" w:rsidRDefault="008F6FFE" w:rsidP="00FC0838">
      <w:pPr>
        <w:rPr>
          <w:rFonts w:asciiTheme="minorHAnsi" w:hAnsiTheme="minorHAnsi" w:cstheme="minorHAnsi"/>
          <w:color w:val="000000" w:themeColor="text1"/>
          <w:sz w:val="16"/>
          <w:szCs w:val="16"/>
          <w:lang w:val="en-US"/>
        </w:rPr>
      </w:pPr>
    </w:p>
    <w:p w:rsidR="008F6FFE" w:rsidRPr="00717D4D" w:rsidRDefault="008F6FFE" w:rsidP="00FC0838">
      <w:pPr>
        <w:shd w:val="clear" w:color="auto" w:fill="FFFFFF"/>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rPr>
        <w:t>Pediatr Dermatol. 2020;10.1111/pde.14210. doi:10.1111/pde.14210</w:t>
      </w: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Chilblains-like lesions in children following suspected Covid-19 infection </w:t>
      </w:r>
    </w:p>
    <w:p w:rsidR="008F6FFE" w:rsidRPr="00717D4D" w:rsidRDefault="008F6FFE" w:rsidP="00FC0838">
      <w:pPr>
        <w:shd w:val="clear" w:color="auto" w:fill="FFFFFF"/>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rPr>
        <w:t>Colonna C, Monzani NA, Rocchi A, Gianotti R, Boggio F, Gelmetti C.</w:t>
      </w:r>
    </w:p>
    <w:p w:rsidR="008F6FFE" w:rsidRPr="0052255F" w:rsidRDefault="0052743C" w:rsidP="00FC0838">
      <w:pPr>
        <w:shd w:val="clear" w:color="auto" w:fill="FFFFFF"/>
        <w:rPr>
          <w:rFonts w:asciiTheme="minorHAnsi" w:hAnsiTheme="minorHAnsi" w:cstheme="minorHAnsi"/>
          <w:color w:val="000000" w:themeColor="text1"/>
          <w:sz w:val="16"/>
          <w:szCs w:val="16"/>
        </w:rPr>
      </w:pPr>
      <w:hyperlink r:id="rId932" w:history="1">
        <w:r w:rsidR="008F6FFE" w:rsidRPr="0052255F">
          <w:rPr>
            <w:rFonts w:asciiTheme="minorHAnsi" w:hAnsiTheme="minorHAnsi" w:cstheme="minorHAnsi"/>
            <w:color w:val="000000" w:themeColor="text1"/>
            <w:sz w:val="16"/>
            <w:szCs w:val="16"/>
          </w:rPr>
          <w:t>https://www.ncbi.nlm.nih.gov/pmc/articles/PMC7283832/pdf/PDE-9999-na.pdf</w:t>
        </w:r>
      </w:hyperlink>
    </w:p>
    <w:p w:rsidR="008F6FFE" w:rsidRPr="00717D4D" w:rsidRDefault="008F6FFE" w:rsidP="00FC0838">
      <w:pPr>
        <w:shd w:val="clear" w:color="auto" w:fill="FFFFFF"/>
        <w:rPr>
          <w:rFonts w:asciiTheme="minorHAnsi" w:hAnsiTheme="minorHAnsi" w:cstheme="minorHAnsi"/>
          <w:color w:val="000000" w:themeColor="text1"/>
          <w:sz w:val="16"/>
          <w:szCs w:val="16"/>
        </w:rPr>
      </w:pPr>
    </w:p>
    <w:p w:rsidR="008F6FFE" w:rsidRPr="00A078ED" w:rsidRDefault="008F6FFE" w:rsidP="00FC0838">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Pain Ther. 2020;1‐3. doi:10.1007/s40122-020-00174-4</w:t>
      </w:r>
    </w:p>
    <w:p w:rsidR="008F6FFE" w:rsidRPr="00A078ED" w:rsidRDefault="008F6FFE" w:rsidP="00FC0838">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Images in Practice: Painful Cutaneous Vasculitis in a SARS-Cov-2 IgG-Positive Child </w:t>
      </w:r>
    </w:p>
    <w:p w:rsidR="008F6FFE" w:rsidRPr="00717D4D" w:rsidRDefault="008F6FFE" w:rsidP="00FC0838">
      <w:pPr>
        <w:shd w:val="clear" w:color="auto" w:fill="FFFFFF"/>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rPr>
        <w:t xml:space="preserve">Papa A, Salzano AM, Di Dato MT, Varrassi G. </w:t>
      </w:r>
    </w:p>
    <w:p w:rsidR="008F6FFE" w:rsidRPr="0052255F" w:rsidRDefault="0052743C" w:rsidP="00FC0838">
      <w:pPr>
        <w:shd w:val="clear" w:color="auto" w:fill="FFFFFF"/>
        <w:rPr>
          <w:rFonts w:asciiTheme="minorHAnsi" w:hAnsiTheme="minorHAnsi" w:cstheme="minorHAnsi"/>
          <w:color w:val="000000" w:themeColor="text1"/>
          <w:sz w:val="16"/>
          <w:szCs w:val="16"/>
        </w:rPr>
      </w:pPr>
      <w:hyperlink r:id="rId933" w:history="1">
        <w:r w:rsidR="008F6FFE" w:rsidRPr="0052255F">
          <w:rPr>
            <w:rFonts w:asciiTheme="minorHAnsi" w:hAnsiTheme="minorHAnsi" w:cstheme="minorHAnsi"/>
            <w:color w:val="000000" w:themeColor="text1"/>
            <w:sz w:val="16"/>
            <w:szCs w:val="16"/>
          </w:rPr>
          <w:t>https://www.ncbi.nlm.nih.gov/pmc/articles/PMC7241586/</w:t>
        </w:r>
      </w:hyperlink>
    </w:p>
    <w:p w:rsidR="008F6FFE" w:rsidRPr="00717D4D" w:rsidRDefault="008F6FFE" w:rsidP="00FC0838">
      <w:pPr>
        <w:pStyle w:val="FootnoteText"/>
        <w:rPr>
          <w:rFonts w:asciiTheme="minorHAnsi" w:hAnsiTheme="minorHAnsi" w:cstheme="minorHAnsi"/>
          <w:color w:val="000000" w:themeColor="text1"/>
          <w:sz w:val="16"/>
          <w:szCs w:val="16"/>
        </w:rPr>
      </w:pPr>
    </w:p>
  </w:footnote>
  <w:footnote w:id="121">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color w:val="000000" w:themeColor="text1"/>
          <w:sz w:val="16"/>
          <w:szCs w:val="16"/>
        </w:rPr>
        <w:footnoteRef/>
      </w:r>
      <w:r w:rsidRPr="00717D4D">
        <w:rPr>
          <w:rFonts w:asciiTheme="minorHAnsi" w:hAnsiTheme="minorHAnsi" w:cstheme="minorHAnsi"/>
          <w:color w:val="000000" w:themeColor="text1"/>
          <w:sz w:val="16"/>
          <w:szCs w:val="16"/>
          <w:lang w:val="en-US"/>
        </w:rPr>
        <w:t xml:space="preserve"> </w:t>
      </w:r>
      <w:hyperlink r:id="rId934" w:tooltip="The Journal of pediatrics." w:history="1">
        <w:r w:rsidRPr="00717D4D">
          <w:rPr>
            <w:rFonts w:asciiTheme="minorHAnsi" w:hAnsiTheme="minorHAnsi" w:cstheme="minorHAnsi"/>
            <w:color w:val="000000" w:themeColor="text1"/>
            <w:sz w:val="16"/>
            <w:szCs w:val="16"/>
            <w:lang w:val="en-US"/>
          </w:rPr>
          <w:t>J Pediatr.</w:t>
        </w:r>
      </w:hyperlink>
      <w:r w:rsidRPr="00717D4D">
        <w:rPr>
          <w:rFonts w:asciiTheme="minorHAnsi" w:hAnsiTheme="minorHAnsi" w:cstheme="minorHAnsi"/>
          <w:color w:val="000000" w:themeColor="text1"/>
          <w:sz w:val="16"/>
          <w:szCs w:val="16"/>
          <w:lang w:val="en-US"/>
        </w:rPr>
        <w:t> 2020 Apr 23. pii: S0022-3476(20)30556-4. doi: 10.1016/j.jpeds.2020.04.052.</w:t>
      </w: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Missed or Delayed Diagnosis of Kawasaki Disease During the 2019 Novel Coronavirus Disease (COVID-19) Pandemic.</w:t>
      </w:r>
    </w:p>
    <w:p w:rsidR="008F6FFE" w:rsidRPr="00717D4D" w:rsidRDefault="0052743C" w:rsidP="00FC0838">
      <w:pPr>
        <w:shd w:val="clear" w:color="auto" w:fill="FFFFFF"/>
        <w:rPr>
          <w:rFonts w:asciiTheme="minorHAnsi" w:hAnsiTheme="minorHAnsi" w:cstheme="minorHAnsi"/>
          <w:color w:val="000000" w:themeColor="text1"/>
          <w:sz w:val="16"/>
          <w:szCs w:val="16"/>
          <w:lang w:val="en-US"/>
        </w:rPr>
      </w:pPr>
      <w:hyperlink r:id="rId935" w:history="1">
        <w:r w:rsidR="008F6FFE" w:rsidRPr="00717D4D">
          <w:rPr>
            <w:rFonts w:asciiTheme="minorHAnsi" w:hAnsiTheme="minorHAnsi" w:cstheme="minorHAnsi"/>
            <w:color w:val="000000" w:themeColor="text1"/>
            <w:sz w:val="16"/>
            <w:szCs w:val="16"/>
            <w:lang w:val="en-US"/>
          </w:rPr>
          <w:t>Harahsheh AS</w:t>
        </w:r>
      </w:hyperlink>
      <w:r w:rsidR="008F6FFE" w:rsidRPr="00717D4D">
        <w:rPr>
          <w:rFonts w:asciiTheme="minorHAnsi" w:hAnsiTheme="minorHAnsi" w:cstheme="minorHAnsi"/>
          <w:color w:val="000000" w:themeColor="text1"/>
          <w:sz w:val="16"/>
          <w:szCs w:val="16"/>
          <w:lang w:val="en-US"/>
        </w:rPr>
        <w:t xml:space="preserve"> et al</w:t>
      </w:r>
    </w:p>
    <w:p w:rsidR="008F6FFE" w:rsidRPr="0052255F" w:rsidRDefault="0052743C" w:rsidP="00FC0838">
      <w:pPr>
        <w:shd w:val="clear" w:color="auto" w:fill="FFFFFF"/>
        <w:rPr>
          <w:rFonts w:asciiTheme="minorHAnsi" w:hAnsiTheme="minorHAnsi" w:cstheme="minorHAnsi"/>
          <w:color w:val="000000" w:themeColor="text1"/>
          <w:sz w:val="16"/>
          <w:szCs w:val="16"/>
          <w:lang w:val="en-US"/>
        </w:rPr>
      </w:pPr>
      <w:hyperlink r:id="rId936" w:history="1">
        <w:r w:rsidR="008F6FFE" w:rsidRPr="0052255F">
          <w:rPr>
            <w:rFonts w:asciiTheme="minorHAnsi" w:hAnsiTheme="minorHAnsi" w:cstheme="minorHAnsi"/>
            <w:color w:val="000000" w:themeColor="text1"/>
            <w:sz w:val="16"/>
            <w:szCs w:val="16"/>
            <w:lang w:val="en-US"/>
          </w:rPr>
          <w:t>https://www.ncbi.nlm.nih.gov/pmc/articles/PMC7196408/pdf/main.pdf</w:t>
        </w:r>
      </w:hyperlink>
    </w:p>
    <w:p w:rsidR="008F6FFE" w:rsidRPr="0052255F" w:rsidRDefault="008F6FFE" w:rsidP="00FC0838">
      <w:pPr>
        <w:shd w:val="clear" w:color="auto" w:fill="FFFFFF"/>
        <w:rPr>
          <w:rFonts w:asciiTheme="minorHAnsi" w:hAnsiTheme="minorHAnsi" w:cstheme="minorHAnsi"/>
          <w:color w:val="000000" w:themeColor="text1"/>
          <w:sz w:val="16"/>
          <w:szCs w:val="16"/>
          <w:lang w:val="en-US"/>
        </w:rPr>
      </w:pP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Cardiol Young. 2020;1‐5. doi:10.1017/S1047951120001432</w:t>
      </w: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Covid-19 and Kawasaki syndrome: should we really be surprised?</w:t>
      </w: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Loomba RS, Villarreal E, Flores S. </w:t>
      </w:r>
    </w:p>
    <w:p w:rsidR="008F6FFE" w:rsidRPr="0052255F" w:rsidRDefault="0052743C" w:rsidP="00FC0838">
      <w:pPr>
        <w:shd w:val="clear" w:color="auto" w:fill="FFFFFF"/>
        <w:rPr>
          <w:rFonts w:asciiTheme="minorHAnsi" w:hAnsiTheme="minorHAnsi" w:cstheme="minorHAnsi"/>
          <w:color w:val="000000" w:themeColor="text1"/>
          <w:sz w:val="16"/>
          <w:szCs w:val="16"/>
          <w:lang w:val="en-US"/>
        </w:rPr>
      </w:pPr>
      <w:hyperlink r:id="rId937" w:history="1">
        <w:r w:rsidR="008F6FFE" w:rsidRPr="0052255F">
          <w:rPr>
            <w:rFonts w:asciiTheme="minorHAnsi" w:hAnsiTheme="minorHAnsi" w:cstheme="minorHAnsi"/>
            <w:color w:val="000000" w:themeColor="text1"/>
            <w:sz w:val="16"/>
            <w:szCs w:val="16"/>
            <w:lang w:val="en-US"/>
          </w:rPr>
          <w:t>https://www.cambridge.org/core/services/aop-cambridge-core/content/view/2AD153D73A34F46B580097685BD403D2/S1047951120001432a.pdf/covid19_and_kawasaki_syndrome_should_we_really_be_surprised.pdf</w:t>
        </w:r>
      </w:hyperlink>
    </w:p>
    <w:p w:rsidR="008F6FFE" w:rsidRPr="0052255F" w:rsidRDefault="008F6FFE" w:rsidP="00FC0838">
      <w:pPr>
        <w:shd w:val="clear" w:color="auto" w:fill="FFFFFF"/>
        <w:rPr>
          <w:rFonts w:asciiTheme="minorHAnsi" w:hAnsiTheme="minorHAnsi" w:cstheme="minorHAnsi"/>
          <w:color w:val="000000" w:themeColor="text1"/>
          <w:sz w:val="16"/>
          <w:szCs w:val="16"/>
          <w:lang w:val="en-US"/>
        </w:rPr>
      </w:pP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Lancet. 2020;10.1016/S0140-6736(20)31129-6. doi:10.1016/S0140-6736(20)31129-6 </w:t>
      </w: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Kawasaki-like disease: emerging complication during the COVID-19 pandemic</w:t>
      </w: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Viner RM, Whittaker E.</w:t>
      </w:r>
    </w:p>
    <w:p w:rsidR="008F6FFE" w:rsidRPr="0052255F" w:rsidRDefault="0052743C" w:rsidP="00FC0838">
      <w:pPr>
        <w:shd w:val="clear" w:color="auto" w:fill="FFFFFF"/>
        <w:rPr>
          <w:rFonts w:asciiTheme="minorHAnsi" w:hAnsiTheme="minorHAnsi" w:cstheme="minorHAnsi"/>
          <w:color w:val="000000" w:themeColor="text1"/>
          <w:sz w:val="16"/>
          <w:szCs w:val="16"/>
          <w:lang w:val="en-US"/>
        </w:rPr>
      </w:pPr>
      <w:hyperlink r:id="rId938" w:history="1">
        <w:r w:rsidR="008F6FFE" w:rsidRPr="0052255F">
          <w:rPr>
            <w:rFonts w:asciiTheme="minorHAnsi" w:hAnsiTheme="minorHAnsi" w:cstheme="minorHAnsi"/>
            <w:color w:val="000000" w:themeColor="text1"/>
            <w:sz w:val="16"/>
            <w:szCs w:val="16"/>
            <w:lang w:val="en-US"/>
          </w:rPr>
          <w:t>https://www.ncbi.nlm.nih.gov/pmc/articles/PMC7220168/</w:t>
        </w:r>
      </w:hyperlink>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Lancet. 2020;10.1016/S0140-6736(20)31103-X. doi:10.1016/S0140-6736(20)31103-X</w:t>
      </w: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An outbreak of severe Kawasaki-like disease at the Italian epicentre of the SARS-CoV-2 epidemic: an observational cohort study </w:t>
      </w:r>
    </w:p>
    <w:p w:rsidR="008F6FFE" w:rsidRPr="00A078ED" w:rsidRDefault="0052743C" w:rsidP="00FC0838">
      <w:pPr>
        <w:shd w:val="clear" w:color="auto" w:fill="FFFFFF"/>
        <w:rPr>
          <w:rFonts w:asciiTheme="minorHAnsi" w:hAnsiTheme="minorHAnsi" w:cstheme="minorHAnsi"/>
          <w:color w:val="000000" w:themeColor="text1"/>
          <w:sz w:val="16"/>
          <w:szCs w:val="16"/>
        </w:rPr>
      </w:pPr>
      <w:hyperlink r:id="rId939" w:history="1">
        <w:r w:rsidR="008F6FFE" w:rsidRPr="00A078ED">
          <w:rPr>
            <w:rFonts w:asciiTheme="minorHAnsi" w:hAnsiTheme="minorHAnsi" w:cstheme="minorHAnsi"/>
            <w:color w:val="000000" w:themeColor="text1"/>
            <w:sz w:val="16"/>
            <w:szCs w:val="16"/>
          </w:rPr>
          <w:t>Lucio Verdoni</w:t>
        </w:r>
      </w:hyperlink>
      <w:r w:rsidR="008F6FFE" w:rsidRPr="00A078ED">
        <w:rPr>
          <w:rFonts w:asciiTheme="minorHAnsi" w:hAnsiTheme="minorHAnsi" w:cstheme="minorHAnsi"/>
          <w:color w:val="000000" w:themeColor="text1"/>
          <w:sz w:val="16"/>
          <w:szCs w:val="16"/>
        </w:rPr>
        <w:t> et al</w:t>
      </w:r>
    </w:p>
    <w:p w:rsidR="008F6FFE" w:rsidRPr="00A078ED" w:rsidRDefault="0052743C" w:rsidP="00FC0838">
      <w:pPr>
        <w:shd w:val="clear" w:color="auto" w:fill="FFFFFF"/>
        <w:rPr>
          <w:rFonts w:asciiTheme="minorHAnsi" w:hAnsiTheme="minorHAnsi" w:cstheme="minorHAnsi"/>
          <w:color w:val="000000" w:themeColor="text1"/>
          <w:sz w:val="16"/>
          <w:szCs w:val="16"/>
        </w:rPr>
      </w:pPr>
      <w:hyperlink r:id="rId940" w:history="1">
        <w:r w:rsidR="008F6FFE" w:rsidRPr="00A078ED">
          <w:rPr>
            <w:rFonts w:asciiTheme="minorHAnsi" w:hAnsiTheme="minorHAnsi" w:cstheme="minorHAnsi"/>
            <w:color w:val="000000" w:themeColor="text1"/>
            <w:sz w:val="16"/>
            <w:szCs w:val="16"/>
          </w:rPr>
          <w:t>https://www.ncbi.nlm.nih.gov/pmc/articles/PMC7220177/</w:t>
        </w:r>
      </w:hyperlink>
    </w:p>
    <w:p w:rsidR="008F6FFE" w:rsidRPr="00A078ED" w:rsidRDefault="008F6FFE" w:rsidP="00FC0838">
      <w:pPr>
        <w:shd w:val="clear" w:color="auto" w:fill="FFFFFF"/>
        <w:rPr>
          <w:rFonts w:asciiTheme="minorHAnsi" w:hAnsiTheme="minorHAnsi" w:cstheme="minorHAnsi"/>
          <w:color w:val="000000" w:themeColor="text1"/>
          <w:sz w:val="16"/>
          <w:szCs w:val="16"/>
        </w:rPr>
      </w:pP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J Pediatric Infect Dis Soc. 2020;piaa061. doi:10.1093/jpids/piaa061</w:t>
      </w: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COVID-19 Associated Pediatric Multi-System Inflammatory Syndrome </w:t>
      </w:r>
    </w:p>
    <w:p w:rsidR="008F6FFE" w:rsidRPr="00A078ED" w:rsidRDefault="0052743C" w:rsidP="00FC0838">
      <w:pPr>
        <w:shd w:val="clear" w:color="auto" w:fill="FFFFFF"/>
        <w:rPr>
          <w:rFonts w:asciiTheme="minorHAnsi" w:hAnsiTheme="minorHAnsi" w:cstheme="minorHAnsi"/>
          <w:color w:val="000000" w:themeColor="text1"/>
          <w:sz w:val="16"/>
          <w:szCs w:val="16"/>
        </w:rPr>
      </w:pPr>
      <w:hyperlink r:id="rId941" w:history="1">
        <w:r w:rsidR="008F6FFE" w:rsidRPr="00A078ED">
          <w:rPr>
            <w:rFonts w:asciiTheme="minorHAnsi" w:hAnsiTheme="minorHAnsi" w:cstheme="minorHAnsi"/>
            <w:color w:val="000000" w:themeColor="text1"/>
            <w:sz w:val="16"/>
            <w:szCs w:val="16"/>
          </w:rPr>
          <w:t>M P Deza Leon</w:t>
        </w:r>
      </w:hyperlink>
      <w:r w:rsidR="008F6FFE" w:rsidRPr="00A078ED">
        <w:rPr>
          <w:rFonts w:asciiTheme="minorHAnsi" w:hAnsiTheme="minorHAnsi" w:cstheme="minorHAnsi"/>
          <w:color w:val="000000" w:themeColor="text1"/>
          <w:sz w:val="16"/>
          <w:szCs w:val="16"/>
        </w:rPr>
        <w:t> et al</w:t>
      </w:r>
    </w:p>
    <w:p w:rsidR="008F6FFE" w:rsidRPr="00A078ED" w:rsidRDefault="0052743C" w:rsidP="00FC0838">
      <w:pPr>
        <w:shd w:val="clear" w:color="auto" w:fill="FFFFFF"/>
        <w:rPr>
          <w:rFonts w:asciiTheme="minorHAnsi" w:hAnsiTheme="minorHAnsi" w:cstheme="minorHAnsi"/>
          <w:color w:val="000000" w:themeColor="text1"/>
          <w:sz w:val="16"/>
          <w:szCs w:val="16"/>
        </w:rPr>
      </w:pPr>
      <w:hyperlink r:id="rId942" w:history="1">
        <w:r w:rsidR="008F6FFE" w:rsidRPr="00A078ED">
          <w:rPr>
            <w:rFonts w:asciiTheme="minorHAnsi" w:hAnsiTheme="minorHAnsi" w:cstheme="minorHAnsi"/>
            <w:color w:val="000000" w:themeColor="text1"/>
            <w:sz w:val="16"/>
            <w:szCs w:val="16"/>
          </w:rPr>
          <w:t>https://academic.oup.com/jpids/advance-article/doi/10.1093/jpids/piaa061/5842067</w:t>
        </w:r>
      </w:hyperlink>
    </w:p>
    <w:p w:rsidR="008F6FFE" w:rsidRPr="00A078ED" w:rsidRDefault="008F6FFE" w:rsidP="00FC0838">
      <w:pPr>
        <w:shd w:val="clear" w:color="auto" w:fill="FFFFFF"/>
        <w:rPr>
          <w:rFonts w:asciiTheme="minorHAnsi" w:hAnsiTheme="minorHAnsi" w:cstheme="minorHAnsi"/>
          <w:color w:val="000000" w:themeColor="text1"/>
          <w:sz w:val="16"/>
          <w:szCs w:val="16"/>
        </w:rPr>
      </w:pP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Acta Biomed. 2020;91(2):177‐183. doi:10.23750/abm.v91i2.9655 </w:t>
      </w:r>
    </w:p>
    <w:p w:rsidR="008F6FFE" w:rsidRPr="00717D4D" w:rsidRDefault="008F6FFE" w:rsidP="00FC0838">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COVID19: potential cardiovascular issues in pediatric patients. </w:t>
      </w:r>
    </w:p>
    <w:p w:rsidR="008F6FFE" w:rsidRPr="00A078ED" w:rsidRDefault="0052743C" w:rsidP="00FC0838">
      <w:pPr>
        <w:shd w:val="clear" w:color="auto" w:fill="FFFFFF"/>
        <w:rPr>
          <w:rFonts w:asciiTheme="minorHAnsi" w:hAnsiTheme="minorHAnsi" w:cstheme="minorHAnsi"/>
          <w:color w:val="000000" w:themeColor="text1"/>
          <w:sz w:val="16"/>
          <w:szCs w:val="16"/>
        </w:rPr>
      </w:pPr>
      <w:hyperlink r:id="rId943" w:history="1">
        <w:r w:rsidR="008F6FFE" w:rsidRPr="00A078ED">
          <w:rPr>
            <w:rFonts w:asciiTheme="minorHAnsi" w:hAnsiTheme="minorHAnsi" w:cstheme="minorHAnsi"/>
            <w:color w:val="000000" w:themeColor="text1"/>
            <w:sz w:val="16"/>
            <w:szCs w:val="16"/>
          </w:rPr>
          <w:t>Deborah Bertoncelli</w:t>
        </w:r>
      </w:hyperlink>
      <w:r w:rsidR="008F6FFE" w:rsidRPr="00A078ED">
        <w:rPr>
          <w:rFonts w:asciiTheme="minorHAnsi" w:hAnsiTheme="minorHAnsi" w:cstheme="minorHAnsi"/>
          <w:color w:val="000000" w:themeColor="text1"/>
          <w:sz w:val="16"/>
          <w:szCs w:val="16"/>
        </w:rPr>
        <w:t> et al</w:t>
      </w:r>
    </w:p>
    <w:p w:rsidR="008F6FFE" w:rsidRPr="00A078ED" w:rsidRDefault="0052743C" w:rsidP="00FC0838">
      <w:pPr>
        <w:shd w:val="clear" w:color="auto" w:fill="FFFFFF"/>
        <w:rPr>
          <w:rFonts w:asciiTheme="minorHAnsi" w:hAnsiTheme="minorHAnsi" w:cstheme="minorHAnsi"/>
          <w:color w:val="000000" w:themeColor="text1"/>
          <w:sz w:val="16"/>
          <w:szCs w:val="16"/>
        </w:rPr>
      </w:pPr>
      <w:hyperlink r:id="rId944" w:history="1">
        <w:r w:rsidR="008F6FFE" w:rsidRPr="00A078ED">
          <w:rPr>
            <w:rFonts w:asciiTheme="minorHAnsi" w:hAnsiTheme="minorHAnsi" w:cstheme="minorHAnsi"/>
            <w:color w:val="000000" w:themeColor="text1"/>
            <w:sz w:val="16"/>
            <w:szCs w:val="16"/>
          </w:rPr>
          <w:t>https://pubmed.ncbi.nlm.nih.gov/32420942/</w:t>
        </w:r>
      </w:hyperlink>
    </w:p>
    <w:p w:rsidR="008F6FFE" w:rsidRPr="00A078ED" w:rsidRDefault="008F6FFE" w:rsidP="00FC0838">
      <w:pPr>
        <w:pStyle w:val="FootnoteText"/>
        <w:rPr>
          <w:rFonts w:asciiTheme="minorHAnsi" w:hAnsiTheme="minorHAnsi"/>
          <w:color w:val="000000" w:themeColor="text1"/>
          <w:sz w:val="16"/>
          <w:szCs w:val="16"/>
        </w:rPr>
      </w:pPr>
    </w:p>
  </w:footnote>
  <w:footnote w:id="122">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vertAlign w:val="superscript"/>
          <w:lang w:val="en-US"/>
        </w:rPr>
        <w:t xml:space="preserve"> </w:t>
      </w:r>
      <w:r w:rsidRPr="00717D4D">
        <w:rPr>
          <w:rFonts w:asciiTheme="minorHAnsi" w:hAnsiTheme="minorHAnsi" w:cstheme="minorHAnsi"/>
          <w:color w:val="000000" w:themeColor="text1"/>
          <w:sz w:val="16"/>
          <w:szCs w:val="16"/>
          <w:lang w:val="en-US"/>
        </w:rPr>
        <w:t>Ultrasound Obstet Gynecol 2020 May 19. doi: 10.1002/uog.22088.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Effects of Coronavirus Disease 2019 (COVID-19) on Maternal, Perinatal and Neonatal Outcomes: A Systematic Review</w:t>
      </w: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945" w:history="1">
        <w:r w:rsidR="008F6FFE" w:rsidRPr="00717D4D">
          <w:rPr>
            <w:rFonts w:asciiTheme="minorHAnsi" w:hAnsiTheme="minorHAnsi" w:cstheme="minorHAnsi"/>
            <w:color w:val="000000" w:themeColor="text1"/>
            <w:sz w:val="16"/>
            <w:szCs w:val="16"/>
            <w:lang w:val="en-US"/>
          </w:rPr>
          <w:t>J Juan</w:t>
        </w:r>
      </w:hyperlink>
      <w:r w:rsidR="008F6FFE" w:rsidRPr="00717D4D">
        <w:rPr>
          <w:rFonts w:asciiTheme="minorHAnsi" w:hAnsiTheme="minorHAnsi" w:cstheme="minorHAnsi"/>
          <w:color w:val="000000" w:themeColor="text1"/>
          <w:sz w:val="16"/>
          <w:szCs w:val="16"/>
          <w:lang w:val="en-US"/>
        </w:rPr>
        <w:t> </w:t>
      </w:r>
      <w:hyperlink r:id="rId946"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947" w:history="1">
        <w:r w:rsidR="008F6FFE" w:rsidRPr="00717D4D">
          <w:rPr>
            <w:rFonts w:asciiTheme="minorHAnsi" w:hAnsiTheme="minorHAnsi" w:cstheme="minorHAnsi"/>
            <w:color w:val="000000" w:themeColor="text1"/>
            <w:sz w:val="16"/>
            <w:szCs w:val="16"/>
            <w:lang w:val="en-US"/>
          </w:rPr>
          <w:t>M M Gil</w:t>
        </w:r>
      </w:hyperlink>
      <w:r w:rsidR="008F6FFE" w:rsidRPr="00717D4D">
        <w:rPr>
          <w:rFonts w:asciiTheme="minorHAnsi" w:hAnsiTheme="minorHAnsi" w:cstheme="minorHAnsi"/>
          <w:color w:val="000000" w:themeColor="text1"/>
          <w:sz w:val="16"/>
          <w:szCs w:val="16"/>
          <w:lang w:val="en-US"/>
        </w:rPr>
        <w:t> </w:t>
      </w:r>
      <w:hyperlink r:id="rId948" w:anchor="affiliation-2" w:history="1">
        <w:r w:rsidR="008F6FFE" w:rsidRPr="00717D4D">
          <w:rPr>
            <w:rFonts w:asciiTheme="minorHAnsi" w:hAnsiTheme="minorHAnsi" w:cstheme="minorHAnsi"/>
            <w:color w:val="000000" w:themeColor="text1"/>
            <w:sz w:val="16"/>
            <w:szCs w:val="16"/>
            <w:lang w:val="en-US"/>
          </w:rPr>
          <w:t>2</w:t>
        </w:r>
      </w:hyperlink>
      <w:r w:rsidR="008F6FFE" w:rsidRPr="00717D4D">
        <w:rPr>
          <w:rFonts w:asciiTheme="minorHAnsi" w:hAnsiTheme="minorHAnsi" w:cstheme="minorHAnsi"/>
          <w:color w:val="000000" w:themeColor="text1"/>
          <w:sz w:val="16"/>
          <w:szCs w:val="16"/>
          <w:lang w:val="en-US"/>
        </w:rPr>
        <w:t> </w:t>
      </w:r>
      <w:hyperlink r:id="rId949" w:anchor="affiliation-3" w:history="1">
        <w:r w:rsidR="008F6FFE" w:rsidRPr="00717D4D">
          <w:rPr>
            <w:rFonts w:asciiTheme="minorHAnsi" w:hAnsiTheme="minorHAnsi" w:cstheme="minorHAnsi"/>
            <w:color w:val="000000" w:themeColor="text1"/>
            <w:sz w:val="16"/>
            <w:szCs w:val="16"/>
            <w:lang w:val="en-US"/>
          </w:rPr>
          <w:t>3</w:t>
        </w:r>
      </w:hyperlink>
      <w:r w:rsidR="008F6FFE" w:rsidRPr="00717D4D">
        <w:rPr>
          <w:rFonts w:asciiTheme="minorHAnsi" w:hAnsiTheme="minorHAnsi" w:cstheme="minorHAnsi"/>
          <w:color w:val="000000" w:themeColor="text1"/>
          <w:sz w:val="16"/>
          <w:szCs w:val="16"/>
          <w:lang w:val="en-US"/>
        </w:rPr>
        <w:t>, </w:t>
      </w:r>
      <w:hyperlink r:id="rId950" w:history="1">
        <w:r w:rsidR="008F6FFE" w:rsidRPr="00717D4D">
          <w:rPr>
            <w:rFonts w:asciiTheme="minorHAnsi" w:hAnsiTheme="minorHAnsi" w:cstheme="minorHAnsi"/>
            <w:color w:val="000000" w:themeColor="text1"/>
            <w:sz w:val="16"/>
            <w:szCs w:val="16"/>
            <w:lang w:val="en-US"/>
          </w:rPr>
          <w:t>Z Rong</w:t>
        </w:r>
      </w:hyperlink>
      <w:r w:rsidR="008F6FFE" w:rsidRPr="00717D4D">
        <w:rPr>
          <w:rFonts w:asciiTheme="minorHAnsi" w:hAnsiTheme="minorHAnsi" w:cstheme="minorHAnsi"/>
          <w:color w:val="000000" w:themeColor="text1"/>
          <w:sz w:val="16"/>
          <w:szCs w:val="16"/>
          <w:lang w:val="en-US"/>
        </w:rPr>
        <w:t> </w:t>
      </w:r>
      <w:hyperlink r:id="rId951" w:anchor="affiliation-4" w:history="1">
        <w:r w:rsidR="008F6FFE" w:rsidRPr="00717D4D">
          <w:rPr>
            <w:rFonts w:asciiTheme="minorHAnsi" w:hAnsiTheme="minorHAnsi" w:cstheme="minorHAnsi"/>
            <w:color w:val="000000" w:themeColor="text1"/>
            <w:sz w:val="16"/>
            <w:szCs w:val="16"/>
            <w:lang w:val="en-US"/>
          </w:rPr>
          <w:t>4</w:t>
        </w:r>
      </w:hyperlink>
      <w:r w:rsidR="008F6FFE" w:rsidRPr="00717D4D">
        <w:rPr>
          <w:rFonts w:asciiTheme="minorHAnsi" w:hAnsiTheme="minorHAnsi" w:cstheme="minorHAnsi"/>
          <w:color w:val="000000" w:themeColor="text1"/>
          <w:sz w:val="16"/>
          <w:szCs w:val="16"/>
          <w:lang w:val="en-US"/>
        </w:rPr>
        <w:t>, </w:t>
      </w:r>
      <w:hyperlink r:id="rId952" w:history="1">
        <w:r w:rsidR="008F6FFE" w:rsidRPr="00717D4D">
          <w:rPr>
            <w:rFonts w:asciiTheme="minorHAnsi" w:hAnsiTheme="minorHAnsi" w:cstheme="minorHAnsi"/>
            <w:color w:val="000000" w:themeColor="text1"/>
            <w:sz w:val="16"/>
            <w:szCs w:val="16"/>
            <w:lang w:val="en-US"/>
          </w:rPr>
          <w:t>Y Zhang</w:t>
        </w:r>
      </w:hyperlink>
      <w:r w:rsidR="008F6FFE" w:rsidRPr="00717D4D">
        <w:rPr>
          <w:rFonts w:asciiTheme="minorHAnsi" w:hAnsiTheme="minorHAnsi" w:cstheme="minorHAnsi"/>
          <w:color w:val="000000" w:themeColor="text1"/>
          <w:sz w:val="16"/>
          <w:szCs w:val="16"/>
          <w:lang w:val="en-US"/>
        </w:rPr>
        <w:t> </w:t>
      </w:r>
      <w:hyperlink r:id="rId953" w:anchor="affiliation-5" w:history="1">
        <w:r w:rsidR="008F6FFE" w:rsidRPr="00717D4D">
          <w:rPr>
            <w:rFonts w:asciiTheme="minorHAnsi" w:hAnsiTheme="minorHAnsi" w:cstheme="minorHAnsi"/>
            <w:color w:val="000000" w:themeColor="text1"/>
            <w:sz w:val="16"/>
            <w:szCs w:val="16"/>
            <w:lang w:val="en-US"/>
          </w:rPr>
          <w:t>5</w:t>
        </w:r>
      </w:hyperlink>
      <w:r w:rsidR="008F6FFE" w:rsidRPr="00717D4D">
        <w:rPr>
          <w:rFonts w:asciiTheme="minorHAnsi" w:hAnsiTheme="minorHAnsi" w:cstheme="minorHAnsi"/>
          <w:color w:val="000000" w:themeColor="text1"/>
          <w:sz w:val="16"/>
          <w:szCs w:val="16"/>
          <w:lang w:val="en-US"/>
        </w:rPr>
        <w:t> </w:t>
      </w:r>
      <w:hyperlink r:id="rId954" w:anchor="affiliation-6" w:history="1">
        <w:r w:rsidR="008F6FFE" w:rsidRPr="00717D4D">
          <w:rPr>
            <w:rFonts w:asciiTheme="minorHAnsi" w:hAnsiTheme="minorHAnsi" w:cstheme="minorHAnsi"/>
            <w:color w:val="000000" w:themeColor="text1"/>
            <w:sz w:val="16"/>
            <w:szCs w:val="16"/>
            <w:lang w:val="en-US"/>
          </w:rPr>
          <w:t>6</w:t>
        </w:r>
      </w:hyperlink>
      <w:r w:rsidR="008F6FFE" w:rsidRPr="00717D4D">
        <w:rPr>
          <w:rFonts w:asciiTheme="minorHAnsi" w:hAnsiTheme="minorHAnsi" w:cstheme="minorHAnsi"/>
          <w:color w:val="000000" w:themeColor="text1"/>
          <w:sz w:val="16"/>
          <w:szCs w:val="16"/>
          <w:lang w:val="en-US"/>
        </w:rPr>
        <w:t>, </w:t>
      </w:r>
      <w:hyperlink r:id="rId955" w:history="1">
        <w:r w:rsidR="008F6FFE" w:rsidRPr="00717D4D">
          <w:rPr>
            <w:rFonts w:asciiTheme="minorHAnsi" w:hAnsiTheme="minorHAnsi" w:cstheme="minorHAnsi"/>
            <w:color w:val="000000" w:themeColor="text1"/>
            <w:sz w:val="16"/>
            <w:szCs w:val="16"/>
            <w:lang w:val="en-US"/>
          </w:rPr>
          <w:t>H Yang</w:t>
        </w:r>
      </w:hyperlink>
      <w:r w:rsidR="008F6FFE" w:rsidRPr="00717D4D">
        <w:rPr>
          <w:rFonts w:asciiTheme="minorHAnsi" w:hAnsiTheme="minorHAnsi" w:cstheme="minorHAnsi"/>
          <w:color w:val="000000" w:themeColor="text1"/>
          <w:sz w:val="16"/>
          <w:szCs w:val="16"/>
          <w:lang w:val="en-US"/>
        </w:rPr>
        <w:t> </w:t>
      </w:r>
      <w:hyperlink r:id="rId956"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957" w:history="1">
        <w:r w:rsidR="008F6FFE" w:rsidRPr="00717D4D">
          <w:rPr>
            <w:rFonts w:asciiTheme="minorHAnsi" w:hAnsiTheme="minorHAnsi" w:cstheme="minorHAnsi"/>
            <w:color w:val="000000" w:themeColor="text1"/>
            <w:sz w:val="16"/>
            <w:szCs w:val="16"/>
            <w:lang w:val="en-US"/>
          </w:rPr>
          <w:t>L C Poon</w:t>
        </w:r>
      </w:hyperlink>
      <w:r w:rsidR="008F6FFE" w:rsidRPr="00717D4D">
        <w:rPr>
          <w:rFonts w:asciiTheme="minorHAnsi" w:hAnsiTheme="minorHAnsi" w:cstheme="minorHAnsi"/>
          <w:color w:val="000000" w:themeColor="text1"/>
          <w:sz w:val="16"/>
          <w:szCs w:val="16"/>
          <w:lang w:val="en-US"/>
        </w:rPr>
        <w:t> </w:t>
      </w:r>
      <w:hyperlink r:id="rId958" w:anchor="affiliation-7" w:history="1">
        <w:r w:rsidR="008F6FFE" w:rsidRPr="00717D4D">
          <w:rPr>
            <w:rFonts w:asciiTheme="minorHAnsi" w:hAnsiTheme="minorHAnsi" w:cstheme="minorHAnsi"/>
            <w:color w:val="000000" w:themeColor="text1"/>
            <w:sz w:val="16"/>
            <w:szCs w:val="16"/>
            <w:lang w:val="en-US"/>
          </w:rPr>
          <w:t>7</w:t>
        </w:r>
      </w:hyperlink>
      <w:r w:rsidR="008F6FFE" w:rsidRPr="00717D4D">
        <w:rPr>
          <w:rFonts w:asciiTheme="minorHAnsi" w:hAnsiTheme="minorHAnsi" w:cstheme="minorHAnsi"/>
          <w:color w:val="000000" w:themeColor="text1"/>
          <w:sz w:val="16"/>
          <w:szCs w:val="16"/>
          <w:lang w:val="en-US"/>
        </w:rPr>
        <w:t> </w:t>
      </w:r>
      <w:hyperlink r:id="rId959" w:anchor="affiliation-8" w:history="1">
        <w:r w:rsidR="008F6FFE" w:rsidRPr="00717D4D">
          <w:rPr>
            <w:rFonts w:asciiTheme="minorHAnsi" w:hAnsiTheme="minorHAnsi" w:cstheme="minorHAnsi"/>
            <w:color w:val="000000" w:themeColor="text1"/>
            <w:sz w:val="16"/>
            <w:szCs w:val="16"/>
            <w:lang w:val="en-US"/>
          </w:rPr>
          <w:t>8</w:t>
        </w:r>
      </w:hyperlink>
    </w:p>
    <w:p w:rsidR="008F6FFE" w:rsidRPr="0052255F" w:rsidRDefault="0052743C" w:rsidP="0052255F">
      <w:pPr>
        <w:shd w:val="clear" w:color="auto" w:fill="FFFFFF"/>
        <w:rPr>
          <w:rFonts w:asciiTheme="minorHAnsi" w:hAnsiTheme="minorHAnsi" w:cstheme="minorHAnsi"/>
          <w:color w:val="000000" w:themeColor="text1"/>
          <w:sz w:val="16"/>
          <w:szCs w:val="16"/>
          <w:lang w:val="en-US"/>
        </w:rPr>
      </w:pPr>
      <w:hyperlink r:id="rId960" w:history="1">
        <w:r w:rsidR="008F6FFE" w:rsidRPr="0052255F">
          <w:rPr>
            <w:rFonts w:asciiTheme="minorHAnsi" w:hAnsiTheme="minorHAnsi" w:cstheme="minorHAnsi"/>
            <w:color w:val="000000" w:themeColor="text1"/>
            <w:sz w:val="16"/>
            <w:szCs w:val="16"/>
            <w:lang w:val="en-US"/>
          </w:rPr>
          <w:t>https://www.ncbi.nlm.nih.gov/pmc/articles/PMC7276742/</w:t>
        </w:r>
      </w:hyperlink>
    </w:p>
    <w:p w:rsidR="008F6FFE" w:rsidRPr="0052255F" w:rsidRDefault="008F6FFE" w:rsidP="0052255F">
      <w:pPr>
        <w:shd w:val="clear" w:color="auto" w:fill="FFFFFF"/>
        <w:rPr>
          <w:rFonts w:asciiTheme="minorHAnsi" w:hAnsiTheme="minorHAnsi" w:cstheme="minorHAnsi"/>
          <w:color w:val="000000" w:themeColor="text1"/>
          <w:sz w:val="16"/>
          <w:szCs w:val="16"/>
          <w:lang w:val="en-US"/>
        </w:rPr>
      </w:pPr>
    </w:p>
    <w:p w:rsidR="008F6FFE" w:rsidRPr="00A078ED" w:rsidRDefault="008F6FFE" w:rsidP="00E82A6A">
      <w:pPr>
        <w:shd w:val="clear" w:color="auto" w:fill="FFFFFF"/>
        <w:rPr>
          <w:rFonts w:asciiTheme="minorHAnsi" w:hAnsiTheme="minorHAnsi" w:cstheme="minorHAnsi"/>
          <w:color w:val="000000" w:themeColor="text1"/>
          <w:sz w:val="16"/>
          <w:szCs w:val="16"/>
        </w:rPr>
      </w:pPr>
      <w:r w:rsidRPr="00A078ED">
        <w:rPr>
          <w:rFonts w:asciiTheme="minorHAnsi" w:hAnsiTheme="minorHAnsi" w:cstheme="minorHAnsi"/>
          <w:color w:val="000000" w:themeColor="text1"/>
          <w:sz w:val="16"/>
          <w:szCs w:val="16"/>
        </w:rPr>
        <w:t xml:space="preserve">Di Mascio D, et al. </w:t>
      </w:r>
    </w:p>
    <w:p w:rsidR="008F6FFE" w:rsidRDefault="008F6FFE" w:rsidP="00E82A6A">
      <w:pPr>
        <w:shd w:val="clear" w:color="auto" w:fill="FFFFFF"/>
        <w:rPr>
          <w:rFonts w:asciiTheme="minorHAnsi" w:hAnsiTheme="minorHAnsi" w:cstheme="minorHAnsi"/>
          <w:color w:val="000000" w:themeColor="text1"/>
          <w:sz w:val="16"/>
          <w:szCs w:val="16"/>
          <w:lang w:val="en-US"/>
        </w:rPr>
      </w:pPr>
      <w:r w:rsidRPr="00E82A6A">
        <w:rPr>
          <w:rFonts w:asciiTheme="minorHAnsi" w:hAnsiTheme="minorHAnsi" w:cstheme="minorHAnsi"/>
          <w:color w:val="000000" w:themeColor="text1"/>
          <w:sz w:val="16"/>
          <w:szCs w:val="16"/>
          <w:lang w:val="en-US"/>
        </w:rPr>
        <w:t xml:space="preserve">Outcome of Coronavirus spectrum infections (SARS, MERS, COVID 1 -19) during pregnancy: a systematic review and meta-analysis </w:t>
      </w:r>
    </w:p>
    <w:p w:rsidR="008F6FFE" w:rsidRDefault="008F6FFE" w:rsidP="00B757AA">
      <w:pPr>
        <w:shd w:val="clear" w:color="auto" w:fill="FFFFFF"/>
        <w:rPr>
          <w:rFonts w:asciiTheme="minorHAnsi" w:hAnsiTheme="minorHAnsi" w:cstheme="minorHAnsi"/>
          <w:color w:val="000000" w:themeColor="text1"/>
          <w:sz w:val="16"/>
          <w:szCs w:val="16"/>
          <w:lang w:val="en-US"/>
        </w:rPr>
      </w:pPr>
      <w:r w:rsidRPr="00E82A6A">
        <w:rPr>
          <w:rFonts w:asciiTheme="minorHAnsi" w:hAnsiTheme="minorHAnsi" w:cstheme="minorHAnsi"/>
          <w:color w:val="000000" w:themeColor="text1"/>
          <w:sz w:val="16"/>
          <w:szCs w:val="16"/>
          <w:lang w:val="en-US"/>
        </w:rPr>
        <w:t>Am J Obstet Gynecol MFM. 2020;2(2):100107. doi:10.1016/j.ajogmf.2020.100107</w:t>
      </w:r>
    </w:p>
    <w:p w:rsidR="008F6FFE" w:rsidRPr="00B757AA" w:rsidRDefault="0052743C" w:rsidP="00B757AA">
      <w:pPr>
        <w:shd w:val="clear" w:color="auto" w:fill="FFFFFF"/>
        <w:rPr>
          <w:rFonts w:asciiTheme="minorHAnsi" w:hAnsiTheme="minorHAnsi" w:cstheme="minorHAnsi"/>
          <w:color w:val="000000" w:themeColor="text1"/>
          <w:sz w:val="16"/>
          <w:szCs w:val="16"/>
          <w:lang w:val="en-US"/>
        </w:rPr>
      </w:pPr>
      <w:hyperlink r:id="rId961" w:history="1">
        <w:r w:rsidR="008F6FFE" w:rsidRPr="00B757AA">
          <w:rPr>
            <w:rFonts w:asciiTheme="minorHAnsi" w:hAnsiTheme="minorHAnsi" w:cstheme="minorHAnsi"/>
            <w:color w:val="000000" w:themeColor="text1"/>
            <w:sz w:val="16"/>
            <w:szCs w:val="16"/>
            <w:lang w:val="en-US"/>
          </w:rPr>
          <w:t>https://www.ncbi.nlm.nih.gov/pmc/articles/PMC7104131/</w:t>
        </w:r>
      </w:hyperlink>
    </w:p>
  </w:footnote>
  <w:footnote w:id="123">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lang w:val="en-US"/>
        </w:rPr>
        <w:t xml:space="preserve"> Ultrasound Obstet Gynecol 2020 May;55(5):586-592. doi: 10.1002/uog.22014.</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Coronavirus in Pregnancy and Delivery: Rapid Review</w:t>
      </w:r>
    </w:p>
    <w:p w:rsidR="008F6FFE" w:rsidRPr="00235A16" w:rsidRDefault="0052743C" w:rsidP="00717D4D">
      <w:pPr>
        <w:shd w:val="clear" w:color="auto" w:fill="FFFFFF"/>
        <w:rPr>
          <w:rFonts w:asciiTheme="minorHAnsi" w:hAnsiTheme="minorHAnsi" w:cstheme="minorHAnsi"/>
          <w:color w:val="000000" w:themeColor="text1"/>
          <w:sz w:val="16"/>
          <w:szCs w:val="16"/>
          <w:lang w:val="de-DE"/>
        </w:rPr>
      </w:pPr>
      <w:hyperlink r:id="rId962" w:history="1">
        <w:r w:rsidR="008F6FFE" w:rsidRPr="00235A16">
          <w:rPr>
            <w:rFonts w:asciiTheme="minorHAnsi" w:hAnsiTheme="minorHAnsi" w:cstheme="minorHAnsi"/>
            <w:color w:val="000000" w:themeColor="text1"/>
            <w:sz w:val="16"/>
            <w:szCs w:val="16"/>
            <w:lang w:val="de-DE"/>
          </w:rPr>
          <w:t>E Mullins</w:t>
        </w:r>
      </w:hyperlink>
      <w:r w:rsidR="008F6FFE" w:rsidRPr="00235A16">
        <w:rPr>
          <w:rFonts w:asciiTheme="minorHAnsi" w:hAnsiTheme="minorHAnsi" w:cstheme="minorHAnsi"/>
          <w:color w:val="000000" w:themeColor="text1"/>
          <w:sz w:val="16"/>
          <w:szCs w:val="16"/>
          <w:lang w:val="de-DE"/>
        </w:rPr>
        <w:t> </w:t>
      </w:r>
      <w:hyperlink r:id="rId963" w:anchor="affiliation-1" w:history="1">
        <w:r w:rsidR="008F6FFE" w:rsidRPr="00235A16">
          <w:rPr>
            <w:rFonts w:asciiTheme="minorHAnsi" w:hAnsiTheme="minorHAnsi" w:cstheme="minorHAnsi"/>
            <w:color w:val="000000" w:themeColor="text1"/>
            <w:sz w:val="16"/>
            <w:szCs w:val="16"/>
            <w:lang w:val="de-DE"/>
          </w:rPr>
          <w:t>1</w:t>
        </w:r>
      </w:hyperlink>
      <w:r w:rsidR="008F6FFE" w:rsidRPr="00235A16">
        <w:rPr>
          <w:rFonts w:asciiTheme="minorHAnsi" w:hAnsiTheme="minorHAnsi" w:cstheme="minorHAnsi"/>
          <w:color w:val="000000" w:themeColor="text1"/>
          <w:sz w:val="16"/>
          <w:szCs w:val="16"/>
          <w:lang w:val="de-DE"/>
        </w:rPr>
        <w:t>, </w:t>
      </w:r>
      <w:hyperlink r:id="rId964" w:history="1">
        <w:r w:rsidR="008F6FFE" w:rsidRPr="00235A16">
          <w:rPr>
            <w:rFonts w:asciiTheme="minorHAnsi" w:hAnsiTheme="minorHAnsi" w:cstheme="minorHAnsi"/>
            <w:color w:val="000000" w:themeColor="text1"/>
            <w:sz w:val="16"/>
            <w:szCs w:val="16"/>
            <w:lang w:val="de-DE"/>
          </w:rPr>
          <w:t>D Evans</w:t>
        </w:r>
      </w:hyperlink>
      <w:r w:rsidR="008F6FFE" w:rsidRPr="00235A16">
        <w:rPr>
          <w:rFonts w:asciiTheme="minorHAnsi" w:hAnsiTheme="minorHAnsi" w:cstheme="minorHAnsi"/>
          <w:color w:val="000000" w:themeColor="text1"/>
          <w:sz w:val="16"/>
          <w:szCs w:val="16"/>
          <w:lang w:val="de-DE"/>
        </w:rPr>
        <w:t> </w:t>
      </w:r>
      <w:hyperlink r:id="rId965" w:anchor="affiliation-2" w:history="1">
        <w:r w:rsidR="008F6FFE" w:rsidRPr="00235A16">
          <w:rPr>
            <w:rFonts w:asciiTheme="minorHAnsi" w:hAnsiTheme="minorHAnsi" w:cstheme="minorHAnsi"/>
            <w:color w:val="000000" w:themeColor="text1"/>
            <w:sz w:val="16"/>
            <w:szCs w:val="16"/>
            <w:lang w:val="de-DE"/>
          </w:rPr>
          <w:t>2</w:t>
        </w:r>
      </w:hyperlink>
      <w:r w:rsidR="008F6FFE" w:rsidRPr="00235A16">
        <w:rPr>
          <w:rFonts w:asciiTheme="minorHAnsi" w:hAnsiTheme="minorHAnsi" w:cstheme="minorHAnsi"/>
          <w:color w:val="000000" w:themeColor="text1"/>
          <w:sz w:val="16"/>
          <w:szCs w:val="16"/>
          <w:lang w:val="de-DE"/>
        </w:rPr>
        <w:t> </w:t>
      </w:r>
      <w:hyperlink r:id="rId966" w:anchor="affiliation-3" w:history="1">
        <w:r w:rsidR="008F6FFE" w:rsidRPr="00235A16">
          <w:rPr>
            <w:rFonts w:asciiTheme="minorHAnsi" w:hAnsiTheme="minorHAnsi" w:cstheme="minorHAnsi"/>
            <w:color w:val="000000" w:themeColor="text1"/>
            <w:sz w:val="16"/>
            <w:szCs w:val="16"/>
            <w:lang w:val="de-DE"/>
          </w:rPr>
          <w:t>3</w:t>
        </w:r>
      </w:hyperlink>
      <w:r w:rsidR="008F6FFE" w:rsidRPr="00235A16">
        <w:rPr>
          <w:rFonts w:asciiTheme="minorHAnsi" w:hAnsiTheme="minorHAnsi" w:cstheme="minorHAnsi"/>
          <w:color w:val="000000" w:themeColor="text1"/>
          <w:sz w:val="16"/>
          <w:szCs w:val="16"/>
          <w:lang w:val="de-DE"/>
        </w:rPr>
        <w:t>, </w:t>
      </w:r>
      <w:hyperlink r:id="rId967" w:history="1">
        <w:r w:rsidR="008F6FFE" w:rsidRPr="00235A16">
          <w:rPr>
            <w:rFonts w:asciiTheme="minorHAnsi" w:hAnsiTheme="minorHAnsi" w:cstheme="minorHAnsi"/>
            <w:color w:val="000000" w:themeColor="text1"/>
            <w:sz w:val="16"/>
            <w:szCs w:val="16"/>
            <w:lang w:val="de-DE"/>
          </w:rPr>
          <w:t>R M Viner</w:t>
        </w:r>
      </w:hyperlink>
      <w:r w:rsidR="008F6FFE" w:rsidRPr="00235A16">
        <w:rPr>
          <w:rFonts w:asciiTheme="minorHAnsi" w:hAnsiTheme="minorHAnsi" w:cstheme="minorHAnsi"/>
          <w:color w:val="000000" w:themeColor="text1"/>
          <w:sz w:val="16"/>
          <w:szCs w:val="16"/>
          <w:lang w:val="de-DE"/>
        </w:rPr>
        <w:t> </w:t>
      </w:r>
      <w:hyperlink r:id="rId968" w:anchor="affiliation-3" w:history="1">
        <w:r w:rsidR="008F6FFE" w:rsidRPr="00235A16">
          <w:rPr>
            <w:rFonts w:asciiTheme="minorHAnsi" w:hAnsiTheme="minorHAnsi" w:cstheme="minorHAnsi"/>
            <w:color w:val="000000" w:themeColor="text1"/>
            <w:sz w:val="16"/>
            <w:szCs w:val="16"/>
            <w:lang w:val="de-DE"/>
          </w:rPr>
          <w:t>3</w:t>
        </w:r>
      </w:hyperlink>
      <w:r w:rsidR="008F6FFE" w:rsidRPr="00235A16">
        <w:rPr>
          <w:rFonts w:asciiTheme="minorHAnsi" w:hAnsiTheme="minorHAnsi" w:cstheme="minorHAnsi"/>
          <w:color w:val="000000" w:themeColor="text1"/>
          <w:sz w:val="16"/>
          <w:szCs w:val="16"/>
          <w:lang w:val="de-DE"/>
        </w:rPr>
        <w:t> </w:t>
      </w:r>
      <w:hyperlink r:id="rId969" w:anchor="affiliation-4" w:history="1">
        <w:r w:rsidR="008F6FFE" w:rsidRPr="00235A16">
          <w:rPr>
            <w:rFonts w:asciiTheme="minorHAnsi" w:hAnsiTheme="minorHAnsi" w:cstheme="minorHAnsi"/>
            <w:color w:val="000000" w:themeColor="text1"/>
            <w:sz w:val="16"/>
            <w:szCs w:val="16"/>
            <w:lang w:val="de-DE"/>
          </w:rPr>
          <w:t>4</w:t>
        </w:r>
      </w:hyperlink>
      <w:r w:rsidR="008F6FFE" w:rsidRPr="00235A16">
        <w:rPr>
          <w:rFonts w:asciiTheme="minorHAnsi" w:hAnsiTheme="minorHAnsi" w:cstheme="minorHAnsi"/>
          <w:color w:val="000000" w:themeColor="text1"/>
          <w:sz w:val="16"/>
          <w:szCs w:val="16"/>
          <w:lang w:val="de-DE"/>
        </w:rPr>
        <w:t>, </w:t>
      </w:r>
      <w:hyperlink r:id="rId970" w:history="1">
        <w:r w:rsidR="008F6FFE" w:rsidRPr="00235A16">
          <w:rPr>
            <w:rFonts w:asciiTheme="minorHAnsi" w:hAnsiTheme="minorHAnsi" w:cstheme="minorHAnsi"/>
            <w:color w:val="000000" w:themeColor="text1"/>
            <w:sz w:val="16"/>
            <w:szCs w:val="16"/>
            <w:lang w:val="de-DE"/>
          </w:rPr>
          <w:t>P O'Brien</w:t>
        </w:r>
      </w:hyperlink>
      <w:r w:rsidR="008F6FFE" w:rsidRPr="00235A16">
        <w:rPr>
          <w:rFonts w:asciiTheme="minorHAnsi" w:hAnsiTheme="minorHAnsi" w:cstheme="minorHAnsi"/>
          <w:color w:val="000000" w:themeColor="text1"/>
          <w:sz w:val="16"/>
          <w:szCs w:val="16"/>
          <w:lang w:val="de-DE"/>
        </w:rPr>
        <w:t> </w:t>
      </w:r>
      <w:hyperlink r:id="rId971" w:anchor="affiliation-5" w:history="1">
        <w:r w:rsidR="008F6FFE" w:rsidRPr="00235A16">
          <w:rPr>
            <w:rFonts w:asciiTheme="minorHAnsi" w:hAnsiTheme="minorHAnsi" w:cstheme="minorHAnsi"/>
            <w:color w:val="000000" w:themeColor="text1"/>
            <w:sz w:val="16"/>
            <w:szCs w:val="16"/>
            <w:lang w:val="de-DE"/>
          </w:rPr>
          <w:t>5</w:t>
        </w:r>
      </w:hyperlink>
      <w:r w:rsidR="008F6FFE" w:rsidRPr="00235A16">
        <w:rPr>
          <w:rFonts w:asciiTheme="minorHAnsi" w:hAnsiTheme="minorHAnsi" w:cstheme="minorHAnsi"/>
          <w:color w:val="000000" w:themeColor="text1"/>
          <w:sz w:val="16"/>
          <w:szCs w:val="16"/>
          <w:lang w:val="de-DE"/>
        </w:rPr>
        <w:t> </w:t>
      </w:r>
      <w:hyperlink r:id="rId972" w:anchor="affiliation-6" w:history="1">
        <w:r w:rsidR="008F6FFE" w:rsidRPr="00235A16">
          <w:rPr>
            <w:rFonts w:asciiTheme="minorHAnsi" w:hAnsiTheme="minorHAnsi" w:cstheme="minorHAnsi"/>
            <w:color w:val="000000" w:themeColor="text1"/>
            <w:sz w:val="16"/>
            <w:szCs w:val="16"/>
            <w:lang w:val="de-DE"/>
          </w:rPr>
          <w:t>6</w:t>
        </w:r>
      </w:hyperlink>
      <w:r w:rsidR="008F6FFE" w:rsidRPr="00235A16">
        <w:rPr>
          <w:rFonts w:asciiTheme="minorHAnsi" w:hAnsiTheme="minorHAnsi" w:cstheme="minorHAnsi"/>
          <w:color w:val="000000" w:themeColor="text1"/>
          <w:sz w:val="16"/>
          <w:szCs w:val="16"/>
          <w:lang w:val="de-DE"/>
        </w:rPr>
        <w:t>, </w:t>
      </w:r>
      <w:hyperlink r:id="rId973" w:history="1">
        <w:r w:rsidR="008F6FFE" w:rsidRPr="00235A16">
          <w:rPr>
            <w:rFonts w:asciiTheme="minorHAnsi" w:hAnsiTheme="minorHAnsi" w:cstheme="minorHAnsi"/>
            <w:color w:val="000000" w:themeColor="text1"/>
            <w:sz w:val="16"/>
            <w:szCs w:val="16"/>
            <w:lang w:val="de-DE"/>
          </w:rPr>
          <w:t>E Morris</w:t>
        </w:r>
      </w:hyperlink>
      <w:r w:rsidR="008F6FFE" w:rsidRPr="00235A16">
        <w:rPr>
          <w:rFonts w:asciiTheme="minorHAnsi" w:hAnsiTheme="minorHAnsi" w:cstheme="minorHAnsi"/>
          <w:color w:val="000000" w:themeColor="text1"/>
          <w:sz w:val="16"/>
          <w:szCs w:val="16"/>
          <w:lang w:val="de-DE"/>
        </w:rPr>
        <w:t> </w:t>
      </w:r>
      <w:hyperlink r:id="rId974" w:anchor="affiliation-6" w:history="1">
        <w:r w:rsidR="008F6FFE" w:rsidRPr="00235A16">
          <w:rPr>
            <w:rFonts w:asciiTheme="minorHAnsi" w:hAnsiTheme="minorHAnsi" w:cstheme="minorHAnsi"/>
            <w:color w:val="000000" w:themeColor="text1"/>
            <w:sz w:val="16"/>
            <w:szCs w:val="16"/>
            <w:lang w:val="de-DE"/>
          </w:rPr>
          <w:t>6</w:t>
        </w:r>
      </w:hyperlink>
      <w:r w:rsidR="008F6FFE" w:rsidRPr="00235A16">
        <w:rPr>
          <w:rFonts w:asciiTheme="minorHAnsi" w:hAnsiTheme="minorHAnsi" w:cstheme="minorHAnsi"/>
          <w:color w:val="000000" w:themeColor="text1"/>
          <w:sz w:val="16"/>
          <w:szCs w:val="16"/>
          <w:lang w:val="de-DE"/>
        </w:rPr>
        <w:t> </w:t>
      </w:r>
      <w:hyperlink r:id="rId975" w:anchor="affiliation-7" w:history="1">
        <w:r w:rsidR="008F6FFE" w:rsidRPr="00235A16">
          <w:rPr>
            <w:rFonts w:asciiTheme="minorHAnsi" w:hAnsiTheme="minorHAnsi" w:cstheme="minorHAnsi"/>
            <w:color w:val="000000" w:themeColor="text1"/>
            <w:sz w:val="16"/>
            <w:szCs w:val="16"/>
            <w:lang w:val="de-DE"/>
          </w:rPr>
          <w:t>7</w:t>
        </w:r>
      </w:hyperlink>
    </w:p>
    <w:p w:rsidR="008F6FFE" w:rsidRPr="00235A16" w:rsidRDefault="0052743C" w:rsidP="00B757AA">
      <w:pPr>
        <w:shd w:val="clear" w:color="auto" w:fill="FFFFFF"/>
        <w:rPr>
          <w:rFonts w:asciiTheme="minorHAnsi" w:hAnsiTheme="minorHAnsi" w:cstheme="minorHAnsi"/>
          <w:color w:val="000000" w:themeColor="text1"/>
          <w:sz w:val="16"/>
          <w:szCs w:val="16"/>
          <w:lang w:val="de-DE"/>
        </w:rPr>
      </w:pPr>
      <w:hyperlink r:id="rId976" w:history="1">
        <w:r w:rsidR="008F6FFE" w:rsidRPr="00235A16">
          <w:rPr>
            <w:rFonts w:asciiTheme="minorHAnsi" w:hAnsiTheme="minorHAnsi" w:cstheme="minorHAnsi"/>
            <w:color w:val="000000" w:themeColor="text1"/>
            <w:sz w:val="16"/>
            <w:szCs w:val="16"/>
            <w:lang w:val="de-DE"/>
          </w:rPr>
          <w:t>https://obgyn.onlinelibrary.wiley.com/doi/full/10.1002/uog.22014</w:t>
        </w:r>
      </w:hyperlink>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Am J Obstet Gynecol 2020 May;222(5):415-426.  doi: 10.1016/j.ajog.2020.02.017.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Coronavirus Disease 2019 (COVID-19) and Pregnancy: What Obstetricians Need to Know</w:t>
      </w: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977" w:history="1">
        <w:r w:rsidR="008F6FFE" w:rsidRPr="00717D4D">
          <w:rPr>
            <w:rFonts w:asciiTheme="minorHAnsi" w:hAnsiTheme="minorHAnsi" w:cstheme="minorHAnsi"/>
            <w:color w:val="000000" w:themeColor="text1"/>
            <w:sz w:val="16"/>
            <w:szCs w:val="16"/>
            <w:lang w:val="en-US"/>
          </w:rPr>
          <w:t>Sonja A Rasmussen</w:t>
        </w:r>
      </w:hyperlink>
      <w:r w:rsidR="008F6FFE" w:rsidRPr="00717D4D">
        <w:rPr>
          <w:rFonts w:asciiTheme="minorHAnsi" w:hAnsiTheme="minorHAnsi" w:cstheme="minorHAnsi"/>
          <w:color w:val="000000" w:themeColor="text1"/>
          <w:sz w:val="16"/>
          <w:szCs w:val="16"/>
          <w:lang w:val="en-US"/>
        </w:rPr>
        <w:t> </w:t>
      </w:r>
      <w:hyperlink r:id="rId978"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979" w:history="1">
        <w:r w:rsidR="008F6FFE" w:rsidRPr="00717D4D">
          <w:rPr>
            <w:rFonts w:asciiTheme="minorHAnsi" w:hAnsiTheme="minorHAnsi" w:cstheme="minorHAnsi"/>
            <w:color w:val="000000" w:themeColor="text1"/>
            <w:sz w:val="16"/>
            <w:szCs w:val="16"/>
            <w:lang w:val="en-US"/>
          </w:rPr>
          <w:t>John C Smulian</w:t>
        </w:r>
      </w:hyperlink>
      <w:r w:rsidR="008F6FFE" w:rsidRPr="00717D4D">
        <w:rPr>
          <w:rFonts w:asciiTheme="minorHAnsi" w:hAnsiTheme="minorHAnsi" w:cstheme="minorHAnsi"/>
          <w:color w:val="000000" w:themeColor="text1"/>
          <w:sz w:val="16"/>
          <w:szCs w:val="16"/>
          <w:lang w:val="en-US"/>
        </w:rPr>
        <w:t> </w:t>
      </w:r>
      <w:hyperlink r:id="rId980" w:anchor="affiliation-2" w:history="1">
        <w:r w:rsidR="008F6FFE" w:rsidRPr="00717D4D">
          <w:rPr>
            <w:rFonts w:asciiTheme="minorHAnsi" w:hAnsiTheme="minorHAnsi" w:cstheme="minorHAnsi"/>
            <w:color w:val="000000" w:themeColor="text1"/>
            <w:sz w:val="16"/>
            <w:szCs w:val="16"/>
            <w:lang w:val="en-US"/>
          </w:rPr>
          <w:t>2</w:t>
        </w:r>
      </w:hyperlink>
      <w:r w:rsidR="008F6FFE" w:rsidRPr="00717D4D">
        <w:rPr>
          <w:rFonts w:asciiTheme="minorHAnsi" w:hAnsiTheme="minorHAnsi" w:cstheme="minorHAnsi"/>
          <w:color w:val="000000" w:themeColor="text1"/>
          <w:sz w:val="16"/>
          <w:szCs w:val="16"/>
          <w:lang w:val="en-US"/>
        </w:rPr>
        <w:t>, </w:t>
      </w:r>
      <w:hyperlink r:id="rId981" w:history="1">
        <w:r w:rsidR="008F6FFE" w:rsidRPr="00717D4D">
          <w:rPr>
            <w:rFonts w:asciiTheme="minorHAnsi" w:hAnsiTheme="minorHAnsi" w:cstheme="minorHAnsi"/>
            <w:color w:val="000000" w:themeColor="text1"/>
            <w:sz w:val="16"/>
            <w:szCs w:val="16"/>
            <w:lang w:val="en-US"/>
          </w:rPr>
          <w:t>John A Lednicky</w:t>
        </w:r>
      </w:hyperlink>
      <w:r w:rsidR="008F6FFE" w:rsidRPr="00717D4D">
        <w:rPr>
          <w:rFonts w:asciiTheme="minorHAnsi" w:hAnsiTheme="minorHAnsi" w:cstheme="minorHAnsi"/>
          <w:color w:val="000000" w:themeColor="text1"/>
          <w:sz w:val="16"/>
          <w:szCs w:val="16"/>
          <w:lang w:val="en-US"/>
        </w:rPr>
        <w:t> </w:t>
      </w:r>
      <w:hyperlink r:id="rId982" w:anchor="affiliation-3" w:history="1">
        <w:r w:rsidR="008F6FFE" w:rsidRPr="00717D4D">
          <w:rPr>
            <w:rFonts w:asciiTheme="minorHAnsi" w:hAnsiTheme="minorHAnsi" w:cstheme="minorHAnsi"/>
            <w:color w:val="000000" w:themeColor="text1"/>
            <w:sz w:val="16"/>
            <w:szCs w:val="16"/>
            <w:lang w:val="en-US"/>
          </w:rPr>
          <w:t>3</w:t>
        </w:r>
      </w:hyperlink>
      <w:r w:rsidR="008F6FFE" w:rsidRPr="00717D4D">
        <w:rPr>
          <w:rFonts w:asciiTheme="minorHAnsi" w:hAnsiTheme="minorHAnsi" w:cstheme="minorHAnsi"/>
          <w:color w:val="000000" w:themeColor="text1"/>
          <w:sz w:val="16"/>
          <w:szCs w:val="16"/>
          <w:lang w:val="en-US"/>
        </w:rPr>
        <w:t>, </w:t>
      </w:r>
      <w:hyperlink r:id="rId983" w:history="1">
        <w:r w:rsidR="008F6FFE" w:rsidRPr="00717D4D">
          <w:rPr>
            <w:rFonts w:asciiTheme="minorHAnsi" w:hAnsiTheme="minorHAnsi" w:cstheme="minorHAnsi"/>
            <w:color w:val="000000" w:themeColor="text1"/>
            <w:sz w:val="16"/>
            <w:szCs w:val="16"/>
            <w:lang w:val="en-US"/>
          </w:rPr>
          <w:t>Tony S Wen</w:t>
        </w:r>
      </w:hyperlink>
      <w:r w:rsidR="008F6FFE" w:rsidRPr="00717D4D">
        <w:rPr>
          <w:rFonts w:asciiTheme="minorHAnsi" w:hAnsiTheme="minorHAnsi" w:cstheme="minorHAnsi"/>
          <w:color w:val="000000" w:themeColor="text1"/>
          <w:sz w:val="16"/>
          <w:szCs w:val="16"/>
          <w:lang w:val="en-US"/>
        </w:rPr>
        <w:t> </w:t>
      </w:r>
      <w:hyperlink r:id="rId984" w:anchor="affiliation-2" w:history="1">
        <w:r w:rsidR="008F6FFE" w:rsidRPr="00717D4D">
          <w:rPr>
            <w:rFonts w:asciiTheme="minorHAnsi" w:hAnsiTheme="minorHAnsi" w:cstheme="minorHAnsi"/>
            <w:color w:val="000000" w:themeColor="text1"/>
            <w:sz w:val="16"/>
            <w:szCs w:val="16"/>
            <w:lang w:val="en-US"/>
          </w:rPr>
          <w:t>2</w:t>
        </w:r>
      </w:hyperlink>
      <w:r w:rsidR="008F6FFE" w:rsidRPr="00717D4D">
        <w:rPr>
          <w:rFonts w:asciiTheme="minorHAnsi" w:hAnsiTheme="minorHAnsi" w:cstheme="minorHAnsi"/>
          <w:color w:val="000000" w:themeColor="text1"/>
          <w:sz w:val="16"/>
          <w:szCs w:val="16"/>
          <w:lang w:val="en-US"/>
        </w:rPr>
        <w:t>, </w:t>
      </w:r>
      <w:hyperlink r:id="rId985" w:history="1">
        <w:r w:rsidR="008F6FFE" w:rsidRPr="00717D4D">
          <w:rPr>
            <w:rFonts w:asciiTheme="minorHAnsi" w:hAnsiTheme="minorHAnsi" w:cstheme="minorHAnsi"/>
            <w:color w:val="000000" w:themeColor="text1"/>
            <w:sz w:val="16"/>
            <w:szCs w:val="16"/>
            <w:lang w:val="en-US"/>
          </w:rPr>
          <w:t>Denise J Jamieson</w:t>
        </w:r>
      </w:hyperlink>
    </w:p>
    <w:p w:rsidR="008F6FFE" w:rsidRPr="00B757AA" w:rsidRDefault="0052743C" w:rsidP="00B757AA">
      <w:pPr>
        <w:shd w:val="clear" w:color="auto" w:fill="FFFFFF"/>
        <w:rPr>
          <w:rFonts w:asciiTheme="minorHAnsi" w:hAnsiTheme="minorHAnsi" w:cstheme="minorHAnsi"/>
          <w:color w:val="000000" w:themeColor="text1"/>
          <w:sz w:val="16"/>
          <w:szCs w:val="16"/>
          <w:lang w:val="en-US"/>
        </w:rPr>
      </w:pPr>
      <w:hyperlink r:id="rId986" w:history="1">
        <w:r w:rsidR="008F6FFE" w:rsidRPr="00B757AA">
          <w:rPr>
            <w:rFonts w:asciiTheme="minorHAnsi" w:hAnsiTheme="minorHAnsi" w:cstheme="minorHAnsi"/>
            <w:color w:val="000000" w:themeColor="text1"/>
            <w:sz w:val="16"/>
            <w:szCs w:val="16"/>
            <w:lang w:val="en-US"/>
          </w:rPr>
          <w:t>https://www.ncbi.nlm.nih.gov/pmc/articles/PMC7093856/</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987" w:tooltip="American journal of obstetrics and gynecology." w:history="1">
        <w:r w:rsidR="008F6FFE" w:rsidRPr="00717D4D">
          <w:rPr>
            <w:rFonts w:asciiTheme="minorHAnsi" w:hAnsiTheme="minorHAnsi" w:cstheme="minorHAnsi"/>
            <w:color w:val="000000" w:themeColor="text1"/>
            <w:sz w:val="16"/>
            <w:szCs w:val="16"/>
            <w:lang w:val="en-US"/>
          </w:rPr>
          <w:t>Am J Obstet Gynecol.</w:t>
        </w:r>
      </w:hyperlink>
      <w:r w:rsidR="008F6FFE" w:rsidRPr="00717D4D">
        <w:rPr>
          <w:rFonts w:asciiTheme="minorHAnsi" w:hAnsiTheme="minorHAnsi" w:cstheme="minorHAnsi"/>
          <w:color w:val="000000" w:themeColor="text1"/>
          <w:sz w:val="16"/>
          <w:szCs w:val="16"/>
          <w:lang w:val="en-US"/>
        </w:rPr>
        <w:t xml:space="preserve"> 2020 Apr 23. pii: S0002-9378(20)30462-2. doi: 10.1016/j.ajog.2020.04.014.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Coronavirus disease 2019 (COVID-19) in pregnant women: A report based on 116 cases.</w:t>
      </w:r>
    </w:p>
    <w:p w:rsidR="008F6FFE" w:rsidRDefault="0052743C" w:rsidP="00717D4D">
      <w:pPr>
        <w:shd w:val="clear" w:color="auto" w:fill="FFFFFF"/>
        <w:rPr>
          <w:rFonts w:asciiTheme="minorHAnsi" w:hAnsiTheme="minorHAnsi" w:cstheme="minorHAnsi"/>
          <w:color w:val="000000" w:themeColor="text1"/>
          <w:sz w:val="16"/>
          <w:szCs w:val="16"/>
          <w:lang w:val="en-US"/>
        </w:rPr>
      </w:pPr>
      <w:hyperlink r:id="rId988" w:history="1">
        <w:r w:rsidR="008F6FFE" w:rsidRPr="00717D4D">
          <w:rPr>
            <w:rFonts w:asciiTheme="minorHAnsi" w:hAnsiTheme="minorHAnsi" w:cstheme="minorHAnsi"/>
            <w:color w:val="000000" w:themeColor="text1"/>
            <w:sz w:val="16"/>
            <w:szCs w:val="16"/>
            <w:lang w:val="en-US"/>
          </w:rPr>
          <w:t>Yan J</w:t>
        </w:r>
      </w:hyperlink>
      <w:r w:rsidR="008F6FFE" w:rsidRPr="00717D4D">
        <w:rPr>
          <w:rFonts w:asciiTheme="minorHAnsi" w:hAnsiTheme="minorHAnsi" w:cstheme="minorHAnsi"/>
          <w:color w:val="000000" w:themeColor="text1"/>
          <w:sz w:val="16"/>
          <w:szCs w:val="16"/>
          <w:lang w:val="en-US"/>
        </w:rPr>
        <w:t>1, </w:t>
      </w:r>
      <w:hyperlink r:id="rId989" w:history="1">
        <w:r w:rsidR="008F6FFE" w:rsidRPr="00717D4D">
          <w:rPr>
            <w:rFonts w:asciiTheme="minorHAnsi" w:hAnsiTheme="minorHAnsi" w:cstheme="minorHAnsi"/>
            <w:color w:val="000000" w:themeColor="text1"/>
            <w:sz w:val="16"/>
            <w:szCs w:val="16"/>
            <w:lang w:val="en-US"/>
          </w:rPr>
          <w:t>Guo J</w:t>
        </w:r>
      </w:hyperlink>
      <w:r w:rsidR="008F6FFE" w:rsidRPr="00717D4D">
        <w:rPr>
          <w:rFonts w:asciiTheme="minorHAnsi" w:hAnsiTheme="minorHAnsi" w:cstheme="minorHAnsi"/>
          <w:color w:val="000000" w:themeColor="text1"/>
          <w:sz w:val="16"/>
          <w:szCs w:val="16"/>
          <w:lang w:val="en-US"/>
        </w:rPr>
        <w:t xml:space="preserve"> et al</w:t>
      </w:r>
    </w:p>
    <w:p w:rsidR="008F6FFE" w:rsidRPr="00B757AA" w:rsidRDefault="0052743C" w:rsidP="00B757AA">
      <w:pPr>
        <w:shd w:val="clear" w:color="auto" w:fill="FFFFFF"/>
        <w:rPr>
          <w:lang w:val="en-US"/>
        </w:rPr>
      </w:pPr>
      <w:hyperlink r:id="rId990" w:history="1">
        <w:r w:rsidR="008F6FFE" w:rsidRPr="00B757AA">
          <w:rPr>
            <w:rFonts w:asciiTheme="minorHAnsi" w:hAnsiTheme="minorHAnsi" w:cstheme="minorHAnsi"/>
            <w:color w:val="000000" w:themeColor="text1"/>
            <w:sz w:val="16"/>
            <w:szCs w:val="16"/>
            <w:lang w:val="en-US"/>
          </w:rPr>
          <w:t>https://www.ncbi.nlm.nih.gov/pmc/articles/PMC7177142/</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footnote>
  <w:footnote w:id="124">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lang w:val="en-US"/>
        </w:rPr>
        <w:t xml:space="preserve"> The Neonatal Immune System: A Unique Host-Microbial Interface.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rPr>
        <w:t xml:space="preserve">Lausanne: Frontiers Media. doi: 10.3389/978-2-88945-403-7 Bliss, J. M., Wynn, J. L., eds. </w:t>
      </w:r>
      <w:r w:rsidRPr="00717D4D">
        <w:rPr>
          <w:rFonts w:asciiTheme="minorHAnsi" w:hAnsiTheme="minorHAnsi" w:cstheme="minorHAnsi"/>
          <w:color w:val="000000" w:themeColor="text1"/>
          <w:sz w:val="16"/>
          <w:szCs w:val="16"/>
          <w:lang w:val="en-US"/>
        </w:rPr>
        <w:t>(2018).</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Proc Biol Sci. 2015 Dec 22;282(1821):20143085. doi: 10.1098/rspb.2014.3085.</w:t>
      </w: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991" w:history="1">
        <w:r w:rsidR="008F6FFE" w:rsidRPr="00717D4D">
          <w:rPr>
            <w:rFonts w:asciiTheme="minorHAnsi" w:hAnsiTheme="minorHAnsi" w:cstheme="minorHAnsi"/>
            <w:color w:val="000000" w:themeColor="text1"/>
            <w:sz w:val="16"/>
            <w:szCs w:val="16"/>
            <w:lang w:val="en-US"/>
          </w:rPr>
          <w:t>Evolution of the immune system in humans from infancy to old age.</w:t>
        </w:r>
      </w:hyperlink>
    </w:p>
    <w:p w:rsidR="008F6FFE" w:rsidRPr="00717D4D" w:rsidRDefault="008F6FFE" w:rsidP="00717D4D">
      <w:pPr>
        <w:shd w:val="clear" w:color="auto" w:fill="FFFFFF"/>
        <w:rPr>
          <w:rFonts w:asciiTheme="minorHAnsi" w:hAnsiTheme="minorHAnsi" w:cs="Arial"/>
          <w:color w:val="000000" w:themeColor="text1"/>
          <w:sz w:val="16"/>
          <w:szCs w:val="16"/>
          <w:lang w:val="en-US"/>
        </w:rPr>
      </w:pPr>
      <w:r w:rsidRPr="00717D4D">
        <w:rPr>
          <w:rFonts w:asciiTheme="minorHAnsi" w:hAnsiTheme="minorHAnsi" w:cstheme="minorHAnsi"/>
          <w:color w:val="000000" w:themeColor="text1"/>
          <w:sz w:val="16"/>
          <w:szCs w:val="16"/>
          <w:lang w:val="en-US"/>
        </w:rPr>
        <w:t>Simon AK, Hollander GA, McMichael A.</w:t>
      </w:r>
    </w:p>
    <w:p w:rsidR="008F6FFE" w:rsidRPr="00717D4D" w:rsidRDefault="0052743C" w:rsidP="00717D4D">
      <w:pPr>
        <w:pStyle w:val="FootnoteText"/>
        <w:rPr>
          <w:rFonts w:asciiTheme="minorHAnsi" w:hAnsiTheme="minorHAnsi"/>
          <w:color w:val="000000" w:themeColor="text1"/>
          <w:sz w:val="16"/>
          <w:szCs w:val="16"/>
          <w:lang w:val="en-US"/>
        </w:rPr>
      </w:pPr>
      <w:hyperlink r:id="rId992" w:history="1">
        <w:r w:rsidR="008F6FFE" w:rsidRPr="00717D4D">
          <w:rPr>
            <w:rStyle w:val="Hyperlink"/>
            <w:rFonts w:asciiTheme="minorHAnsi" w:hAnsiTheme="minorHAnsi"/>
            <w:color w:val="000000" w:themeColor="text1"/>
            <w:sz w:val="16"/>
            <w:szCs w:val="16"/>
            <w:u w:val="none"/>
            <w:lang w:val="en-US"/>
          </w:rPr>
          <w:t>https://www.ncbi.nlm.nih.gov/pmc/articles/PMC4707740/pdf/rspb20143085.pdf</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Acta Paediatr 2012 Feb;101(2):120-7. doi: 10.1111/j.1651-2227.2011.02494.x.</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The Developing Immune System - From Foetus to Toddler</w:t>
      </w:r>
    </w:p>
    <w:p w:rsidR="008F6FFE" w:rsidRPr="00A078ED" w:rsidRDefault="0052743C" w:rsidP="00717D4D">
      <w:pPr>
        <w:shd w:val="clear" w:color="auto" w:fill="FFFFFF"/>
        <w:rPr>
          <w:rFonts w:asciiTheme="minorHAnsi" w:hAnsiTheme="minorHAnsi" w:cstheme="minorHAnsi"/>
          <w:color w:val="000000" w:themeColor="text1"/>
          <w:sz w:val="16"/>
          <w:szCs w:val="16"/>
        </w:rPr>
      </w:pPr>
      <w:hyperlink r:id="rId993" w:history="1">
        <w:r w:rsidR="008F6FFE" w:rsidRPr="00A078ED">
          <w:rPr>
            <w:rFonts w:asciiTheme="minorHAnsi" w:hAnsiTheme="minorHAnsi" w:cstheme="minorHAnsi"/>
            <w:color w:val="000000" w:themeColor="text1"/>
            <w:sz w:val="16"/>
            <w:szCs w:val="16"/>
          </w:rPr>
          <w:t>Sofia Ygberg</w:t>
        </w:r>
      </w:hyperlink>
      <w:r w:rsidR="008F6FFE" w:rsidRPr="00A078ED">
        <w:rPr>
          <w:rFonts w:asciiTheme="minorHAnsi" w:hAnsiTheme="minorHAnsi" w:cstheme="minorHAnsi"/>
          <w:color w:val="000000" w:themeColor="text1"/>
          <w:sz w:val="16"/>
          <w:szCs w:val="16"/>
        </w:rPr>
        <w:t> </w:t>
      </w:r>
      <w:hyperlink r:id="rId994" w:anchor="affiliation-1" w:history="1">
        <w:r w:rsidR="008F6FFE" w:rsidRPr="00A078ED">
          <w:rPr>
            <w:rFonts w:asciiTheme="minorHAnsi" w:hAnsiTheme="minorHAnsi" w:cstheme="minorHAnsi"/>
            <w:color w:val="000000" w:themeColor="text1"/>
            <w:sz w:val="16"/>
            <w:szCs w:val="16"/>
          </w:rPr>
          <w:t>1</w:t>
        </w:r>
      </w:hyperlink>
      <w:r w:rsidR="008F6FFE" w:rsidRPr="00A078ED">
        <w:rPr>
          <w:rFonts w:asciiTheme="minorHAnsi" w:hAnsiTheme="minorHAnsi" w:cstheme="minorHAnsi"/>
          <w:color w:val="000000" w:themeColor="text1"/>
          <w:sz w:val="16"/>
          <w:szCs w:val="16"/>
        </w:rPr>
        <w:t>, </w:t>
      </w:r>
      <w:hyperlink r:id="rId995" w:history="1">
        <w:r w:rsidR="008F6FFE" w:rsidRPr="00A078ED">
          <w:rPr>
            <w:rFonts w:asciiTheme="minorHAnsi" w:hAnsiTheme="minorHAnsi" w:cstheme="minorHAnsi"/>
            <w:color w:val="000000" w:themeColor="text1"/>
            <w:sz w:val="16"/>
            <w:szCs w:val="16"/>
          </w:rPr>
          <w:t>Anna Nilsson</w:t>
        </w:r>
      </w:hyperlink>
    </w:p>
    <w:p w:rsidR="008F6FFE" w:rsidRPr="00A078ED" w:rsidRDefault="0052743C" w:rsidP="00B757AA">
      <w:pPr>
        <w:pStyle w:val="FootnoteText"/>
        <w:rPr>
          <w:rStyle w:val="Hyperlink"/>
          <w:rFonts w:asciiTheme="minorHAnsi" w:hAnsiTheme="minorHAnsi"/>
          <w:color w:val="000000" w:themeColor="text1"/>
          <w:sz w:val="16"/>
          <w:szCs w:val="16"/>
          <w:u w:val="none"/>
        </w:rPr>
      </w:pPr>
      <w:hyperlink r:id="rId996" w:history="1">
        <w:r w:rsidR="008F6FFE" w:rsidRPr="00A078ED">
          <w:rPr>
            <w:rStyle w:val="Hyperlink"/>
            <w:rFonts w:asciiTheme="minorHAnsi" w:eastAsiaTheme="majorEastAsia" w:hAnsiTheme="minorHAnsi"/>
            <w:color w:val="000000" w:themeColor="text1"/>
            <w:sz w:val="16"/>
            <w:szCs w:val="16"/>
            <w:u w:val="none"/>
          </w:rPr>
          <w:t>https://pubmed.ncbi.nlm.nih.gov/22003882/</w:t>
        </w:r>
      </w:hyperlink>
    </w:p>
    <w:p w:rsidR="008F6FFE" w:rsidRPr="00A078ED" w:rsidRDefault="008F6FFE" w:rsidP="00717D4D">
      <w:pPr>
        <w:shd w:val="clear" w:color="auto" w:fill="FFFFFF"/>
        <w:rPr>
          <w:rFonts w:asciiTheme="minorHAnsi" w:hAnsiTheme="minorHAnsi" w:cstheme="minorHAnsi"/>
          <w:color w:val="000000" w:themeColor="text1"/>
          <w:sz w:val="16"/>
          <w:szCs w:val="16"/>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Nat Rev Immunol 2007 May;7(5):379-90. doi: 10.1038/nri2075.</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Innate Immunity of the Newborn: Basic Mechanisms and Clinical Correlates</w:t>
      </w: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997" w:history="1">
        <w:r w:rsidR="008F6FFE" w:rsidRPr="00717D4D">
          <w:rPr>
            <w:rFonts w:asciiTheme="minorHAnsi" w:hAnsiTheme="minorHAnsi" w:cstheme="minorHAnsi"/>
            <w:color w:val="000000" w:themeColor="text1"/>
            <w:sz w:val="16"/>
            <w:szCs w:val="16"/>
            <w:lang w:val="en-US"/>
          </w:rPr>
          <w:t>Ofer Levy</w:t>
        </w:r>
      </w:hyperlink>
      <w:r w:rsidR="008F6FFE" w:rsidRPr="00717D4D">
        <w:rPr>
          <w:rFonts w:asciiTheme="minorHAnsi" w:hAnsiTheme="minorHAnsi" w:cstheme="minorHAnsi"/>
          <w:color w:val="000000" w:themeColor="text1"/>
          <w:sz w:val="16"/>
          <w:szCs w:val="16"/>
          <w:lang w:val="en-US"/>
        </w:rPr>
        <w:t> </w:t>
      </w:r>
      <w:hyperlink r:id="rId998" w:anchor="affiliation-1" w:history="1">
        <w:r w:rsidR="008F6FFE" w:rsidRPr="00717D4D">
          <w:rPr>
            <w:rFonts w:asciiTheme="minorHAnsi" w:hAnsiTheme="minorHAnsi" w:cstheme="minorHAnsi"/>
            <w:color w:val="000000" w:themeColor="text1"/>
            <w:sz w:val="16"/>
            <w:szCs w:val="16"/>
            <w:lang w:val="en-US"/>
          </w:rPr>
          <w:t>1</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999" w:tooltip="Nature reviews. Immunology." w:history="1">
        <w:r w:rsidR="008F6FFE" w:rsidRPr="00717D4D">
          <w:rPr>
            <w:rFonts w:asciiTheme="minorHAnsi" w:hAnsiTheme="minorHAnsi" w:cstheme="minorHAnsi"/>
            <w:color w:val="000000" w:themeColor="text1"/>
            <w:sz w:val="16"/>
            <w:szCs w:val="16"/>
            <w:lang w:val="en-US"/>
          </w:rPr>
          <w:t>Nat Rev Immunol.</w:t>
        </w:r>
      </w:hyperlink>
      <w:r w:rsidR="008F6FFE" w:rsidRPr="00717D4D">
        <w:rPr>
          <w:rFonts w:asciiTheme="minorHAnsi" w:hAnsiTheme="minorHAnsi" w:cstheme="minorHAnsi"/>
          <w:color w:val="000000" w:themeColor="text1"/>
          <w:sz w:val="16"/>
          <w:szCs w:val="16"/>
          <w:lang w:val="en-US"/>
        </w:rPr>
        <w:t xml:space="preserve"> 2017 Aug;17(8):495-507. doi: 10.1038/nri.2017.54.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Unique aspects of the perinatal immune system.</w:t>
      </w:r>
    </w:p>
    <w:p w:rsidR="008F6FFE" w:rsidRPr="00A078ED" w:rsidRDefault="0052743C" w:rsidP="00717D4D">
      <w:pPr>
        <w:shd w:val="clear" w:color="auto" w:fill="FFFFFF"/>
        <w:rPr>
          <w:rFonts w:asciiTheme="minorHAnsi" w:hAnsiTheme="minorHAnsi" w:cstheme="minorHAnsi"/>
          <w:color w:val="000000" w:themeColor="text1"/>
          <w:sz w:val="16"/>
          <w:szCs w:val="16"/>
        </w:rPr>
      </w:pPr>
      <w:hyperlink r:id="rId1000" w:history="1">
        <w:r w:rsidR="008F6FFE" w:rsidRPr="00A078ED">
          <w:rPr>
            <w:rFonts w:asciiTheme="minorHAnsi" w:hAnsiTheme="minorHAnsi" w:cstheme="minorHAnsi"/>
            <w:color w:val="000000" w:themeColor="text1"/>
            <w:sz w:val="16"/>
            <w:szCs w:val="16"/>
          </w:rPr>
          <w:t>Zhang X</w:t>
        </w:r>
      </w:hyperlink>
      <w:r w:rsidR="008F6FFE" w:rsidRPr="00A078ED">
        <w:rPr>
          <w:rFonts w:asciiTheme="minorHAnsi" w:hAnsiTheme="minorHAnsi" w:cstheme="minorHAnsi"/>
          <w:color w:val="000000" w:themeColor="text1"/>
          <w:sz w:val="16"/>
          <w:szCs w:val="16"/>
        </w:rPr>
        <w:t>1, </w:t>
      </w:r>
      <w:hyperlink r:id="rId1001" w:history="1">
        <w:r w:rsidR="008F6FFE" w:rsidRPr="00A078ED">
          <w:rPr>
            <w:rFonts w:asciiTheme="minorHAnsi" w:hAnsiTheme="minorHAnsi" w:cstheme="minorHAnsi"/>
            <w:color w:val="000000" w:themeColor="text1"/>
            <w:sz w:val="16"/>
            <w:szCs w:val="16"/>
          </w:rPr>
          <w:t>Zhivaki D</w:t>
        </w:r>
      </w:hyperlink>
      <w:r w:rsidR="008F6FFE" w:rsidRPr="00A078ED">
        <w:rPr>
          <w:rFonts w:asciiTheme="minorHAnsi" w:hAnsiTheme="minorHAnsi" w:cstheme="minorHAnsi"/>
          <w:color w:val="000000" w:themeColor="text1"/>
          <w:sz w:val="16"/>
          <w:szCs w:val="16"/>
        </w:rPr>
        <w:t>2, </w:t>
      </w:r>
      <w:hyperlink r:id="rId1002" w:history="1">
        <w:r w:rsidR="008F6FFE" w:rsidRPr="00A078ED">
          <w:rPr>
            <w:rFonts w:asciiTheme="minorHAnsi" w:hAnsiTheme="minorHAnsi" w:cstheme="minorHAnsi"/>
            <w:color w:val="000000" w:themeColor="text1"/>
            <w:sz w:val="16"/>
            <w:szCs w:val="16"/>
          </w:rPr>
          <w:t>Lo-Man R</w:t>
        </w:r>
      </w:hyperlink>
      <w:r w:rsidR="008F6FFE" w:rsidRPr="00A078ED">
        <w:rPr>
          <w:rFonts w:asciiTheme="minorHAnsi" w:hAnsiTheme="minorHAnsi" w:cstheme="minorHAnsi"/>
          <w:color w:val="000000" w:themeColor="text1"/>
          <w:sz w:val="16"/>
          <w:szCs w:val="16"/>
        </w:rPr>
        <w:t>2.</w:t>
      </w:r>
    </w:p>
    <w:p w:rsidR="008F6FFE" w:rsidRPr="00A078ED" w:rsidRDefault="0052743C" w:rsidP="00B757AA">
      <w:pPr>
        <w:shd w:val="clear" w:color="auto" w:fill="FFFFFF"/>
        <w:rPr>
          <w:rFonts w:asciiTheme="minorHAnsi" w:hAnsiTheme="minorHAnsi" w:cstheme="minorHAnsi"/>
          <w:color w:val="000000" w:themeColor="text1"/>
          <w:sz w:val="16"/>
          <w:szCs w:val="16"/>
        </w:rPr>
      </w:pPr>
      <w:hyperlink r:id="rId1003" w:history="1">
        <w:r w:rsidR="008F6FFE" w:rsidRPr="00A078ED">
          <w:rPr>
            <w:rFonts w:asciiTheme="minorHAnsi" w:hAnsiTheme="minorHAnsi" w:cstheme="minorHAnsi"/>
            <w:color w:val="000000" w:themeColor="text1"/>
            <w:sz w:val="16"/>
            <w:szCs w:val="16"/>
          </w:rPr>
          <w:t>https://www.nature.com/articles/nri2075</w:t>
        </w:r>
      </w:hyperlink>
    </w:p>
    <w:p w:rsidR="008F6FFE" w:rsidRPr="00A078ED" w:rsidRDefault="008F6FFE" w:rsidP="00717D4D">
      <w:pPr>
        <w:shd w:val="clear" w:color="auto" w:fill="FFFFFF"/>
        <w:rPr>
          <w:rFonts w:asciiTheme="minorHAnsi" w:hAnsiTheme="minorHAnsi" w:cstheme="minorHAnsi"/>
          <w:color w:val="000000" w:themeColor="text1"/>
          <w:sz w:val="16"/>
          <w:szCs w:val="16"/>
        </w:rPr>
      </w:pP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1004" w:tooltip="Current opinion in infectious diseases." w:history="1">
        <w:r w:rsidR="008F6FFE" w:rsidRPr="00717D4D">
          <w:rPr>
            <w:rFonts w:asciiTheme="minorHAnsi" w:hAnsiTheme="minorHAnsi" w:cstheme="minorHAnsi"/>
            <w:color w:val="000000" w:themeColor="text1"/>
            <w:sz w:val="16"/>
            <w:szCs w:val="16"/>
            <w:lang w:val="en-US"/>
          </w:rPr>
          <w:t>Curr Opin Infect Dis.</w:t>
        </w:r>
      </w:hyperlink>
      <w:r w:rsidR="008F6FFE" w:rsidRPr="00717D4D">
        <w:rPr>
          <w:rFonts w:asciiTheme="minorHAnsi" w:hAnsiTheme="minorHAnsi" w:cstheme="minorHAnsi"/>
          <w:color w:val="000000" w:themeColor="text1"/>
          <w:sz w:val="16"/>
          <w:szCs w:val="16"/>
          <w:lang w:val="en-US"/>
        </w:rPr>
        <w:t> 2013 Jun;26(3):213-8. doi: 10.1097/QCO.0b013e32835fb8bf.</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Early life response to infection.</w:t>
      </w: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1005" w:history="1">
        <w:r w:rsidR="008F6FFE" w:rsidRPr="00717D4D">
          <w:rPr>
            <w:rFonts w:asciiTheme="minorHAnsi" w:hAnsiTheme="minorHAnsi" w:cstheme="minorHAnsi"/>
            <w:color w:val="000000" w:themeColor="text1"/>
            <w:sz w:val="16"/>
            <w:szCs w:val="16"/>
            <w:lang w:val="en-US"/>
          </w:rPr>
          <w:t>Ghazal P</w:t>
        </w:r>
      </w:hyperlink>
      <w:r w:rsidR="008F6FFE" w:rsidRPr="00717D4D">
        <w:rPr>
          <w:rFonts w:asciiTheme="minorHAnsi" w:hAnsiTheme="minorHAnsi" w:cstheme="minorHAnsi"/>
          <w:color w:val="000000" w:themeColor="text1"/>
          <w:sz w:val="16"/>
          <w:szCs w:val="16"/>
          <w:lang w:val="en-US"/>
        </w:rPr>
        <w:t>1, </w:t>
      </w:r>
      <w:hyperlink r:id="rId1006" w:history="1">
        <w:r w:rsidR="008F6FFE" w:rsidRPr="00717D4D">
          <w:rPr>
            <w:rFonts w:asciiTheme="minorHAnsi" w:hAnsiTheme="minorHAnsi" w:cstheme="minorHAnsi"/>
            <w:color w:val="000000" w:themeColor="text1"/>
            <w:sz w:val="16"/>
            <w:szCs w:val="16"/>
            <w:lang w:val="en-US"/>
          </w:rPr>
          <w:t>Dickinson P</w:t>
        </w:r>
      </w:hyperlink>
      <w:r w:rsidR="008F6FFE" w:rsidRPr="00717D4D">
        <w:rPr>
          <w:rFonts w:asciiTheme="minorHAnsi" w:hAnsiTheme="minorHAnsi" w:cstheme="minorHAnsi"/>
          <w:color w:val="000000" w:themeColor="text1"/>
          <w:sz w:val="16"/>
          <w:szCs w:val="16"/>
          <w:lang w:val="en-US"/>
        </w:rPr>
        <w:t>, </w:t>
      </w:r>
      <w:hyperlink r:id="rId1007" w:history="1">
        <w:r w:rsidR="008F6FFE" w:rsidRPr="00717D4D">
          <w:rPr>
            <w:rFonts w:asciiTheme="minorHAnsi" w:hAnsiTheme="minorHAnsi" w:cstheme="minorHAnsi"/>
            <w:color w:val="000000" w:themeColor="text1"/>
            <w:sz w:val="16"/>
            <w:szCs w:val="16"/>
            <w:lang w:val="en-US"/>
          </w:rPr>
          <w:t>Smith CL</w:t>
        </w:r>
      </w:hyperlink>
      <w:r w:rsidR="008F6FFE" w:rsidRPr="00717D4D">
        <w:rPr>
          <w:rFonts w:asciiTheme="minorHAnsi" w:hAnsiTheme="minorHAnsi" w:cstheme="minorHAnsi"/>
          <w:color w:val="000000" w:themeColor="text1"/>
          <w:sz w:val="16"/>
          <w:szCs w:val="16"/>
          <w:lang w:val="en-US"/>
        </w:rPr>
        <w:t>.</w:t>
      </w:r>
    </w:p>
    <w:p w:rsidR="008F6FFE" w:rsidRPr="00B757AA" w:rsidRDefault="0052743C" w:rsidP="00B757AA">
      <w:pPr>
        <w:shd w:val="clear" w:color="auto" w:fill="FFFFFF"/>
        <w:rPr>
          <w:rFonts w:asciiTheme="minorHAnsi" w:hAnsiTheme="minorHAnsi" w:cstheme="minorHAnsi"/>
          <w:color w:val="000000" w:themeColor="text1"/>
          <w:sz w:val="16"/>
          <w:szCs w:val="16"/>
          <w:lang w:val="en-US"/>
        </w:rPr>
      </w:pPr>
      <w:hyperlink r:id="rId1008" w:history="1">
        <w:r w:rsidR="008F6FFE" w:rsidRPr="00B757AA">
          <w:rPr>
            <w:rFonts w:asciiTheme="minorHAnsi" w:hAnsiTheme="minorHAnsi" w:cstheme="minorHAnsi"/>
            <w:color w:val="000000" w:themeColor="text1"/>
            <w:sz w:val="16"/>
            <w:szCs w:val="16"/>
            <w:lang w:val="en-US"/>
          </w:rPr>
          <w:t>https://pubmed.ncbi.nlm.nih.gov/23449137/</w:t>
        </w:r>
      </w:hyperlink>
    </w:p>
    <w:p w:rsidR="008F6FFE" w:rsidRPr="00717D4D" w:rsidRDefault="008F6FFE" w:rsidP="00717D4D">
      <w:pPr>
        <w:shd w:val="clear" w:color="auto" w:fill="FFFFFF"/>
        <w:rPr>
          <w:rFonts w:asciiTheme="minorHAnsi" w:hAnsiTheme="minorHAnsi" w:cstheme="minorHAnsi"/>
          <w:color w:val="000000" w:themeColor="text1"/>
          <w:sz w:val="16"/>
          <w:szCs w:val="16"/>
          <w:vertAlign w:val="superscript"/>
          <w:lang w:val="en-US"/>
        </w:rPr>
      </w:pPr>
    </w:p>
  </w:footnote>
  <w:footnote w:id="125">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vertAlign w:val="superscript"/>
          <w:lang w:val="en-US"/>
        </w:rPr>
        <w:t xml:space="preserve"> </w:t>
      </w:r>
      <w:r w:rsidRPr="00717D4D">
        <w:rPr>
          <w:rFonts w:asciiTheme="minorHAnsi" w:hAnsiTheme="minorHAnsi" w:cstheme="minorHAnsi"/>
          <w:color w:val="000000" w:themeColor="text1"/>
          <w:sz w:val="16"/>
          <w:szCs w:val="16"/>
          <w:lang w:val="en-US"/>
        </w:rPr>
        <w:t xml:space="preserve">Trends Immunol 35:299–310 (2014)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Ontogeny of early life immunity.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Dowling DJ, Levy O</w:t>
      </w:r>
    </w:p>
    <w:p w:rsidR="008F6FFE" w:rsidRPr="00B757AA" w:rsidRDefault="0052743C" w:rsidP="00B757AA">
      <w:pPr>
        <w:shd w:val="clear" w:color="auto" w:fill="FFFFFF"/>
        <w:rPr>
          <w:rFonts w:asciiTheme="minorHAnsi" w:hAnsiTheme="minorHAnsi" w:cstheme="minorHAnsi"/>
          <w:color w:val="000000" w:themeColor="text1"/>
          <w:sz w:val="16"/>
          <w:szCs w:val="16"/>
          <w:lang w:val="en-US"/>
        </w:rPr>
      </w:pPr>
      <w:hyperlink r:id="rId1009" w:history="1">
        <w:r w:rsidR="008F6FFE" w:rsidRPr="00B757AA">
          <w:rPr>
            <w:rFonts w:asciiTheme="minorHAnsi" w:hAnsiTheme="minorHAnsi" w:cstheme="minorHAnsi"/>
            <w:color w:val="000000" w:themeColor="text1"/>
            <w:sz w:val="16"/>
            <w:szCs w:val="16"/>
            <w:lang w:val="en-US"/>
          </w:rPr>
          <w:t>https://www.ncbi.nlm.nih.gov/pmc/articles/PMC4109609/</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Int Rev Immunol 19:173–193  (2000)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Cellular immune responses in neonates</w:t>
      </w:r>
    </w:p>
    <w:p w:rsidR="008F6FFE" w:rsidRPr="00A078ED" w:rsidRDefault="008F6FFE" w:rsidP="00717D4D">
      <w:pPr>
        <w:shd w:val="clear" w:color="auto" w:fill="FFFFFF"/>
        <w:rPr>
          <w:rFonts w:asciiTheme="minorHAnsi" w:hAnsiTheme="minorHAnsi" w:cstheme="minorHAnsi"/>
          <w:color w:val="000000" w:themeColor="text1"/>
          <w:sz w:val="16"/>
          <w:szCs w:val="16"/>
        </w:rPr>
      </w:pPr>
      <w:r w:rsidRPr="00A078ED">
        <w:rPr>
          <w:rFonts w:asciiTheme="minorHAnsi" w:hAnsiTheme="minorHAnsi" w:cstheme="minorHAnsi"/>
          <w:color w:val="000000" w:themeColor="text1"/>
          <w:sz w:val="16"/>
          <w:szCs w:val="16"/>
        </w:rPr>
        <w:t>Fadel S, Sarzotti M</w:t>
      </w:r>
    </w:p>
    <w:p w:rsidR="008F6FFE" w:rsidRPr="00A078ED" w:rsidRDefault="0052743C" w:rsidP="00B757AA">
      <w:pPr>
        <w:shd w:val="clear" w:color="auto" w:fill="FFFFFF"/>
        <w:rPr>
          <w:rFonts w:asciiTheme="minorHAnsi" w:hAnsiTheme="minorHAnsi" w:cstheme="minorHAnsi"/>
          <w:color w:val="000000" w:themeColor="text1"/>
          <w:sz w:val="16"/>
          <w:szCs w:val="16"/>
        </w:rPr>
      </w:pPr>
      <w:hyperlink r:id="rId1010" w:history="1">
        <w:r w:rsidR="008F6FFE" w:rsidRPr="00A078ED">
          <w:rPr>
            <w:rFonts w:asciiTheme="minorHAnsi" w:hAnsiTheme="minorHAnsi" w:cstheme="minorHAnsi"/>
            <w:color w:val="000000" w:themeColor="text1"/>
            <w:sz w:val="16"/>
            <w:szCs w:val="16"/>
          </w:rPr>
          <w:t>https://pubmed.ncbi.nlm.nih.gov/10763708/</w:t>
        </w:r>
      </w:hyperlink>
    </w:p>
    <w:p w:rsidR="008F6FFE" w:rsidRPr="00A078ED" w:rsidRDefault="008F6FFE" w:rsidP="00B757AA">
      <w:pPr>
        <w:shd w:val="clear" w:color="auto" w:fill="FFFFFF"/>
        <w:rPr>
          <w:rFonts w:asciiTheme="minorHAnsi" w:hAnsiTheme="minorHAnsi" w:cstheme="minorHAnsi"/>
          <w:color w:val="000000" w:themeColor="text1"/>
          <w:sz w:val="16"/>
          <w:szCs w:val="16"/>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Immunol Res 22:177–190  (2000)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T cell immunity in neonates. </w:t>
      </w:r>
    </w:p>
    <w:p w:rsidR="008F6FFE" w:rsidRPr="00A078ED" w:rsidRDefault="008F6FFE" w:rsidP="00717D4D">
      <w:pPr>
        <w:shd w:val="clear" w:color="auto" w:fill="FFFFFF"/>
        <w:rPr>
          <w:rFonts w:asciiTheme="minorHAnsi" w:hAnsiTheme="minorHAnsi" w:cstheme="minorHAnsi"/>
          <w:color w:val="000000" w:themeColor="text1"/>
          <w:sz w:val="16"/>
          <w:szCs w:val="16"/>
        </w:rPr>
      </w:pPr>
      <w:r w:rsidRPr="00A078ED">
        <w:rPr>
          <w:rFonts w:asciiTheme="minorHAnsi" w:hAnsiTheme="minorHAnsi" w:cstheme="minorHAnsi"/>
          <w:color w:val="000000" w:themeColor="text1"/>
          <w:sz w:val="16"/>
          <w:szCs w:val="16"/>
        </w:rPr>
        <w:t>Garcia AM, Fadel SA, Cao S, Sarzotti M</w:t>
      </w:r>
    </w:p>
    <w:p w:rsidR="008F6FFE" w:rsidRPr="00A078ED" w:rsidRDefault="0052743C" w:rsidP="00B757AA">
      <w:pPr>
        <w:shd w:val="clear" w:color="auto" w:fill="FFFFFF"/>
        <w:rPr>
          <w:rFonts w:asciiTheme="minorHAnsi" w:hAnsiTheme="minorHAnsi" w:cstheme="minorHAnsi"/>
          <w:color w:val="000000" w:themeColor="text1"/>
          <w:sz w:val="16"/>
          <w:szCs w:val="16"/>
        </w:rPr>
      </w:pPr>
      <w:hyperlink r:id="rId1011" w:history="1">
        <w:r w:rsidR="008F6FFE" w:rsidRPr="00A078ED">
          <w:rPr>
            <w:rFonts w:asciiTheme="minorHAnsi" w:hAnsiTheme="minorHAnsi" w:cstheme="minorHAnsi"/>
            <w:color w:val="000000" w:themeColor="text1"/>
            <w:sz w:val="16"/>
            <w:szCs w:val="16"/>
          </w:rPr>
          <w:t>https://www.ncbi.nlm.nih.gov/pmc/articles/PMC4407563/</w:t>
        </w:r>
      </w:hyperlink>
    </w:p>
    <w:p w:rsidR="008F6FFE" w:rsidRPr="00A078ED" w:rsidRDefault="008F6FFE" w:rsidP="00B757AA">
      <w:pPr>
        <w:shd w:val="clear" w:color="auto" w:fill="FFFFFF"/>
        <w:rPr>
          <w:rFonts w:asciiTheme="minorHAnsi" w:hAnsiTheme="minorHAnsi" w:cstheme="minorHAnsi"/>
          <w:color w:val="000000" w:themeColor="text1"/>
          <w:sz w:val="16"/>
          <w:szCs w:val="16"/>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Clin Exp Immunol 141:10–18 (2005)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T cell-mediated immune responses in human newborns: ready to learn?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Marchant A, Goldman M</w:t>
      </w:r>
    </w:p>
    <w:p w:rsidR="008F6FFE" w:rsidRPr="00B757AA" w:rsidRDefault="0052743C" w:rsidP="00B757AA">
      <w:pPr>
        <w:shd w:val="clear" w:color="auto" w:fill="FFFFFF"/>
        <w:rPr>
          <w:rFonts w:asciiTheme="minorHAnsi" w:hAnsiTheme="minorHAnsi" w:cstheme="minorHAnsi"/>
          <w:color w:val="000000" w:themeColor="text1"/>
          <w:sz w:val="16"/>
          <w:szCs w:val="16"/>
          <w:lang w:val="en-US"/>
        </w:rPr>
      </w:pPr>
      <w:hyperlink r:id="rId1012" w:history="1">
        <w:r w:rsidR="008F6FFE" w:rsidRPr="00B757AA">
          <w:rPr>
            <w:rFonts w:asciiTheme="minorHAnsi" w:hAnsiTheme="minorHAnsi" w:cstheme="minorHAnsi"/>
            <w:color w:val="000000" w:themeColor="text1"/>
            <w:sz w:val="16"/>
            <w:szCs w:val="16"/>
            <w:lang w:val="en-US"/>
          </w:rPr>
          <w:t>https://www.ncbi.nlm.nih.gov/pmc/articles/PMC1809424/</w:t>
        </w:r>
      </w:hyperlink>
    </w:p>
    <w:p w:rsidR="008F6FFE" w:rsidRPr="00B757AA" w:rsidRDefault="008F6FFE" w:rsidP="00B757AA">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Immunol 5:393 (2014)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Unbalanced neonatal CD4(+) T cell immunity.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Debock I, Flamand V Front</w:t>
      </w:r>
    </w:p>
    <w:p w:rsidR="008F6FFE" w:rsidRPr="00B757AA" w:rsidRDefault="0052743C" w:rsidP="00B757AA">
      <w:pPr>
        <w:shd w:val="clear" w:color="auto" w:fill="FFFFFF"/>
        <w:rPr>
          <w:rFonts w:asciiTheme="minorHAnsi" w:hAnsiTheme="minorHAnsi" w:cstheme="minorHAnsi"/>
          <w:color w:val="000000" w:themeColor="text1"/>
          <w:sz w:val="16"/>
          <w:szCs w:val="16"/>
          <w:lang w:val="en-US"/>
        </w:rPr>
      </w:pPr>
      <w:hyperlink r:id="rId1013" w:history="1">
        <w:r w:rsidR="008F6FFE" w:rsidRPr="00B757AA">
          <w:rPr>
            <w:rFonts w:asciiTheme="minorHAnsi" w:hAnsiTheme="minorHAnsi" w:cstheme="minorHAnsi"/>
            <w:color w:val="000000" w:themeColor="text1"/>
            <w:sz w:val="16"/>
            <w:szCs w:val="16"/>
            <w:lang w:val="en-US"/>
          </w:rPr>
          <w:t>https://www.ncbi.nlm.nih.gov/pmc/articles/PMC4145351/</w:t>
        </w:r>
      </w:hyperlink>
    </w:p>
    <w:p w:rsidR="008F6FFE" w:rsidRPr="00B757AA" w:rsidRDefault="008F6FFE" w:rsidP="00B757AA">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Immunity 46:350–363 (2017)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Protecting the newborn and young infant from infectious diseases: lessons from immune ontogeny</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Kollmann TR, Kampmann B, Mazmanian SK, Marchant A, Levy O. </w:t>
      </w:r>
    </w:p>
    <w:p w:rsidR="008F6FFE" w:rsidRPr="00B757AA" w:rsidRDefault="0052743C" w:rsidP="00B757AA">
      <w:pPr>
        <w:shd w:val="clear" w:color="auto" w:fill="FFFFFF"/>
        <w:rPr>
          <w:rFonts w:asciiTheme="minorHAnsi" w:hAnsiTheme="minorHAnsi" w:cstheme="minorHAnsi"/>
          <w:color w:val="000000" w:themeColor="text1"/>
          <w:sz w:val="16"/>
          <w:szCs w:val="16"/>
          <w:lang w:val="en-US"/>
        </w:rPr>
      </w:pPr>
      <w:hyperlink r:id="rId1014" w:history="1">
        <w:r w:rsidR="008F6FFE" w:rsidRPr="00B757AA">
          <w:rPr>
            <w:rFonts w:asciiTheme="minorHAnsi" w:hAnsiTheme="minorHAnsi" w:cstheme="minorHAnsi"/>
            <w:color w:val="000000" w:themeColor="text1"/>
            <w:sz w:val="16"/>
            <w:szCs w:val="16"/>
            <w:lang w:val="en-US"/>
          </w:rPr>
          <w:t>https://www.cell.com/action/showPdf?pii=S1074-7613%2817%2930090-0</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Immunity 37:771–783  (2012)</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Innate immune function by Toll-like receptors: distinct responses in newborns and the elderly.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Kollmann TR, Levy O, Montgomery RR, Goriely S </w:t>
      </w:r>
    </w:p>
    <w:p w:rsidR="008F6FFE" w:rsidRPr="00B757AA" w:rsidRDefault="0052743C" w:rsidP="00B757AA">
      <w:pPr>
        <w:shd w:val="clear" w:color="auto" w:fill="FFFFFF"/>
        <w:rPr>
          <w:rFonts w:asciiTheme="minorHAnsi" w:hAnsiTheme="minorHAnsi" w:cstheme="minorHAnsi"/>
          <w:color w:val="000000" w:themeColor="text1"/>
          <w:sz w:val="16"/>
          <w:szCs w:val="16"/>
          <w:lang w:val="en-US"/>
        </w:rPr>
      </w:pPr>
      <w:hyperlink r:id="rId1015" w:history="1">
        <w:r w:rsidR="008F6FFE" w:rsidRPr="00B757AA">
          <w:rPr>
            <w:rFonts w:asciiTheme="minorHAnsi" w:hAnsiTheme="minorHAnsi" w:cstheme="minorHAnsi"/>
            <w:color w:val="000000" w:themeColor="text1"/>
            <w:sz w:val="16"/>
            <w:szCs w:val="16"/>
            <w:lang w:val="en-US"/>
          </w:rPr>
          <w:t>https://www.ncbi.nlm.nih.gov/pmc/articles/PMC3538030/</w:t>
        </w:r>
      </w:hyperlink>
    </w:p>
    <w:p w:rsidR="008F6FFE" w:rsidRPr="00717D4D" w:rsidRDefault="008F6FFE" w:rsidP="00717D4D">
      <w:pPr>
        <w:pStyle w:val="FootnoteText"/>
        <w:rPr>
          <w:rFonts w:asciiTheme="minorHAnsi" w:hAnsiTheme="minorHAnsi"/>
          <w:sz w:val="16"/>
          <w:szCs w:val="16"/>
          <w:lang w:val="en-US"/>
        </w:rPr>
      </w:pPr>
    </w:p>
  </w:footnote>
  <w:footnote w:id="126">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lang w:val="en-US"/>
        </w:rPr>
        <w:t xml:space="preserve"> Immunol Today. 1992;13(6):215‐218. doi:10.1016/0167-5699(92)90157-3</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Developmental and maturational changes in human blood lymphocyte subpopulations.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Hannet I, Erkeller-Yuksel F, Lydyard P, Deneys V, DeBruyère M.</w:t>
      </w: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1016" w:history="1">
        <w:r w:rsidR="008F6FFE" w:rsidRPr="00B757AA">
          <w:rPr>
            <w:rFonts w:asciiTheme="minorHAnsi" w:hAnsiTheme="minorHAnsi" w:cstheme="minorHAnsi"/>
            <w:color w:val="000000" w:themeColor="text1"/>
            <w:sz w:val="16"/>
            <w:szCs w:val="16"/>
            <w:lang w:val="en-US"/>
          </w:rPr>
          <w:t>https://pubmed.ncbi.nlm.nih.gov/1627249/</w:t>
        </w:r>
      </w:hyperlink>
    </w:p>
  </w:footnote>
  <w:footnote w:id="127">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lang w:val="en-US"/>
        </w:rPr>
        <w:t xml:space="preserve"> Expert Rev Clin Immunol. 2014 Sep;10(9):1171-84. doi: 10.1586/1744666X.2014.942288.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Immune responses in neonates.</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Basha S, Surendran N, Pichichero M. </w:t>
      </w:r>
    </w:p>
    <w:p w:rsidR="008F6FFE" w:rsidRPr="00A13443" w:rsidRDefault="0052743C" w:rsidP="00A13443">
      <w:pPr>
        <w:shd w:val="clear" w:color="auto" w:fill="FFFFFF"/>
        <w:rPr>
          <w:rFonts w:asciiTheme="minorHAnsi" w:hAnsiTheme="minorHAnsi" w:cstheme="minorHAnsi"/>
          <w:color w:val="000000" w:themeColor="text1"/>
          <w:sz w:val="16"/>
          <w:szCs w:val="16"/>
          <w:lang w:val="en-US"/>
        </w:rPr>
      </w:pPr>
      <w:hyperlink r:id="rId1017" w:history="1">
        <w:r w:rsidR="008F6FFE" w:rsidRPr="00A13443">
          <w:rPr>
            <w:rFonts w:asciiTheme="minorHAnsi" w:hAnsiTheme="minorHAnsi" w:cstheme="minorHAnsi"/>
            <w:color w:val="000000" w:themeColor="text1"/>
            <w:sz w:val="16"/>
            <w:szCs w:val="16"/>
            <w:lang w:val="en-US"/>
          </w:rPr>
          <w:t>https://www.ncbi.nlm.nih.gov/pmc/articles/PMC4407563/</w:t>
        </w:r>
      </w:hyperlink>
    </w:p>
    <w:p w:rsidR="008F6FFE" w:rsidRPr="00717D4D" w:rsidRDefault="008F6FFE" w:rsidP="00717D4D">
      <w:pPr>
        <w:pStyle w:val="FootnoteText"/>
        <w:rPr>
          <w:rFonts w:asciiTheme="minorHAnsi" w:hAnsiTheme="minorHAnsi"/>
          <w:sz w:val="16"/>
          <w:szCs w:val="16"/>
          <w:lang w:val="en-US"/>
        </w:rPr>
      </w:pPr>
    </w:p>
  </w:footnote>
  <w:footnote w:id="128">
    <w:p w:rsidR="008F6FFE" w:rsidRPr="00651DD3" w:rsidRDefault="008F6FFE" w:rsidP="00717D4D">
      <w:pPr>
        <w:rPr>
          <w:rFonts w:asciiTheme="minorHAnsi" w:hAnsiTheme="minorHAnsi"/>
          <w:sz w:val="16"/>
          <w:szCs w:val="16"/>
        </w:rPr>
      </w:pPr>
      <w:r w:rsidRPr="00717D4D">
        <w:rPr>
          <w:rStyle w:val="FootnoteReference"/>
          <w:rFonts w:asciiTheme="minorHAnsi" w:hAnsiTheme="minorHAnsi"/>
          <w:sz w:val="16"/>
          <w:szCs w:val="16"/>
        </w:rPr>
        <w:footnoteRef/>
      </w:r>
      <w:r w:rsidRPr="00651DD3">
        <w:rPr>
          <w:rFonts w:asciiTheme="minorHAnsi" w:hAnsiTheme="minorHAnsi"/>
          <w:sz w:val="16"/>
          <w:szCs w:val="16"/>
        </w:rPr>
        <w:t xml:space="preserve">  </w:t>
      </w:r>
      <w:r w:rsidRPr="00A13443">
        <w:rPr>
          <w:rFonts w:asciiTheme="minorHAnsi" w:hAnsiTheme="minorHAnsi"/>
          <w:color w:val="C00000"/>
          <w:sz w:val="16"/>
          <w:szCs w:val="16"/>
        </w:rPr>
        <w:t>Riferimento letteratura tra parentesi quadre</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A832DC">
        <w:rPr>
          <w:rFonts w:asciiTheme="minorHAnsi" w:hAnsiTheme="minorHAnsi" w:cstheme="minorHAnsi"/>
          <w:color w:val="000000" w:themeColor="text1"/>
          <w:sz w:val="16"/>
          <w:szCs w:val="16"/>
        </w:rPr>
        <w:t xml:space="preserve">Nat Rev Immunol 7, 379–390 (2007). </w:t>
      </w:r>
      <w:hyperlink r:id="rId1018" w:history="1">
        <w:r w:rsidRPr="00717D4D">
          <w:rPr>
            <w:rFonts w:asciiTheme="minorHAnsi" w:hAnsiTheme="minorHAnsi" w:cstheme="minorHAnsi"/>
            <w:color w:val="000000" w:themeColor="text1"/>
            <w:sz w:val="16"/>
            <w:szCs w:val="16"/>
            <w:lang w:val="en-US"/>
          </w:rPr>
          <w:t>https://doi.org/10.1038/nri2075</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Innate immunity of the newborn: basic mechanisms and clinical correlates.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Levy, O.</w:t>
      </w: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1019" w:history="1">
        <w:r w:rsidR="008F6FFE" w:rsidRPr="00717D4D">
          <w:rPr>
            <w:rFonts w:asciiTheme="minorHAnsi" w:hAnsiTheme="minorHAnsi" w:cstheme="minorHAnsi"/>
            <w:color w:val="000000" w:themeColor="text1"/>
            <w:sz w:val="16"/>
            <w:szCs w:val="16"/>
            <w:lang w:val="en-US"/>
          </w:rPr>
          <w:t>https://www.nature.com/articles/nri2075</w:t>
        </w:r>
      </w:hyperlink>
    </w:p>
    <w:p w:rsidR="008F6FFE" w:rsidRPr="00717D4D" w:rsidRDefault="008F6FFE" w:rsidP="00717D4D">
      <w:pPr>
        <w:pStyle w:val="FootnoteText"/>
        <w:rPr>
          <w:rFonts w:asciiTheme="minorHAnsi" w:hAnsiTheme="minorHAnsi"/>
          <w:sz w:val="16"/>
          <w:szCs w:val="16"/>
          <w:lang w:val="en-US"/>
        </w:rPr>
      </w:pPr>
    </w:p>
  </w:footnote>
  <w:footnote w:id="129">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vertAlign w:val="superscript"/>
          <w:lang w:val="en-US"/>
        </w:rPr>
        <w:t xml:space="preserve"> </w:t>
      </w:r>
      <w:r w:rsidRPr="00717D4D">
        <w:rPr>
          <w:rFonts w:asciiTheme="minorHAnsi" w:hAnsiTheme="minorHAnsi" w:cstheme="minorHAnsi"/>
          <w:color w:val="000000" w:themeColor="text1"/>
          <w:sz w:val="16"/>
          <w:szCs w:val="16"/>
          <w:lang w:val="en-US"/>
        </w:rPr>
        <w:t>Curr Opin Infect Dis 24:190–195 (2011)</w:t>
      </w:r>
    </w:p>
    <w:p w:rsidR="008F6FFE"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Neonatal immunization: where do we stand? </w:t>
      </w:r>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Wood N, Siegrist CA</w:t>
      </w:r>
    </w:p>
    <w:p w:rsidR="008F6FFE" w:rsidRPr="00235A16" w:rsidRDefault="0052743C" w:rsidP="001D6E3E">
      <w:pPr>
        <w:shd w:val="clear" w:color="auto" w:fill="FFFFFF"/>
        <w:rPr>
          <w:rFonts w:asciiTheme="minorHAnsi" w:hAnsiTheme="minorHAnsi" w:cstheme="minorHAnsi"/>
          <w:color w:val="000000" w:themeColor="text1"/>
          <w:sz w:val="16"/>
          <w:szCs w:val="16"/>
          <w:lang w:val="de-DE"/>
        </w:rPr>
      </w:pPr>
      <w:hyperlink r:id="rId1020" w:history="1">
        <w:r w:rsidR="008F6FFE" w:rsidRPr="00235A16">
          <w:rPr>
            <w:rFonts w:asciiTheme="minorHAnsi" w:hAnsiTheme="minorHAnsi" w:cstheme="minorHAnsi"/>
            <w:color w:val="000000" w:themeColor="text1"/>
            <w:sz w:val="16"/>
            <w:szCs w:val="16"/>
            <w:lang w:val="de-DE"/>
          </w:rPr>
          <w:t>https://pubmed.ncbi.nlm.nih.gov/21415741/</w:t>
        </w:r>
      </w:hyperlink>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Eur J Immunol 39:36–46  (2009)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Safety and efficacy of neonatal vaccination.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Demirjian A, Levy O</w:t>
      </w:r>
    </w:p>
    <w:p w:rsidR="008F6FFE" w:rsidRPr="001D6E3E" w:rsidRDefault="0052743C" w:rsidP="001D6E3E">
      <w:pPr>
        <w:shd w:val="clear" w:color="auto" w:fill="FFFFFF"/>
        <w:rPr>
          <w:rFonts w:asciiTheme="minorHAnsi" w:hAnsiTheme="minorHAnsi" w:cstheme="minorHAnsi"/>
          <w:color w:val="000000" w:themeColor="text1"/>
          <w:sz w:val="16"/>
          <w:szCs w:val="16"/>
          <w:lang w:val="en-US"/>
        </w:rPr>
      </w:pPr>
      <w:hyperlink r:id="rId1021" w:history="1">
        <w:r w:rsidR="008F6FFE" w:rsidRPr="001D6E3E">
          <w:rPr>
            <w:rFonts w:asciiTheme="minorHAnsi" w:hAnsiTheme="minorHAnsi" w:cstheme="minorHAnsi"/>
            <w:color w:val="000000" w:themeColor="text1"/>
            <w:sz w:val="16"/>
            <w:szCs w:val="16"/>
            <w:lang w:val="en-US"/>
          </w:rPr>
          <w:t>https://www.ncbi.nlm.nih.gov/pmc/articles/PMC2739303/</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J Pediatr 153:305–307 (2008)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Blame vaccine interference, not neonatal immunization, for suboptimal responses after neonatal diphtheria, tetanus, and acellular pertussis immunization. </w:t>
      </w:r>
    </w:p>
    <w:p w:rsidR="008F6FFE" w:rsidRPr="00A078ED" w:rsidRDefault="008F6FFE" w:rsidP="00717D4D">
      <w:pPr>
        <w:shd w:val="clear" w:color="auto" w:fill="FFFFFF"/>
        <w:rPr>
          <w:rFonts w:asciiTheme="minorHAnsi" w:hAnsiTheme="minorHAnsi" w:cstheme="minorHAnsi"/>
          <w:color w:val="000000" w:themeColor="text1"/>
          <w:sz w:val="16"/>
          <w:szCs w:val="16"/>
        </w:rPr>
      </w:pPr>
      <w:r w:rsidRPr="00A078ED">
        <w:rPr>
          <w:rFonts w:asciiTheme="minorHAnsi" w:hAnsiTheme="minorHAnsi" w:cstheme="minorHAnsi"/>
          <w:color w:val="000000" w:themeColor="text1"/>
          <w:sz w:val="16"/>
          <w:szCs w:val="16"/>
        </w:rPr>
        <w:t>Siegrist CA</w:t>
      </w:r>
    </w:p>
    <w:p w:rsidR="008F6FFE" w:rsidRPr="00A078ED" w:rsidRDefault="0052743C" w:rsidP="001D6E3E">
      <w:pPr>
        <w:shd w:val="clear" w:color="auto" w:fill="FFFFFF"/>
        <w:rPr>
          <w:rFonts w:asciiTheme="minorHAnsi" w:hAnsiTheme="minorHAnsi" w:cstheme="minorHAnsi"/>
          <w:color w:val="000000" w:themeColor="text1"/>
          <w:sz w:val="16"/>
          <w:szCs w:val="16"/>
        </w:rPr>
      </w:pPr>
      <w:hyperlink r:id="rId1022" w:history="1">
        <w:r w:rsidR="008F6FFE" w:rsidRPr="00A078ED">
          <w:rPr>
            <w:rFonts w:asciiTheme="minorHAnsi" w:hAnsiTheme="minorHAnsi" w:cstheme="minorHAnsi"/>
            <w:color w:val="000000" w:themeColor="text1"/>
            <w:sz w:val="16"/>
            <w:szCs w:val="16"/>
          </w:rPr>
          <w:t>https://www.jpeds.com/article/S0022-3476(08)00309-0/fulltext</w:t>
        </w:r>
      </w:hyperlink>
    </w:p>
    <w:p w:rsidR="008F6FFE" w:rsidRPr="00A078ED" w:rsidRDefault="008F6FFE" w:rsidP="001D6E3E">
      <w:pPr>
        <w:shd w:val="clear" w:color="auto" w:fill="FFFFFF"/>
        <w:rPr>
          <w:rFonts w:asciiTheme="minorHAnsi" w:hAnsiTheme="minorHAnsi" w:cstheme="minorHAnsi"/>
          <w:color w:val="000000" w:themeColor="text1"/>
          <w:sz w:val="16"/>
          <w:szCs w:val="16"/>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J Comp Pathol 137(Suppl 1): (S4–S92007)</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The challenges of vaccine responses in early life: selected examples. </w:t>
      </w:r>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 xml:space="preserve">Siegrist CA </w:t>
      </w:r>
    </w:p>
    <w:p w:rsidR="008F6FFE" w:rsidRPr="00235A16" w:rsidRDefault="0052743C" w:rsidP="001D6E3E">
      <w:pPr>
        <w:shd w:val="clear" w:color="auto" w:fill="FFFFFF"/>
        <w:rPr>
          <w:rFonts w:asciiTheme="minorHAnsi" w:hAnsiTheme="minorHAnsi" w:cstheme="minorHAnsi"/>
          <w:color w:val="000000" w:themeColor="text1"/>
          <w:sz w:val="16"/>
          <w:szCs w:val="16"/>
          <w:lang w:val="de-DE"/>
        </w:rPr>
      </w:pPr>
      <w:hyperlink r:id="rId1023" w:history="1">
        <w:r w:rsidR="008F6FFE" w:rsidRPr="00235A16">
          <w:rPr>
            <w:rFonts w:asciiTheme="minorHAnsi" w:hAnsiTheme="minorHAnsi" w:cstheme="minorHAnsi"/>
            <w:color w:val="000000" w:themeColor="text1"/>
            <w:sz w:val="16"/>
            <w:szCs w:val="16"/>
            <w:lang w:val="de-DE"/>
          </w:rPr>
          <w:t>https://pubmed.ncbi.nlm.nih.gov/17559867/</w:t>
        </w:r>
      </w:hyperlink>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Nat Immunol 12:189–194 (2011)</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Challenges in infant immunity: implications for responses to infection and vaccines.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PrabhuDas M, Adkins B, Gans H, King C, Levy O, Ramilo O, Siegrist CA </w:t>
      </w:r>
    </w:p>
    <w:p w:rsidR="008F6FFE" w:rsidRPr="001D6E3E" w:rsidRDefault="0052743C" w:rsidP="001D6E3E">
      <w:pPr>
        <w:shd w:val="clear" w:color="auto" w:fill="FFFFFF"/>
        <w:rPr>
          <w:rFonts w:asciiTheme="minorHAnsi" w:hAnsiTheme="minorHAnsi" w:cstheme="minorHAnsi"/>
          <w:color w:val="000000" w:themeColor="text1"/>
          <w:sz w:val="16"/>
          <w:szCs w:val="16"/>
          <w:lang w:val="en-US"/>
        </w:rPr>
      </w:pPr>
      <w:hyperlink r:id="rId1024" w:history="1">
        <w:r w:rsidR="008F6FFE" w:rsidRPr="001D6E3E">
          <w:rPr>
            <w:rFonts w:asciiTheme="minorHAnsi" w:hAnsiTheme="minorHAnsi" w:cstheme="minorHAnsi"/>
            <w:color w:val="000000" w:themeColor="text1"/>
            <w:sz w:val="16"/>
            <w:szCs w:val="16"/>
            <w:lang w:val="en-US"/>
          </w:rPr>
          <w:t>https://www.nature.com/articles/ni0311-189</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Am. J. Public Health 49(5), 644–655 (1959).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Multiple antigen for immunization against poliomyelitis, diphtheria, pertussis, and tetanus. II. Response of infants and young children to primary immunization and eighteen-month booster. Barrett CD, Timm EA, Molner JG, Wilner BI, Fahey MF, McLean IW.</w:t>
      </w:r>
    </w:p>
    <w:p w:rsidR="008F6FFE" w:rsidRPr="001D6E3E" w:rsidRDefault="0052743C" w:rsidP="001D6E3E">
      <w:pPr>
        <w:shd w:val="clear" w:color="auto" w:fill="FFFFFF"/>
        <w:rPr>
          <w:rFonts w:asciiTheme="minorHAnsi" w:hAnsiTheme="minorHAnsi" w:cstheme="minorHAnsi"/>
          <w:color w:val="000000" w:themeColor="text1"/>
          <w:sz w:val="16"/>
          <w:szCs w:val="16"/>
          <w:lang w:val="en-US"/>
        </w:rPr>
      </w:pPr>
      <w:hyperlink r:id="rId1025" w:history="1">
        <w:r w:rsidR="008F6FFE" w:rsidRPr="001D6E3E">
          <w:rPr>
            <w:rFonts w:asciiTheme="minorHAnsi" w:hAnsiTheme="minorHAnsi" w:cstheme="minorHAnsi"/>
            <w:color w:val="000000" w:themeColor="text1"/>
            <w:sz w:val="16"/>
            <w:szCs w:val="16"/>
            <w:lang w:val="en-US"/>
          </w:rPr>
          <w:t>https://www.ncbi.nlm.nih.gov/pmc/articles/PMC1372843/pdf/amjphnation00321-0066.pdf</w:t>
        </w:r>
      </w:hyperlink>
    </w:p>
    <w:p w:rsidR="008F6FFE" w:rsidRPr="001D6E3E" w:rsidRDefault="008F6FFE" w:rsidP="001D6E3E">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J. Pediatr. 153(3), 327–332 (2008).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Poor immune responses to a birth dose of diphtheria, tetanus, and acellular pertussis vaccine.</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Halasa NB, O’Shea A, Shi JR, LaFleur BJ, Edwards KM. </w:t>
      </w:r>
    </w:p>
    <w:p w:rsidR="008F6FFE" w:rsidRPr="001D6E3E" w:rsidRDefault="0052743C" w:rsidP="001D6E3E">
      <w:pPr>
        <w:shd w:val="clear" w:color="auto" w:fill="FFFFFF"/>
        <w:rPr>
          <w:rFonts w:asciiTheme="minorHAnsi" w:hAnsiTheme="minorHAnsi" w:cstheme="minorHAnsi"/>
          <w:color w:val="000000" w:themeColor="text1"/>
          <w:sz w:val="16"/>
          <w:szCs w:val="16"/>
          <w:lang w:val="en-US"/>
        </w:rPr>
      </w:pPr>
      <w:hyperlink r:id="rId1026" w:history="1">
        <w:r w:rsidR="008F6FFE" w:rsidRPr="001D6E3E">
          <w:rPr>
            <w:rFonts w:asciiTheme="minorHAnsi" w:hAnsiTheme="minorHAnsi" w:cstheme="minorHAnsi"/>
            <w:color w:val="000000" w:themeColor="text1"/>
            <w:sz w:val="16"/>
            <w:szCs w:val="16"/>
            <w:lang w:val="en-US"/>
          </w:rPr>
          <w:t>https://www.ncbi.nlm.nih.gov/pmc/articles/PMC3773719/</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J. Pediatr. 126(2), 198–205 (1995).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Effect of neonatal immunization with diphtheria and tetanus toxoids on antibody responses to Haemophilus influenzae type b conjugate vaccines.</w:t>
      </w:r>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 xml:space="preserve">Lieberman JM, Greenberg DP, Wong VK et al. </w:t>
      </w:r>
    </w:p>
    <w:p w:rsidR="008F6FFE" w:rsidRPr="00235A16" w:rsidRDefault="0052743C" w:rsidP="001D6E3E">
      <w:pPr>
        <w:shd w:val="clear" w:color="auto" w:fill="FFFFFF"/>
        <w:rPr>
          <w:rFonts w:asciiTheme="minorHAnsi" w:hAnsiTheme="minorHAnsi" w:cstheme="minorHAnsi"/>
          <w:color w:val="000000" w:themeColor="text1"/>
          <w:sz w:val="16"/>
          <w:szCs w:val="16"/>
          <w:lang w:val="de-DE"/>
        </w:rPr>
      </w:pPr>
      <w:hyperlink r:id="rId1027" w:history="1">
        <w:r w:rsidR="008F6FFE" w:rsidRPr="00235A16">
          <w:rPr>
            <w:rFonts w:asciiTheme="minorHAnsi" w:hAnsiTheme="minorHAnsi" w:cstheme="minorHAnsi"/>
            <w:color w:val="000000" w:themeColor="text1"/>
            <w:sz w:val="16"/>
            <w:szCs w:val="16"/>
            <w:lang w:val="de-DE"/>
          </w:rPr>
          <w:t>https://www.jpeds.com/article/S0022-3476(95)70545-7/fulltext</w:t>
        </w:r>
      </w:hyperlink>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J. Infect. Dis. 201(10), 1570–1579 (2010).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Nasopharyngeal carriage of Streptococcus pneumoniae shortly before vaccination with a pneumococcal conjugate vaccine causes serotype-specific hyporesponsiveness in early infancy </w:t>
      </w:r>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Dagan R, Givon-Lavi N, Greenberg D, Fritzell B, Siegrist CA.</w:t>
      </w:r>
    </w:p>
    <w:p w:rsidR="008F6FFE" w:rsidRPr="00235A16" w:rsidRDefault="0052743C" w:rsidP="001D6E3E">
      <w:pPr>
        <w:shd w:val="clear" w:color="auto" w:fill="FFFFFF"/>
        <w:rPr>
          <w:rFonts w:asciiTheme="minorHAnsi" w:hAnsiTheme="minorHAnsi" w:cstheme="minorHAnsi"/>
          <w:color w:val="000000" w:themeColor="text1"/>
          <w:sz w:val="16"/>
          <w:szCs w:val="16"/>
          <w:lang w:val="de-DE"/>
        </w:rPr>
      </w:pPr>
      <w:hyperlink r:id="rId1028" w:history="1">
        <w:r w:rsidR="008F6FFE" w:rsidRPr="00235A16">
          <w:rPr>
            <w:rFonts w:asciiTheme="minorHAnsi" w:hAnsiTheme="minorHAnsi" w:cstheme="minorHAnsi"/>
            <w:color w:val="000000" w:themeColor="text1"/>
            <w:sz w:val="16"/>
            <w:szCs w:val="16"/>
            <w:lang w:val="de-DE"/>
          </w:rPr>
          <w:t>https://academic.oup.com/jid/article/201/10/1570/993471</w:t>
        </w:r>
      </w:hyperlink>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J Pediatr. Infect. Dis. 26(8), 716–722 (2007).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Reconsideration of the use of meningococcal polysaccharide vaccine.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Granoff DM, Pollard AJ</w:t>
      </w:r>
    </w:p>
    <w:p w:rsidR="008F6FFE" w:rsidRPr="001D6E3E" w:rsidRDefault="0052743C" w:rsidP="001D6E3E">
      <w:pPr>
        <w:shd w:val="clear" w:color="auto" w:fill="FFFFFF"/>
        <w:rPr>
          <w:rFonts w:asciiTheme="minorHAnsi" w:hAnsiTheme="minorHAnsi" w:cstheme="minorHAnsi"/>
          <w:color w:val="000000" w:themeColor="text1"/>
          <w:sz w:val="16"/>
          <w:szCs w:val="16"/>
          <w:lang w:val="en-US"/>
        </w:rPr>
      </w:pPr>
      <w:hyperlink r:id="rId1029" w:history="1">
        <w:r w:rsidR="008F6FFE" w:rsidRPr="001D6E3E">
          <w:rPr>
            <w:rFonts w:asciiTheme="minorHAnsi" w:hAnsiTheme="minorHAnsi" w:cstheme="minorHAnsi"/>
            <w:color w:val="000000" w:themeColor="text1"/>
            <w:sz w:val="16"/>
            <w:szCs w:val="16"/>
            <w:lang w:val="en-US"/>
          </w:rPr>
          <w:t>https://pubmed.ncbi.nlm.nih.gov/17848884/</w:t>
        </w:r>
      </w:hyperlink>
    </w:p>
    <w:p w:rsidR="008F6FFE" w:rsidRPr="001D6E3E" w:rsidRDefault="008F6FFE" w:rsidP="001D6E3E">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Expert Review of Vaccines, (2011) 10:3, 307-322, DOI: 10.1586/erv.11.8</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Hyporesponsiveness and its clinical implications after vaccination with polysaccharide or glycoconjugate vaccines</w:t>
      </w:r>
    </w:p>
    <w:p w:rsidR="008F6FFE" w:rsidRPr="001D6E3E"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Jan Poolman, Ray Borrow </w:t>
      </w:r>
    </w:p>
    <w:p w:rsidR="008F6FFE" w:rsidRPr="001D6E3E" w:rsidRDefault="0052743C" w:rsidP="001D6E3E">
      <w:pPr>
        <w:shd w:val="clear" w:color="auto" w:fill="FFFFFF"/>
        <w:rPr>
          <w:rFonts w:asciiTheme="minorHAnsi" w:hAnsiTheme="minorHAnsi" w:cstheme="minorHAnsi"/>
          <w:color w:val="000000" w:themeColor="text1"/>
          <w:sz w:val="16"/>
          <w:szCs w:val="16"/>
          <w:lang w:val="en-US"/>
        </w:rPr>
      </w:pPr>
      <w:hyperlink r:id="rId1030" w:history="1">
        <w:r w:rsidR="008F6FFE" w:rsidRPr="001D6E3E">
          <w:rPr>
            <w:rFonts w:asciiTheme="minorHAnsi" w:hAnsiTheme="minorHAnsi" w:cstheme="minorHAnsi"/>
            <w:color w:val="000000" w:themeColor="text1"/>
            <w:sz w:val="16"/>
            <w:szCs w:val="16"/>
            <w:lang w:val="en-US"/>
          </w:rPr>
          <w:t>https://www.tandfonline.com/doi/full/10.1586/erv.11.8</w:t>
        </w:r>
      </w:hyperlink>
    </w:p>
    <w:p w:rsidR="008F6FFE" w:rsidRPr="00717D4D" w:rsidRDefault="008F6FFE" w:rsidP="00717D4D">
      <w:pPr>
        <w:pStyle w:val="FootnoteText"/>
        <w:rPr>
          <w:rFonts w:asciiTheme="minorHAnsi" w:hAnsiTheme="minorHAnsi"/>
          <w:sz w:val="16"/>
          <w:szCs w:val="16"/>
          <w:lang w:val="en-US"/>
        </w:rPr>
      </w:pPr>
    </w:p>
  </w:footnote>
  <w:footnote w:id="130">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theme="minorHAnsi"/>
          <w:color w:val="000000" w:themeColor="text1"/>
          <w:sz w:val="16"/>
          <w:szCs w:val="16"/>
          <w:lang w:val="en-US"/>
        </w:rPr>
        <w:t>Semin Immunopathol. 2017 Nov;39(6):627-642. doi: 10.1007/s00281-017-0654-9</w:t>
      </w: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1031" w:history="1">
        <w:r w:rsidR="008F6FFE" w:rsidRPr="00717D4D">
          <w:rPr>
            <w:rFonts w:asciiTheme="minorHAnsi" w:hAnsiTheme="minorHAnsi" w:cstheme="minorHAnsi"/>
            <w:color w:val="000000" w:themeColor="text1"/>
            <w:sz w:val="16"/>
            <w:szCs w:val="16"/>
            <w:lang w:val="en-US"/>
          </w:rPr>
          <w:t>Vaccine responses in newborns.</w:t>
        </w:r>
      </w:hyperlink>
    </w:p>
    <w:p w:rsidR="008F6FFE"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Saso A, Kampmann B.</w:t>
      </w:r>
    </w:p>
    <w:p w:rsidR="008F6FFE" w:rsidRPr="001D6E3E" w:rsidRDefault="0052743C" w:rsidP="001D6E3E">
      <w:pPr>
        <w:shd w:val="clear" w:color="auto" w:fill="FFFFFF"/>
        <w:rPr>
          <w:rFonts w:asciiTheme="minorHAnsi" w:hAnsiTheme="minorHAnsi" w:cstheme="minorHAnsi"/>
          <w:color w:val="000000" w:themeColor="text1"/>
          <w:sz w:val="16"/>
          <w:szCs w:val="16"/>
          <w:lang w:val="en-US"/>
        </w:rPr>
      </w:pPr>
      <w:hyperlink r:id="rId1032" w:history="1">
        <w:r w:rsidR="008F6FFE" w:rsidRPr="001D6E3E">
          <w:rPr>
            <w:rFonts w:asciiTheme="minorHAnsi" w:hAnsiTheme="minorHAnsi" w:cstheme="minorHAnsi"/>
            <w:color w:val="000000" w:themeColor="text1"/>
            <w:sz w:val="16"/>
            <w:szCs w:val="16"/>
            <w:lang w:val="en-US"/>
          </w:rPr>
          <w:t>https://www.ncbi.nlm.nih.gov/pmc/articles/PMC5711983/</w:t>
        </w:r>
      </w:hyperlink>
    </w:p>
    <w:p w:rsidR="008F6FFE" w:rsidRPr="00717D4D" w:rsidRDefault="008F6FFE" w:rsidP="00717D4D">
      <w:pPr>
        <w:pStyle w:val="FootnoteText"/>
        <w:rPr>
          <w:rFonts w:asciiTheme="minorHAnsi" w:hAnsiTheme="minorHAnsi"/>
          <w:sz w:val="16"/>
          <w:szCs w:val="16"/>
          <w:lang w:val="en-US"/>
        </w:rPr>
      </w:pPr>
    </w:p>
  </w:footnote>
  <w:footnote w:id="131">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vertAlign w:val="superscript"/>
          <w:lang w:val="en-US"/>
        </w:rPr>
        <w:t xml:space="preserve"> </w:t>
      </w:r>
      <w:r w:rsidRPr="00717D4D">
        <w:rPr>
          <w:rFonts w:asciiTheme="minorHAnsi" w:hAnsiTheme="minorHAnsi" w:cstheme="minorHAnsi"/>
          <w:color w:val="000000" w:themeColor="text1"/>
          <w:sz w:val="16"/>
          <w:szCs w:val="16"/>
          <w:lang w:val="en-US"/>
        </w:rPr>
        <w:t xml:space="preserve">PLoS Pathog. 2016 Dec 22;12(12): e1005997. doi: 10.1371/journal.ppat.1005997.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The Impact of the Gut Microbiota on Humoral Immunity to Pathogens and Vaccination in Early Infancy. </w:t>
      </w:r>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Nguyen QN, Himes JE, Martinez DR, Permar SR.</w:t>
      </w:r>
    </w:p>
    <w:p w:rsidR="008F6FFE" w:rsidRPr="00235A16" w:rsidRDefault="0052743C" w:rsidP="001D6E3E">
      <w:pPr>
        <w:shd w:val="clear" w:color="auto" w:fill="FFFFFF"/>
        <w:rPr>
          <w:rFonts w:asciiTheme="minorHAnsi" w:hAnsiTheme="minorHAnsi" w:cstheme="minorHAnsi"/>
          <w:color w:val="000000" w:themeColor="text1"/>
          <w:sz w:val="16"/>
          <w:szCs w:val="16"/>
          <w:lang w:val="de-DE"/>
        </w:rPr>
      </w:pPr>
      <w:hyperlink r:id="rId1033" w:history="1">
        <w:r w:rsidR="008F6FFE" w:rsidRPr="00235A16">
          <w:rPr>
            <w:rFonts w:asciiTheme="minorHAnsi" w:hAnsiTheme="minorHAnsi" w:cstheme="minorHAnsi"/>
            <w:color w:val="000000" w:themeColor="text1"/>
            <w:sz w:val="16"/>
            <w:szCs w:val="16"/>
            <w:lang w:val="de-DE"/>
          </w:rPr>
          <w:t>https://www.ncbi.nlm.nih.gov/pmc/articles/PMC5179050/</w:t>
        </w:r>
      </w:hyperlink>
    </w:p>
    <w:p w:rsidR="008F6FFE" w:rsidRPr="00235A16" w:rsidRDefault="008F6FFE" w:rsidP="00717D4D">
      <w:pPr>
        <w:pStyle w:val="FootnoteText"/>
        <w:rPr>
          <w:rFonts w:asciiTheme="minorHAnsi" w:hAnsiTheme="minorHAnsi"/>
          <w:sz w:val="16"/>
          <w:szCs w:val="16"/>
          <w:lang w:val="de-DE"/>
        </w:rPr>
      </w:pPr>
    </w:p>
  </w:footnote>
  <w:footnote w:id="132">
    <w:p w:rsidR="008F6FFE" w:rsidRPr="00717D4D" w:rsidRDefault="008F6FFE" w:rsidP="00717D4D">
      <w:pPr>
        <w:rPr>
          <w:rFonts w:asciiTheme="minorHAnsi" w:hAnsiTheme="minorHAnsi"/>
          <w:noProof/>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noProof/>
          <w:sz w:val="16"/>
          <w:szCs w:val="16"/>
          <w:lang w:val="en-US"/>
        </w:rPr>
        <w:t>Benef Microbes 2010 Nov;1(4):367-82. doi: 10.3920/BM2010.0027.</w:t>
      </w:r>
    </w:p>
    <w:p w:rsidR="008F6FFE" w:rsidRPr="00717D4D" w:rsidRDefault="008F6FFE" w:rsidP="00717D4D">
      <w:pPr>
        <w:rPr>
          <w:rFonts w:asciiTheme="minorHAnsi" w:hAnsiTheme="minorHAnsi"/>
          <w:noProof/>
          <w:sz w:val="16"/>
          <w:szCs w:val="16"/>
          <w:lang w:val="en-US"/>
        </w:rPr>
      </w:pPr>
      <w:r w:rsidRPr="00717D4D">
        <w:rPr>
          <w:rFonts w:asciiTheme="minorHAnsi" w:hAnsiTheme="minorHAnsi"/>
          <w:noProof/>
          <w:sz w:val="16"/>
          <w:szCs w:val="16"/>
          <w:lang w:val="en-US"/>
        </w:rPr>
        <w:t>Early Life: Gut Microbiota and Immune Development in Infancy</w:t>
      </w:r>
    </w:p>
    <w:p w:rsidR="008F6FFE" w:rsidRPr="00717D4D" w:rsidRDefault="0052743C" w:rsidP="00717D4D">
      <w:pPr>
        <w:rPr>
          <w:rFonts w:asciiTheme="minorHAnsi" w:hAnsiTheme="minorHAnsi"/>
          <w:noProof/>
          <w:sz w:val="16"/>
          <w:szCs w:val="16"/>
          <w:lang w:val="en-US"/>
        </w:rPr>
      </w:pPr>
      <w:hyperlink r:id="rId1034" w:history="1">
        <w:r w:rsidR="008F6FFE" w:rsidRPr="00717D4D">
          <w:rPr>
            <w:rFonts w:asciiTheme="minorHAnsi" w:hAnsiTheme="minorHAnsi"/>
            <w:noProof/>
            <w:sz w:val="16"/>
            <w:szCs w:val="16"/>
            <w:lang w:val="en-US"/>
          </w:rPr>
          <w:t>R Martin</w:t>
        </w:r>
      </w:hyperlink>
      <w:r w:rsidR="008F6FFE" w:rsidRPr="00717D4D">
        <w:rPr>
          <w:rFonts w:asciiTheme="minorHAnsi" w:hAnsiTheme="minorHAnsi"/>
          <w:noProof/>
          <w:sz w:val="16"/>
          <w:szCs w:val="16"/>
          <w:lang w:val="en-US"/>
        </w:rPr>
        <w:t> </w:t>
      </w:r>
      <w:hyperlink r:id="rId1035" w:anchor="affiliation-1" w:history="1">
        <w:r w:rsidR="008F6FFE" w:rsidRPr="00717D4D">
          <w:rPr>
            <w:rFonts w:asciiTheme="minorHAnsi" w:hAnsiTheme="minorHAnsi"/>
            <w:noProof/>
            <w:sz w:val="16"/>
            <w:szCs w:val="16"/>
            <w:lang w:val="en-US"/>
          </w:rPr>
          <w:t>1</w:t>
        </w:r>
      </w:hyperlink>
      <w:r w:rsidR="008F6FFE" w:rsidRPr="00717D4D">
        <w:rPr>
          <w:rFonts w:asciiTheme="minorHAnsi" w:hAnsiTheme="minorHAnsi"/>
          <w:noProof/>
          <w:sz w:val="16"/>
          <w:szCs w:val="16"/>
          <w:lang w:val="en-US"/>
        </w:rPr>
        <w:t>, </w:t>
      </w:r>
      <w:hyperlink r:id="rId1036" w:history="1">
        <w:r w:rsidR="008F6FFE" w:rsidRPr="00717D4D">
          <w:rPr>
            <w:rFonts w:asciiTheme="minorHAnsi" w:hAnsiTheme="minorHAnsi"/>
            <w:noProof/>
            <w:sz w:val="16"/>
            <w:szCs w:val="16"/>
            <w:lang w:val="en-US"/>
          </w:rPr>
          <w:t>A J Nauta</w:t>
        </w:r>
      </w:hyperlink>
      <w:r w:rsidR="008F6FFE" w:rsidRPr="00717D4D">
        <w:rPr>
          <w:rFonts w:asciiTheme="minorHAnsi" w:hAnsiTheme="minorHAnsi"/>
          <w:noProof/>
          <w:sz w:val="16"/>
          <w:szCs w:val="16"/>
          <w:lang w:val="en-US"/>
        </w:rPr>
        <w:t>, </w:t>
      </w:r>
      <w:hyperlink r:id="rId1037" w:history="1">
        <w:r w:rsidR="008F6FFE" w:rsidRPr="00717D4D">
          <w:rPr>
            <w:rFonts w:asciiTheme="minorHAnsi" w:hAnsiTheme="minorHAnsi"/>
            <w:noProof/>
            <w:sz w:val="16"/>
            <w:szCs w:val="16"/>
            <w:lang w:val="en-US"/>
          </w:rPr>
          <w:t>K Ben Amor</w:t>
        </w:r>
      </w:hyperlink>
      <w:r w:rsidR="008F6FFE" w:rsidRPr="00717D4D">
        <w:rPr>
          <w:rFonts w:asciiTheme="minorHAnsi" w:hAnsiTheme="minorHAnsi"/>
          <w:noProof/>
          <w:sz w:val="16"/>
          <w:szCs w:val="16"/>
          <w:lang w:val="en-US"/>
        </w:rPr>
        <w:t>, </w:t>
      </w:r>
      <w:hyperlink r:id="rId1038" w:history="1">
        <w:r w:rsidR="008F6FFE" w:rsidRPr="00717D4D">
          <w:rPr>
            <w:rFonts w:asciiTheme="minorHAnsi" w:hAnsiTheme="minorHAnsi"/>
            <w:noProof/>
            <w:sz w:val="16"/>
            <w:szCs w:val="16"/>
            <w:lang w:val="en-US"/>
          </w:rPr>
          <w:t>L M J Knippels</w:t>
        </w:r>
      </w:hyperlink>
      <w:r w:rsidR="008F6FFE" w:rsidRPr="00717D4D">
        <w:rPr>
          <w:rFonts w:asciiTheme="minorHAnsi" w:hAnsiTheme="minorHAnsi"/>
          <w:noProof/>
          <w:sz w:val="16"/>
          <w:szCs w:val="16"/>
          <w:lang w:val="en-US"/>
        </w:rPr>
        <w:t>, </w:t>
      </w:r>
      <w:hyperlink r:id="rId1039" w:history="1">
        <w:r w:rsidR="008F6FFE" w:rsidRPr="00717D4D">
          <w:rPr>
            <w:rFonts w:asciiTheme="minorHAnsi" w:hAnsiTheme="minorHAnsi"/>
            <w:noProof/>
            <w:sz w:val="16"/>
            <w:szCs w:val="16"/>
            <w:lang w:val="en-US"/>
          </w:rPr>
          <w:t>J Knol</w:t>
        </w:r>
      </w:hyperlink>
      <w:r w:rsidR="008F6FFE" w:rsidRPr="00717D4D">
        <w:rPr>
          <w:rFonts w:asciiTheme="minorHAnsi" w:hAnsiTheme="minorHAnsi"/>
          <w:noProof/>
          <w:sz w:val="16"/>
          <w:szCs w:val="16"/>
          <w:lang w:val="en-US"/>
        </w:rPr>
        <w:t>, </w:t>
      </w:r>
      <w:hyperlink r:id="rId1040" w:history="1">
        <w:r w:rsidR="008F6FFE" w:rsidRPr="00717D4D">
          <w:rPr>
            <w:rFonts w:asciiTheme="minorHAnsi" w:hAnsiTheme="minorHAnsi"/>
            <w:noProof/>
            <w:sz w:val="16"/>
            <w:szCs w:val="16"/>
            <w:lang w:val="en-US"/>
          </w:rPr>
          <w:t>J Garssen</w:t>
        </w:r>
      </w:hyperlink>
    </w:p>
    <w:p w:rsidR="008F6FFE" w:rsidRPr="001D6E3E" w:rsidRDefault="0052743C" w:rsidP="001D6E3E">
      <w:pPr>
        <w:rPr>
          <w:rFonts w:asciiTheme="minorHAnsi" w:hAnsiTheme="minorHAnsi"/>
          <w:noProof/>
          <w:sz w:val="16"/>
          <w:szCs w:val="16"/>
          <w:lang w:val="en-US"/>
        </w:rPr>
      </w:pPr>
      <w:hyperlink r:id="rId1041" w:history="1">
        <w:r w:rsidR="008F6FFE" w:rsidRPr="001D6E3E">
          <w:rPr>
            <w:rFonts w:asciiTheme="minorHAnsi" w:hAnsiTheme="minorHAnsi"/>
            <w:noProof/>
            <w:sz w:val="16"/>
            <w:szCs w:val="16"/>
            <w:lang w:val="en-US"/>
          </w:rPr>
          <w:t>https://www.wageningenacademic.com/doi/pdf/10.3920/BM2010.0027</w:t>
        </w:r>
      </w:hyperlink>
    </w:p>
    <w:p w:rsidR="008F6FFE" w:rsidRPr="00717D4D" w:rsidRDefault="008F6FFE" w:rsidP="00717D4D">
      <w:pPr>
        <w:pStyle w:val="FootnoteText"/>
        <w:rPr>
          <w:rFonts w:asciiTheme="minorHAnsi" w:hAnsiTheme="minorHAnsi"/>
          <w:sz w:val="16"/>
          <w:szCs w:val="16"/>
          <w:lang w:val="en-US"/>
        </w:rPr>
      </w:pPr>
    </w:p>
  </w:footnote>
  <w:footnote w:id="133">
    <w:p w:rsidR="008F6FFE" w:rsidRPr="00717D4D" w:rsidRDefault="008F6FFE" w:rsidP="00A6208A">
      <w:pPr>
        <w:rPr>
          <w:rFonts w:asciiTheme="minorHAnsi" w:hAnsiTheme="minorHAnsi"/>
          <w:noProof/>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noProof/>
          <w:sz w:val="16"/>
          <w:szCs w:val="16"/>
          <w:lang w:val="en-US"/>
        </w:rPr>
        <w:t>J Toxicol Environ Health B Crit Rev. 2008;11(8):660‐680. doi:10.1080/10937400802370923</w:t>
      </w:r>
    </w:p>
    <w:p w:rsidR="008F6FFE" w:rsidRPr="00717D4D" w:rsidRDefault="008F6FFE" w:rsidP="00A6208A">
      <w:pPr>
        <w:rPr>
          <w:rFonts w:asciiTheme="minorHAnsi" w:hAnsiTheme="minorHAnsi"/>
          <w:noProof/>
          <w:sz w:val="16"/>
          <w:szCs w:val="16"/>
          <w:lang w:val="en-US"/>
        </w:rPr>
      </w:pPr>
      <w:r w:rsidRPr="00717D4D">
        <w:rPr>
          <w:rFonts w:asciiTheme="minorHAnsi" w:hAnsiTheme="minorHAnsi"/>
          <w:noProof/>
          <w:sz w:val="16"/>
          <w:szCs w:val="16"/>
          <w:lang w:val="en-US"/>
        </w:rPr>
        <w:t>Potential for early-life immune insult including developmental immunotoxicity in autism and autism spectrum disorders: focus on critical windows of immune vulnerability. </w:t>
      </w:r>
    </w:p>
    <w:p w:rsidR="008F6FFE" w:rsidRPr="00235A16" w:rsidRDefault="008F6FFE" w:rsidP="00A6208A">
      <w:pPr>
        <w:rPr>
          <w:rFonts w:asciiTheme="minorHAnsi" w:hAnsiTheme="minorHAnsi"/>
          <w:noProof/>
          <w:sz w:val="16"/>
          <w:szCs w:val="16"/>
          <w:lang w:val="de-DE"/>
        </w:rPr>
      </w:pPr>
      <w:r w:rsidRPr="00235A16">
        <w:rPr>
          <w:rFonts w:asciiTheme="minorHAnsi" w:hAnsiTheme="minorHAnsi"/>
          <w:noProof/>
          <w:sz w:val="16"/>
          <w:szCs w:val="16"/>
          <w:lang w:val="de-DE"/>
        </w:rPr>
        <w:t xml:space="preserve">Dietert RR, Dietert JM. </w:t>
      </w:r>
    </w:p>
    <w:p w:rsidR="008F6FFE" w:rsidRPr="00235A16" w:rsidRDefault="0052743C" w:rsidP="00A6208A">
      <w:pPr>
        <w:shd w:val="clear" w:color="auto" w:fill="FFFFFF"/>
        <w:rPr>
          <w:rFonts w:asciiTheme="minorHAnsi" w:hAnsiTheme="minorHAnsi" w:cstheme="minorHAnsi"/>
          <w:color w:val="000000" w:themeColor="text1"/>
          <w:sz w:val="16"/>
          <w:szCs w:val="16"/>
          <w:lang w:val="de-DE"/>
        </w:rPr>
      </w:pPr>
      <w:hyperlink r:id="rId1042" w:history="1">
        <w:r w:rsidR="008F6FFE" w:rsidRPr="00235A16">
          <w:rPr>
            <w:rFonts w:asciiTheme="minorHAnsi" w:hAnsiTheme="minorHAnsi" w:cstheme="minorHAnsi"/>
            <w:color w:val="000000" w:themeColor="text1"/>
            <w:sz w:val="16"/>
            <w:szCs w:val="16"/>
            <w:lang w:val="de-DE"/>
          </w:rPr>
          <w:t>https://pubmed.ncbi.nlm.nih.gov/18821424/</w:t>
        </w:r>
      </w:hyperlink>
    </w:p>
    <w:p w:rsidR="008F6FFE" w:rsidRPr="00235A16" w:rsidRDefault="008F6FFE" w:rsidP="00A6208A">
      <w:pPr>
        <w:shd w:val="clear" w:color="auto" w:fill="FFFFFF"/>
        <w:rPr>
          <w:rFonts w:asciiTheme="minorHAnsi" w:hAnsiTheme="minorHAnsi" w:cstheme="minorHAnsi"/>
          <w:color w:val="000000" w:themeColor="text1"/>
          <w:sz w:val="16"/>
          <w:szCs w:val="16"/>
          <w:lang w:val="de-DE"/>
        </w:rPr>
      </w:pPr>
    </w:p>
    <w:p w:rsidR="008F6FFE" w:rsidRPr="001D6E3E" w:rsidRDefault="008F6FFE" w:rsidP="00A6208A">
      <w:pPr>
        <w:shd w:val="clear" w:color="auto" w:fill="FFFFFF"/>
        <w:rPr>
          <w:rFonts w:asciiTheme="minorHAnsi" w:hAnsiTheme="minorHAnsi" w:cstheme="minorHAnsi"/>
          <w:color w:val="000000" w:themeColor="text1"/>
          <w:sz w:val="16"/>
          <w:szCs w:val="16"/>
          <w:lang w:val="en-US"/>
        </w:rPr>
      </w:pPr>
      <w:r w:rsidRPr="001D6E3E">
        <w:rPr>
          <w:rFonts w:asciiTheme="minorHAnsi" w:hAnsiTheme="minorHAnsi" w:cstheme="minorHAnsi"/>
          <w:color w:val="000000" w:themeColor="text1"/>
          <w:sz w:val="16"/>
          <w:szCs w:val="16"/>
          <w:lang w:val="en-US"/>
        </w:rPr>
        <w:t>Environ Health Perspect. 2000 Jun;108 Suppl 3(Suppl 3):483-90. doi: 10.1289/ehp.00108s3483</w:t>
      </w:r>
    </w:p>
    <w:p w:rsidR="008F6FFE" w:rsidRPr="001D6E3E" w:rsidRDefault="008F6FFE" w:rsidP="00A6208A">
      <w:pPr>
        <w:shd w:val="clear" w:color="auto" w:fill="FFFFFF"/>
        <w:rPr>
          <w:rFonts w:asciiTheme="minorHAnsi" w:hAnsiTheme="minorHAnsi" w:cstheme="minorHAnsi"/>
          <w:color w:val="000000" w:themeColor="text1"/>
          <w:sz w:val="16"/>
          <w:szCs w:val="16"/>
          <w:lang w:val="en-US"/>
        </w:rPr>
      </w:pPr>
      <w:r w:rsidRPr="001D6E3E">
        <w:rPr>
          <w:rFonts w:asciiTheme="minorHAnsi" w:hAnsiTheme="minorHAnsi" w:cstheme="minorHAnsi"/>
          <w:color w:val="000000" w:themeColor="text1"/>
          <w:sz w:val="16"/>
          <w:szCs w:val="16"/>
          <w:lang w:val="en-US"/>
        </w:rPr>
        <w:t>Workshop to identify critical windows of exposure for children's health: immune and respiratory systems work group summary</w:t>
      </w:r>
    </w:p>
    <w:p w:rsidR="008F6FFE" w:rsidRPr="001D6E3E" w:rsidRDefault="008F6FFE" w:rsidP="00A6208A">
      <w:pPr>
        <w:shd w:val="clear" w:color="auto" w:fill="FFFFFF"/>
        <w:rPr>
          <w:rFonts w:asciiTheme="minorHAnsi" w:hAnsiTheme="minorHAnsi" w:cstheme="minorHAnsi"/>
          <w:color w:val="000000" w:themeColor="text1"/>
          <w:sz w:val="16"/>
          <w:szCs w:val="16"/>
          <w:lang w:val="en-US"/>
        </w:rPr>
      </w:pPr>
      <w:r w:rsidRPr="001D6E3E">
        <w:rPr>
          <w:rFonts w:asciiTheme="minorHAnsi" w:hAnsiTheme="minorHAnsi" w:cstheme="minorHAnsi"/>
          <w:color w:val="000000" w:themeColor="text1"/>
          <w:sz w:val="16"/>
          <w:szCs w:val="16"/>
          <w:lang w:val="en-US"/>
        </w:rPr>
        <w:t>Dietert RR, Etzel RA, Chen D, Halonen M, Holladay SD, Jarabek AM, Landreth K, Peden DB, Pinkerton K, Smialowicz RJ, Zoetis T.</w:t>
      </w:r>
    </w:p>
    <w:p w:rsidR="008F6FFE" w:rsidRPr="001D6E3E" w:rsidRDefault="0052743C" w:rsidP="00A6208A">
      <w:pPr>
        <w:shd w:val="clear" w:color="auto" w:fill="FFFFFF"/>
        <w:rPr>
          <w:rFonts w:asciiTheme="minorHAnsi" w:hAnsiTheme="minorHAnsi" w:cstheme="minorHAnsi"/>
          <w:color w:val="000000" w:themeColor="text1"/>
          <w:sz w:val="16"/>
          <w:szCs w:val="16"/>
          <w:lang w:val="en-US"/>
        </w:rPr>
      </w:pPr>
      <w:hyperlink r:id="rId1043" w:history="1">
        <w:r w:rsidR="008F6FFE" w:rsidRPr="001D6E3E">
          <w:rPr>
            <w:rFonts w:asciiTheme="minorHAnsi" w:hAnsiTheme="minorHAnsi" w:cstheme="minorHAnsi"/>
            <w:color w:val="000000" w:themeColor="text1"/>
            <w:sz w:val="16"/>
            <w:szCs w:val="16"/>
            <w:lang w:val="en-US"/>
          </w:rPr>
          <w:t>https://www.ncbi.nlm.nih.gov/pmc/articles/PMC1637823/</w:t>
        </w:r>
      </w:hyperlink>
    </w:p>
    <w:p w:rsidR="008F6FFE" w:rsidRPr="001D6E3E" w:rsidRDefault="008F6FFE" w:rsidP="00A6208A">
      <w:pPr>
        <w:shd w:val="clear" w:color="auto" w:fill="FFFFFF"/>
        <w:rPr>
          <w:rFonts w:asciiTheme="minorHAnsi" w:hAnsiTheme="minorHAnsi" w:cstheme="minorHAnsi"/>
          <w:color w:val="000000" w:themeColor="text1"/>
          <w:sz w:val="16"/>
          <w:szCs w:val="16"/>
          <w:lang w:val="en-US"/>
        </w:rPr>
      </w:pPr>
    </w:p>
    <w:p w:rsidR="008F6FFE" w:rsidRPr="00717D4D" w:rsidRDefault="008F6FFE" w:rsidP="00A6208A">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Cell. 2018;174(5):1051‐1053. </w:t>
      </w:r>
      <w:r w:rsidRPr="001D6E3E">
        <w:rPr>
          <w:rFonts w:asciiTheme="minorHAnsi" w:hAnsiTheme="minorHAnsi" w:cstheme="minorHAnsi"/>
          <w:color w:val="000000" w:themeColor="text1"/>
          <w:sz w:val="16"/>
          <w:szCs w:val="16"/>
          <w:lang w:val="en-US"/>
        </w:rPr>
        <w:t>doi:10.1016/j.cell</w:t>
      </w:r>
      <w:r w:rsidRPr="00CF78B5">
        <w:rPr>
          <w:rFonts w:asciiTheme="minorHAnsi" w:hAnsiTheme="minorHAnsi" w:cstheme="minorHAnsi"/>
          <w:color w:val="000000" w:themeColor="text1"/>
          <w:sz w:val="16"/>
          <w:szCs w:val="16"/>
          <w:lang w:val="en-US"/>
        </w:rPr>
        <w:t>.2018.08.001</w:t>
      </w:r>
      <w:r w:rsidRPr="00717D4D">
        <w:rPr>
          <w:rFonts w:asciiTheme="minorHAnsi" w:hAnsiTheme="minorHAnsi" w:cstheme="minorHAnsi"/>
          <w:color w:val="000000" w:themeColor="text1"/>
          <w:sz w:val="16"/>
          <w:szCs w:val="16"/>
          <w:lang w:val="en-US"/>
        </w:rPr>
        <w:t xml:space="preserve"> </w:t>
      </w:r>
    </w:p>
    <w:p w:rsidR="008F6FFE" w:rsidRPr="00717D4D" w:rsidRDefault="008F6FFE" w:rsidP="00A6208A">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Neonate-omics: Charting the Unknown Immune Response in Early Life.  </w:t>
      </w:r>
    </w:p>
    <w:p w:rsidR="008F6FFE" w:rsidRPr="00235A16" w:rsidRDefault="008F6FFE" w:rsidP="00A6208A">
      <w:pPr>
        <w:shd w:val="clear" w:color="auto" w:fill="FFFFFF"/>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Jennewein MF, Butler AL, Alter G.</w:t>
      </w:r>
    </w:p>
    <w:p w:rsidR="008F6FFE" w:rsidRPr="00235A16" w:rsidRDefault="0052743C" w:rsidP="00A6208A">
      <w:pPr>
        <w:shd w:val="clear" w:color="auto" w:fill="FFFFFF"/>
        <w:rPr>
          <w:rFonts w:asciiTheme="minorHAnsi" w:hAnsiTheme="minorHAnsi" w:cstheme="minorHAnsi"/>
          <w:color w:val="000000" w:themeColor="text1"/>
          <w:sz w:val="16"/>
          <w:szCs w:val="16"/>
          <w:lang w:val="de-DE"/>
        </w:rPr>
      </w:pPr>
      <w:hyperlink r:id="rId1044" w:history="1">
        <w:r w:rsidR="008F6FFE" w:rsidRPr="00235A16">
          <w:rPr>
            <w:rFonts w:asciiTheme="minorHAnsi" w:hAnsiTheme="minorHAnsi" w:cstheme="minorHAnsi"/>
            <w:color w:val="000000" w:themeColor="text1"/>
            <w:sz w:val="16"/>
            <w:szCs w:val="16"/>
            <w:lang w:val="de-DE"/>
          </w:rPr>
          <w:t>https://www.cell.com/action/showPdf?pii=S0092-8674%2818%2930978-4</w:t>
        </w:r>
      </w:hyperlink>
    </w:p>
    <w:p w:rsidR="008F6FFE" w:rsidRPr="00235A16" w:rsidRDefault="008F6FFE" w:rsidP="00A6208A">
      <w:pPr>
        <w:shd w:val="clear" w:color="auto" w:fill="FFFFFF"/>
        <w:rPr>
          <w:rFonts w:asciiTheme="minorHAnsi" w:hAnsiTheme="minorHAnsi" w:cstheme="minorHAnsi"/>
          <w:color w:val="000000" w:themeColor="text1"/>
          <w:sz w:val="16"/>
          <w:szCs w:val="16"/>
          <w:lang w:val="de-DE"/>
        </w:rPr>
      </w:pPr>
    </w:p>
    <w:p w:rsidR="008F6FFE" w:rsidRPr="00717D4D" w:rsidRDefault="008F6FFE" w:rsidP="00A6208A">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Nat Rev Immunol. 2017 Jan;17(1):21-29. doi: 10.1038/nri.2016.125. </w:t>
      </w:r>
    </w:p>
    <w:p w:rsidR="008F6FFE" w:rsidRPr="00717D4D" w:rsidRDefault="0052743C" w:rsidP="00A6208A">
      <w:pPr>
        <w:shd w:val="clear" w:color="auto" w:fill="FFFFFF"/>
        <w:rPr>
          <w:rFonts w:asciiTheme="minorHAnsi" w:hAnsiTheme="minorHAnsi" w:cstheme="minorHAnsi"/>
          <w:color w:val="000000" w:themeColor="text1"/>
          <w:sz w:val="16"/>
          <w:szCs w:val="16"/>
          <w:lang w:val="en-US"/>
        </w:rPr>
      </w:pPr>
      <w:hyperlink r:id="rId1045" w:history="1">
        <w:r w:rsidR="008F6FFE" w:rsidRPr="00717D4D">
          <w:rPr>
            <w:rFonts w:asciiTheme="minorHAnsi" w:hAnsiTheme="minorHAnsi" w:cstheme="minorHAnsi"/>
            <w:color w:val="000000" w:themeColor="text1"/>
            <w:sz w:val="16"/>
            <w:szCs w:val="16"/>
            <w:lang w:val="en-US"/>
          </w:rPr>
          <w:t>Human immune system variation.</w:t>
        </w:r>
      </w:hyperlink>
    </w:p>
    <w:p w:rsidR="008F6FFE" w:rsidRPr="00717D4D" w:rsidRDefault="008F6FFE" w:rsidP="00A6208A">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Brodin P, Davis MM.</w:t>
      </w:r>
    </w:p>
    <w:p w:rsidR="008F6FFE" w:rsidRPr="001D6E3E" w:rsidRDefault="0052743C" w:rsidP="00A6208A">
      <w:pPr>
        <w:shd w:val="clear" w:color="auto" w:fill="FFFFFF"/>
        <w:rPr>
          <w:rFonts w:asciiTheme="minorHAnsi" w:hAnsiTheme="minorHAnsi" w:cstheme="minorHAnsi"/>
          <w:color w:val="000000" w:themeColor="text1"/>
          <w:sz w:val="16"/>
          <w:szCs w:val="16"/>
          <w:lang w:val="en-US"/>
        </w:rPr>
      </w:pPr>
      <w:hyperlink r:id="rId1046" w:history="1">
        <w:r w:rsidR="008F6FFE" w:rsidRPr="001D6E3E">
          <w:rPr>
            <w:rFonts w:asciiTheme="minorHAnsi" w:hAnsiTheme="minorHAnsi" w:cstheme="minorHAnsi"/>
            <w:color w:val="000000" w:themeColor="text1"/>
            <w:sz w:val="16"/>
            <w:szCs w:val="16"/>
            <w:lang w:val="en-US"/>
          </w:rPr>
          <w:t>https://www.ncbi.nlm.nih.gov/pmc/articles/PMC5328245/</w:t>
        </w:r>
      </w:hyperlink>
    </w:p>
    <w:p w:rsidR="008F6FFE" w:rsidRPr="00717D4D" w:rsidRDefault="008F6FFE" w:rsidP="00A6208A">
      <w:pPr>
        <w:shd w:val="clear" w:color="auto" w:fill="FFFFFF"/>
        <w:rPr>
          <w:rFonts w:asciiTheme="minorHAnsi" w:hAnsiTheme="minorHAnsi" w:cstheme="minorHAnsi"/>
          <w:color w:val="000000" w:themeColor="text1"/>
          <w:sz w:val="16"/>
          <w:szCs w:val="16"/>
          <w:lang w:val="en-US"/>
        </w:rPr>
      </w:pPr>
    </w:p>
    <w:p w:rsidR="008F6FFE" w:rsidRPr="00717D4D" w:rsidRDefault="008F6FFE" w:rsidP="00A6208A">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Front Immunol. 2017 Aug</w:t>
      </w:r>
      <w:r>
        <w:rPr>
          <w:rFonts w:asciiTheme="minorHAnsi" w:hAnsiTheme="minorHAnsi" w:cstheme="minorHAnsi"/>
          <w:color w:val="000000" w:themeColor="text1"/>
          <w:sz w:val="16"/>
          <w:szCs w:val="16"/>
          <w:lang w:val="en-US"/>
        </w:rPr>
        <w:t xml:space="preserve"> 11; 8: </w:t>
      </w:r>
      <w:r w:rsidRPr="00717D4D">
        <w:rPr>
          <w:rFonts w:asciiTheme="minorHAnsi" w:hAnsiTheme="minorHAnsi" w:cstheme="minorHAnsi"/>
          <w:color w:val="000000" w:themeColor="text1"/>
          <w:sz w:val="16"/>
          <w:szCs w:val="16"/>
          <w:lang w:val="en-US"/>
        </w:rPr>
        <w:t xml:space="preserve"> </w:t>
      </w:r>
      <w:r w:rsidRPr="001D6E3E">
        <w:rPr>
          <w:rFonts w:asciiTheme="minorHAnsi" w:hAnsiTheme="minorHAnsi" w:cstheme="minorHAnsi"/>
          <w:color w:val="000000" w:themeColor="text1"/>
          <w:sz w:val="16"/>
          <w:szCs w:val="16"/>
          <w:lang w:val="en-US"/>
        </w:rPr>
        <w:t xml:space="preserve">11;8:957. </w:t>
      </w:r>
      <w:r w:rsidRPr="00717D4D">
        <w:rPr>
          <w:rFonts w:asciiTheme="minorHAnsi" w:hAnsiTheme="minorHAnsi" w:cstheme="minorHAnsi"/>
          <w:color w:val="000000" w:themeColor="text1"/>
          <w:sz w:val="16"/>
          <w:szCs w:val="16"/>
          <w:lang w:val="en-US"/>
        </w:rPr>
        <w:t xml:space="preserve">doi: 10.3389/fimmu.2017.00957. </w:t>
      </w:r>
    </w:p>
    <w:p w:rsidR="008F6FFE" w:rsidRPr="00717D4D" w:rsidRDefault="008F6FFE" w:rsidP="00A6208A">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Postnatal Innate Immune Development: From Birth to Adulthood. </w:t>
      </w:r>
    </w:p>
    <w:p w:rsidR="008F6FFE" w:rsidRPr="00717D4D" w:rsidRDefault="008F6FFE" w:rsidP="00A6208A">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Georgountzou A, Papadopoulos NG.</w:t>
      </w:r>
    </w:p>
    <w:p w:rsidR="008F6FFE" w:rsidRPr="001D6E3E" w:rsidRDefault="0052743C" w:rsidP="00A6208A">
      <w:pPr>
        <w:shd w:val="clear" w:color="auto" w:fill="FFFFFF"/>
        <w:rPr>
          <w:rFonts w:asciiTheme="minorHAnsi" w:hAnsiTheme="minorHAnsi" w:cstheme="minorHAnsi"/>
          <w:color w:val="000000" w:themeColor="text1"/>
          <w:sz w:val="16"/>
          <w:szCs w:val="16"/>
          <w:lang w:val="en-US"/>
        </w:rPr>
      </w:pPr>
      <w:hyperlink r:id="rId1047" w:history="1">
        <w:r w:rsidR="008F6FFE" w:rsidRPr="001D6E3E">
          <w:rPr>
            <w:rFonts w:asciiTheme="minorHAnsi" w:hAnsiTheme="minorHAnsi" w:cstheme="minorHAnsi"/>
            <w:color w:val="000000" w:themeColor="text1"/>
            <w:sz w:val="16"/>
            <w:szCs w:val="16"/>
            <w:lang w:val="en-US"/>
          </w:rPr>
          <w:t>https://www.ncbi.nlm.nih.gov/pmc/articles/PMC5554489/</w:t>
        </w:r>
      </w:hyperlink>
    </w:p>
    <w:p w:rsidR="008F6FFE" w:rsidRPr="00717D4D" w:rsidRDefault="008F6FFE" w:rsidP="00A6208A">
      <w:pPr>
        <w:jc w:val="both"/>
        <w:rPr>
          <w:rFonts w:asciiTheme="minorHAnsi" w:hAnsiTheme="minorHAnsi"/>
          <w:noProof/>
          <w:sz w:val="16"/>
          <w:szCs w:val="16"/>
          <w:lang w:val="en-US"/>
        </w:rPr>
      </w:pPr>
    </w:p>
  </w:footnote>
  <w:footnote w:id="134">
    <w:p w:rsidR="008F6FFE" w:rsidRPr="00717D4D" w:rsidRDefault="008F6FFE" w:rsidP="00717D4D">
      <w:pPr>
        <w:jc w:val="both"/>
        <w:rPr>
          <w:rFonts w:asciiTheme="minorHAnsi" w:hAnsiTheme="minorHAnsi"/>
          <w:color w:val="000000"/>
          <w:sz w:val="16"/>
          <w:szCs w:val="16"/>
          <w:shd w:val="clear" w:color="auto" w:fill="FFFFFF"/>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olor w:val="000000"/>
          <w:sz w:val="16"/>
          <w:szCs w:val="16"/>
          <w:lang w:val="en-US"/>
        </w:rPr>
        <w:t>Blood</w:t>
      </w:r>
      <w:r w:rsidRPr="00717D4D">
        <w:rPr>
          <w:rFonts w:asciiTheme="minorHAnsi" w:hAnsiTheme="minorHAnsi"/>
          <w:color w:val="000000"/>
          <w:sz w:val="16"/>
          <w:szCs w:val="16"/>
          <w:shd w:val="clear" w:color="auto" w:fill="FFFFFF"/>
          <w:lang w:val="en-US"/>
        </w:rPr>
        <w:t xml:space="preserve"> 2007, </w:t>
      </w:r>
      <w:r w:rsidRPr="00717D4D">
        <w:rPr>
          <w:rFonts w:asciiTheme="minorHAnsi" w:hAnsiTheme="minorHAnsi"/>
          <w:color w:val="000000"/>
          <w:sz w:val="16"/>
          <w:szCs w:val="16"/>
          <w:lang w:val="en-US"/>
        </w:rPr>
        <w:t>110</w:t>
      </w:r>
      <w:r w:rsidRPr="00717D4D">
        <w:rPr>
          <w:rFonts w:asciiTheme="minorHAnsi" w:hAnsiTheme="minorHAnsi"/>
          <w:color w:val="000000"/>
          <w:sz w:val="16"/>
          <w:szCs w:val="16"/>
          <w:shd w:val="clear" w:color="auto" w:fill="FFFFFF"/>
          <w:lang w:val="en-US"/>
        </w:rPr>
        <w:t>, 2948–2954. 10.1182/blood-2007-01-069245 </w:t>
      </w:r>
    </w:p>
    <w:p w:rsidR="008F6FFE" w:rsidRPr="00717D4D" w:rsidRDefault="008F6FFE" w:rsidP="00717D4D">
      <w:pPr>
        <w:jc w:val="both"/>
        <w:rPr>
          <w:rFonts w:asciiTheme="minorHAnsi" w:hAnsiTheme="minorHAnsi"/>
          <w:color w:val="000000"/>
          <w:sz w:val="16"/>
          <w:szCs w:val="16"/>
          <w:shd w:val="clear" w:color="auto" w:fill="FFFFFF"/>
          <w:lang w:val="en-US"/>
        </w:rPr>
      </w:pPr>
      <w:r w:rsidRPr="00717D4D">
        <w:rPr>
          <w:rFonts w:asciiTheme="minorHAnsi" w:hAnsiTheme="minorHAnsi"/>
          <w:color w:val="000000"/>
          <w:sz w:val="16"/>
          <w:szCs w:val="16"/>
          <w:lang w:val="en-US"/>
        </w:rPr>
        <w:t>Decreased expression of tumor necrosis factor family receptors involved in humoral immune responses in preterm neonates</w:t>
      </w:r>
      <w:r w:rsidRPr="00717D4D">
        <w:rPr>
          <w:rFonts w:asciiTheme="minorHAnsi" w:hAnsiTheme="minorHAnsi"/>
          <w:color w:val="000000"/>
          <w:sz w:val="16"/>
          <w:szCs w:val="16"/>
          <w:shd w:val="clear" w:color="auto" w:fill="FFFFFF"/>
          <w:lang w:val="en-US"/>
        </w:rPr>
        <w:t>. </w:t>
      </w:r>
    </w:p>
    <w:p w:rsidR="008F6FFE" w:rsidRPr="001D6E3E" w:rsidRDefault="008F6FFE" w:rsidP="00717D4D">
      <w:pPr>
        <w:jc w:val="both"/>
        <w:rPr>
          <w:rFonts w:asciiTheme="minorHAnsi" w:hAnsiTheme="minorHAnsi"/>
          <w:color w:val="000000"/>
          <w:sz w:val="16"/>
          <w:szCs w:val="16"/>
          <w:lang w:val="en-US"/>
        </w:rPr>
      </w:pPr>
      <w:r w:rsidRPr="00717D4D">
        <w:rPr>
          <w:rFonts w:asciiTheme="minorHAnsi" w:hAnsiTheme="minorHAnsi"/>
          <w:color w:val="000000"/>
          <w:sz w:val="16"/>
          <w:szCs w:val="16"/>
          <w:shd w:val="clear" w:color="auto" w:fill="FFFFFF"/>
          <w:lang w:val="en-US"/>
        </w:rPr>
        <w:t>Ka</w:t>
      </w:r>
      <w:r w:rsidRPr="001D6E3E">
        <w:rPr>
          <w:rFonts w:asciiTheme="minorHAnsi" w:hAnsiTheme="minorHAnsi"/>
          <w:color w:val="000000"/>
          <w:sz w:val="16"/>
          <w:szCs w:val="16"/>
          <w:lang w:val="en-US"/>
        </w:rPr>
        <w:t>ur K, Chowdhury S, Greenspan NS, Schreiber JR</w:t>
      </w:r>
    </w:p>
    <w:p w:rsidR="008F6FFE" w:rsidRPr="001D6E3E" w:rsidRDefault="0052743C" w:rsidP="001D6E3E">
      <w:pPr>
        <w:jc w:val="both"/>
        <w:rPr>
          <w:rFonts w:asciiTheme="minorHAnsi" w:hAnsiTheme="minorHAnsi"/>
          <w:color w:val="000000"/>
          <w:sz w:val="16"/>
          <w:szCs w:val="16"/>
          <w:lang w:val="en-US"/>
        </w:rPr>
      </w:pPr>
      <w:hyperlink r:id="rId1048" w:history="1">
        <w:r w:rsidR="008F6FFE" w:rsidRPr="001D6E3E">
          <w:rPr>
            <w:rFonts w:asciiTheme="minorHAnsi" w:hAnsiTheme="minorHAnsi"/>
            <w:color w:val="000000"/>
            <w:sz w:val="16"/>
            <w:szCs w:val="16"/>
            <w:lang w:val="en-US"/>
          </w:rPr>
          <w:t>https://ashpublications.org/blood/article/110/8/2948/24000/Decreased-expression-of-tumor-necrosis-factor</w:t>
        </w:r>
      </w:hyperlink>
    </w:p>
    <w:p w:rsidR="008F6FFE" w:rsidRPr="00717D4D" w:rsidRDefault="008F6FFE" w:rsidP="00717D4D">
      <w:pPr>
        <w:pStyle w:val="FootnoteText"/>
        <w:jc w:val="both"/>
        <w:rPr>
          <w:rFonts w:asciiTheme="minorHAnsi" w:hAnsiTheme="minorHAnsi"/>
          <w:sz w:val="16"/>
          <w:szCs w:val="16"/>
          <w:lang w:val="en-US"/>
        </w:rPr>
      </w:pPr>
    </w:p>
  </w:footnote>
  <w:footnote w:id="135">
    <w:p w:rsidR="008F6FFE" w:rsidRPr="00717D4D" w:rsidRDefault="008F6FFE" w:rsidP="00717D4D">
      <w:pPr>
        <w:jc w:val="both"/>
        <w:rPr>
          <w:rFonts w:asciiTheme="minorHAnsi" w:hAnsiTheme="minorHAnsi"/>
          <w:color w:val="000000"/>
          <w:sz w:val="16"/>
          <w:szCs w:val="16"/>
          <w:shd w:val="clear" w:color="auto" w:fill="FFFFFF"/>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olor w:val="000000"/>
          <w:sz w:val="16"/>
          <w:szCs w:val="16"/>
          <w:lang w:val="en-US"/>
        </w:rPr>
        <w:t>Infect. Immun</w:t>
      </w:r>
      <w:r w:rsidRPr="00717D4D">
        <w:rPr>
          <w:rFonts w:asciiTheme="minorHAnsi" w:hAnsiTheme="minorHAnsi"/>
          <w:color w:val="000000"/>
          <w:sz w:val="16"/>
          <w:szCs w:val="16"/>
          <w:shd w:val="clear" w:color="auto" w:fill="FFFFFF"/>
          <w:lang w:val="en-US"/>
        </w:rPr>
        <w:t xml:space="preserve">. 1991; </w:t>
      </w:r>
      <w:r w:rsidRPr="00717D4D">
        <w:rPr>
          <w:rFonts w:asciiTheme="minorHAnsi" w:hAnsiTheme="minorHAnsi"/>
          <w:color w:val="000000"/>
          <w:sz w:val="16"/>
          <w:szCs w:val="16"/>
          <w:lang w:val="en-US"/>
        </w:rPr>
        <w:t>59</w:t>
      </w:r>
      <w:r w:rsidRPr="00717D4D">
        <w:rPr>
          <w:rFonts w:asciiTheme="minorHAnsi" w:hAnsiTheme="minorHAnsi"/>
          <w:color w:val="000000"/>
          <w:sz w:val="16"/>
          <w:szCs w:val="16"/>
          <w:shd w:val="clear" w:color="auto" w:fill="FFFFFF"/>
          <w:lang w:val="en-US"/>
        </w:rPr>
        <w:t>, 1839–1845.</w:t>
      </w:r>
    </w:p>
    <w:p w:rsidR="008F6FFE" w:rsidRPr="00717D4D" w:rsidRDefault="008F6FFE" w:rsidP="00717D4D">
      <w:pPr>
        <w:jc w:val="both"/>
        <w:rPr>
          <w:rFonts w:asciiTheme="minorHAnsi" w:hAnsiTheme="minorHAnsi"/>
          <w:color w:val="000000"/>
          <w:sz w:val="16"/>
          <w:szCs w:val="16"/>
          <w:shd w:val="clear" w:color="auto" w:fill="FFFFFF"/>
          <w:lang w:val="en-US"/>
        </w:rPr>
      </w:pPr>
      <w:r w:rsidRPr="00717D4D">
        <w:rPr>
          <w:rFonts w:asciiTheme="minorHAnsi" w:hAnsiTheme="minorHAnsi"/>
          <w:color w:val="000000"/>
          <w:sz w:val="16"/>
          <w:szCs w:val="16"/>
          <w:lang w:val="en-US"/>
        </w:rPr>
        <w:t>Pneumococcal polysaccharides complexed with C3d bind to human B lymphocytes via complement receptor type 2</w:t>
      </w:r>
      <w:r w:rsidRPr="00717D4D">
        <w:rPr>
          <w:rFonts w:asciiTheme="minorHAnsi" w:hAnsiTheme="minorHAnsi"/>
          <w:color w:val="000000"/>
          <w:sz w:val="16"/>
          <w:szCs w:val="16"/>
          <w:shd w:val="clear" w:color="auto" w:fill="FFFFFF"/>
          <w:lang w:val="en-US"/>
        </w:rPr>
        <w:t>. </w:t>
      </w:r>
    </w:p>
    <w:p w:rsidR="008F6FFE" w:rsidRPr="00235A16" w:rsidRDefault="008F6FFE" w:rsidP="00717D4D">
      <w:pPr>
        <w:jc w:val="both"/>
        <w:rPr>
          <w:rFonts w:asciiTheme="minorHAnsi" w:hAnsiTheme="minorHAnsi"/>
          <w:sz w:val="16"/>
          <w:szCs w:val="16"/>
          <w:lang w:val="de-DE"/>
        </w:rPr>
      </w:pPr>
      <w:r w:rsidRPr="00235A16">
        <w:rPr>
          <w:rFonts w:asciiTheme="minorHAnsi" w:hAnsiTheme="minorHAnsi"/>
          <w:color w:val="000000"/>
          <w:sz w:val="16"/>
          <w:szCs w:val="16"/>
          <w:shd w:val="clear" w:color="auto" w:fill="FFFFFF"/>
          <w:lang w:val="de-DE"/>
        </w:rPr>
        <w:t>Griffioen AW, Rijkers GT, Janssens-Korpela P, Zegers BJ</w:t>
      </w:r>
    </w:p>
    <w:p w:rsidR="008F6FFE" w:rsidRPr="00235A16" w:rsidRDefault="0052743C" w:rsidP="00A6208A">
      <w:pPr>
        <w:jc w:val="both"/>
        <w:rPr>
          <w:rFonts w:asciiTheme="minorHAnsi" w:hAnsiTheme="minorHAnsi"/>
          <w:color w:val="000000"/>
          <w:sz w:val="16"/>
          <w:szCs w:val="16"/>
          <w:shd w:val="clear" w:color="auto" w:fill="FFFFFF"/>
          <w:lang w:val="de-DE"/>
        </w:rPr>
      </w:pPr>
      <w:hyperlink r:id="rId1049" w:history="1">
        <w:r w:rsidR="008F6FFE" w:rsidRPr="00235A16">
          <w:rPr>
            <w:rFonts w:asciiTheme="minorHAnsi" w:hAnsiTheme="minorHAnsi"/>
            <w:color w:val="000000"/>
            <w:sz w:val="16"/>
            <w:szCs w:val="16"/>
            <w:shd w:val="clear" w:color="auto" w:fill="FFFFFF"/>
            <w:lang w:val="de-DE"/>
          </w:rPr>
          <w:t>https://www.ncbi.nlm.nih.gov/pmc/articles/PMC257924/pdf/iai00041-0263.pdf</w:t>
        </w:r>
      </w:hyperlink>
    </w:p>
    <w:p w:rsidR="008F6FFE" w:rsidRPr="00235A16" w:rsidRDefault="008F6FFE" w:rsidP="00717D4D">
      <w:pPr>
        <w:pStyle w:val="FootnoteText"/>
        <w:jc w:val="both"/>
        <w:rPr>
          <w:rFonts w:asciiTheme="minorHAnsi" w:hAnsiTheme="minorHAnsi"/>
          <w:sz w:val="16"/>
          <w:szCs w:val="16"/>
          <w:lang w:val="de-DE"/>
        </w:rPr>
      </w:pPr>
    </w:p>
  </w:footnote>
  <w:footnote w:id="136">
    <w:p w:rsidR="008F6FFE" w:rsidRPr="00717D4D" w:rsidRDefault="008F6FFE" w:rsidP="00717D4D">
      <w:pPr>
        <w:jc w:val="both"/>
        <w:rPr>
          <w:rFonts w:asciiTheme="minorHAnsi" w:hAnsiTheme="minorHAnsi"/>
          <w:color w:val="000000"/>
          <w:sz w:val="16"/>
          <w:szCs w:val="16"/>
          <w:shd w:val="clear" w:color="auto" w:fill="FFFFFF"/>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olor w:val="000000"/>
          <w:sz w:val="16"/>
          <w:szCs w:val="16"/>
          <w:lang w:val="en-US"/>
        </w:rPr>
        <w:t>Clin Exp. Immunol</w:t>
      </w:r>
      <w:r w:rsidRPr="00717D4D">
        <w:rPr>
          <w:rFonts w:asciiTheme="minorHAnsi" w:hAnsiTheme="minorHAnsi"/>
          <w:color w:val="000000"/>
          <w:sz w:val="16"/>
          <w:szCs w:val="16"/>
          <w:shd w:val="clear" w:color="auto" w:fill="FFFFFF"/>
          <w:lang w:val="en-US"/>
        </w:rPr>
        <w:t xml:space="preserve">. 2010, </w:t>
      </w:r>
      <w:r w:rsidRPr="00717D4D">
        <w:rPr>
          <w:rFonts w:asciiTheme="minorHAnsi" w:hAnsiTheme="minorHAnsi"/>
          <w:color w:val="000000"/>
          <w:sz w:val="16"/>
          <w:szCs w:val="16"/>
          <w:lang w:val="en-US"/>
        </w:rPr>
        <w:t>160</w:t>
      </w:r>
      <w:r w:rsidRPr="00717D4D">
        <w:rPr>
          <w:rFonts w:asciiTheme="minorHAnsi" w:hAnsiTheme="minorHAnsi"/>
          <w:color w:val="000000"/>
          <w:sz w:val="16"/>
          <w:szCs w:val="16"/>
          <w:shd w:val="clear" w:color="auto" w:fill="FFFFFF"/>
          <w:lang w:val="en-US"/>
        </w:rPr>
        <w:t xml:space="preserve">, 331–339. 10.1111/j.1365-2249.2010.04104.x </w:t>
      </w:r>
    </w:p>
    <w:p w:rsidR="008F6FFE" w:rsidRPr="00717D4D" w:rsidRDefault="008F6FFE" w:rsidP="00717D4D">
      <w:pPr>
        <w:jc w:val="both"/>
        <w:rPr>
          <w:rFonts w:asciiTheme="minorHAnsi" w:hAnsiTheme="minorHAnsi"/>
          <w:color w:val="000000"/>
          <w:sz w:val="16"/>
          <w:szCs w:val="16"/>
          <w:lang w:val="en-US"/>
        </w:rPr>
      </w:pPr>
      <w:r w:rsidRPr="00717D4D">
        <w:rPr>
          <w:rFonts w:asciiTheme="minorHAnsi" w:hAnsiTheme="minorHAnsi"/>
          <w:color w:val="000000"/>
          <w:sz w:val="16"/>
          <w:szCs w:val="16"/>
          <w:lang w:val="en-US"/>
        </w:rPr>
        <w:t>Antigen-dependent immunotherapy of non-obese diabetic mice with immature dendritic cells</w:t>
      </w:r>
      <w:r w:rsidRPr="00717D4D">
        <w:rPr>
          <w:rFonts w:asciiTheme="minorHAnsi" w:hAnsiTheme="minorHAnsi"/>
          <w:color w:val="000000"/>
          <w:sz w:val="16"/>
          <w:szCs w:val="16"/>
          <w:shd w:val="clear" w:color="auto" w:fill="FFFFFF"/>
          <w:lang w:val="en-US"/>
        </w:rPr>
        <w:t>.</w:t>
      </w:r>
      <w:r w:rsidRPr="00717D4D">
        <w:rPr>
          <w:rFonts w:asciiTheme="minorHAnsi" w:hAnsiTheme="minorHAnsi"/>
          <w:color w:val="000000"/>
          <w:sz w:val="16"/>
          <w:szCs w:val="16"/>
          <w:lang w:val="en-US"/>
        </w:rPr>
        <w:t xml:space="preserve"> </w:t>
      </w:r>
    </w:p>
    <w:p w:rsidR="008F6FFE" w:rsidRPr="00235A16" w:rsidRDefault="008F6FFE" w:rsidP="00717D4D">
      <w:pPr>
        <w:jc w:val="both"/>
        <w:rPr>
          <w:rFonts w:asciiTheme="minorHAnsi" w:hAnsiTheme="minorHAnsi"/>
          <w:sz w:val="16"/>
          <w:szCs w:val="16"/>
          <w:lang w:val="de-DE"/>
        </w:rPr>
      </w:pPr>
      <w:r w:rsidRPr="00235A16">
        <w:rPr>
          <w:rFonts w:asciiTheme="minorHAnsi" w:hAnsiTheme="minorHAnsi"/>
          <w:color w:val="000000"/>
          <w:sz w:val="16"/>
          <w:szCs w:val="16"/>
          <w:shd w:val="clear" w:color="auto" w:fill="FFFFFF"/>
          <w:lang w:val="de-DE"/>
        </w:rPr>
        <w:t>Haase C, Yu L, Eisenbarth G, Markholst H. </w:t>
      </w:r>
    </w:p>
    <w:p w:rsidR="008F6FFE" w:rsidRPr="00235A16" w:rsidRDefault="0052743C" w:rsidP="00A6208A">
      <w:pPr>
        <w:jc w:val="both"/>
        <w:rPr>
          <w:rFonts w:asciiTheme="minorHAnsi" w:hAnsiTheme="minorHAnsi"/>
          <w:color w:val="000000"/>
          <w:sz w:val="16"/>
          <w:szCs w:val="16"/>
          <w:shd w:val="clear" w:color="auto" w:fill="FFFFFF"/>
          <w:lang w:val="de-DE"/>
        </w:rPr>
      </w:pPr>
      <w:hyperlink r:id="rId1050" w:history="1">
        <w:r w:rsidR="008F6FFE" w:rsidRPr="00235A16">
          <w:rPr>
            <w:rFonts w:asciiTheme="minorHAnsi" w:hAnsiTheme="minorHAnsi"/>
            <w:color w:val="000000"/>
            <w:sz w:val="16"/>
            <w:szCs w:val="16"/>
            <w:shd w:val="clear" w:color="auto" w:fill="FFFFFF"/>
            <w:lang w:val="de-DE"/>
          </w:rPr>
          <w:t>https://www.ncbi.nlm.nih.gov/pmc/articles/PMC2883103/</w:t>
        </w:r>
      </w:hyperlink>
    </w:p>
    <w:p w:rsidR="008F6FFE" w:rsidRPr="00235A16" w:rsidRDefault="008F6FFE" w:rsidP="00717D4D">
      <w:pPr>
        <w:pStyle w:val="FootnoteText"/>
        <w:jc w:val="both"/>
        <w:rPr>
          <w:rFonts w:asciiTheme="minorHAnsi" w:hAnsiTheme="minorHAnsi"/>
          <w:sz w:val="16"/>
          <w:szCs w:val="16"/>
          <w:lang w:val="de-DE"/>
        </w:rPr>
      </w:pPr>
    </w:p>
  </w:footnote>
  <w:footnote w:id="137">
    <w:p w:rsidR="008F6FFE" w:rsidRPr="00717D4D" w:rsidRDefault="008F6FFE" w:rsidP="00717D4D">
      <w:pPr>
        <w:jc w:val="both"/>
        <w:rPr>
          <w:rFonts w:asciiTheme="minorHAnsi" w:hAnsiTheme="minorHAnsi"/>
          <w:color w:val="000000"/>
          <w:sz w:val="16"/>
          <w:szCs w:val="16"/>
          <w:shd w:val="clear" w:color="auto" w:fill="FFFFFF"/>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olor w:val="000000"/>
          <w:sz w:val="16"/>
          <w:szCs w:val="16"/>
          <w:lang w:val="en-US"/>
        </w:rPr>
        <w:t>J. Exp. Med</w:t>
      </w:r>
      <w:r w:rsidRPr="00717D4D">
        <w:rPr>
          <w:rFonts w:asciiTheme="minorHAnsi" w:hAnsiTheme="minorHAnsi"/>
          <w:color w:val="000000"/>
          <w:sz w:val="16"/>
          <w:szCs w:val="16"/>
          <w:shd w:val="clear" w:color="auto" w:fill="FFFFFF"/>
          <w:lang w:val="en-US"/>
        </w:rPr>
        <w:t>. 2005. </w:t>
      </w:r>
      <w:r w:rsidRPr="00717D4D">
        <w:rPr>
          <w:rFonts w:asciiTheme="minorHAnsi" w:hAnsiTheme="minorHAnsi"/>
          <w:color w:val="000000"/>
          <w:sz w:val="16"/>
          <w:szCs w:val="16"/>
          <w:lang w:val="en-US"/>
        </w:rPr>
        <w:t>201</w:t>
      </w:r>
      <w:r w:rsidRPr="00717D4D">
        <w:rPr>
          <w:rFonts w:asciiTheme="minorHAnsi" w:hAnsiTheme="minorHAnsi"/>
          <w:color w:val="000000"/>
          <w:sz w:val="16"/>
          <w:szCs w:val="16"/>
          <w:shd w:val="clear" w:color="auto" w:fill="FFFFFF"/>
          <w:lang w:val="en-US"/>
        </w:rPr>
        <w:t>, 993–1005. </w:t>
      </w:r>
    </w:p>
    <w:p w:rsidR="008F6FFE" w:rsidRPr="00717D4D" w:rsidRDefault="008F6FFE" w:rsidP="00717D4D">
      <w:pPr>
        <w:jc w:val="both"/>
        <w:rPr>
          <w:rFonts w:asciiTheme="minorHAnsi" w:hAnsiTheme="minorHAnsi"/>
          <w:color w:val="000000"/>
          <w:sz w:val="16"/>
          <w:szCs w:val="16"/>
          <w:shd w:val="clear" w:color="auto" w:fill="FFFFFF"/>
          <w:lang w:val="en-US"/>
        </w:rPr>
      </w:pPr>
      <w:r w:rsidRPr="00717D4D">
        <w:rPr>
          <w:rFonts w:asciiTheme="minorHAnsi" w:hAnsiTheme="minorHAnsi"/>
          <w:color w:val="000000"/>
          <w:sz w:val="16"/>
          <w:szCs w:val="16"/>
          <w:lang w:val="en-US"/>
        </w:rPr>
        <w:t>Complement receptors regulate differentiation of bone marrow plasma cell precursors expressing transcription factors Blimp-1 and XBP-1</w:t>
      </w:r>
      <w:r w:rsidRPr="00717D4D">
        <w:rPr>
          <w:rFonts w:asciiTheme="minorHAnsi" w:hAnsiTheme="minorHAnsi"/>
          <w:color w:val="000000"/>
          <w:sz w:val="16"/>
          <w:szCs w:val="16"/>
          <w:shd w:val="clear" w:color="auto" w:fill="FFFFFF"/>
          <w:lang w:val="en-US"/>
        </w:rPr>
        <w:t>. </w:t>
      </w:r>
    </w:p>
    <w:p w:rsidR="008F6FFE" w:rsidRPr="00235A16" w:rsidRDefault="008F6FFE" w:rsidP="00717D4D">
      <w:pPr>
        <w:jc w:val="both"/>
        <w:rPr>
          <w:rFonts w:asciiTheme="minorHAnsi" w:hAnsiTheme="minorHAnsi"/>
          <w:sz w:val="16"/>
          <w:szCs w:val="16"/>
          <w:lang w:val="de-DE"/>
        </w:rPr>
      </w:pPr>
      <w:r w:rsidRPr="00235A16">
        <w:rPr>
          <w:rFonts w:asciiTheme="minorHAnsi" w:hAnsiTheme="minorHAnsi"/>
          <w:color w:val="000000"/>
          <w:sz w:val="16"/>
          <w:szCs w:val="16"/>
          <w:shd w:val="clear" w:color="auto" w:fill="FFFFFF"/>
          <w:lang w:val="de-DE"/>
        </w:rPr>
        <w:t>Gatto D, Pfister T, Jegerlehner A, Martin SW, Kopf M, Bachmann MF.</w:t>
      </w:r>
    </w:p>
    <w:p w:rsidR="008F6FFE" w:rsidRPr="00235A16" w:rsidRDefault="0052743C" w:rsidP="00A6208A">
      <w:pPr>
        <w:jc w:val="both"/>
        <w:rPr>
          <w:rFonts w:asciiTheme="minorHAnsi" w:hAnsiTheme="minorHAnsi"/>
          <w:color w:val="000000"/>
          <w:sz w:val="16"/>
          <w:szCs w:val="16"/>
          <w:shd w:val="clear" w:color="auto" w:fill="FFFFFF"/>
          <w:lang w:val="de-DE"/>
        </w:rPr>
      </w:pPr>
      <w:hyperlink r:id="rId1051" w:history="1">
        <w:r w:rsidR="008F6FFE" w:rsidRPr="00235A16">
          <w:rPr>
            <w:rFonts w:asciiTheme="minorHAnsi" w:hAnsiTheme="minorHAnsi"/>
            <w:color w:val="000000"/>
            <w:sz w:val="16"/>
            <w:szCs w:val="16"/>
            <w:shd w:val="clear" w:color="auto" w:fill="FFFFFF"/>
            <w:lang w:val="de-DE"/>
          </w:rPr>
          <w:t>https://www.ncbi.nlm.nih.gov/pmc/articles/PMC2213108/</w:t>
        </w:r>
      </w:hyperlink>
    </w:p>
    <w:p w:rsidR="008F6FFE" w:rsidRPr="00235A16" w:rsidRDefault="008F6FFE" w:rsidP="00717D4D">
      <w:pPr>
        <w:pStyle w:val="FootnoteText"/>
        <w:jc w:val="both"/>
        <w:rPr>
          <w:rFonts w:asciiTheme="minorHAnsi" w:hAnsiTheme="minorHAnsi"/>
          <w:sz w:val="16"/>
          <w:szCs w:val="16"/>
          <w:lang w:val="de-DE"/>
        </w:rPr>
      </w:pPr>
    </w:p>
  </w:footnote>
  <w:footnote w:id="138">
    <w:p w:rsidR="008F6FFE" w:rsidRPr="00717D4D" w:rsidRDefault="008F6FFE" w:rsidP="00717D4D">
      <w:pPr>
        <w:jc w:val="both"/>
        <w:rPr>
          <w:rFonts w:asciiTheme="minorHAnsi" w:hAnsiTheme="minorHAnsi"/>
          <w:color w:val="000000"/>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olor w:val="000000"/>
          <w:sz w:val="16"/>
          <w:szCs w:val="16"/>
          <w:lang w:val="en-US"/>
        </w:rPr>
        <w:t xml:space="preserve">Clin. Exp. Immunol. 1998. 114, 33–39. 10.1046/j.1365-2249.1998.00694.x </w:t>
      </w:r>
    </w:p>
    <w:p w:rsidR="008F6FFE" w:rsidRPr="00717D4D" w:rsidRDefault="008F6FFE" w:rsidP="00717D4D">
      <w:pPr>
        <w:jc w:val="both"/>
        <w:rPr>
          <w:rFonts w:asciiTheme="minorHAnsi" w:hAnsiTheme="minorHAnsi"/>
          <w:color w:val="000000"/>
          <w:sz w:val="16"/>
          <w:szCs w:val="16"/>
          <w:lang w:val="en-US"/>
        </w:rPr>
      </w:pPr>
      <w:r w:rsidRPr="00717D4D">
        <w:rPr>
          <w:rFonts w:asciiTheme="minorHAnsi" w:hAnsiTheme="minorHAnsi"/>
          <w:color w:val="000000"/>
          <w:sz w:val="16"/>
          <w:szCs w:val="16"/>
          <w:lang w:val="en-US"/>
        </w:rPr>
        <w:t>Somatic mutation of immunoglobulin V</w:t>
      </w:r>
      <w:r w:rsidRPr="00717D4D">
        <w:rPr>
          <w:rFonts w:asciiTheme="minorHAnsi" w:hAnsiTheme="minorHAnsi"/>
          <w:color w:val="000000"/>
          <w:sz w:val="16"/>
          <w:szCs w:val="16"/>
          <w:vertAlign w:val="subscript"/>
          <w:lang w:val="en-US"/>
        </w:rPr>
        <w:t>H</w:t>
      </w:r>
      <w:r w:rsidRPr="00717D4D">
        <w:rPr>
          <w:rFonts w:asciiTheme="minorHAnsi" w:hAnsiTheme="minorHAnsi"/>
          <w:color w:val="000000"/>
          <w:sz w:val="16"/>
          <w:szCs w:val="16"/>
          <w:lang w:val="en-US"/>
        </w:rPr>
        <w:t>6 genes in human infants. </w:t>
      </w:r>
    </w:p>
    <w:p w:rsidR="008F6FFE" w:rsidRPr="00A6208A" w:rsidRDefault="008F6FFE" w:rsidP="00717D4D">
      <w:pPr>
        <w:jc w:val="both"/>
        <w:rPr>
          <w:rFonts w:asciiTheme="minorHAnsi" w:hAnsiTheme="minorHAnsi"/>
          <w:color w:val="000000"/>
          <w:sz w:val="16"/>
          <w:szCs w:val="16"/>
          <w:lang w:val="en-US"/>
        </w:rPr>
      </w:pPr>
      <w:r w:rsidRPr="00717D4D">
        <w:rPr>
          <w:rFonts w:asciiTheme="minorHAnsi" w:hAnsiTheme="minorHAnsi"/>
          <w:color w:val="000000"/>
          <w:sz w:val="16"/>
          <w:szCs w:val="16"/>
          <w:lang w:val="en-US"/>
        </w:rPr>
        <w:t xml:space="preserve">Ridings J, Dinan L, Williams R, Roberton D, Zola H. </w:t>
      </w:r>
    </w:p>
    <w:p w:rsidR="008F6FFE" w:rsidRPr="00A6208A" w:rsidRDefault="0052743C" w:rsidP="00A6208A">
      <w:pPr>
        <w:jc w:val="both"/>
        <w:rPr>
          <w:rFonts w:asciiTheme="minorHAnsi" w:hAnsiTheme="minorHAnsi"/>
          <w:color w:val="000000"/>
          <w:sz w:val="16"/>
          <w:szCs w:val="16"/>
          <w:lang w:val="en-US"/>
        </w:rPr>
      </w:pPr>
      <w:hyperlink r:id="rId1052" w:history="1">
        <w:r w:rsidR="008F6FFE" w:rsidRPr="00A6208A">
          <w:rPr>
            <w:rFonts w:asciiTheme="minorHAnsi" w:hAnsiTheme="minorHAnsi"/>
            <w:color w:val="000000"/>
            <w:sz w:val="16"/>
            <w:szCs w:val="16"/>
            <w:lang w:val="en-US"/>
          </w:rPr>
          <w:t>https://www.ncbi.nlm.nih.gov/pmc/articles/PMC1905087/</w:t>
        </w:r>
      </w:hyperlink>
    </w:p>
    <w:p w:rsidR="008F6FFE" w:rsidRPr="00717D4D" w:rsidRDefault="008F6FFE" w:rsidP="00717D4D">
      <w:pPr>
        <w:pStyle w:val="FootnoteText"/>
        <w:jc w:val="both"/>
        <w:rPr>
          <w:rFonts w:asciiTheme="minorHAnsi" w:hAnsiTheme="minorHAnsi"/>
          <w:sz w:val="16"/>
          <w:szCs w:val="16"/>
          <w:lang w:val="en-US"/>
        </w:rPr>
      </w:pPr>
    </w:p>
  </w:footnote>
  <w:footnote w:id="139">
    <w:p w:rsidR="008F6FFE" w:rsidRPr="00717D4D" w:rsidRDefault="008F6FFE" w:rsidP="00717D4D">
      <w:pPr>
        <w:jc w:val="both"/>
        <w:rPr>
          <w:rFonts w:asciiTheme="minorHAnsi" w:hAnsiTheme="minorHAnsi"/>
          <w:color w:val="000000"/>
          <w:sz w:val="16"/>
          <w:szCs w:val="16"/>
          <w:shd w:val="clear" w:color="auto" w:fill="FFFFFF"/>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olor w:val="000000"/>
          <w:sz w:val="16"/>
          <w:szCs w:val="16"/>
          <w:shd w:val="clear" w:color="auto" w:fill="FFFFFF"/>
          <w:lang w:val="en-US"/>
        </w:rPr>
        <w:t> </w:t>
      </w:r>
      <w:r w:rsidRPr="00717D4D">
        <w:rPr>
          <w:rFonts w:asciiTheme="minorHAnsi" w:hAnsiTheme="minorHAnsi"/>
          <w:color w:val="000000"/>
          <w:sz w:val="16"/>
          <w:szCs w:val="16"/>
          <w:lang w:val="en-US"/>
        </w:rPr>
        <w:t>J. Immunol</w:t>
      </w:r>
      <w:r w:rsidRPr="00717D4D">
        <w:rPr>
          <w:rFonts w:asciiTheme="minorHAnsi" w:hAnsiTheme="minorHAnsi"/>
          <w:color w:val="000000"/>
          <w:sz w:val="16"/>
          <w:szCs w:val="16"/>
          <w:shd w:val="clear" w:color="auto" w:fill="FFFFFF"/>
          <w:lang w:val="en-US"/>
        </w:rPr>
        <w:t>. 2006. </w:t>
      </w:r>
      <w:r w:rsidRPr="00717D4D">
        <w:rPr>
          <w:rFonts w:asciiTheme="minorHAnsi" w:hAnsiTheme="minorHAnsi"/>
          <w:color w:val="000000"/>
          <w:sz w:val="16"/>
          <w:szCs w:val="16"/>
          <w:lang w:val="en-US"/>
        </w:rPr>
        <w:t>176</w:t>
      </w:r>
      <w:r w:rsidRPr="00717D4D">
        <w:rPr>
          <w:rFonts w:asciiTheme="minorHAnsi" w:hAnsiTheme="minorHAnsi"/>
          <w:color w:val="000000"/>
          <w:sz w:val="16"/>
          <w:szCs w:val="16"/>
          <w:shd w:val="clear" w:color="auto" w:fill="FFFFFF"/>
          <w:lang w:val="en-US"/>
        </w:rPr>
        <w:t>, 165–172. 10.4049/jimmunol.176.1.165 </w:t>
      </w:r>
    </w:p>
    <w:p w:rsidR="008F6FFE" w:rsidRPr="00717D4D" w:rsidRDefault="008F6FFE" w:rsidP="00717D4D">
      <w:pPr>
        <w:jc w:val="both"/>
        <w:rPr>
          <w:rFonts w:asciiTheme="minorHAnsi" w:hAnsiTheme="minorHAnsi"/>
          <w:sz w:val="16"/>
          <w:szCs w:val="16"/>
          <w:lang w:val="en-US"/>
        </w:rPr>
      </w:pPr>
      <w:r w:rsidRPr="00717D4D">
        <w:rPr>
          <w:rFonts w:asciiTheme="minorHAnsi" w:hAnsiTheme="minorHAnsi"/>
          <w:color w:val="000000"/>
          <w:sz w:val="16"/>
          <w:szCs w:val="16"/>
          <w:lang w:val="en-US"/>
        </w:rPr>
        <w:t>Reduced ability of neonatal and early-life bone marrow stromal cells to support plasmablast survival</w:t>
      </w:r>
      <w:r w:rsidRPr="00717D4D">
        <w:rPr>
          <w:rFonts w:asciiTheme="minorHAnsi" w:hAnsiTheme="minorHAnsi"/>
          <w:color w:val="000000"/>
          <w:sz w:val="16"/>
          <w:szCs w:val="16"/>
          <w:shd w:val="clear" w:color="auto" w:fill="FFFFFF"/>
          <w:lang w:val="en-US"/>
        </w:rPr>
        <w:t>.</w:t>
      </w:r>
    </w:p>
    <w:p w:rsidR="008F6FFE" w:rsidRPr="00235A16" w:rsidRDefault="008F6FFE" w:rsidP="00717D4D">
      <w:pPr>
        <w:jc w:val="both"/>
        <w:rPr>
          <w:rFonts w:asciiTheme="minorHAnsi" w:hAnsiTheme="minorHAnsi"/>
          <w:color w:val="000000"/>
          <w:sz w:val="16"/>
          <w:szCs w:val="16"/>
          <w:shd w:val="clear" w:color="auto" w:fill="FFFFFF"/>
          <w:lang w:val="de-DE"/>
        </w:rPr>
      </w:pPr>
      <w:r w:rsidRPr="00235A16">
        <w:rPr>
          <w:rFonts w:asciiTheme="minorHAnsi" w:hAnsiTheme="minorHAnsi"/>
          <w:color w:val="000000"/>
          <w:sz w:val="16"/>
          <w:szCs w:val="16"/>
          <w:shd w:val="clear" w:color="auto" w:fill="FFFFFF"/>
          <w:lang w:val="de-DE"/>
        </w:rPr>
        <w:t xml:space="preserve">Pihlgren M, Friedli M, Tougne C, Rochat AF, Lambert PH, Siegrist CA. </w:t>
      </w:r>
    </w:p>
    <w:p w:rsidR="008F6FFE" w:rsidRPr="00235A16" w:rsidRDefault="0052743C" w:rsidP="00A6208A">
      <w:pPr>
        <w:jc w:val="both"/>
        <w:rPr>
          <w:rFonts w:asciiTheme="minorHAnsi" w:hAnsiTheme="minorHAnsi"/>
          <w:color w:val="000000"/>
          <w:sz w:val="16"/>
          <w:szCs w:val="16"/>
          <w:shd w:val="clear" w:color="auto" w:fill="FFFFFF"/>
          <w:lang w:val="de-DE"/>
        </w:rPr>
      </w:pPr>
      <w:hyperlink r:id="rId1053" w:history="1">
        <w:r w:rsidR="008F6FFE" w:rsidRPr="00235A16">
          <w:rPr>
            <w:rFonts w:asciiTheme="minorHAnsi" w:hAnsiTheme="minorHAnsi"/>
            <w:color w:val="000000"/>
            <w:sz w:val="16"/>
            <w:szCs w:val="16"/>
            <w:shd w:val="clear" w:color="auto" w:fill="FFFFFF"/>
            <w:lang w:val="de-DE"/>
          </w:rPr>
          <w:t>https://www.jimmunol.org/content/176/1/165.long</w:t>
        </w:r>
      </w:hyperlink>
    </w:p>
    <w:p w:rsidR="00507AFE" w:rsidRPr="00235A16" w:rsidRDefault="00507AFE" w:rsidP="00A6208A">
      <w:pPr>
        <w:jc w:val="both"/>
        <w:rPr>
          <w:rFonts w:asciiTheme="minorHAnsi" w:hAnsiTheme="minorHAnsi"/>
          <w:color w:val="000000"/>
          <w:sz w:val="16"/>
          <w:szCs w:val="16"/>
          <w:shd w:val="clear" w:color="auto" w:fill="FFFFFF"/>
          <w:lang w:val="de-DE"/>
        </w:rPr>
      </w:pPr>
    </w:p>
  </w:footnote>
  <w:footnote w:id="140">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vertAlign w:val="superscript"/>
          <w:lang w:val="en-US"/>
        </w:rPr>
        <w:t xml:space="preserve"> </w:t>
      </w:r>
      <w:r w:rsidRPr="00717D4D">
        <w:rPr>
          <w:rFonts w:asciiTheme="minorHAnsi" w:hAnsiTheme="minorHAnsi" w:cstheme="minorHAnsi"/>
          <w:color w:val="000000" w:themeColor="text1"/>
          <w:sz w:val="16"/>
          <w:szCs w:val="16"/>
          <w:lang w:val="en-US"/>
        </w:rPr>
        <w:t xml:space="preserve">Sci Transl Med. 2011 Jul 6;3(90):90ps27 doi: 10.1126/scitranslmed.3001880.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Development of newborn and infant vaccines</w:t>
      </w:r>
    </w:p>
    <w:p w:rsidR="008F6FFE" w:rsidRPr="00717D4D" w:rsidRDefault="008F6FFE" w:rsidP="00717D4D">
      <w:pPr>
        <w:shd w:val="clear" w:color="auto" w:fill="FFFFFF"/>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rPr>
        <w:t>Sanchez-Schmitz G, Levy O.</w:t>
      </w:r>
    </w:p>
    <w:p w:rsidR="008F6FFE" w:rsidRPr="006D1E29" w:rsidRDefault="0052743C" w:rsidP="006D1E29">
      <w:pPr>
        <w:shd w:val="clear" w:color="auto" w:fill="FFFFFF"/>
        <w:rPr>
          <w:rFonts w:asciiTheme="minorHAnsi" w:hAnsiTheme="minorHAnsi" w:cstheme="minorHAnsi"/>
          <w:color w:val="000000" w:themeColor="text1"/>
          <w:sz w:val="16"/>
          <w:szCs w:val="16"/>
        </w:rPr>
      </w:pPr>
      <w:hyperlink r:id="rId1054" w:history="1">
        <w:r w:rsidR="008F6FFE" w:rsidRPr="006D1E29">
          <w:rPr>
            <w:rFonts w:asciiTheme="minorHAnsi" w:hAnsiTheme="minorHAnsi" w:cstheme="minorHAnsi"/>
            <w:color w:val="000000" w:themeColor="text1"/>
            <w:sz w:val="16"/>
            <w:szCs w:val="16"/>
          </w:rPr>
          <w:t>https://www.ncbi.nlm.nih.gov/pmc/articles/PMC4108897/</w:t>
        </w:r>
      </w:hyperlink>
    </w:p>
    <w:p w:rsidR="008F6FFE" w:rsidRPr="00717D4D" w:rsidRDefault="008F6FFE" w:rsidP="00717D4D">
      <w:pPr>
        <w:pStyle w:val="FootnoteText"/>
        <w:rPr>
          <w:rFonts w:asciiTheme="minorHAnsi" w:hAnsiTheme="minorHAnsi"/>
          <w:sz w:val="16"/>
          <w:szCs w:val="16"/>
        </w:rPr>
      </w:pPr>
    </w:p>
  </w:footnote>
  <w:footnote w:id="141">
    <w:p w:rsidR="008F6FFE" w:rsidRPr="00717D4D" w:rsidRDefault="008F6FFE" w:rsidP="00996C82">
      <w:pPr>
        <w:autoSpaceDE w:val="0"/>
        <w:autoSpaceDN w:val="0"/>
        <w:adjustRightInd w:val="0"/>
        <w:jc w:val="both"/>
        <w:rPr>
          <w:rFonts w:asciiTheme="minorHAnsi" w:hAnsiTheme="minorHAnsi" w:cs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Pr>
          <w:rFonts w:asciiTheme="minorHAnsi" w:hAnsiTheme="minorHAnsi"/>
          <w:sz w:val="16"/>
          <w:szCs w:val="16"/>
          <w:lang w:val="en-US"/>
        </w:rPr>
        <w:t xml:space="preserve"> </w:t>
      </w:r>
      <w:r w:rsidRPr="00717D4D">
        <w:rPr>
          <w:rFonts w:asciiTheme="minorHAnsi" w:hAnsiTheme="minorHAnsi" w:cstheme="minorHAnsi"/>
          <w:color w:val="000000" w:themeColor="text1"/>
          <w:sz w:val="16"/>
          <w:szCs w:val="16"/>
          <w:lang w:val="en-US"/>
        </w:rPr>
        <w:t xml:space="preserve">Front Immunol. 2020 Mar 31;11:555. doi: 10.3389/fimmu.2020.00555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Vertically Transferred Immunity in Neonates: Mothers, Mechanisms and Mediators. </w:t>
      </w:r>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 xml:space="preserve">Albrecht M, Arck PC. </w:t>
      </w:r>
    </w:p>
    <w:p w:rsidR="008F6FFE" w:rsidRPr="00235A16" w:rsidRDefault="0052743C" w:rsidP="00717D4D">
      <w:pPr>
        <w:shd w:val="clear" w:color="auto" w:fill="FFFFFF"/>
        <w:rPr>
          <w:rFonts w:asciiTheme="minorHAnsi" w:hAnsiTheme="minorHAnsi" w:cstheme="minorHAnsi"/>
          <w:color w:val="000000" w:themeColor="text1"/>
          <w:sz w:val="16"/>
          <w:szCs w:val="16"/>
          <w:lang w:val="de-DE"/>
        </w:rPr>
      </w:pPr>
      <w:hyperlink r:id="rId1055" w:history="1">
        <w:r w:rsidR="008F6FFE" w:rsidRPr="00235A16">
          <w:rPr>
            <w:rStyle w:val="Hyperlink"/>
            <w:rFonts w:asciiTheme="minorHAnsi" w:hAnsiTheme="minorHAnsi" w:cstheme="minorHAnsi"/>
            <w:color w:val="000000" w:themeColor="text1"/>
            <w:sz w:val="16"/>
            <w:szCs w:val="16"/>
            <w:u w:val="none"/>
            <w:lang w:val="de-DE"/>
          </w:rPr>
          <w:t>https://www.ncbi.nlm.nih.gov/pmc/articles/PMC7136470/</w:t>
        </w:r>
      </w:hyperlink>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Front Immunol. 2014 Sep 16;5:446. doi: 10.3389/fimmu.2014.00446. Maternal antibodies: clinical significance, mechanism of interference with immune responses, and possible vaccination strategies. </w:t>
      </w:r>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 xml:space="preserve">Niewiesk S. </w:t>
      </w:r>
    </w:p>
    <w:p w:rsidR="008F6FFE" w:rsidRPr="00235A16" w:rsidRDefault="0052743C" w:rsidP="00717D4D">
      <w:pPr>
        <w:shd w:val="clear" w:color="auto" w:fill="FFFFFF"/>
        <w:rPr>
          <w:rFonts w:asciiTheme="minorHAnsi" w:hAnsiTheme="minorHAnsi" w:cstheme="minorHAnsi"/>
          <w:color w:val="000000" w:themeColor="text1"/>
          <w:sz w:val="16"/>
          <w:szCs w:val="16"/>
          <w:lang w:val="de-DE"/>
        </w:rPr>
      </w:pPr>
      <w:hyperlink r:id="rId1056" w:history="1">
        <w:r w:rsidR="008F6FFE" w:rsidRPr="00235A16">
          <w:rPr>
            <w:rFonts w:asciiTheme="minorHAnsi" w:hAnsiTheme="minorHAnsi" w:cstheme="minorHAnsi"/>
            <w:color w:val="000000" w:themeColor="text1"/>
            <w:sz w:val="16"/>
            <w:szCs w:val="16"/>
            <w:lang w:val="de-DE"/>
          </w:rPr>
          <w:t>https://pubmed.ncbi.nlm.nih.gov/25278941/</w:t>
        </w:r>
      </w:hyperlink>
    </w:p>
    <w:p w:rsidR="008F6FFE" w:rsidRPr="00235A16" w:rsidRDefault="008F6FFE" w:rsidP="00717D4D">
      <w:pPr>
        <w:shd w:val="clear" w:color="auto" w:fill="FFFFFF"/>
        <w:rPr>
          <w:rFonts w:asciiTheme="minorHAnsi" w:hAnsiTheme="minorHAnsi" w:cstheme="minorHAnsi"/>
          <w:color w:val="000000" w:themeColor="text1"/>
          <w:sz w:val="16"/>
          <w:szCs w:val="16"/>
          <w:lang w:val="de-DE"/>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Vaccine 2015 Nov 25;33(47):6469-72.  doi: 10.1016/j.vaccine.2015.07.085.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Maternal Antibodies and Infant Immune Responses to Vaccines</w:t>
      </w:r>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1057" w:history="1">
        <w:r w:rsidR="008F6FFE" w:rsidRPr="00717D4D">
          <w:rPr>
            <w:rFonts w:asciiTheme="minorHAnsi" w:hAnsiTheme="minorHAnsi" w:cstheme="minorHAnsi"/>
            <w:color w:val="000000" w:themeColor="text1"/>
            <w:sz w:val="16"/>
            <w:szCs w:val="16"/>
            <w:lang w:val="en-US"/>
          </w:rPr>
          <w:t>Kathryn M Edwards</w:t>
        </w:r>
      </w:hyperlink>
      <w:r w:rsidR="008F6FFE" w:rsidRPr="00717D4D">
        <w:rPr>
          <w:rFonts w:asciiTheme="minorHAnsi" w:hAnsiTheme="minorHAnsi" w:cstheme="minorHAnsi"/>
          <w:color w:val="000000" w:themeColor="text1"/>
          <w:sz w:val="16"/>
          <w:szCs w:val="16"/>
          <w:lang w:val="en-US"/>
        </w:rPr>
        <w:t> </w:t>
      </w:r>
      <w:hyperlink r:id="rId1058" w:anchor="affiliation-1" w:history="1">
        <w:r w:rsidR="008F6FFE" w:rsidRPr="00717D4D">
          <w:rPr>
            <w:rFonts w:asciiTheme="minorHAnsi" w:hAnsiTheme="minorHAnsi" w:cstheme="minorHAnsi"/>
            <w:color w:val="000000" w:themeColor="text1"/>
            <w:sz w:val="16"/>
            <w:szCs w:val="16"/>
            <w:lang w:val="en-US"/>
          </w:rPr>
          <w:t>1</w:t>
        </w:r>
      </w:hyperlink>
    </w:p>
    <w:p w:rsidR="008F6FFE" w:rsidRPr="00717D4D" w:rsidRDefault="0052743C" w:rsidP="00717D4D">
      <w:pPr>
        <w:shd w:val="clear" w:color="auto" w:fill="FFFFFF"/>
        <w:rPr>
          <w:rFonts w:asciiTheme="minorHAnsi" w:hAnsiTheme="minorHAnsi" w:cstheme="minorHAnsi"/>
          <w:color w:val="000000" w:themeColor="text1"/>
          <w:sz w:val="16"/>
          <w:szCs w:val="16"/>
          <w:lang w:val="en-US"/>
        </w:rPr>
      </w:pPr>
      <w:hyperlink r:id="rId1059" w:history="1">
        <w:r w:rsidR="008F6FFE" w:rsidRPr="00717D4D">
          <w:rPr>
            <w:rFonts w:asciiTheme="minorHAnsi" w:hAnsiTheme="minorHAnsi" w:cstheme="minorHAnsi"/>
            <w:color w:val="000000" w:themeColor="text1"/>
            <w:sz w:val="16"/>
            <w:szCs w:val="16"/>
            <w:lang w:val="en-US"/>
          </w:rPr>
          <w:t>https://www.sciencedirect.com/science/article/pii/S0264410X15010634?via%3Dihub</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Cell Rep. 2019;28(7):1773‐1784.e5. doi:10.1016/j.celrep.2019.07.047</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bookmarkStart w:id="70" w:name="bau1"/>
      <w:r w:rsidRPr="00717D4D">
        <w:rPr>
          <w:rFonts w:asciiTheme="minorHAnsi" w:hAnsiTheme="minorHAnsi" w:cstheme="minorHAnsi"/>
          <w:color w:val="000000" w:themeColor="text1"/>
          <w:sz w:val="16"/>
          <w:szCs w:val="16"/>
          <w:lang w:val="en-US"/>
        </w:rPr>
        <w:t>Maternal Antibodies Inhibit Neonatal and Infant Responses to Vaccination by Shaping the Early-Life B Cell Repertoire within Germinal Centers. </w:t>
      </w:r>
    </w:p>
    <w:p w:rsidR="008F6FFE" w:rsidRPr="00717D4D" w:rsidRDefault="0052743C" w:rsidP="00717D4D">
      <w:pPr>
        <w:rPr>
          <w:rFonts w:asciiTheme="minorHAnsi" w:hAnsiTheme="minorHAnsi" w:cstheme="minorHAnsi"/>
          <w:color w:val="000000" w:themeColor="text1"/>
          <w:sz w:val="16"/>
          <w:szCs w:val="16"/>
        </w:rPr>
      </w:pPr>
      <w:hyperlink r:id="rId1060" w:history="1">
        <w:r w:rsidR="008F6FFE" w:rsidRPr="00717D4D">
          <w:rPr>
            <w:rStyle w:val="Hyperlink"/>
            <w:rFonts w:asciiTheme="minorHAnsi" w:hAnsiTheme="minorHAnsi" w:cstheme="minorHAnsi"/>
            <w:color w:val="000000" w:themeColor="text1"/>
            <w:sz w:val="16"/>
            <w:szCs w:val="16"/>
            <w:u w:val="none"/>
          </w:rPr>
          <w:t>Maria Vono</w:t>
        </w:r>
      </w:hyperlink>
      <w:r w:rsidR="008F6FFE" w:rsidRPr="00717D4D">
        <w:rPr>
          <w:rStyle w:val="author-sup-separator"/>
          <w:rFonts w:asciiTheme="minorHAnsi" w:hAnsiTheme="minorHAnsi" w:cstheme="minorHAnsi"/>
          <w:color w:val="000000" w:themeColor="text1"/>
          <w:sz w:val="16"/>
          <w:szCs w:val="16"/>
          <w:shd w:val="clear" w:color="auto" w:fill="FFFFFF"/>
          <w:vertAlign w:val="superscript"/>
        </w:rPr>
        <w:t> </w:t>
      </w:r>
      <w:r w:rsidR="008F6FFE" w:rsidRPr="00717D4D">
        <w:rPr>
          <w:rFonts w:asciiTheme="minorHAnsi" w:hAnsiTheme="minorHAnsi"/>
          <w:sz w:val="16"/>
          <w:szCs w:val="16"/>
        </w:rPr>
        <w:t xml:space="preserve"> et al</w:t>
      </w:r>
    </w:p>
    <w:bookmarkEnd w:id="70"/>
    <w:p w:rsidR="008F6FFE" w:rsidRPr="00717D4D" w:rsidRDefault="008F6FFE" w:rsidP="00717D4D">
      <w:pPr>
        <w:shd w:val="clear" w:color="auto" w:fill="FFFFFF"/>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lang w:val="en-US"/>
        </w:rPr>
        <w:fldChar w:fldCharType="begin"/>
      </w:r>
      <w:r w:rsidRPr="00717D4D">
        <w:rPr>
          <w:rFonts w:asciiTheme="minorHAnsi" w:hAnsiTheme="minorHAnsi" w:cstheme="minorHAnsi"/>
          <w:color w:val="000000" w:themeColor="text1"/>
          <w:sz w:val="16"/>
          <w:szCs w:val="16"/>
        </w:rPr>
        <w:instrText xml:space="preserve"> HYPERLINK "https://www.sciencedirect.com/science/article/pii/S2211124719309519" </w:instrText>
      </w:r>
      <w:r w:rsidRPr="00717D4D">
        <w:rPr>
          <w:rFonts w:asciiTheme="minorHAnsi" w:hAnsiTheme="minorHAnsi" w:cstheme="minorHAnsi"/>
          <w:color w:val="000000" w:themeColor="text1"/>
          <w:sz w:val="16"/>
          <w:szCs w:val="16"/>
          <w:lang w:val="en-US"/>
        </w:rPr>
        <w:fldChar w:fldCharType="separate"/>
      </w:r>
      <w:r w:rsidRPr="00717D4D">
        <w:rPr>
          <w:rFonts w:asciiTheme="minorHAnsi" w:hAnsiTheme="minorHAnsi" w:cstheme="minorHAnsi"/>
          <w:color w:val="000000" w:themeColor="text1"/>
          <w:sz w:val="16"/>
          <w:szCs w:val="16"/>
        </w:rPr>
        <w:t>https://www.sciencedirect.com/science/article/pii/S2211124719309519</w:t>
      </w:r>
      <w:r w:rsidRPr="00717D4D">
        <w:rPr>
          <w:rFonts w:asciiTheme="minorHAnsi" w:hAnsiTheme="minorHAnsi" w:cstheme="minorHAnsi"/>
          <w:color w:val="000000" w:themeColor="text1"/>
          <w:sz w:val="16"/>
          <w:szCs w:val="16"/>
          <w:lang w:val="en-US"/>
        </w:rPr>
        <w:fldChar w:fldCharType="end"/>
      </w:r>
    </w:p>
    <w:p w:rsidR="008F6FFE" w:rsidRPr="00912511" w:rsidRDefault="008F6FFE" w:rsidP="006D1E29">
      <w:pPr>
        <w:shd w:val="clear" w:color="auto" w:fill="FFFFFF"/>
        <w:rPr>
          <w:rFonts w:asciiTheme="minorHAnsi" w:hAnsiTheme="minorHAnsi" w:cstheme="minorHAnsi"/>
          <w:color w:val="000000" w:themeColor="text1"/>
          <w:sz w:val="16"/>
          <w:szCs w:val="16"/>
        </w:rPr>
      </w:pPr>
    </w:p>
    <w:p w:rsidR="008F6FFE" w:rsidRPr="006D1E29" w:rsidRDefault="008F6FFE" w:rsidP="006D1E29">
      <w:pPr>
        <w:shd w:val="clear" w:color="auto" w:fill="FFFFFF"/>
        <w:rPr>
          <w:rFonts w:asciiTheme="minorHAnsi" w:hAnsiTheme="minorHAnsi" w:cstheme="minorHAnsi"/>
          <w:color w:val="000000" w:themeColor="text1"/>
          <w:sz w:val="16"/>
          <w:szCs w:val="16"/>
          <w:lang w:val="en-US"/>
        </w:rPr>
      </w:pPr>
      <w:r w:rsidRPr="006D1E29">
        <w:rPr>
          <w:rFonts w:asciiTheme="minorHAnsi" w:hAnsiTheme="minorHAnsi" w:cstheme="minorHAnsi"/>
          <w:color w:val="000000" w:themeColor="text1"/>
          <w:sz w:val="16"/>
          <w:szCs w:val="16"/>
          <w:lang w:val="en-US"/>
        </w:rPr>
        <w:t xml:space="preserve">Saso A, Kampmann B. </w:t>
      </w:r>
    </w:p>
    <w:p w:rsidR="008F6FFE" w:rsidRPr="006D1E29" w:rsidRDefault="008F6FFE" w:rsidP="006D1E29">
      <w:pPr>
        <w:shd w:val="clear" w:color="auto" w:fill="FFFFFF"/>
        <w:rPr>
          <w:rFonts w:asciiTheme="minorHAnsi" w:hAnsiTheme="minorHAnsi" w:cstheme="minorHAnsi"/>
          <w:color w:val="000000" w:themeColor="text1"/>
          <w:sz w:val="16"/>
          <w:szCs w:val="16"/>
          <w:lang w:val="en-US"/>
        </w:rPr>
      </w:pPr>
      <w:r w:rsidRPr="006D1E29">
        <w:rPr>
          <w:rFonts w:asciiTheme="minorHAnsi" w:hAnsiTheme="minorHAnsi" w:cstheme="minorHAnsi"/>
          <w:color w:val="000000" w:themeColor="text1"/>
          <w:sz w:val="16"/>
          <w:szCs w:val="16"/>
          <w:lang w:val="en-US"/>
        </w:rPr>
        <w:t>Vaccine responses in newborns.</w:t>
      </w:r>
    </w:p>
    <w:p w:rsidR="008F6FFE" w:rsidRPr="006D1E29" w:rsidRDefault="008F6FFE" w:rsidP="006D1E29">
      <w:pPr>
        <w:shd w:val="clear" w:color="auto" w:fill="FFFFFF"/>
        <w:rPr>
          <w:rFonts w:asciiTheme="minorHAnsi" w:hAnsiTheme="minorHAnsi" w:cstheme="minorHAnsi"/>
          <w:color w:val="000000" w:themeColor="text1"/>
          <w:sz w:val="16"/>
          <w:szCs w:val="16"/>
          <w:lang w:val="en-US"/>
        </w:rPr>
      </w:pPr>
      <w:r w:rsidRPr="006D1E29">
        <w:rPr>
          <w:rFonts w:asciiTheme="minorHAnsi" w:hAnsiTheme="minorHAnsi" w:cstheme="minorHAnsi"/>
          <w:color w:val="000000" w:themeColor="text1"/>
          <w:sz w:val="16"/>
          <w:szCs w:val="16"/>
          <w:lang w:val="en-US"/>
        </w:rPr>
        <w:t>Semin Immunopathol. 2017;39(6):627-642. doi:10.1007/s00281-017-0654-9</w:t>
      </w:r>
    </w:p>
    <w:p w:rsidR="008F6FFE" w:rsidRPr="006D1E29" w:rsidRDefault="0052743C" w:rsidP="00717D4D">
      <w:pPr>
        <w:shd w:val="clear" w:color="auto" w:fill="FFFFFF"/>
        <w:rPr>
          <w:rFonts w:asciiTheme="minorHAnsi" w:hAnsiTheme="minorHAnsi" w:cstheme="minorHAnsi"/>
          <w:color w:val="000000" w:themeColor="text1"/>
          <w:sz w:val="16"/>
          <w:szCs w:val="16"/>
          <w:lang w:val="en-US"/>
        </w:rPr>
      </w:pPr>
      <w:hyperlink r:id="rId1061" w:history="1">
        <w:r w:rsidR="008F6FFE" w:rsidRPr="006D1E29">
          <w:rPr>
            <w:rFonts w:asciiTheme="minorHAnsi" w:hAnsiTheme="minorHAnsi" w:cstheme="minorHAnsi"/>
            <w:color w:val="000000" w:themeColor="text1"/>
            <w:sz w:val="16"/>
            <w:szCs w:val="16"/>
            <w:lang w:val="en-US"/>
          </w:rPr>
          <w:t>https://www.ncbi.nlm.nih.gov/pmc/articles/PMC5711983/</w:t>
        </w:r>
      </w:hyperlink>
      <w:r w:rsidR="008F6FFE" w:rsidRPr="006D1E29">
        <w:rPr>
          <w:rFonts w:asciiTheme="minorHAnsi" w:hAnsiTheme="minorHAnsi" w:cstheme="minorHAnsi"/>
          <w:color w:val="000000" w:themeColor="text1"/>
          <w:sz w:val="16"/>
          <w:szCs w:val="16"/>
          <w:lang w:val="en-US"/>
        </w:rPr>
        <w:t xml:space="preserve"> </w:t>
      </w:r>
    </w:p>
    <w:p w:rsidR="008F6FFE" w:rsidRPr="006D1E29"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J Comp Pathol. 2007;137(Suppl 1):S27–S31. doi: 10.1016/j.jcpa.2007.04.008.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Immune responsiveness in the neonatal period.</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Morein B, Blomqvist G, Hu K.</w:t>
      </w:r>
    </w:p>
    <w:p w:rsidR="008F6FFE" w:rsidRPr="006D1E29" w:rsidRDefault="0052743C" w:rsidP="006D1E29">
      <w:pPr>
        <w:shd w:val="clear" w:color="auto" w:fill="FFFFFF"/>
        <w:rPr>
          <w:rFonts w:asciiTheme="minorHAnsi" w:hAnsiTheme="minorHAnsi" w:cstheme="minorHAnsi"/>
          <w:color w:val="000000" w:themeColor="text1"/>
          <w:sz w:val="16"/>
          <w:szCs w:val="16"/>
          <w:lang w:val="en-US"/>
        </w:rPr>
      </w:pPr>
      <w:hyperlink r:id="rId1062" w:history="1">
        <w:r w:rsidR="008F6FFE" w:rsidRPr="006D1E29">
          <w:rPr>
            <w:rFonts w:asciiTheme="minorHAnsi" w:hAnsiTheme="minorHAnsi" w:cstheme="minorHAnsi"/>
            <w:color w:val="000000" w:themeColor="text1"/>
            <w:sz w:val="16"/>
            <w:szCs w:val="16"/>
            <w:lang w:val="en-US"/>
          </w:rPr>
          <w:t>https://pubmed.ncbi.nlm.nih.gov/17548093/</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Vaccine. 2003;21:3406–3412. doi: 10.1016/S0264-410X(03)00342-6.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Mechanisms by which maternal antibodies influence infant vaccine responses: review of hypotheses and definition of main determinants. </w:t>
      </w:r>
    </w:p>
    <w:p w:rsidR="008F6FFE" w:rsidRPr="00A078ED" w:rsidRDefault="008F6FFE" w:rsidP="00717D4D">
      <w:pPr>
        <w:shd w:val="clear" w:color="auto" w:fill="FFFFFF"/>
        <w:rPr>
          <w:rFonts w:asciiTheme="minorHAnsi" w:hAnsiTheme="minorHAnsi" w:cstheme="minorHAnsi"/>
          <w:color w:val="000000" w:themeColor="text1"/>
          <w:sz w:val="16"/>
          <w:szCs w:val="16"/>
        </w:rPr>
      </w:pPr>
      <w:r w:rsidRPr="00A078ED">
        <w:rPr>
          <w:rFonts w:asciiTheme="minorHAnsi" w:hAnsiTheme="minorHAnsi" w:cstheme="minorHAnsi"/>
          <w:color w:val="000000" w:themeColor="text1"/>
          <w:sz w:val="16"/>
          <w:szCs w:val="16"/>
        </w:rPr>
        <w:t>Siegrist CA.</w:t>
      </w:r>
    </w:p>
    <w:p w:rsidR="008F6FFE" w:rsidRPr="00A078ED" w:rsidRDefault="0052743C" w:rsidP="006D1E29">
      <w:pPr>
        <w:shd w:val="clear" w:color="auto" w:fill="FFFFFF"/>
        <w:rPr>
          <w:rFonts w:asciiTheme="minorHAnsi" w:hAnsiTheme="minorHAnsi" w:cstheme="minorHAnsi"/>
          <w:color w:val="000000" w:themeColor="text1"/>
          <w:sz w:val="16"/>
          <w:szCs w:val="16"/>
        </w:rPr>
      </w:pPr>
      <w:hyperlink r:id="rId1063" w:history="1">
        <w:r w:rsidR="008F6FFE" w:rsidRPr="00A078ED">
          <w:rPr>
            <w:rFonts w:asciiTheme="minorHAnsi" w:hAnsiTheme="minorHAnsi" w:cstheme="minorHAnsi"/>
            <w:color w:val="000000" w:themeColor="text1"/>
            <w:sz w:val="16"/>
            <w:szCs w:val="16"/>
          </w:rPr>
          <w:t>https://pubmed.ncbi.nlm.nih.gov/12850349/</w:t>
        </w:r>
      </w:hyperlink>
    </w:p>
    <w:p w:rsidR="008F6FFE" w:rsidRPr="00A078ED" w:rsidRDefault="008F6FFE" w:rsidP="006D1E29">
      <w:pPr>
        <w:shd w:val="clear" w:color="auto" w:fill="FFFFFF"/>
        <w:rPr>
          <w:rFonts w:asciiTheme="minorHAnsi" w:hAnsiTheme="minorHAnsi" w:cstheme="minorHAnsi"/>
          <w:color w:val="000000" w:themeColor="text1"/>
          <w:sz w:val="16"/>
          <w:szCs w:val="16"/>
        </w:rPr>
      </w:pPr>
    </w:p>
  </w:footnote>
  <w:footnote w:id="142">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theme="minorHAnsi"/>
          <w:color w:val="000000" w:themeColor="text1"/>
          <w:sz w:val="16"/>
          <w:szCs w:val="16"/>
          <w:lang w:val="en-US"/>
        </w:rPr>
        <w:t>Front Immunol 2019 Jul 10;10:1540.  doi: 10.3389/fimmu.2019.01540.</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The Neonatal Fc Receptor (FcRn): A Misnomer?</w:t>
      </w:r>
    </w:p>
    <w:p w:rsidR="008F6FFE" w:rsidRDefault="0052743C" w:rsidP="00717D4D">
      <w:pPr>
        <w:shd w:val="clear" w:color="auto" w:fill="FFFFFF"/>
        <w:rPr>
          <w:rFonts w:asciiTheme="minorHAnsi" w:hAnsiTheme="minorHAnsi" w:cstheme="minorHAnsi"/>
          <w:color w:val="000000" w:themeColor="text1"/>
          <w:sz w:val="16"/>
          <w:szCs w:val="16"/>
          <w:lang w:val="en-US"/>
        </w:rPr>
      </w:pPr>
      <w:hyperlink r:id="rId1064" w:history="1">
        <w:r w:rsidR="008F6FFE" w:rsidRPr="00717D4D">
          <w:rPr>
            <w:rFonts w:asciiTheme="minorHAnsi" w:hAnsiTheme="minorHAnsi" w:cstheme="minorHAnsi"/>
            <w:color w:val="000000" w:themeColor="text1"/>
            <w:sz w:val="16"/>
            <w:szCs w:val="16"/>
            <w:lang w:val="en-US"/>
          </w:rPr>
          <w:t>Michal Pyzik</w:t>
        </w:r>
      </w:hyperlink>
      <w:r w:rsidR="008F6FFE" w:rsidRPr="00717D4D">
        <w:rPr>
          <w:rFonts w:asciiTheme="minorHAnsi" w:hAnsiTheme="minorHAnsi" w:cstheme="minorHAnsi"/>
          <w:color w:val="000000" w:themeColor="text1"/>
          <w:sz w:val="16"/>
          <w:szCs w:val="16"/>
          <w:lang w:val="en-US"/>
        </w:rPr>
        <w:t> </w:t>
      </w:r>
      <w:hyperlink r:id="rId1065"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1066" w:history="1">
        <w:r w:rsidR="008F6FFE" w:rsidRPr="00717D4D">
          <w:rPr>
            <w:rFonts w:asciiTheme="minorHAnsi" w:hAnsiTheme="minorHAnsi" w:cstheme="minorHAnsi"/>
            <w:color w:val="000000" w:themeColor="text1"/>
            <w:sz w:val="16"/>
            <w:szCs w:val="16"/>
            <w:lang w:val="en-US"/>
          </w:rPr>
          <w:t>Kine M K Sand</w:t>
        </w:r>
      </w:hyperlink>
      <w:r w:rsidR="008F6FFE" w:rsidRPr="00717D4D">
        <w:rPr>
          <w:rFonts w:asciiTheme="minorHAnsi" w:hAnsiTheme="minorHAnsi" w:cstheme="minorHAnsi"/>
          <w:color w:val="000000" w:themeColor="text1"/>
          <w:sz w:val="16"/>
          <w:szCs w:val="16"/>
          <w:lang w:val="en-US"/>
        </w:rPr>
        <w:t> </w:t>
      </w:r>
      <w:hyperlink r:id="rId1067"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1068" w:anchor="affiliation-2" w:history="1">
        <w:r w:rsidR="008F6FFE" w:rsidRPr="00717D4D">
          <w:rPr>
            <w:rFonts w:asciiTheme="minorHAnsi" w:hAnsiTheme="minorHAnsi" w:cstheme="minorHAnsi"/>
            <w:color w:val="000000" w:themeColor="text1"/>
            <w:sz w:val="16"/>
            <w:szCs w:val="16"/>
            <w:lang w:val="en-US"/>
          </w:rPr>
          <w:t>2</w:t>
        </w:r>
      </w:hyperlink>
      <w:r w:rsidR="008F6FFE" w:rsidRPr="00717D4D">
        <w:rPr>
          <w:rFonts w:asciiTheme="minorHAnsi" w:hAnsiTheme="minorHAnsi" w:cstheme="minorHAnsi"/>
          <w:color w:val="000000" w:themeColor="text1"/>
          <w:sz w:val="16"/>
          <w:szCs w:val="16"/>
          <w:lang w:val="en-US"/>
        </w:rPr>
        <w:t>, </w:t>
      </w:r>
      <w:hyperlink r:id="rId1069" w:history="1">
        <w:r w:rsidR="008F6FFE" w:rsidRPr="00717D4D">
          <w:rPr>
            <w:rFonts w:asciiTheme="minorHAnsi" w:hAnsiTheme="minorHAnsi" w:cstheme="minorHAnsi"/>
            <w:color w:val="000000" w:themeColor="text1"/>
            <w:sz w:val="16"/>
            <w:szCs w:val="16"/>
            <w:lang w:val="en-US"/>
          </w:rPr>
          <w:t>Jonathan J Hubbard</w:t>
        </w:r>
      </w:hyperlink>
      <w:r w:rsidR="008F6FFE" w:rsidRPr="00717D4D">
        <w:rPr>
          <w:rFonts w:asciiTheme="minorHAnsi" w:hAnsiTheme="minorHAnsi" w:cstheme="minorHAnsi"/>
          <w:color w:val="000000" w:themeColor="text1"/>
          <w:sz w:val="16"/>
          <w:szCs w:val="16"/>
          <w:lang w:val="en-US"/>
        </w:rPr>
        <w:t> </w:t>
      </w:r>
      <w:hyperlink r:id="rId1070" w:anchor="affiliation-1" w:history="1">
        <w:r w:rsidR="008F6FFE" w:rsidRPr="00717D4D">
          <w:rPr>
            <w:rFonts w:asciiTheme="minorHAnsi" w:hAnsiTheme="minorHAnsi" w:cstheme="minorHAnsi"/>
            <w:color w:val="000000" w:themeColor="text1"/>
            <w:sz w:val="16"/>
            <w:szCs w:val="16"/>
            <w:lang w:val="en-US"/>
          </w:rPr>
          <w:t>1</w:t>
        </w:r>
      </w:hyperlink>
      <w:r w:rsidR="008F6FFE" w:rsidRPr="00717D4D">
        <w:rPr>
          <w:rFonts w:asciiTheme="minorHAnsi" w:hAnsiTheme="minorHAnsi" w:cstheme="minorHAnsi"/>
          <w:color w:val="000000" w:themeColor="text1"/>
          <w:sz w:val="16"/>
          <w:szCs w:val="16"/>
          <w:lang w:val="en-US"/>
        </w:rPr>
        <w:t> </w:t>
      </w:r>
      <w:hyperlink r:id="rId1071" w:anchor="affiliation-3" w:history="1">
        <w:r w:rsidR="008F6FFE" w:rsidRPr="00717D4D">
          <w:rPr>
            <w:rFonts w:asciiTheme="minorHAnsi" w:hAnsiTheme="minorHAnsi" w:cstheme="minorHAnsi"/>
            <w:color w:val="000000" w:themeColor="text1"/>
            <w:sz w:val="16"/>
            <w:szCs w:val="16"/>
            <w:lang w:val="en-US"/>
          </w:rPr>
          <w:t>3</w:t>
        </w:r>
      </w:hyperlink>
      <w:r w:rsidR="008F6FFE" w:rsidRPr="00717D4D">
        <w:rPr>
          <w:rFonts w:asciiTheme="minorHAnsi" w:hAnsiTheme="minorHAnsi" w:cstheme="minorHAnsi"/>
          <w:color w:val="000000" w:themeColor="text1"/>
          <w:sz w:val="16"/>
          <w:szCs w:val="16"/>
          <w:lang w:val="en-US"/>
        </w:rPr>
        <w:t>, </w:t>
      </w:r>
      <w:hyperlink r:id="rId1072" w:history="1">
        <w:r w:rsidR="008F6FFE" w:rsidRPr="00717D4D">
          <w:rPr>
            <w:rFonts w:asciiTheme="minorHAnsi" w:hAnsiTheme="minorHAnsi" w:cstheme="minorHAnsi"/>
            <w:color w:val="000000" w:themeColor="text1"/>
            <w:sz w:val="16"/>
            <w:szCs w:val="16"/>
            <w:lang w:val="en-US"/>
          </w:rPr>
          <w:t>Jan Terje Andersen</w:t>
        </w:r>
      </w:hyperlink>
      <w:r w:rsidR="008F6FFE" w:rsidRPr="00717D4D">
        <w:rPr>
          <w:rFonts w:asciiTheme="minorHAnsi" w:hAnsiTheme="minorHAnsi" w:cstheme="minorHAnsi"/>
          <w:color w:val="000000" w:themeColor="text1"/>
          <w:sz w:val="16"/>
          <w:szCs w:val="16"/>
          <w:lang w:val="en-US"/>
        </w:rPr>
        <w:t> </w:t>
      </w:r>
      <w:hyperlink r:id="rId1073" w:anchor="affiliation-4" w:history="1">
        <w:r w:rsidR="008F6FFE" w:rsidRPr="00717D4D">
          <w:rPr>
            <w:rFonts w:asciiTheme="minorHAnsi" w:hAnsiTheme="minorHAnsi" w:cstheme="minorHAnsi"/>
            <w:color w:val="000000" w:themeColor="text1"/>
            <w:sz w:val="16"/>
            <w:szCs w:val="16"/>
            <w:lang w:val="en-US"/>
          </w:rPr>
          <w:t>4</w:t>
        </w:r>
      </w:hyperlink>
      <w:r w:rsidR="008F6FFE" w:rsidRPr="00717D4D">
        <w:rPr>
          <w:rFonts w:asciiTheme="minorHAnsi" w:hAnsiTheme="minorHAnsi" w:cstheme="minorHAnsi"/>
          <w:color w:val="000000" w:themeColor="text1"/>
          <w:sz w:val="16"/>
          <w:szCs w:val="16"/>
          <w:lang w:val="en-US"/>
        </w:rPr>
        <w:t> </w:t>
      </w:r>
      <w:hyperlink r:id="rId1074" w:anchor="affiliation-5" w:history="1">
        <w:r w:rsidR="008F6FFE" w:rsidRPr="00717D4D">
          <w:rPr>
            <w:rFonts w:asciiTheme="minorHAnsi" w:hAnsiTheme="minorHAnsi" w:cstheme="minorHAnsi"/>
            <w:color w:val="000000" w:themeColor="text1"/>
            <w:sz w:val="16"/>
            <w:szCs w:val="16"/>
            <w:lang w:val="en-US"/>
          </w:rPr>
          <w:t>5</w:t>
        </w:r>
      </w:hyperlink>
      <w:r w:rsidR="008F6FFE" w:rsidRPr="00717D4D">
        <w:rPr>
          <w:rFonts w:asciiTheme="minorHAnsi" w:hAnsiTheme="minorHAnsi" w:cstheme="minorHAnsi"/>
          <w:color w:val="000000" w:themeColor="text1"/>
          <w:sz w:val="16"/>
          <w:szCs w:val="16"/>
          <w:lang w:val="en-US"/>
        </w:rPr>
        <w:t>, </w:t>
      </w:r>
      <w:hyperlink r:id="rId1075" w:history="1">
        <w:r w:rsidR="008F6FFE" w:rsidRPr="00717D4D">
          <w:rPr>
            <w:rFonts w:asciiTheme="minorHAnsi" w:hAnsiTheme="minorHAnsi" w:cstheme="minorHAnsi"/>
            <w:color w:val="000000" w:themeColor="text1"/>
            <w:sz w:val="16"/>
            <w:szCs w:val="16"/>
            <w:lang w:val="en-US"/>
          </w:rPr>
          <w:t>Inger Sandlie</w:t>
        </w:r>
      </w:hyperlink>
      <w:r w:rsidR="008F6FFE" w:rsidRPr="00717D4D">
        <w:rPr>
          <w:rFonts w:asciiTheme="minorHAnsi" w:hAnsiTheme="minorHAnsi" w:cstheme="minorHAnsi"/>
          <w:color w:val="000000" w:themeColor="text1"/>
          <w:sz w:val="16"/>
          <w:szCs w:val="16"/>
          <w:lang w:val="en-US"/>
        </w:rPr>
        <w:t> </w:t>
      </w:r>
      <w:hyperlink r:id="rId1076" w:anchor="affiliation-2" w:history="1">
        <w:r w:rsidR="008F6FFE" w:rsidRPr="00717D4D">
          <w:rPr>
            <w:rFonts w:asciiTheme="minorHAnsi" w:hAnsiTheme="minorHAnsi" w:cstheme="minorHAnsi"/>
            <w:color w:val="000000" w:themeColor="text1"/>
            <w:sz w:val="16"/>
            <w:szCs w:val="16"/>
            <w:lang w:val="en-US"/>
          </w:rPr>
          <w:t>2</w:t>
        </w:r>
      </w:hyperlink>
      <w:r w:rsidR="008F6FFE" w:rsidRPr="00717D4D">
        <w:rPr>
          <w:rFonts w:asciiTheme="minorHAnsi" w:hAnsiTheme="minorHAnsi" w:cstheme="minorHAnsi"/>
          <w:color w:val="000000" w:themeColor="text1"/>
          <w:sz w:val="16"/>
          <w:szCs w:val="16"/>
          <w:lang w:val="en-US"/>
        </w:rPr>
        <w:t>, </w:t>
      </w:r>
      <w:hyperlink r:id="rId1077" w:history="1">
        <w:r w:rsidR="008F6FFE" w:rsidRPr="00717D4D">
          <w:rPr>
            <w:rFonts w:asciiTheme="minorHAnsi" w:hAnsiTheme="minorHAnsi" w:cstheme="minorHAnsi"/>
            <w:color w:val="000000" w:themeColor="text1"/>
            <w:sz w:val="16"/>
            <w:szCs w:val="16"/>
            <w:lang w:val="en-US"/>
          </w:rPr>
          <w:t>Richard S Blumberg</w:t>
        </w:r>
      </w:hyperlink>
      <w:r w:rsidR="008F6FFE" w:rsidRPr="00717D4D">
        <w:rPr>
          <w:rFonts w:asciiTheme="minorHAnsi" w:hAnsiTheme="minorHAnsi" w:cstheme="minorHAnsi"/>
          <w:color w:val="000000" w:themeColor="text1"/>
          <w:sz w:val="16"/>
          <w:szCs w:val="16"/>
          <w:lang w:val="en-US"/>
        </w:rPr>
        <w:t> </w:t>
      </w:r>
    </w:p>
    <w:p w:rsidR="008F6FFE" w:rsidRPr="006D1E29" w:rsidRDefault="0052743C" w:rsidP="006D1E29">
      <w:pPr>
        <w:shd w:val="clear" w:color="auto" w:fill="FFFFFF"/>
        <w:rPr>
          <w:rFonts w:asciiTheme="minorHAnsi" w:hAnsiTheme="minorHAnsi" w:cstheme="minorHAnsi"/>
          <w:color w:val="000000" w:themeColor="text1"/>
          <w:sz w:val="16"/>
          <w:szCs w:val="16"/>
          <w:lang w:val="en-US"/>
        </w:rPr>
      </w:pPr>
      <w:hyperlink r:id="rId1078" w:history="1">
        <w:r w:rsidR="008F6FFE" w:rsidRPr="006D1E29">
          <w:rPr>
            <w:rFonts w:asciiTheme="minorHAnsi" w:hAnsiTheme="minorHAnsi" w:cstheme="minorHAnsi"/>
            <w:color w:val="000000" w:themeColor="text1"/>
            <w:sz w:val="16"/>
            <w:szCs w:val="16"/>
            <w:lang w:val="en-US"/>
          </w:rPr>
          <w:t>https://www.ncbi.nlm.nih.gov/pmc/articles/PMC6636548/</w:t>
        </w:r>
      </w:hyperlink>
    </w:p>
    <w:p w:rsidR="008F6FFE" w:rsidRPr="006D1E29" w:rsidRDefault="008F6FFE" w:rsidP="006D1E29">
      <w:pPr>
        <w:shd w:val="clear" w:color="auto" w:fill="FFFFFF"/>
        <w:rPr>
          <w:rFonts w:asciiTheme="minorHAnsi" w:hAnsiTheme="minorHAnsi" w:cstheme="minorHAnsi"/>
          <w:color w:val="000000" w:themeColor="text1"/>
          <w:sz w:val="16"/>
          <w:szCs w:val="16"/>
          <w:lang w:val="en-US"/>
        </w:rPr>
      </w:pPr>
    </w:p>
    <w:p w:rsidR="008F6FFE" w:rsidRPr="00A078ED" w:rsidRDefault="008F6FFE" w:rsidP="006D1E29">
      <w:pPr>
        <w:shd w:val="clear" w:color="auto" w:fill="FFFFFF"/>
        <w:rPr>
          <w:rFonts w:asciiTheme="minorHAnsi" w:hAnsiTheme="minorHAnsi" w:cstheme="minorHAnsi"/>
          <w:color w:val="000000" w:themeColor="text1"/>
          <w:sz w:val="16"/>
          <w:szCs w:val="16"/>
        </w:rPr>
      </w:pPr>
      <w:r w:rsidRPr="00235A16">
        <w:rPr>
          <w:rFonts w:asciiTheme="minorHAnsi" w:hAnsiTheme="minorHAnsi" w:cstheme="minorHAnsi"/>
          <w:color w:val="000000" w:themeColor="text1"/>
          <w:sz w:val="16"/>
          <w:szCs w:val="16"/>
          <w:lang w:val="de-DE"/>
        </w:rPr>
        <w:t xml:space="preserve">Kiskova T, Mytsko Y, Schepelmann M, et al. </w:t>
      </w:r>
      <w:r w:rsidRPr="006D1E29">
        <w:rPr>
          <w:rFonts w:asciiTheme="minorHAnsi" w:hAnsiTheme="minorHAnsi" w:cstheme="minorHAnsi"/>
          <w:color w:val="000000" w:themeColor="text1"/>
          <w:sz w:val="16"/>
          <w:szCs w:val="16"/>
          <w:lang w:val="en-US"/>
        </w:rPr>
        <w:t>Expression of the neonatal Fc-receptor in placental-fetal endothelium and in cells of the placental immune system. </w:t>
      </w:r>
      <w:r w:rsidRPr="00A078ED">
        <w:rPr>
          <w:rFonts w:asciiTheme="minorHAnsi" w:hAnsiTheme="minorHAnsi" w:cstheme="minorHAnsi"/>
          <w:color w:val="000000" w:themeColor="text1"/>
          <w:sz w:val="16"/>
          <w:szCs w:val="16"/>
        </w:rPr>
        <w:t>Placenta. 2019;78:36-43. doi:10.1016/j.placenta.2019.02.012</w:t>
      </w:r>
    </w:p>
    <w:p w:rsidR="008F6FFE" w:rsidRPr="00A078ED" w:rsidRDefault="0052743C" w:rsidP="006D1E29">
      <w:pPr>
        <w:shd w:val="clear" w:color="auto" w:fill="FFFFFF"/>
        <w:rPr>
          <w:rFonts w:asciiTheme="minorHAnsi" w:hAnsiTheme="minorHAnsi" w:cstheme="minorHAnsi"/>
          <w:color w:val="000000" w:themeColor="text1"/>
          <w:sz w:val="16"/>
          <w:szCs w:val="16"/>
        </w:rPr>
      </w:pPr>
      <w:hyperlink r:id="rId1079" w:history="1">
        <w:r w:rsidR="008F6FFE" w:rsidRPr="00A078ED">
          <w:rPr>
            <w:rFonts w:asciiTheme="minorHAnsi" w:hAnsiTheme="minorHAnsi" w:cstheme="minorHAnsi"/>
            <w:color w:val="000000" w:themeColor="text1"/>
            <w:sz w:val="16"/>
            <w:szCs w:val="16"/>
          </w:rPr>
          <w:t>https://pubmed.ncbi.nlm.nih.gov/30955709/</w:t>
        </w:r>
      </w:hyperlink>
    </w:p>
    <w:p w:rsidR="008F6FFE" w:rsidRPr="00A078ED" w:rsidRDefault="008F6FFE" w:rsidP="006D1E29">
      <w:pPr>
        <w:shd w:val="clear" w:color="auto" w:fill="FFFFFF"/>
        <w:rPr>
          <w:rFonts w:asciiTheme="minorHAnsi" w:hAnsiTheme="minorHAnsi" w:cstheme="minorHAnsi"/>
          <w:color w:val="000000" w:themeColor="text1"/>
          <w:sz w:val="16"/>
          <w:szCs w:val="16"/>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rPr>
        <w:t xml:space="preserve">Front Immunol. </w:t>
      </w:r>
      <w:r w:rsidRPr="00717D4D">
        <w:rPr>
          <w:rFonts w:asciiTheme="minorHAnsi" w:hAnsiTheme="minorHAnsi" w:cstheme="minorHAnsi"/>
          <w:color w:val="000000" w:themeColor="text1"/>
          <w:sz w:val="16"/>
          <w:szCs w:val="16"/>
          <w:lang w:val="en-US"/>
        </w:rPr>
        <w:t xml:space="preserve">2019 Mar 19;10:464. doi: 10.3389/fimmu.2019.00464.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The Human FcγRII (CD32) Family of Leukocyte FcR in Health and Disease.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Anania JC, Chenoweth AM, Wines BD, Hogarth PM.</w:t>
      </w:r>
    </w:p>
    <w:p w:rsidR="008F6FFE" w:rsidRPr="00717D4D" w:rsidRDefault="0052743C" w:rsidP="006D1E29">
      <w:pPr>
        <w:shd w:val="clear" w:color="auto" w:fill="FFFFFF"/>
        <w:rPr>
          <w:rFonts w:asciiTheme="minorHAnsi" w:hAnsiTheme="minorHAnsi"/>
          <w:sz w:val="16"/>
          <w:szCs w:val="16"/>
          <w:lang w:val="en-US"/>
        </w:rPr>
      </w:pPr>
      <w:hyperlink r:id="rId1080" w:history="1">
        <w:r w:rsidR="008F6FFE" w:rsidRPr="006D1E29">
          <w:rPr>
            <w:rFonts w:asciiTheme="minorHAnsi" w:hAnsiTheme="minorHAnsi" w:cstheme="minorHAnsi"/>
            <w:color w:val="000000" w:themeColor="text1"/>
            <w:sz w:val="16"/>
            <w:szCs w:val="16"/>
            <w:lang w:val="en-US"/>
          </w:rPr>
          <w:t>https://www.ncbi.nlm.nih.gov/pmc/articles/PMC6433993/</w:t>
        </w:r>
      </w:hyperlink>
    </w:p>
  </w:footnote>
  <w:footnote w:id="143">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color w:val="000000" w:themeColor="text1"/>
          <w:sz w:val="16"/>
          <w:szCs w:val="16"/>
          <w:vertAlign w:val="superscript"/>
          <w:lang w:val="en-US"/>
        </w:rPr>
        <w:t xml:space="preserve"> </w:t>
      </w:r>
      <w:r w:rsidRPr="00717D4D">
        <w:rPr>
          <w:rFonts w:asciiTheme="minorHAnsi" w:hAnsiTheme="minorHAnsi" w:cstheme="minorHAnsi"/>
          <w:sz w:val="16"/>
          <w:szCs w:val="16"/>
          <w:lang w:val="en-US"/>
        </w:rPr>
        <w:t>Medicine (Baltimore) (2006) 85:193–202. doi:10.1097/01.md.0000229482.27398.ad</w:t>
      </w:r>
      <w:r w:rsidRPr="00717D4D">
        <w:rPr>
          <w:rFonts w:asciiTheme="minorHAnsi" w:hAnsiTheme="minorHAnsi" w:cstheme="minorHAnsi"/>
          <w:color w:val="000000" w:themeColor="text1"/>
          <w:sz w:val="16"/>
          <w:szCs w:val="16"/>
          <w:lang w:val="en-US"/>
        </w:rPr>
        <w:t xml:space="preserve"> </w:t>
      </w:r>
    </w:p>
    <w:p w:rsidR="008F6FFE" w:rsidRPr="00717D4D" w:rsidRDefault="008F6FFE" w:rsidP="00717D4D">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X-linked agammaglobulinemia: report on a United States registry of 201 patients. </w:t>
      </w:r>
    </w:p>
    <w:p w:rsidR="008F6FFE" w:rsidRPr="00717D4D" w:rsidRDefault="008F6FFE" w:rsidP="00717D4D">
      <w:pPr>
        <w:shd w:val="clear" w:color="auto" w:fill="FFFFFF"/>
        <w:rPr>
          <w:rFonts w:asciiTheme="minorHAnsi" w:hAnsiTheme="minorHAnsi" w:cstheme="minorHAnsi"/>
          <w:sz w:val="16"/>
          <w:szCs w:val="16"/>
          <w:lang w:val="en-US"/>
        </w:rPr>
      </w:pPr>
      <w:r w:rsidRPr="00717D4D">
        <w:rPr>
          <w:rFonts w:asciiTheme="minorHAnsi" w:hAnsiTheme="minorHAnsi" w:cstheme="minorHAnsi"/>
          <w:color w:val="000000" w:themeColor="text1"/>
          <w:sz w:val="16"/>
          <w:szCs w:val="16"/>
          <w:lang w:val="en-US"/>
        </w:rPr>
        <w:t>W</w:t>
      </w:r>
      <w:r w:rsidRPr="00717D4D">
        <w:rPr>
          <w:rFonts w:asciiTheme="minorHAnsi" w:hAnsiTheme="minorHAnsi" w:cstheme="minorHAnsi"/>
          <w:sz w:val="16"/>
          <w:szCs w:val="16"/>
          <w:lang w:val="en-US"/>
        </w:rPr>
        <w:t>inkelstein JA, Marino MC, Lederman HM, Jones SM, Sullivan K, Burks AW, et al.</w:t>
      </w:r>
    </w:p>
    <w:p w:rsidR="008F6FFE" w:rsidRPr="004E7AB1" w:rsidRDefault="0052743C" w:rsidP="004E7AB1">
      <w:pPr>
        <w:shd w:val="clear" w:color="auto" w:fill="FFFFFF"/>
        <w:rPr>
          <w:rFonts w:asciiTheme="minorHAnsi" w:hAnsiTheme="minorHAnsi" w:cstheme="minorHAnsi"/>
          <w:color w:val="000000" w:themeColor="text1"/>
          <w:sz w:val="16"/>
          <w:szCs w:val="16"/>
          <w:lang w:val="en-US"/>
        </w:rPr>
      </w:pPr>
      <w:hyperlink r:id="rId1081" w:history="1">
        <w:r w:rsidR="008F6FFE" w:rsidRPr="004E7AB1">
          <w:rPr>
            <w:rFonts w:asciiTheme="minorHAnsi" w:hAnsiTheme="minorHAnsi" w:cstheme="minorHAnsi"/>
            <w:color w:val="000000" w:themeColor="text1"/>
            <w:sz w:val="16"/>
            <w:szCs w:val="16"/>
            <w:lang w:val="en-US"/>
          </w:rPr>
          <w:t>https://journals.lww.com/md-journal/Fulltext/2006/07000/X_Linked_Agammaglobulinemia__Report_on_a_United.1.aspx</w:t>
        </w:r>
      </w:hyperlink>
    </w:p>
    <w:p w:rsidR="008F6FFE" w:rsidRPr="004E7AB1" w:rsidRDefault="008F6FFE" w:rsidP="004E7AB1">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 xml:space="preserve">PLoS One (2009) 4:e8088. doi:10.1371/journal.pone.0008088 </w:t>
      </w:r>
    </w:p>
    <w:p w:rsidR="008F6FFE" w:rsidRPr="00717D4D" w:rsidRDefault="008F6FFE" w:rsidP="00717D4D">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The level and duration of RSV-specific maternal IgG in infants in Kilifi Kenya. </w:t>
      </w:r>
    </w:p>
    <w:p w:rsidR="008F6FFE" w:rsidRPr="00717D4D" w:rsidRDefault="008F6FFE" w:rsidP="00717D4D">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Ochola R, Sande C, Fegan G, Scott PD, Medley GF, Cane PA, et al.</w:t>
      </w:r>
    </w:p>
    <w:p w:rsidR="008F6FFE" w:rsidRPr="004E7AB1" w:rsidRDefault="0052743C" w:rsidP="004E7AB1">
      <w:pPr>
        <w:shd w:val="clear" w:color="auto" w:fill="FFFFFF"/>
        <w:rPr>
          <w:rFonts w:asciiTheme="minorHAnsi" w:hAnsiTheme="minorHAnsi" w:cstheme="minorHAnsi"/>
          <w:sz w:val="16"/>
          <w:szCs w:val="16"/>
          <w:lang w:val="en-US"/>
        </w:rPr>
      </w:pPr>
      <w:hyperlink r:id="rId1082" w:history="1">
        <w:r w:rsidR="008F6FFE" w:rsidRPr="004E7AB1">
          <w:rPr>
            <w:rFonts w:asciiTheme="minorHAnsi" w:hAnsiTheme="minorHAnsi" w:cstheme="minorHAnsi"/>
            <w:sz w:val="16"/>
            <w:szCs w:val="16"/>
            <w:lang w:val="en-US"/>
          </w:rPr>
          <w:t>https://www.ncbi.nlm.nih.gov/pmc/articles/PMC2779853/</w:t>
        </w:r>
      </w:hyperlink>
    </w:p>
    <w:p w:rsidR="008F6FFE" w:rsidRPr="00717D4D" w:rsidRDefault="008F6FFE" w:rsidP="00717D4D">
      <w:pPr>
        <w:shd w:val="clear" w:color="auto" w:fill="FFFFFF"/>
        <w:rPr>
          <w:rFonts w:asciiTheme="minorHAnsi" w:hAnsiTheme="minorHAnsi" w:cstheme="minorHAnsi"/>
          <w:sz w:val="16"/>
          <w:szCs w:val="16"/>
          <w:lang w:val="en-US"/>
        </w:rPr>
      </w:pPr>
    </w:p>
    <w:p w:rsidR="008F6FFE" w:rsidRPr="00717D4D" w:rsidRDefault="008F6FFE" w:rsidP="00717D4D">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Clin Infect Dis (2010) 51:1355–61. doi:10.1086/657309</w:t>
      </w:r>
    </w:p>
    <w:p w:rsidR="008F6FFE" w:rsidRPr="00717D4D" w:rsidRDefault="008F6FFE" w:rsidP="00717D4D">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Influenza vaccine given to pregnant women reduces hospitalization due to influenza in their infants</w:t>
      </w:r>
    </w:p>
    <w:p w:rsidR="008F6FFE" w:rsidRPr="00717D4D" w:rsidRDefault="008F6FFE" w:rsidP="00717D4D">
      <w:pPr>
        <w:shd w:val="clear" w:color="auto" w:fill="FFFFFF"/>
        <w:rPr>
          <w:rFonts w:asciiTheme="minorHAnsi" w:hAnsiTheme="minorHAnsi" w:cstheme="minorHAnsi"/>
          <w:sz w:val="16"/>
          <w:szCs w:val="16"/>
        </w:rPr>
      </w:pPr>
      <w:r w:rsidRPr="00717D4D">
        <w:rPr>
          <w:rFonts w:asciiTheme="minorHAnsi" w:hAnsiTheme="minorHAnsi" w:cstheme="minorHAnsi"/>
          <w:sz w:val="16"/>
          <w:szCs w:val="16"/>
        </w:rPr>
        <w:t>Benowitz I, Esposito DB, Gracey KD, Shapiro ED, Vazquez M</w:t>
      </w:r>
    </w:p>
    <w:p w:rsidR="008F6FFE" w:rsidRPr="00A078ED" w:rsidRDefault="0052743C" w:rsidP="004E7AB1">
      <w:pPr>
        <w:shd w:val="clear" w:color="auto" w:fill="FFFFFF"/>
        <w:rPr>
          <w:rFonts w:asciiTheme="minorHAnsi" w:hAnsiTheme="minorHAnsi" w:cstheme="minorHAnsi"/>
          <w:sz w:val="16"/>
          <w:szCs w:val="16"/>
        </w:rPr>
      </w:pPr>
      <w:hyperlink r:id="rId1083" w:history="1">
        <w:r w:rsidR="008F6FFE" w:rsidRPr="00A078ED">
          <w:rPr>
            <w:rFonts w:asciiTheme="minorHAnsi" w:hAnsiTheme="minorHAnsi" w:cstheme="minorHAnsi"/>
            <w:sz w:val="16"/>
            <w:szCs w:val="16"/>
          </w:rPr>
          <w:t>https://www.ncbi.nlm.nih.gov/pmc/articles/PMC3106242/</w:t>
        </w:r>
      </w:hyperlink>
    </w:p>
    <w:p w:rsidR="008F6FFE" w:rsidRPr="00717D4D" w:rsidRDefault="008F6FFE" w:rsidP="00717D4D">
      <w:pPr>
        <w:shd w:val="clear" w:color="auto" w:fill="FFFFFF"/>
        <w:rPr>
          <w:rFonts w:asciiTheme="minorHAnsi" w:hAnsiTheme="minorHAnsi" w:cstheme="minorHAnsi"/>
          <w:color w:val="000000" w:themeColor="text1"/>
          <w:sz w:val="16"/>
          <w:szCs w:val="16"/>
        </w:rPr>
      </w:pPr>
    </w:p>
  </w:footnote>
  <w:footnote w:id="144">
    <w:p w:rsidR="008F6FFE" w:rsidRPr="00717D4D" w:rsidRDefault="008F6FFE" w:rsidP="00717D4D">
      <w:pPr>
        <w:shd w:val="clear" w:color="auto" w:fill="FFFFFF"/>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vertAlign w:val="superscript"/>
          <w:lang w:val="en-US"/>
        </w:rPr>
        <w:footnoteRef/>
      </w:r>
      <w:r w:rsidRPr="00717D4D">
        <w:rPr>
          <w:rFonts w:asciiTheme="minorHAnsi" w:hAnsiTheme="minorHAnsi" w:cstheme="minorHAnsi"/>
          <w:sz w:val="16"/>
          <w:szCs w:val="16"/>
          <w:vertAlign w:val="superscript"/>
        </w:rPr>
        <w:t xml:space="preserve"> </w:t>
      </w:r>
      <w:r w:rsidRPr="00717D4D">
        <w:rPr>
          <w:rFonts w:asciiTheme="minorHAnsi" w:hAnsiTheme="minorHAnsi" w:cstheme="minorHAnsi"/>
          <w:sz w:val="16"/>
          <w:szCs w:val="16"/>
        </w:rPr>
        <w:t>J Trop Pediatr (2003) 49:302–5. doi:10.1093/tropej/49.5.302</w:t>
      </w:r>
      <w:r w:rsidRPr="00717D4D">
        <w:rPr>
          <w:rFonts w:asciiTheme="minorHAnsi" w:hAnsiTheme="minorHAnsi" w:cstheme="minorHAnsi"/>
          <w:color w:val="000000" w:themeColor="text1"/>
          <w:sz w:val="16"/>
          <w:szCs w:val="16"/>
        </w:rPr>
        <w:t xml:space="preserve"> </w:t>
      </w:r>
    </w:p>
    <w:p w:rsidR="008F6FFE" w:rsidRPr="00717D4D" w:rsidRDefault="008F6FFE" w:rsidP="00717D4D">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 xml:space="preserve">The duration of maternal measles antibodies in children </w:t>
      </w:r>
    </w:p>
    <w:p w:rsidR="008F6FFE" w:rsidRPr="00717D4D" w:rsidRDefault="008F6FFE" w:rsidP="00717D4D">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Kilic A, Altinkaynak S, Ertekin V, Inandi T.</w:t>
      </w:r>
    </w:p>
    <w:p w:rsidR="008F6FFE" w:rsidRPr="004E7AB1" w:rsidRDefault="008F6FFE" w:rsidP="00717D4D">
      <w:pPr>
        <w:pStyle w:val="FootnoteText"/>
        <w:rPr>
          <w:rFonts w:asciiTheme="minorHAnsi" w:hAnsiTheme="minorHAnsi"/>
          <w:sz w:val="16"/>
          <w:szCs w:val="16"/>
          <w:vertAlign w:val="superscript"/>
          <w:lang w:val="en-US"/>
        </w:rPr>
      </w:pPr>
    </w:p>
  </w:footnote>
  <w:footnote w:id="145">
    <w:p w:rsidR="008F6FFE" w:rsidRPr="00635485" w:rsidRDefault="008F6FFE" w:rsidP="00635485">
      <w:pPr>
        <w:shd w:val="clear" w:color="auto" w:fill="FFFFFF"/>
        <w:rPr>
          <w:rFonts w:asciiTheme="minorHAnsi" w:hAnsiTheme="minorHAnsi" w:cstheme="minorHAnsi"/>
          <w:sz w:val="16"/>
          <w:szCs w:val="16"/>
          <w:lang w:val="en-US"/>
        </w:rPr>
      </w:pPr>
      <w:r w:rsidRPr="004E7AB1">
        <w:rPr>
          <w:rFonts w:asciiTheme="minorHAnsi" w:hAnsiTheme="minorHAnsi" w:cstheme="minorHAnsi"/>
          <w:sz w:val="16"/>
          <w:szCs w:val="16"/>
          <w:vertAlign w:val="superscript"/>
          <w:lang w:val="en-US"/>
        </w:rPr>
        <w:footnoteRef/>
      </w:r>
      <w:r w:rsidRPr="004E7AB1">
        <w:rPr>
          <w:rFonts w:asciiTheme="minorHAnsi" w:hAnsiTheme="minorHAnsi" w:cstheme="minorHAnsi"/>
          <w:sz w:val="16"/>
          <w:szCs w:val="16"/>
          <w:lang w:val="en-US"/>
        </w:rPr>
        <w:t xml:space="preserve"> </w:t>
      </w:r>
      <w:r w:rsidRPr="00635485">
        <w:rPr>
          <w:rFonts w:asciiTheme="minorHAnsi" w:hAnsiTheme="minorHAnsi" w:cstheme="minorHAnsi"/>
          <w:sz w:val="16"/>
          <w:szCs w:val="16"/>
          <w:lang w:val="en-US"/>
        </w:rPr>
        <w:t xml:space="preserve">Niewiesk S. </w:t>
      </w:r>
    </w:p>
    <w:p w:rsidR="008F6FFE" w:rsidRPr="00635485" w:rsidRDefault="008F6FFE" w:rsidP="00635485">
      <w:pPr>
        <w:shd w:val="clear" w:color="auto" w:fill="FFFFFF"/>
        <w:rPr>
          <w:rFonts w:asciiTheme="minorHAnsi" w:hAnsiTheme="minorHAnsi" w:cstheme="minorHAnsi"/>
          <w:sz w:val="16"/>
          <w:szCs w:val="16"/>
          <w:lang w:val="en-US"/>
        </w:rPr>
      </w:pPr>
      <w:r w:rsidRPr="00635485">
        <w:rPr>
          <w:rFonts w:asciiTheme="minorHAnsi" w:hAnsiTheme="minorHAnsi" w:cstheme="minorHAnsi"/>
          <w:sz w:val="16"/>
          <w:szCs w:val="16"/>
          <w:lang w:val="en-US"/>
        </w:rPr>
        <w:t>Maternal antibodies: clinical significance, mechanism of interference with immune responses, and possible vaccination strategies. </w:t>
      </w:r>
    </w:p>
    <w:p w:rsidR="008F6FFE" w:rsidRPr="00635485" w:rsidRDefault="008F6FFE" w:rsidP="00635485">
      <w:pPr>
        <w:shd w:val="clear" w:color="auto" w:fill="FFFFFF"/>
        <w:rPr>
          <w:rFonts w:asciiTheme="minorHAnsi" w:hAnsiTheme="minorHAnsi" w:cstheme="minorHAnsi"/>
          <w:sz w:val="16"/>
          <w:szCs w:val="16"/>
          <w:lang w:val="en-US"/>
        </w:rPr>
      </w:pPr>
      <w:r w:rsidRPr="00635485">
        <w:rPr>
          <w:rFonts w:asciiTheme="minorHAnsi" w:hAnsiTheme="minorHAnsi" w:cstheme="minorHAnsi"/>
          <w:sz w:val="16"/>
          <w:szCs w:val="16"/>
          <w:lang w:val="en-US"/>
        </w:rPr>
        <w:t>Front Immunol. 2014;5:446. doi:10.3389/fimmu.2014.00446</w:t>
      </w:r>
    </w:p>
    <w:p w:rsidR="008F6FFE" w:rsidRPr="00635485" w:rsidRDefault="0052743C" w:rsidP="004E7AB1">
      <w:pPr>
        <w:shd w:val="clear" w:color="auto" w:fill="FFFFFF"/>
        <w:rPr>
          <w:lang w:val="en-US"/>
        </w:rPr>
      </w:pPr>
      <w:hyperlink r:id="rId1084" w:history="1">
        <w:r w:rsidR="008F6FFE" w:rsidRPr="004E7AB1">
          <w:rPr>
            <w:rFonts w:asciiTheme="minorHAnsi" w:hAnsiTheme="minorHAnsi" w:cstheme="minorHAnsi"/>
            <w:sz w:val="16"/>
            <w:szCs w:val="16"/>
            <w:lang w:val="en-US"/>
          </w:rPr>
          <w:t>https://academic.oup.com/tropej/article/49/5/302/1690003</w:t>
        </w:r>
      </w:hyperlink>
    </w:p>
  </w:footnote>
  <w:footnote w:id="146">
    <w:p w:rsidR="008F6FFE" w:rsidRPr="00717D4D" w:rsidRDefault="008F6FFE" w:rsidP="004E7AB1">
      <w:pPr>
        <w:shd w:val="clear" w:color="auto" w:fill="FFFFFF"/>
        <w:rPr>
          <w:rFonts w:asciiTheme="minorHAnsi" w:hAnsiTheme="minorHAnsi" w:cstheme="minorHAnsi"/>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theme="minorHAnsi"/>
          <w:sz w:val="16"/>
          <w:szCs w:val="16"/>
          <w:lang w:val="en-US"/>
        </w:rPr>
        <w:t xml:space="preserve">Immunol Rev. 2015 Nov;268(1):340-64. doi: 10.1111/imr.12367 </w:t>
      </w:r>
    </w:p>
    <w:p w:rsidR="008F6FFE" w:rsidRPr="00717D4D" w:rsidRDefault="008F6FFE" w:rsidP="004E7AB1">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 xml:space="preserve">Fc receptors in antibody-dependent enhancement of viral infections </w:t>
      </w:r>
    </w:p>
    <w:p w:rsidR="008F6FFE" w:rsidRPr="00717D4D" w:rsidRDefault="008F6FFE" w:rsidP="004E7AB1">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Taylor A, Foo SS, Bruzzone R, Dinh LV, King NJ, Mahalingam S.</w:t>
      </w:r>
    </w:p>
    <w:p w:rsidR="008F6FFE" w:rsidRPr="004E7AB1" w:rsidRDefault="0052743C" w:rsidP="004E7AB1">
      <w:pPr>
        <w:shd w:val="clear" w:color="auto" w:fill="FFFFFF"/>
        <w:rPr>
          <w:rFonts w:asciiTheme="minorHAnsi" w:hAnsiTheme="minorHAnsi" w:cstheme="minorHAnsi"/>
          <w:sz w:val="16"/>
          <w:szCs w:val="16"/>
          <w:lang w:val="en-US"/>
        </w:rPr>
      </w:pPr>
      <w:hyperlink r:id="rId1085" w:history="1">
        <w:r w:rsidR="008F6FFE" w:rsidRPr="004E7AB1">
          <w:rPr>
            <w:rFonts w:asciiTheme="minorHAnsi" w:hAnsiTheme="minorHAnsi" w:cstheme="minorHAnsi"/>
            <w:sz w:val="16"/>
            <w:szCs w:val="16"/>
            <w:lang w:val="en-US"/>
          </w:rPr>
          <w:t>https://www.ncbi.nlm.nih.gov/pmc/articles/PMC7165974/</w:t>
        </w:r>
      </w:hyperlink>
    </w:p>
  </w:footnote>
  <w:footnote w:id="147">
    <w:p w:rsidR="008F6FFE" w:rsidRPr="00996C82" w:rsidRDefault="008F6FFE" w:rsidP="00996C82">
      <w:pPr>
        <w:shd w:val="clear" w:color="auto" w:fill="FFFFFF"/>
        <w:rPr>
          <w:rFonts w:asciiTheme="minorHAnsi" w:hAnsiTheme="minorHAnsi" w:cstheme="minorHAnsi"/>
          <w:sz w:val="16"/>
          <w:szCs w:val="16"/>
          <w:lang w:val="en-US"/>
        </w:rPr>
      </w:pPr>
      <w:r w:rsidRPr="00996C82">
        <w:rPr>
          <w:rFonts w:asciiTheme="minorHAnsi" w:hAnsiTheme="minorHAnsi" w:cstheme="minorHAnsi"/>
          <w:sz w:val="16"/>
          <w:szCs w:val="16"/>
          <w:vertAlign w:val="superscript"/>
          <w:lang w:val="en-US"/>
        </w:rPr>
        <w:footnoteRef/>
      </w:r>
      <w:r w:rsidRPr="00996C82">
        <w:rPr>
          <w:rFonts w:asciiTheme="minorHAnsi" w:hAnsiTheme="minorHAnsi" w:cstheme="minorHAnsi"/>
          <w:sz w:val="16"/>
          <w:szCs w:val="16"/>
          <w:vertAlign w:val="superscript"/>
          <w:lang w:val="en-US"/>
        </w:rPr>
        <w:t xml:space="preserve"> </w:t>
      </w:r>
      <w:r w:rsidRPr="00996C82">
        <w:rPr>
          <w:rFonts w:asciiTheme="minorHAnsi" w:hAnsiTheme="minorHAnsi" w:cstheme="minorHAnsi"/>
          <w:sz w:val="16"/>
          <w:szCs w:val="16"/>
          <w:lang w:val="en-US"/>
        </w:rPr>
        <w:t xml:space="preserve">Semin Immunopathol. 2009 Jul;31(2):223-36. doi: 10.1007/s00281-009-0160-9. </w:t>
      </w:r>
    </w:p>
    <w:p w:rsidR="008F6FFE" w:rsidRPr="00996C82" w:rsidRDefault="008F6FFE" w:rsidP="00996C82">
      <w:pPr>
        <w:shd w:val="clear" w:color="auto" w:fill="FFFFFF"/>
        <w:rPr>
          <w:rFonts w:asciiTheme="minorHAnsi" w:hAnsiTheme="minorHAnsi" w:cstheme="minorHAnsi"/>
          <w:sz w:val="16"/>
          <w:szCs w:val="16"/>
          <w:lang w:val="en-US"/>
        </w:rPr>
      </w:pPr>
      <w:r w:rsidRPr="00996C82">
        <w:rPr>
          <w:rFonts w:asciiTheme="minorHAnsi" w:hAnsiTheme="minorHAnsi" w:cstheme="minorHAnsi"/>
          <w:sz w:val="16"/>
          <w:szCs w:val="16"/>
          <w:lang w:val="en-US"/>
        </w:rPr>
        <w:t xml:space="preserve">Immune and non-immune functions of the (not so) neonatal Fc receptor, FcRn. </w:t>
      </w:r>
    </w:p>
    <w:p w:rsidR="008F6FFE" w:rsidRDefault="008F6FFE" w:rsidP="00ED747A">
      <w:pPr>
        <w:shd w:val="clear" w:color="auto" w:fill="FFFFFF"/>
        <w:rPr>
          <w:rFonts w:asciiTheme="minorHAnsi" w:hAnsiTheme="minorHAnsi" w:cstheme="minorHAnsi"/>
          <w:sz w:val="16"/>
          <w:szCs w:val="16"/>
          <w:lang w:val="en-US"/>
        </w:rPr>
      </w:pPr>
      <w:r w:rsidRPr="00996C82">
        <w:rPr>
          <w:rFonts w:asciiTheme="minorHAnsi" w:hAnsiTheme="minorHAnsi" w:cstheme="minorHAnsi"/>
          <w:sz w:val="16"/>
          <w:szCs w:val="16"/>
          <w:lang w:val="en-US"/>
        </w:rPr>
        <w:t xml:space="preserve">Baker K, Qiao SW, Kuo T, Kobayashi K, Yoshida M, Lencer WI, Blumberg RS. </w:t>
      </w:r>
    </w:p>
    <w:p w:rsidR="008F6FFE" w:rsidRPr="00ED747A" w:rsidRDefault="0052743C" w:rsidP="00ED747A">
      <w:pPr>
        <w:shd w:val="clear" w:color="auto" w:fill="FFFFFF"/>
        <w:rPr>
          <w:rFonts w:asciiTheme="minorHAnsi" w:hAnsiTheme="minorHAnsi" w:cstheme="minorHAnsi"/>
          <w:sz w:val="16"/>
          <w:szCs w:val="16"/>
          <w:lang w:val="en-US"/>
        </w:rPr>
      </w:pPr>
      <w:hyperlink r:id="rId1086" w:history="1">
        <w:r w:rsidR="008F6FFE" w:rsidRPr="00ED747A">
          <w:rPr>
            <w:rFonts w:asciiTheme="minorHAnsi" w:hAnsiTheme="minorHAnsi" w:cstheme="minorHAnsi"/>
            <w:sz w:val="16"/>
            <w:szCs w:val="16"/>
            <w:lang w:val="en-US"/>
          </w:rPr>
          <w:t>https://www.ncbi.nlm.nih.gov/pmc/articles/PMC3898171/</w:t>
        </w:r>
      </w:hyperlink>
    </w:p>
    <w:p w:rsidR="008F6FFE" w:rsidRPr="00ED747A" w:rsidRDefault="008F6FFE" w:rsidP="00ED747A">
      <w:pPr>
        <w:shd w:val="clear" w:color="auto" w:fill="FFFFFF"/>
        <w:rPr>
          <w:rFonts w:asciiTheme="minorHAnsi" w:hAnsiTheme="minorHAnsi" w:cstheme="minorHAnsi"/>
          <w:sz w:val="16"/>
          <w:szCs w:val="16"/>
          <w:lang w:val="en-US"/>
        </w:rPr>
      </w:pPr>
    </w:p>
    <w:p w:rsidR="008F6FFE" w:rsidRPr="00ED747A" w:rsidRDefault="0052743C" w:rsidP="00ED747A">
      <w:pPr>
        <w:shd w:val="clear" w:color="auto" w:fill="FFFFFF"/>
        <w:rPr>
          <w:rFonts w:asciiTheme="minorHAnsi" w:hAnsiTheme="minorHAnsi" w:cstheme="minorHAnsi"/>
          <w:sz w:val="16"/>
          <w:szCs w:val="16"/>
          <w:lang w:val="en-US"/>
        </w:rPr>
      </w:pPr>
      <w:hyperlink r:id="rId1087" w:history="1">
        <w:r w:rsidR="008F6FFE" w:rsidRPr="00A078ED">
          <w:rPr>
            <w:rFonts w:asciiTheme="minorHAnsi" w:hAnsiTheme="minorHAnsi" w:cstheme="minorHAnsi"/>
            <w:sz w:val="16"/>
            <w:szCs w:val="16"/>
            <w:lang w:val="en-US"/>
          </w:rPr>
          <w:t>https://www.proteinatlas.org/ENSG00000104870-FCGRT</w:t>
        </w:r>
      </w:hyperlink>
    </w:p>
    <w:p w:rsidR="008F6FFE" w:rsidRPr="00ED747A" w:rsidRDefault="008F6FFE" w:rsidP="00ED747A">
      <w:pPr>
        <w:shd w:val="clear" w:color="auto" w:fill="FFFFFF"/>
        <w:rPr>
          <w:rFonts w:asciiTheme="minorHAnsi" w:hAnsiTheme="minorHAnsi" w:cstheme="minorHAnsi"/>
          <w:sz w:val="16"/>
          <w:szCs w:val="16"/>
          <w:lang w:val="en-US"/>
        </w:rPr>
      </w:pPr>
    </w:p>
    <w:p w:rsidR="008F6FFE" w:rsidRPr="00996C82" w:rsidRDefault="008F6FFE" w:rsidP="00996C82">
      <w:pPr>
        <w:shd w:val="clear" w:color="auto" w:fill="FFFFFF"/>
        <w:rPr>
          <w:rFonts w:asciiTheme="minorHAnsi" w:hAnsiTheme="minorHAnsi" w:cstheme="minorHAnsi"/>
          <w:sz w:val="16"/>
          <w:szCs w:val="16"/>
          <w:lang w:val="en-US"/>
        </w:rPr>
      </w:pPr>
      <w:r w:rsidRPr="00996C82">
        <w:rPr>
          <w:rFonts w:asciiTheme="minorHAnsi" w:hAnsiTheme="minorHAnsi" w:cstheme="minorHAnsi"/>
          <w:sz w:val="16"/>
          <w:szCs w:val="16"/>
          <w:lang w:val="en-US"/>
        </w:rPr>
        <w:t xml:space="preserve">J Biol Chem. 2014 Mar 14;289(11):7812-24. doi: 10.1074/jbc.M113.537563. </w:t>
      </w:r>
    </w:p>
    <w:p w:rsidR="008F6FFE" w:rsidRPr="00996C82" w:rsidRDefault="008F6FFE" w:rsidP="00996C82">
      <w:pPr>
        <w:shd w:val="clear" w:color="auto" w:fill="FFFFFF"/>
        <w:rPr>
          <w:rFonts w:asciiTheme="minorHAnsi" w:hAnsiTheme="minorHAnsi" w:cstheme="minorHAnsi"/>
          <w:sz w:val="16"/>
          <w:szCs w:val="16"/>
          <w:lang w:val="en-US"/>
        </w:rPr>
      </w:pPr>
      <w:r w:rsidRPr="00996C82">
        <w:rPr>
          <w:rFonts w:asciiTheme="minorHAnsi" w:hAnsiTheme="minorHAnsi" w:cstheme="minorHAnsi"/>
          <w:sz w:val="16"/>
          <w:szCs w:val="16"/>
          <w:lang w:val="en-US"/>
        </w:rPr>
        <w:t>Structural insights into neonatal Fc receptor-based recycling mechanisms.</w:t>
      </w:r>
    </w:p>
    <w:p w:rsidR="008F6FFE" w:rsidRPr="00996C82" w:rsidRDefault="008F6FFE" w:rsidP="00996C82">
      <w:pPr>
        <w:shd w:val="clear" w:color="auto" w:fill="FFFFFF"/>
        <w:rPr>
          <w:rFonts w:asciiTheme="minorHAnsi" w:hAnsiTheme="minorHAnsi" w:cstheme="minorHAnsi"/>
          <w:sz w:val="16"/>
          <w:szCs w:val="16"/>
          <w:lang w:val="en-US"/>
        </w:rPr>
      </w:pPr>
      <w:r w:rsidRPr="00996C82">
        <w:rPr>
          <w:rFonts w:asciiTheme="minorHAnsi" w:hAnsiTheme="minorHAnsi" w:cstheme="minorHAnsi"/>
          <w:sz w:val="16"/>
          <w:szCs w:val="16"/>
          <w:lang w:val="en-US"/>
        </w:rPr>
        <w:t xml:space="preserve">Oganesyan V, Damschroder MM, Cook KE, Li Q, Gao C, Wu H, Dall'Acqua WF. </w:t>
      </w:r>
    </w:p>
    <w:p w:rsidR="008F6FFE" w:rsidRPr="00ED747A" w:rsidRDefault="0052743C" w:rsidP="00ED747A">
      <w:pPr>
        <w:shd w:val="clear" w:color="auto" w:fill="FFFFFF"/>
        <w:rPr>
          <w:rFonts w:asciiTheme="minorHAnsi" w:hAnsiTheme="minorHAnsi" w:cstheme="minorHAnsi"/>
          <w:sz w:val="16"/>
          <w:szCs w:val="16"/>
          <w:lang w:val="en-US"/>
        </w:rPr>
      </w:pPr>
      <w:hyperlink r:id="rId1088" w:history="1">
        <w:r w:rsidR="008F6FFE" w:rsidRPr="00ED747A">
          <w:rPr>
            <w:rFonts w:asciiTheme="minorHAnsi" w:hAnsiTheme="minorHAnsi" w:cstheme="minorHAnsi"/>
            <w:sz w:val="16"/>
            <w:szCs w:val="16"/>
            <w:lang w:val="en-US"/>
          </w:rPr>
          <w:t>https://www.ncbi.nlm.nih.gov/pmc/articles/PMC3953293/</w:t>
        </w:r>
      </w:hyperlink>
    </w:p>
    <w:p w:rsidR="008F6FFE" w:rsidRPr="00ED747A" w:rsidRDefault="008F6FFE" w:rsidP="00ED747A">
      <w:pPr>
        <w:shd w:val="clear" w:color="auto" w:fill="FFFFFF"/>
        <w:rPr>
          <w:rFonts w:asciiTheme="minorHAnsi" w:hAnsiTheme="minorHAnsi" w:cstheme="minorHAnsi"/>
          <w:sz w:val="16"/>
          <w:szCs w:val="16"/>
          <w:lang w:val="en-US"/>
        </w:rPr>
      </w:pPr>
    </w:p>
    <w:p w:rsidR="008F6FFE" w:rsidRPr="00996C82" w:rsidRDefault="008F6FFE" w:rsidP="00996C82">
      <w:pPr>
        <w:shd w:val="clear" w:color="auto" w:fill="FFFFFF"/>
        <w:rPr>
          <w:rFonts w:asciiTheme="minorHAnsi" w:hAnsiTheme="minorHAnsi" w:cstheme="minorHAnsi"/>
          <w:sz w:val="16"/>
          <w:szCs w:val="16"/>
          <w:lang w:val="en-US"/>
        </w:rPr>
      </w:pPr>
      <w:r w:rsidRPr="00996C82">
        <w:rPr>
          <w:rFonts w:asciiTheme="minorHAnsi" w:hAnsiTheme="minorHAnsi" w:cstheme="minorHAnsi"/>
          <w:sz w:val="16"/>
          <w:szCs w:val="16"/>
          <w:lang w:val="en-US"/>
        </w:rPr>
        <w:t xml:space="preserve">J Exp Med. 1994 Dec 1;180(6):2377-81. doi: 10.1084/jem.180.6.2377. </w:t>
      </w:r>
    </w:p>
    <w:p w:rsidR="008F6FFE" w:rsidRPr="00996C82" w:rsidRDefault="008F6FFE" w:rsidP="00996C82">
      <w:pPr>
        <w:shd w:val="clear" w:color="auto" w:fill="FFFFFF"/>
        <w:rPr>
          <w:rFonts w:asciiTheme="minorHAnsi" w:hAnsiTheme="minorHAnsi" w:cstheme="minorHAnsi"/>
          <w:sz w:val="16"/>
          <w:szCs w:val="16"/>
          <w:lang w:val="en-US"/>
        </w:rPr>
      </w:pPr>
      <w:r w:rsidRPr="00996C82">
        <w:rPr>
          <w:rFonts w:asciiTheme="minorHAnsi" w:hAnsiTheme="minorHAnsi" w:cstheme="minorHAnsi"/>
          <w:sz w:val="16"/>
          <w:szCs w:val="16"/>
          <w:lang w:val="en-US"/>
        </w:rPr>
        <w:t>A major histocompatibility complex class I-like Fc receptor cloned from human placenta: possible role in transfer of immunoglobulin G from mother to fetus.</w:t>
      </w:r>
    </w:p>
    <w:p w:rsidR="008F6FFE" w:rsidRPr="00235A16" w:rsidRDefault="008F6FFE" w:rsidP="00996C82">
      <w:pPr>
        <w:shd w:val="clear" w:color="auto" w:fill="FFFFFF"/>
        <w:rPr>
          <w:rFonts w:asciiTheme="minorHAnsi" w:hAnsiTheme="minorHAnsi" w:cstheme="minorHAnsi"/>
          <w:sz w:val="16"/>
          <w:szCs w:val="16"/>
          <w:lang w:val="de-DE"/>
        </w:rPr>
      </w:pPr>
      <w:r w:rsidRPr="00235A16">
        <w:rPr>
          <w:rFonts w:asciiTheme="minorHAnsi" w:hAnsiTheme="minorHAnsi" w:cstheme="minorHAnsi"/>
          <w:sz w:val="16"/>
          <w:szCs w:val="16"/>
          <w:lang w:val="de-DE"/>
        </w:rPr>
        <w:t xml:space="preserve">Story CM, Mikulska JE, Simister NE. </w:t>
      </w:r>
    </w:p>
    <w:p w:rsidR="008F6FFE" w:rsidRPr="00235A16" w:rsidRDefault="0052743C" w:rsidP="00ED747A">
      <w:pPr>
        <w:shd w:val="clear" w:color="auto" w:fill="FFFFFF"/>
        <w:rPr>
          <w:rFonts w:asciiTheme="minorHAnsi" w:hAnsiTheme="minorHAnsi" w:cstheme="minorHAnsi"/>
          <w:sz w:val="16"/>
          <w:szCs w:val="16"/>
          <w:lang w:val="de-DE"/>
        </w:rPr>
      </w:pPr>
      <w:hyperlink r:id="rId1089" w:history="1">
        <w:r w:rsidR="008F6FFE" w:rsidRPr="00235A16">
          <w:rPr>
            <w:rFonts w:asciiTheme="minorHAnsi" w:hAnsiTheme="minorHAnsi" w:cstheme="minorHAnsi"/>
            <w:sz w:val="16"/>
            <w:szCs w:val="16"/>
            <w:lang w:val="de-DE"/>
          </w:rPr>
          <w:t>https://www.ncbi.nlm.nih.gov/pmc/articles/PMC2191771/</w:t>
        </w:r>
      </w:hyperlink>
    </w:p>
    <w:p w:rsidR="008F6FFE" w:rsidRPr="00235A16" w:rsidRDefault="008F6FFE" w:rsidP="00ED747A">
      <w:pPr>
        <w:shd w:val="clear" w:color="auto" w:fill="FFFFFF"/>
        <w:rPr>
          <w:rFonts w:asciiTheme="minorHAnsi" w:hAnsiTheme="minorHAnsi" w:cstheme="minorHAnsi"/>
          <w:sz w:val="16"/>
          <w:szCs w:val="16"/>
          <w:lang w:val="de-DE"/>
        </w:rPr>
      </w:pPr>
    </w:p>
    <w:p w:rsidR="008F6FFE" w:rsidRPr="00235A16" w:rsidRDefault="008F6FFE" w:rsidP="008E2874">
      <w:pPr>
        <w:shd w:val="clear" w:color="auto" w:fill="FFFFFF"/>
        <w:rPr>
          <w:rFonts w:asciiTheme="minorHAnsi" w:hAnsiTheme="minorHAnsi" w:cstheme="minorHAnsi"/>
          <w:sz w:val="16"/>
          <w:szCs w:val="16"/>
          <w:lang w:val="de-DE"/>
        </w:rPr>
      </w:pPr>
      <w:r w:rsidRPr="00235A16">
        <w:rPr>
          <w:rFonts w:asciiTheme="minorHAnsi" w:hAnsiTheme="minorHAnsi" w:cstheme="minorHAnsi"/>
          <w:sz w:val="16"/>
          <w:szCs w:val="16"/>
          <w:lang w:val="de-DE"/>
        </w:rPr>
        <w:t>Eur J Immunogenet 2000 Aug;27(4):231-40. doi: 10.1046/j.1365-2370.2000.00225.x.</w:t>
      </w:r>
    </w:p>
    <w:p w:rsidR="008F6FFE" w:rsidRPr="00996C82" w:rsidRDefault="008F6FFE" w:rsidP="00996C82">
      <w:pPr>
        <w:shd w:val="clear" w:color="auto" w:fill="FFFFFF"/>
        <w:rPr>
          <w:rFonts w:asciiTheme="minorHAnsi" w:hAnsiTheme="minorHAnsi" w:cstheme="minorHAnsi"/>
          <w:sz w:val="16"/>
          <w:szCs w:val="16"/>
          <w:lang w:val="en-US"/>
        </w:rPr>
      </w:pPr>
      <w:r w:rsidRPr="00996C82">
        <w:rPr>
          <w:rFonts w:asciiTheme="minorHAnsi" w:hAnsiTheme="minorHAnsi" w:cstheme="minorHAnsi"/>
          <w:sz w:val="16"/>
          <w:szCs w:val="16"/>
          <w:lang w:val="en-US"/>
        </w:rPr>
        <w:t>Cloning and Analysis of the Gene Encoding the Human Neonatal Fc Receptor</w:t>
      </w:r>
    </w:p>
    <w:p w:rsidR="008F6FFE" w:rsidRPr="00A078ED" w:rsidRDefault="0052743C" w:rsidP="008E2874">
      <w:pPr>
        <w:shd w:val="clear" w:color="auto" w:fill="FFFFFF"/>
        <w:rPr>
          <w:rFonts w:asciiTheme="minorHAnsi" w:hAnsiTheme="minorHAnsi" w:cstheme="minorHAnsi"/>
          <w:sz w:val="16"/>
          <w:szCs w:val="16"/>
        </w:rPr>
      </w:pPr>
      <w:hyperlink r:id="rId1090" w:history="1">
        <w:r w:rsidR="008F6FFE" w:rsidRPr="00A078ED">
          <w:rPr>
            <w:rFonts w:asciiTheme="minorHAnsi" w:hAnsiTheme="minorHAnsi" w:cstheme="minorHAnsi"/>
            <w:sz w:val="16"/>
            <w:szCs w:val="16"/>
          </w:rPr>
          <w:t>J E Mikulska</w:t>
        </w:r>
      </w:hyperlink>
      <w:r w:rsidR="008F6FFE" w:rsidRPr="00A078ED">
        <w:rPr>
          <w:rFonts w:asciiTheme="minorHAnsi" w:hAnsiTheme="minorHAnsi" w:cstheme="minorHAnsi"/>
          <w:sz w:val="16"/>
          <w:szCs w:val="16"/>
        </w:rPr>
        <w:t> </w:t>
      </w:r>
      <w:hyperlink r:id="rId1091" w:anchor="affiliation-1" w:history="1">
        <w:r w:rsidR="008F6FFE" w:rsidRPr="00A078ED">
          <w:rPr>
            <w:rFonts w:asciiTheme="minorHAnsi" w:hAnsiTheme="minorHAnsi" w:cstheme="minorHAnsi"/>
            <w:sz w:val="16"/>
            <w:szCs w:val="16"/>
          </w:rPr>
          <w:t>1</w:t>
        </w:r>
      </w:hyperlink>
      <w:r w:rsidR="008F6FFE" w:rsidRPr="00A078ED">
        <w:rPr>
          <w:rFonts w:asciiTheme="minorHAnsi" w:hAnsiTheme="minorHAnsi" w:cstheme="minorHAnsi"/>
          <w:sz w:val="16"/>
          <w:szCs w:val="16"/>
        </w:rPr>
        <w:t>, </w:t>
      </w:r>
      <w:hyperlink r:id="rId1092" w:history="1">
        <w:r w:rsidR="008F6FFE" w:rsidRPr="00A078ED">
          <w:rPr>
            <w:rFonts w:asciiTheme="minorHAnsi" w:hAnsiTheme="minorHAnsi" w:cstheme="minorHAnsi"/>
            <w:sz w:val="16"/>
            <w:szCs w:val="16"/>
          </w:rPr>
          <w:t>L Pablo</w:t>
        </w:r>
      </w:hyperlink>
      <w:r w:rsidR="008F6FFE" w:rsidRPr="00A078ED">
        <w:rPr>
          <w:rFonts w:asciiTheme="minorHAnsi" w:hAnsiTheme="minorHAnsi" w:cstheme="minorHAnsi"/>
          <w:sz w:val="16"/>
          <w:szCs w:val="16"/>
        </w:rPr>
        <w:t>, </w:t>
      </w:r>
      <w:hyperlink r:id="rId1093" w:history="1">
        <w:r w:rsidR="008F6FFE" w:rsidRPr="00A078ED">
          <w:rPr>
            <w:rFonts w:asciiTheme="minorHAnsi" w:hAnsiTheme="minorHAnsi" w:cstheme="minorHAnsi"/>
            <w:sz w:val="16"/>
            <w:szCs w:val="16"/>
          </w:rPr>
          <w:t>J Canel</w:t>
        </w:r>
      </w:hyperlink>
      <w:r w:rsidR="008F6FFE" w:rsidRPr="00A078ED">
        <w:rPr>
          <w:rFonts w:asciiTheme="minorHAnsi" w:hAnsiTheme="minorHAnsi" w:cstheme="minorHAnsi"/>
          <w:sz w:val="16"/>
          <w:szCs w:val="16"/>
        </w:rPr>
        <w:t>, </w:t>
      </w:r>
      <w:hyperlink r:id="rId1094" w:history="1">
        <w:r w:rsidR="008F6FFE" w:rsidRPr="00A078ED">
          <w:rPr>
            <w:rFonts w:asciiTheme="minorHAnsi" w:hAnsiTheme="minorHAnsi" w:cstheme="minorHAnsi"/>
            <w:sz w:val="16"/>
            <w:szCs w:val="16"/>
          </w:rPr>
          <w:t>N E Simister</w:t>
        </w:r>
      </w:hyperlink>
    </w:p>
    <w:p w:rsidR="008F6FFE" w:rsidRPr="00A078ED" w:rsidRDefault="0052743C" w:rsidP="00ED747A">
      <w:pPr>
        <w:shd w:val="clear" w:color="auto" w:fill="FFFFFF"/>
        <w:rPr>
          <w:rFonts w:asciiTheme="minorHAnsi" w:hAnsiTheme="minorHAnsi" w:cstheme="minorHAnsi"/>
          <w:sz w:val="16"/>
          <w:szCs w:val="16"/>
        </w:rPr>
      </w:pPr>
      <w:hyperlink r:id="rId1095" w:history="1">
        <w:r w:rsidR="008F6FFE" w:rsidRPr="00A078ED">
          <w:rPr>
            <w:rFonts w:asciiTheme="minorHAnsi" w:hAnsiTheme="minorHAnsi" w:cstheme="minorHAnsi"/>
            <w:sz w:val="16"/>
            <w:szCs w:val="16"/>
          </w:rPr>
          <w:t>https://pubmed.ncbi.nlm.nih.gov/10998088/</w:t>
        </w:r>
      </w:hyperlink>
    </w:p>
    <w:p w:rsidR="008F6FFE" w:rsidRPr="00996C82" w:rsidRDefault="008F6FFE" w:rsidP="00ED747A">
      <w:pPr>
        <w:shd w:val="clear" w:color="auto" w:fill="FFFFFF"/>
        <w:rPr>
          <w:rFonts w:asciiTheme="minorHAnsi" w:hAnsiTheme="minorHAnsi"/>
          <w:sz w:val="16"/>
          <w:szCs w:val="16"/>
        </w:rPr>
      </w:pPr>
    </w:p>
  </w:footnote>
  <w:footnote w:id="148">
    <w:p w:rsidR="008F6FFE" w:rsidRPr="00717D4D" w:rsidRDefault="008F6FFE" w:rsidP="00717D4D">
      <w:pPr>
        <w:shd w:val="clear" w:color="auto" w:fill="FFFFFF"/>
        <w:rPr>
          <w:rFonts w:asciiTheme="minorHAnsi" w:hAnsiTheme="minorHAnsi" w:cstheme="minorHAnsi"/>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theme="minorHAnsi"/>
          <w:sz w:val="16"/>
          <w:szCs w:val="16"/>
          <w:lang w:val="en-US"/>
        </w:rPr>
        <w:t>JAMA 202:1075-1080. 1967.</w:t>
      </w:r>
    </w:p>
    <w:p w:rsidR="008F6FFE" w:rsidRPr="00717D4D" w:rsidRDefault="008F6FFE" w:rsidP="00717D4D">
      <w:pPr>
        <w:shd w:val="clear" w:color="auto" w:fill="FFFFFF"/>
        <w:rPr>
          <w:rFonts w:asciiTheme="minorHAnsi" w:hAnsiTheme="minorHAnsi" w:cstheme="minorHAnsi"/>
          <w:sz w:val="16"/>
          <w:szCs w:val="16"/>
          <w:lang w:val="en-US"/>
        </w:rPr>
      </w:pPr>
      <w:r w:rsidRPr="00717D4D">
        <w:rPr>
          <w:rFonts w:asciiTheme="minorHAnsi" w:hAnsiTheme="minorHAnsi" w:cstheme="minorHAnsi"/>
          <w:sz w:val="16"/>
          <w:szCs w:val="16"/>
          <w:lang w:val="en-US"/>
        </w:rPr>
        <w:t xml:space="preserve">Altered reactivity to measles virus. Atypical measles in children previously immunized with inactivated measles virus vaccines </w:t>
      </w:r>
    </w:p>
    <w:p w:rsidR="008F6FFE" w:rsidRPr="00ED747A"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sz w:val="16"/>
          <w:szCs w:val="16"/>
          <w:lang w:val="en-US"/>
        </w:rPr>
        <w:t>Fulginiti, F</w:t>
      </w:r>
      <w:r w:rsidRPr="00ED747A">
        <w:rPr>
          <w:rFonts w:asciiTheme="minorHAnsi" w:hAnsiTheme="minorHAnsi" w:cstheme="minorHAnsi"/>
          <w:color w:val="000000" w:themeColor="text1"/>
          <w:sz w:val="16"/>
          <w:szCs w:val="16"/>
          <w:lang w:val="en-US"/>
        </w:rPr>
        <w:t xml:space="preserve">. A., J. J. Eller, A. W. Downie, and C. H. Kempe </w:t>
      </w:r>
    </w:p>
    <w:p w:rsidR="008F6FFE" w:rsidRPr="00ED747A" w:rsidRDefault="0052743C" w:rsidP="00ED747A">
      <w:pPr>
        <w:shd w:val="clear" w:color="auto" w:fill="FFFFFF"/>
        <w:rPr>
          <w:rFonts w:asciiTheme="minorHAnsi" w:hAnsiTheme="minorHAnsi" w:cstheme="minorHAnsi"/>
          <w:color w:val="000000" w:themeColor="text1"/>
          <w:sz w:val="16"/>
          <w:szCs w:val="16"/>
          <w:lang w:val="en-US"/>
        </w:rPr>
      </w:pPr>
      <w:hyperlink r:id="rId1096" w:history="1">
        <w:r w:rsidR="008F6FFE" w:rsidRPr="00ED747A">
          <w:rPr>
            <w:rFonts w:asciiTheme="minorHAnsi" w:hAnsiTheme="minorHAnsi" w:cstheme="minorHAnsi"/>
            <w:color w:val="000000" w:themeColor="text1"/>
            <w:sz w:val="16"/>
            <w:szCs w:val="16"/>
            <w:lang w:val="en-US"/>
          </w:rPr>
          <w:t>https://pubmed.ncbi.nlm.nih.gov/6072745/</w:t>
        </w:r>
      </w:hyperlink>
    </w:p>
    <w:p w:rsidR="008F6FFE" w:rsidRPr="00ED747A" w:rsidRDefault="008F6FFE" w:rsidP="00ED747A">
      <w:pPr>
        <w:shd w:val="clear" w:color="auto" w:fill="FFFFFF"/>
        <w:rPr>
          <w:rFonts w:asciiTheme="minorHAnsi" w:hAnsiTheme="minorHAnsi" w:cstheme="minorHAnsi"/>
          <w:color w:val="000000" w:themeColor="text1"/>
          <w:sz w:val="16"/>
          <w:szCs w:val="16"/>
          <w:lang w:val="en-US"/>
        </w:rPr>
      </w:pPr>
    </w:p>
    <w:p w:rsidR="008F6FFE" w:rsidRPr="00ED747A" w:rsidRDefault="008F6FFE" w:rsidP="00717D4D">
      <w:pPr>
        <w:shd w:val="clear" w:color="auto" w:fill="FFFFFF"/>
        <w:rPr>
          <w:rFonts w:asciiTheme="minorHAnsi" w:hAnsiTheme="minorHAnsi" w:cstheme="minorHAnsi"/>
          <w:color w:val="000000" w:themeColor="text1"/>
          <w:sz w:val="16"/>
          <w:szCs w:val="16"/>
          <w:lang w:val="en-US"/>
        </w:rPr>
      </w:pPr>
      <w:r w:rsidRPr="00ED747A">
        <w:rPr>
          <w:rFonts w:asciiTheme="minorHAnsi" w:hAnsiTheme="minorHAnsi" w:cstheme="minorHAnsi"/>
          <w:color w:val="000000" w:themeColor="text1"/>
          <w:sz w:val="16"/>
          <w:szCs w:val="16"/>
          <w:lang w:val="en-US"/>
        </w:rPr>
        <w:t>Am. J. Epidemiol. 89:422-434. 1969</w:t>
      </w:r>
    </w:p>
    <w:p w:rsidR="008F6FFE" w:rsidRPr="00ED747A" w:rsidRDefault="008F6FFE" w:rsidP="00717D4D">
      <w:pPr>
        <w:shd w:val="clear" w:color="auto" w:fill="FFFFFF"/>
        <w:rPr>
          <w:rFonts w:asciiTheme="minorHAnsi" w:hAnsiTheme="minorHAnsi" w:cstheme="minorHAnsi"/>
          <w:color w:val="000000" w:themeColor="text1"/>
          <w:sz w:val="16"/>
          <w:szCs w:val="16"/>
          <w:lang w:val="en-US"/>
        </w:rPr>
      </w:pPr>
      <w:r w:rsidRPr="00ED747A">
        <w:rPr>
          <w:rFonts w:asciiTheme="minorHAnsi" w:hAnsiTheme="minorHAnsi" w:cstheme="minorHAnsi"/>
          <w:color w:val="000000" w:themeColor="text1"/>
          <w:sz w:val="16"/>
          <w:szCs w:val="16"/>
          <w:lang w:val="en-US"/>
        </w:rPr>
        <w:t>Respiratory syncytial virus disease in infants despite prior administration of antigenic inactivated vaccine. </w:t>
      </w:r>
    </w:p>
    <w:p w:rsidR="008F6FFE" w:rsidRPr="00ED747A" w:rsidRDefault="008F6FFE" w:rsidP="00717D4D">
      <w:pPr>
        <w:shd w:val="clear" w:color="auto" w:fill="FFFFFF"/>
        <w:rPr>
          <w:rFonts w:asciiTheme="minorHAnsi" w:hAnsiTheme="minorHAnsi" w:cstheme="minorHAnsi"/>
          <w:color w:val="000000" w:themeColor="text1"/>
          <w:sz w:val="16"/>
          <w:szCs w:val="16"/>
          <w:lang w:val="en-US"/>
        </w:rPr>
      </w:pPr>
      <w:r w:rsidRPr="00ED747A">
        <w:rPr>
          <w:rFonts w:asciiTheme="minorHAnsi" w:hAnsiTheme="minorHAnsi" w:cstheme="minorHAnsi"/>
          <w:color w:val="000000" w:themeColor="text1"/>
          <w:sz w:val="16"/>
          <w:szCs w:val="16"/>
          <w:lang w:val="en-US"/>
        </w:rPr>
        <w:t>Kim, H. W., J. G. Canchola, C. D. Brandt, G. Pyles, K. Chanock, K. Jensen, and R. H. Parrott. .</w:t>
      </w:r>
    </w:p>
    <w:p w:rsidR="008F6FFE" w:rsidRPr="00ED747A" w:rsidRDefault="0052743C" w:rsidP="00ED747A">
      <w:pPr>
        <w:shd w:val="clear" w:color="auto" w:fill="FFFFFF"/>
        <w:rPr>
          <w:rFonts w:asciiTheme="minorHAnsi" w:hAnsiTheme="minorHAnsi" w:cstheme="minorHAnsi"/>
          <w:color w:val="000000" w:themeColor="text1"/>
          <w:sz w:val="16"/>
          <w:szCs w:val="16"/>
          <w:lang w:val="en-US"/>
        </w:rPr>
      </w:pPr>
      <w:hyperlink r:id="rId1097" w:history="1">
        <w:r w:rsidR="008F6FFE" w:rsidRPr="00ED747A">
          <w:rPr>
            <w:rFonts w:asciiTheme="minorHAnsi" w:hAnsiTheme="minorHAnsi" w:cstheme="minorHAnsi"/>
            <w:color w:val="000000" w:themeColor="text1"/>
            <w:sz w:val="16"/>
            <w:szCs w:val="16"/>
            <w:lang w:val="en-US"/>
          </w:rPr>
          <w:t>https://academic.oup.com/aje/article-abstract/89/4/422/198849?redirectedFrom=fulltext</w:t>
        </w:r>
      </w:hyperlink>
    </w:p>
    <w:p w:rsidR="008F6FFE" w:rsidRPr="00ED747A" w:rsidRDefault="008F6FFE" w:rsidP="00ED747A">
      <w:pPr>
        <w:shd w:val="clear" w:color="auto" w:fill="FFFFFF"/>
        <w:rPr>
          <w:rFonts w:asciiTheme="minorHAnsi" w:hAnsiTheme="minorHAnsi" w:cstheme="minorHAnsi"/>
          <w:color w:val="000000" w:themeColor="text1"/>
          <w:sz w:val="16"/>
          <w:szCs w:val="16"/>
          <w:vertAlign w:val="superscript"/>
          <w:lang w:val="en-US"/>
        </w:rPr>
      </w:pPr>
    </w:p>
  </w:footnote>
  <w:footnote w:id="149">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ED747A">
        <w:rPr>
          <w:rFonts w:asciiTheme="minorHAnsi" w:hAnsiTheme="minorHAnsi" w:cstheme="minorHAnsi"/>
          <w:color w:val="000000" w:themeColor="text1"/>
          <w:sz w:val="16"/>
          <w:szCs w:val="16"/>
          <w:vertAlign w:val="superscript"/>
          <w:lang w:val="en-US"/>
        </w:rPr>
        <w:footnoteRef/>
      </w:r>
      <w:r w:rsidRPr="00ED747A">
        <w:rPr>
          <w:rFonts w:asciiTheme="minorHAnsi" w:hAnsiTheme="minorHAnsi" w:cstheme="minorHAnsi"/>
          <w:color w:val="000000" w:themeColor="text1"/>
          <w:sz w:val="16"/>
          <w:szCs w:val="16"/>
          <w:lang w:val="en-US"/>
        </w:rPr>
        <w:t xml:space="preserve"> </w:t>
      </w:r>
      <w:r w:rsidRPr="00717D4D">
        <w:rPr>
          <w:rFonts w:asciiTheme="minorHAnsi" w:hAnsiTheme="minorHAnsi" w:cstheme="minorHAnsi"/>
          <w:color w:val="000000" w:themeColor="text1"/>
          <w:sz w:val="16"/>
          <w:szCs w:val="16"/>
          <w:lang w:val="en-US"/>
        </w:rPr>
        <w:t>Clinical and Vaccine Immunology Nov 2010, 17 (12) 1829-1835; DOI: 10.1128/CVI.00316-10</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How Innate Immune Mechanisms Contribute to Antibody-Enhanced Viral Infections</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Sukathida Ubol, Scott B. Halstead</w:t>
      </w:r>
    </w:p>
    <w:p w:rsidR="008F6FFE" w:rsidRPr="00ED747A" w:rsidRDefault="0052743C" w:rsidP="00ED747A">
      <w:pPr>
        <w:shd w:val="clear" w:color="auto" w:fill="FFFFFF"/>
        <w:rPr>
          <w:rFonts w:asciiTheme="minorHAnsi" w:hAnsiTheme="minorHAnsi" w:cstheme="minorHAnsi"/>
          <w:color w:val="000000" w:themeColor="text1"/>
          <w:sz w:val="16"/>
          <w:szCs w:val="16"/>
          <w:lang w:val="en-US"/>
        </w:rPr>
      </w:pPr>
      <w:hyperlink r:id="rId1098" w:history="1">
        <w:r w:rsidR="008F6FFE" w:rsidRPr="00ED747A">
          <w:rPr>
            <w:rFonts w:asciiTheme="minorHAnsi" w:hAnsiTheme="minorHAnsi" w:cstheme="minorHAnsi"/>
            <w:color w:val="000000" w:themeColor="text1"/>
            <w:sz w:val="16"/>
            <w:szCs w:val="16"/>
            <w:lang w:val="en-US"/>
          </w:rPr>
          <w:t>https://www.ncbi.nlm.nih.gov/pmc/articles/PMC3008185/</w:t>
        </w:r>
      </w:hyperlink>
    </w:p>
    <w:p w:rsidR="008F6FFE" w:rsidRPr="00717D4D" w:rsidRDefault="008F6FFE" w:rsidP="00717D4D">
      <w:pPr>
        <w:pStyle w:val="FootnoteText"/>
        <w:rPr>
          <w:rFonts w:asciiTheme="minorHAnsi" w:hAnsiTheme="minorHAnsi"/>
          <w:sz w:val="16"/>
          <w:szCs w:val="16"/>
          <w:lang w:val="en-US"/>
        </w:rPr>
      </w:pPr>
    </w:p>
  </w:footnote>
  <w:footnote w:id="150">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theme="minorHAnsi"/>
          <w:color w:val="000000" w:themeColor="text1"/>
          <w:sz w:val="16"/>
          <w:szCs w:val="16"/>
          <w:lang w:val="en-US"/>
        </w:rPr>
        <w:t>PLoS Pathog. 2019 Apr 22;15(4):e1007721. doi: 10.1371/journal.ppat.1007721</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Detection of post-vaccination enhanced dengue virus infection in macaques: An improved model for early assessment of dengue vaccines.</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Borges MB, Marchevsky et al</w:t>
      </w:r>
    </w:p>
    <w:p w:rsidR="008F6FFE" w:rsidRPr="00ED747A" w:rsidRDefault="0052743C" w:rsidP="00ED747A">
      <w:pPr>
        <w:shd w:val="clear" w:color="auto" w:fill="FFFFFF"/>
        <w:rPr>
          <w:rFonts w:asciiTheme="minorHAnsi" w:hAnsiTheme="minorHAnsi" w:cstheme="minorHAnsi"/>
          <w:color w:val="000000" w:themeColor="text1"/>
          <w:sz w:val="16"/>
          <w:szCs w:val="16"/>
          <w:lang w:val="en-US"/>
        </w:rPr>
      </w:pPr>
      <w:hyperlink r:id="rId1099" w:history="1">
        <w:r w:rsidR="008F6FFE" w:rsidRPr="00ED747A">
          <w:rPr>
            <w:rFonts w:asciiTheme="minorHAnsi" w:hAnsiTheme="minorHAnsi" w:cstheme="minorHAnsi"/>
            <w:color w:val="000000" w:themeColor="text1"/>
            <w:sz w:val="16"/>
            <w:szCs w:val="16"/>
            <w:lang w:val="en-US"/>
          </w:rPr>
          <w:t>https://www.ncbi.nlm.nih.gov/pmc/articles/PMC6497418/</w:t>
        </w:r>
      </w:hyperlink>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Virology. 2016 Apr;491:79-88. doi: 10.1016/j.virol.2016.01.015.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 xml:space="preserve">Heterologous challenge in the presence of maternally-derived antibodies results in vaccine-associated enhanced respiratory disease in weaned piglets.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Rajao DS, Sandbulte MR, Gauger PC, Kitikoon P, Platt R, Roth JA, Perez DR, Loving CL, Vincent AL.</w:t>
      </w:r>
    </w:p>
    <w:p w:rsidR="008F6FFE" w:rsidRDefault="0052743C" w:rsidP="00ED747A">
      <w:pPr>
        <w:shd w:val="clear" w:color="auto" w:fill="FFFFFF"/>
        <w:rPr>
          <w:rFonts w:asciiTheme="minorHAnsi" w:hAnsiTheme="minorHAnsi" w:cstheme="minorHAnsi"/>
          <w:color w:val="000000" w:themeColor="text1"/>
          <w:sz w:val="16"/>
          <w:szCs w:val="16"/>
          <w:lang w:val="en-US"/>
        </w:rPr>
      </w:pPr>
      <w:hyperlink r:id="rId1100" w:history="1">
        <w:r w:rsidR="008F6FFE" w:rsidRPr="00ED747A">
          <w:rPr>
            <w:rFonts w:asciiTheme="minorHAnsi" w:hAnsiTheme="minorHAnsi" w:cstheme="minorHAnsi"/>
            <w:color w:val="000000" w:themeColor="text1"/>
            <w:sz w:val="16"/>
            <w:szCs w:val="16"/>
            <w:lang w:val="en-US"/>
          </w:rPr>
          <w:t>https://www.ncbi.nlm.nih.gov/pmc/articles/PMC4825855/</w:t>
        </w:r>
      </w:hyperlink>
    </w:p>
    <w:p w:rsidR="00F17826" w:rsidRPr="00717D4D" w:rsidRDefault="00F17826" w:rsidP="00ED747A">
      <w:pPr>
        <w:shd w:val="clear" w:color="auto" w:fill="FFFFFF"/>
        <w:rPr>
          <w:rFonts w:asciiTheme="minorHAnsi" w:hAnsiTheme="minorHAnsi"/>
          <w:sz w:val="16"/>
          <w:szCs w:val="16"/>
          <w:lang w:val="en-US"/>
        </w:rPr>
      </w:pPr>
    </w:p>
  </w:footnote>
  <w:footnote w:id="151">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Style w:val="FootnoteReference"/>
          <w:rFonts w:asciiTheme="minorHAnsi" w:hAnsiTheme="minorHAnsi" w:cstheme="minorHAnsi"/>
          <w:color w:val="000000" w:themeColor="text1"/>
          <w:sz w:val="16"/>
          <w:szCs w:val="16"/>
        </w:rPr>
        <w:footnoteRef/>
      </w:r>
      <w:r w:rsidRPr="00717D4D">
        <w:rPr>
          <w:rFonts w:asciiTheme="minorHAnsi" w:hAnsiTheme="minorHAnsi" w:cstheme="minorHAnsi"/>
          <w:color w:val="000000" w:themeColor="text1"/>
          <w:sz w:val="16"/>
          <w:szCs w:val="16"/>
          <w:lang w:val="en-US"/>
        </w:rPr>
        <w:t xml:space="preserve">  </w:t>
      </w:r>
      <w:hyperlink r:id="rId1101" w:tooltip="Frontiers in microbiology." w:history="1">
        <w:r w:rsidRPr="00717D4D">
          <w:rPr>
            <w:rFonts w:asciiTheme="minorHAnsi" w:hAnsiTheme="minorHAnsi" w:cstheme="minorHAnsi"/>
            <w:color w:val="000000" w:themeColor="text1"/>
            <w:sz w:val="16"/>
            <w:szCs w:val="16"/>
            <w:lang w:val="en-US"/>
          </w:rPr>
          <w:t>Front Microbiol.</w:t>
        </w:r>
      </w:hyperlink>
      <w:r w:rsidRPr="00717D4D">
        <w:rPr>
          <w:rFonts w:asciiTheme="minorHAnsi" w:hAnsiTheme="minorHAnsi" w:cstheme="minorHAnsi"/>
          <w:color w:val="000000" w:themeColor="text1"/>
          <w:sz w:val="16"/>
          <w:szCs w:val="16"/>
          <w:lang w:val="en-US"/>
        </w:rPr>
        <w:t xml:space="preserve"> 2019 Jan 14;9:3225. doi: 10.3389/fmicb.2018.03225. </w:t>
      </w:r>
    </w:p>
    <w:p w:rsidR="008F6FFE" w:rsidRPr="00717D4D" w:rsidRDefault="008F6FFE" w:rsidP="00717D4D">
      <w:pPr>
        <w:shd w:val="clear" w:color="auto" w:fill="FFFFFF"/>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Trained Immunity Carried by Non-immune Cells.</w:t>
      </w:r>
    </w:p>
    <w:p w:rsidR="008F6FFE" w:rsidRPr="00717D4D" w:rsidRDefault="0052743C" w:rsidP="00717D4D">
      <w:pPr>
        <w:shd w:val="clear" w:color="auto" w:fill="FFFFFF"/>
        <w:rPr>
          <w:rFonts w:asciiTheme="minorHAnsi" w:hAnsiTheme="minorHAnsi" w:cstheme="minorHAnsi"/>
          <w:color w:val="000000" w:themeColor="text1"/>
          <w:sz w:val="16"/>
          <w:szCs w:val="16"/>
        </w:rPr>
      </w:pPr>
      <w:hyperlink r:id="rId1102" w:history="1">
        <w:r w:rsidR="008F6FFE" w:rsidRPr="00717D4D">
          <w:rPr>
            <w:rFonts w:asciiTheme="minorHAnsi" w:hAnsiTheme="minorHAnsi" w:cstheme="minorHAnsi"/>
            <w:color w:val="000000" w:themeColor="text1"/>
            <w:sz w:val="16"/>
            <w:szCs w:val="16"/>
          </w:rPr>
          <w:t>Hamada A</w:t>
        </w:r>
      </w:hyperlink>
      <w:r w:rsidR="008F6FFE" w:rsidRPr="00717D4D">
        <w:rPr>
          <w:rFonts w:asciiTheme="minorHAnsi" w:hAnsiTheme="minorHAnsi" w:cstheme="minorHAnsi"/>
          <w:color w:val="000000" w:themeColor="text1"/>
          <w:sz w:val="16"/>
          <w:szCs w:val="16"/>
        </w:rPr>
        <w:t>1, </w:t>
      </w:r>
      <w:hyperlink r:id="rId1103" w:history="1">
        <w:r w:rsidR="008F6FFE" w:rsidRPr="00717D4D">
          <w:rPr>
            <w:rFonts w:asciiTheme="minorHAnsi" w:hAnsiTheme="minorHAnsi" w:cstheme="minorHAnsi"/>
            <w:color w:val="000000" w:themeColor="text1"/>
            <w:sz w:val="16"/>
            <w:szCs w:val="16"/>
          </w:rPr>
          <w:t>Torre C</w:t>
        </w:r>
      </w:hyperlink>
      <w:r w:rsidR="008F6FFE" w:rsidRPr="00717D4D">
        <w:rPr>
          <w:rFonts w:asciiTheme="minorHAnsi" w:hAnsiTheme="minorHAnsi" w:cstheme="minorHAnsi"/>
          <w:color w:val="000000" w:themeColor="text1"/>
          <w:sz w:val="16"/>
          <w:szCs w:val="16"/>
        </w:rPr>
        <w:t>1, </w:t>
      </w:r>
      <w:hyperlink r:id="rId1104" w:history="1">
        <w:r w:rsidR="008F6FFE" w:rsidRPr="00717D4D">
          <w:rPr>
            <w:rFonts w:asciiTheme="minorHAnsi" w:hAnsiTheme="minorHAnsi" w:cstheme="minorHAnsi"/>
            <w:color w:val="000000" w:themeColor="text1"/>
            <w:sz w:val="16"/>
            <w:szCs w:val="16"/>
          </w:rPr>
          <w:t>Drancourt M</w:t>
        </w:r>
      </w:hyperlink>
      <w:r w:rsidR="008F6FFE" w:rsidRPr="00717D4D">
        <w:rPr>
          <w:rFonts w:asciiTheme="minorHAnsi" w:hAnsiTheme="minorHAnsi" w:cstheme="minorHAnsi"/>
          <w:color w:val="000000" w:themeColor="text1"/>
          <w:sz w:val="16"/>
          <w:szCs w:val="16"/>
        </w:rPr>
        <w:t>1, </w:t>
      </w:r>
      <w:hyperlink r:id="rId1105" w:history="1">
        <w:r w:rsidR="008F6FFE" w:rsidRPr="00717D4D">
          <w:rPr>
            <w:rFonts w:asciiTheme="minorHAnsi" w:hAnsiTheme="minorHAnsi" w:cstheme="minorHAnsi"/>
            <w:color w:val="000000" w:themeColor="text1"/>
            <w:sz w:val="16"/>
            <w:szCs w:val="16"/>
          </w:rPr>
          <w:t>Ghigo E</w:t>
        </w:r>
      </w:hyperlink>
      <w:r w:rsidR="008F6FFE" w:rsidRPr="00717D4D">
        <w:rPr>
          <w:rFonts w:asciiTheme="minorHAnsi" w:hAnsiTheme="minorHAnsi" w:cstheme="minorHAnsi"/>
          <w:color w:val="000000" w:themeColor="text1"/>
          <w:sz w:val="16"/>
          <w:szCs w:val="16"/>
        </w:rPr>
        <w:t>1.</w:t>
      </w:r>
    </w:p>
    <w:p w:rsidR="008F6FFE" w:rsidRPr="00292C07" w:rsidRDefault="0052743C" w:rsidP="00292C07">
      <w:pPr>
        <w:shd w:val="clear" w:color="auto" w:fill="FFFFFF"/>
        <w:rPr>
          <w:rFonts w:asciiTheme="minorHAnsi" w:hAnsiTheme="minorHAnsi" w:cstheme="minorHAnsi"/>
          <w:color w:val="000000" w:themeColor="text1"/>
          <w:sz w:val="16"/>
          <w:szCs w:val="16"/>
        </w:rPr>
      </w:pPr>
      <w:hyperlink r:id="rId1106" w:history="1">
        <w:r w:rsidR="008F6FFE" w:rsidRPr="00292C07">
          <w:rPr>
            <w:rFonts w:asciiTheme="minorHAnsi" w:hAnsiTheme="minorHAnsi" w:cstheme="minorHAnsi"/>
            <w:color w:val="000000" w:themeColor="text1"/>
            <w:sz w:val="16"/>
            <w:szCs w:val="16"/>
          </w:rPr>
          <w:t>https://www.ncbi.nlm.nih.gov/pmc/articles/PMC6340064/</w:t>
        </w:r>
      </w:hyperlink>
    </w:p>
    <w:p w:rsidR="008F6FFE" w:rsidRPr="00292C07" w:rsidRDefault="008F6FFE" w:rsidP="00292C07">
      <w:pPr>
        <w:shd w:val="clear" w:color="auto" w:fill="FFFFFF"/>
        <w:rPr>
          <w:rFonts w:asciiTheme="minorHAnsi" w:hAnsiTheme="minorHAnsi" w:cstheme="minorHAnsi"/>
          <w:color w:val="000000" w:themeColor="text1"/>
          <w:sz w:val="16"/>
          <w:szCs w:val="16"/>
        </w:rPr>
      </w:pPr>
    </w:p>
    <w:p w:rsidR="008F6FFE" w:rsidRPr="00A078ED" w:rsidRDefault="0052743C" w:rsidP="00717D4D">
      <w:pPr>
        <w:shd w:val="clear" w:color="auto" w:fill="FFFFFF"/>
        <w:rPr>
          <w:rFonts w:asciiTheme="minorHAnsi" w:hAnsiTheme="minorHAnsi" w:cstheme="minorHAnsi"/>
          <w:color w:val="000000" w:themeColor="text1"/>
          <w:sz w:val="16"/>
          <w:szCs w:val="16"/>
          <w:lang w:val="en-US"/>
        </w:rPr>
      </w:pPr>
      <w:hyperlink r:id="rId1107" w:tooltip="Neonatology." w:history="1">
        <w:r w:rsidR="008F6FFE" w:rsidRPr="00A078ED">
          <w:rPr>
            <w:rFonts w:asciiTheme="minorHAnsi" w:hAnsiTheme="minorHAnsi" w:cstheme="minorHAnsi"/>
            <w:color w:val="000000" w:themeColor="text1"/>
            <w:sz w:val="16"/>
            <w:szCs w:val="16"/>
            <w:lang w:val="en-US"/>
          </w:rPr>
          <w:t>Neonatology.</w:t>
        </w:r>
      </w:hyperlink>
      <w:r w:rsidR="008F6FFE" w:rsidRPr="00A078ED">
        <w:rPr>
          <w:rFonts w:asciiTheme="minorHAnsi" w:hAnsiTheme="minorHAnsi" w:cstheme="minorHAnsi"/>
          <w:color w:val="000000" w:themeColor="text1"/>
          <w:sz w:val="16"/>
          <w:szCs w:val="16"/>
          <w:lang w:val="en-US"/>
        </w:rPr>
        <w:t xml:space="preserve"> 2014;105(2):136-41. doi: 10.1159/000356035. </w:t>
      </w:r>
    </w:p>
    <w:p w:rsidR="008F6FFE" w:rsidRPr="00A078ED" w:rsidRDefault="008F6FFE" w:rsidP="00717D4D">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A prime time for trained immunity: innate immune memory in newborns and infants.</w:t>
      </w:r>
    </w:p>
    <w:p w:rsidR="008F6FFE" w:rsidRPr="00292C07" w:rsidRDefault="0052743C" w:rsidP="00717D4D">
      <w:pPr>
        <w:shd w:val="clear" w:color="auto" w:fill="FFFFFF"/>
        <w:rPr>
          <w:rFonts w:asciiTheme="minorHAnsi" w:hAnsiTheme="minorHAnsi" w:cstheme="minorHAnsi"/>
          <w:color w:val="000000" w:themeColor="text1"/>
          <w:sz w:val="16"/>
          <w:szCs w:val="16"/>
        </w:rPr>
      </w:pPr>
      <w:hyperlink r:id="rId1108" w:history="1">
        <w:r w:rsidR="008F6FFE" w:rsidRPr="00292C07">
          <w:rPr>
            <w:rFonts w:asciiTheme="minorHAnsi" w:hAnsiTheme="minorHAnsi" w:cstheme="minorHAnsi"/>
            <w:color w:val="000000" w:themeColor="text1"/>
            <w:sz w:val="16"/>
            <w:szCs w:val="16"/>
          </w:rPr>
          <w:t>Levy O</w:t>
        </w:r>
      </w:hyperlink>
      <w:r w:rsidR="008F6FFE" w:rsidRPr="00292C07">
        <w:rPr>
          <w:rFonts w:asciiTheme="minorHAnsi" w:hAnsiTheme="minorHAnsi" w:cstheme="minorHAnsi"/>
          <w:color w:val="000000" w:themeColor="text1"/>
          <w:sz w:val="16"/>
          <w:szCs w:val="16"/>
        </w:rPr>
        <w:t>1, </w:t>
      </w:r>
      <w:hyperlink r:id="rId1109" w:history="1">
        <w:r w:rsidR="008F6FFE" w:rsidRPr="00292C07">
          <w:rPr>
            <w:rFonts w:asciiTheme="minorHAnsi" w:hAnsiTheme="minorHAnsi" w:cstheme="minorHAnsi"/>
            <w:color w:val="000000" w:themeColor="text1"/>
            <w:sz w:val="16"/>
            <w:szCs w:val="16"/>
          </w:rPr>
          <w:t>Wynn JL</w:t>
        </w:r>
      </w:hyperlink>
      <w:r w:rsidR="008F6FFE" w:rsidRPr="00292C07">
        <w:rPr>
          <w:rFonts w:asciiTheme="minorHAnsi" w:hAnsiTheme="minorHAnsi" w:cstheme="minorHAnsi"/>
          <w:color w:val="000000" w:themeColor="text1"/>
          <w:sz w:val="16"/>
          <w:szCs w:val="16"/>
        </w:rPr>
        <w:t>.</w:t>
      </w:r>
    </w:p>
    <w:p w:rsidR="008F6FFE" w:rsidRPr="00292C07" w:rsidRDefault="0052743C" w:rsidP="00292C07">
      <w:pPr>
        <w:shd w:val="clear" w:color="auto" w:fill="FFFFFF"/>
        <w:rPr>
          <w:rFonts w:asciiTheme="minorHAnsi" w:hAnsiTheme="minorHAnsi" w:cstheme="minorHAnsi"/>
          <w:color w:val="000000" w:themeColor="text1"/>
          <w:sz w:val="16"/>
          <w:szCs w:val="16"/>
        </w:rPr>
      </w:pPr>
      <w:hyperlink r:id="rId1110" w:history="1">
        <w:r w:rsidR="008F6FFE" w:rsidRPr="00292C07">
          <w:rPr>
            <w:rFonts w:asciiTheme="minorHAnsi" w:hAnsiTheme="minorHAnsi" w:cstheme="minorHAnsi"/>
            <w:color w:val="000000" w:themeColor="text1"/>
            <w:sz w:val="16"/>
            <w:szCs w:val="16"/>
          </w:rPr>
          <w:t>https://www.ncbi.nlm.nih.gov/pmc/articles/PMC3946366/</w:t>
        </w:r>
      </w:hyperlink>
    </w:p>
    <w:p w:rsidR="008F6FFE" w:rsidRPr="00292C07" w:rsidRDefault="008F6FFE" w:rsidP="00717D4D">
      <w:pPr>
        <w:shd w:val="clear" w:color="auto" w:fill="FFFFFF"/>
        <w:rPr>
          <w:rFonts w:asciiTheme="minorHAnsi" w:hAnsiTheme="minorHAnsi" w:cstheme="minorHAnsi"/>
          <w:color w:val="000000" w:themeColor="text1"/>
          <w:sz w:val="16"/>
          <w:szCs w:val="16"/>
        </w:rPr>
      </w:pPr>
    </w:p>
    <w:p w:rsidR="008F6FFE" w:rsidRPr="00A078ED" w:rsidRDefault="0052743C" w:rsidP="00717D4D">
      <w:pPr>
        <w:shd w:val="clear" w:color="auto" w:fill="FFFFFF"/>
        <w:rPr>
          <w:rFonts w:asciiTheme="minorHAnsi" w:hAnsiTheme="minorHAnsi" w:cstheme="minorHAnsi"/>
          <w:color w:val="000000" w:themeColor="text1"/>
          <w:sz w:val="16"/>
          <w:szCs w:val="16"/>
          <w:lang w:val="en-US"/>
        </w:rPr>
      </w:pPr>
      <w:hyperlink r:id="rId1111" w:tooltip="Nature reviews. Immunology." w:history="1">
        <w:r w:rsidR="008F6FFE" w:rsidRPr="00A078ED">
          <w:rPr>
            <w:rFonts w:asciiTheme="minorHAnsi" w:hAnsiTheme="minorHAnsi" w:cstheme="minorHAnsi"/>
            <w:color w:val="000000" w:themeColor="text1"/>
            <w:sz w:val="16"/>
            <w:szCs w:val="16"/>
            <w:lang w:val="en-US"/>
          </w:rPr>
          <w:t>Nat Rev Immunol.</w:t>
        </w:r>
      </w:hyperlink>
      <w:r w:rsidR="008F6FFE" w:rsidRPr="00A078ED">
        <w:rPr>
          <w:rFonts w:asciiTheme="minorHAnsi" w:hAnsiTheme="minorHAnsi" w:cstheme="minorHAnsi"/>
          <w:color w:val="000000" w:themeColor="text1"/>
          <w:sz w:val="16"/>
          <w:szCs w:val="16"/>
          <w:lang w:val="en-US"/>
        </w:rPr>
        <w:t xml:space="preserve"> 2020 Mar 4. doi: 10.1038/s41577-020-0285-6. </w:t>
      </w:r>
    </w:p>
    <w:p w:rsidR="008F6FFE" w:rsidRPr="00A078ED" w:rsidRDefault="008F6FFE" w:rsidP="00717D4D">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Defining trained immunity and its role in health and disease.</w:t>
      </w:r>
    </w:p>
    <w:p w:rsidR="008F6FFE" w:rsidRPr="00A078ED" w:rsidRDefault="0052743C" w:rsidP="00717D4D">
      <w:pPr>
        <w:shd w:val="clear" w:color="auto" w:fill="FFFFFF"/>
        <w:rPr>
          <w:rFonts w:asciiTheme="minorHAnsi" w:hAnsiTheme="minorHAnsi" w:cstheme="minorHAnsi"/>
          <w:color w:val="000000" w:themeColor="text1"/>
          <w:sz w:val="16"/>
          <w:szCs w:val="16"/>
          <w:lang w:val="en-US"/>
        </w:rPr>
      </w:pPr>
      <w:hyperlink r:id="rId1112" w:history="1">
        <w:r w:rsidR="008F6FFE" w:rsidRPr="00A078ED">
          <w:rPr>
            <w:rFonts w:asciiTheme="minorHAnsi" w:hAnsiTheme="minorHAnsi" w:cstheme="minorHAnsi"/>
            <w:color w:val="000000" w:themeColor="text1"/>
            <w:sz w:val="16"/>
            <w:szCs w:val="16"/>
            <w:lang w:val="en-US"/>
          </w:rPr>
          <w:t>Netea MG</w:t>
        </w:r>
      </w:hyperlink>
      <w:r w:rsidR="008F6FFE" w:rsidRPr="00A078ED">
        <w:rPr>
          <w:rFonts w:asciiTheme="minorHAnsi" w:hAnsiTheme="minorHAnsi" w:cstheme="minorHAnsi"/>
          <w:color w:val="000000" w:themeColor="text1"/>
          <w:sz w:val="16"/>
          <w:szCs w:val="16"/>
          <w:lang w:val="en-US"/>
        </w:rPr>
        <w:t xml:space="preserve"> et al</w:t>
      </w:r>
    </w:p>
    <w:p w:rsidR="008F6FFE" w:rsidRPr="00A078ED" w:rsidRDefault="0052743C" w:rsidP="00292C07">
      <w:pPr>
        <w:shd w:val="clear" w:color="auto" w:fill="FFFFFF"/>
        <w:rPr>
          <w:rFonts w:asciiTheme="minorHAnsi" w:hAnsiTheme="minorHAnsi" w:cstheme="minorHAnsi"/>
          <w:color w:val="000000" w:themeColor="text1"/>
          <w:sz w:val="16"/>
          <w:szCs w:val="16"/>
          <w:lang w:val="en-US"/>
        </w:rPr>
      </w:pPr>
      <w:hyperlink r:id="rId1113" w:history="1">
        <w:r w:rsidR="008F6FFE" w:rsidRPr="00A078ED">
          <w:rPr>
            <w:rFonts w:asciiTheme="minorHAnsi" w:hAnsiTheme="minorHAnsi" w:cstheme="minorHAnsi"/>
            <w:color w:val="000000" w:themeColor="text1"/>
            <w:sz w:val="16"/>
            <w:szCs w:val="16"/>
            <w:lang w:val="en-US"/>
          </w:rPr>
          <w:t>https://www.ncbi.nlm.nih.gov/pmc/articles/PMC7186935/</w:t>
        </w:r>
      </w:hyperlink>
    </w:p>
    <w:p w:rsidR="008F6FFE" w:rsidRPr="00A078ED" w:rsidRDefault="008F6FFE" w:rsidP="00292C07">
      <w:pPr>
        <w:shd w:val="clear" w:color="auto" w:fill="FFFFFF"/>
        <w:rPr>
          <w:rFonts w:asciiTheme="minorHAnsi" w:hAnsiTheme="minorHAnsi" w:cstheme="minorHAnsi"/>
          <w:color w:val="000000" w:themeColor="text1"/>
          <w:sz w:val="16"/>
          <w:szCs w:val="16"/>
          <w:lang w:val="en-US"/>
        </w:rPr>
      </w:pPr>
    </w:p>
    <w:p w:rsidR="008F6FFE" w:rsidRPr="00A078ED" w:rsidRDefault="008F6FFE" w:rsidP="00E35BEE">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 xml:space="preserve">Hajishengallis G, Li X, Mitroulis I, Chavakis T. </w:t>
      </w:r>
    </w:p>
    <w:p w:rsidR="008F6FFE" w:rsidRPr="00A078ED" w:rsidRDefault="008F6FFE" w:rsidP="00E35BEE">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Trained Innate Immunity and Its Implications for Mucosal Immunity and Inflammation. </w:t>
      </w:r>
    </w:p>
    <w:p w:rsidR="008F6FFE" w:rsidRPr="00A078ED" w:rsidRDefault="008F6FFE" w:rsidP="00E35BEE">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Adv Exp Med Biol. 2019;1197:11‐26. doi:10.1007/978-3-030-28524-1_2</w:t>
      </w:r>
    </w:p>
    <w:p w:rsidR="008F6FFE" w:rsidRPr="00A078ED" w:rsidRDefault="0052743C" w:rsidP="00292C07">
      <w:pPr>
        <w:shd w:val="clear" w:color="auto" w:fill="FFFFFF"/>
        <w:rPr>
          <w:rFonts w:asciiTheme="minorHAnsi" w:hAnsiTheme="minorHAnsi" w:cstheme="minorHAnsi"/>
          <w:color w:val="000000" w:themeColor="text1"/>
          <w:sz w:val="16"/>
          <w:szCs w:val="16"/>
          <w:lang w:val="en-US"/>
        </w:rPr>
      </w:pPr>
      <w:hyperlink r:id="rId1114" w:history="1">
        <w:r w:rsidR="008F6FFE" w:rsidRPr="00A078ED">
          <w:rPr>
            <w:rFonts w:asciiTheme="minorHAnsi" w:hAnsiTheme="minorHAnsi" w:cstheme="minorHAnsi"/>
            <w:color w:val="000000" w:themeColor="text1"/>
            <w:sz w:val="16"/>
            <w:szCs w:val="16"/>
            <w:lang w:val="en-US"/>
          </w:rPr>
          <w:t>https://www.ncbi.nlm.nih.gov/pmc/articles/PMC6986364/</w:t>
        </w:r>
      </w:hyperlink>
    </w:p>
    <w:p w:rsidR="008F6FFE" w:rsidRPr="00A078ED" w:rsidRDefault="008F6FFE" w:rsidP="00E35BEE">
      <w:pPr>
        <w:shd w:val="clear" w:color="auto" w:fill="FFFFFF"/>
        <w:rPr>
          <w:rFonts w:asciiTheme="minorHAnsi" w:hAnsiTheme="minorHAnsi" w:cstheme="minorHAnsi"/>
          <w:color w:val="000000" w:themeColor="text1"/>
          <w:sz w:val="16"/>
          <w:szCs w:val="16"/>
          <w:lang w:val="en-US"/>
        </w:rPr>
      </w:pPr>
    </w:p>
    <w:p w:rsidR="008F6FFE" w:rsidRPr="00A078ED" w:rsidRDefault="008F6FFE" w:rsidP="00292C07">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 xml:space="preserve">Netea MG, et al. </w:t>
      </w:r>
    </w:p>
    <w:p w:rsidR="008F6FFE" w:rsidRPr="00A078ED" w:rsidRDefault="008F6FFE" w:rsidP="00292C07">
      <w:pPr>
        <w:shd w:val="clear" w:color="auto" w:fill="FFFFFF"/>
        <w:rPr>
          <w:color w:val="000000" w:themeColor="text1"/>
          <w:lang w:val="en-US"/>
        </w:rPr>
      </w:pPr>
      <w:r w:rsidRPr="00A078ED">
        <w:rPr>
          <w:rFonts w:asciiTheme="minorHAnsi" w:hAnsiTheme="minorHAnsi" w:cstheme="minorHAnsi"/>
          <w:color w:val="000000" w:themeColor="text1"/>
          <w:sz w:val="16"/>
          <w:szCs w:val="16"/>
          <w:lang w:val="en-US"/>
        </w:rPr>
        <w:t>Trained immunity: A program of innate immune memory in health and disease.</w:t>
      </w:r>
      <w:r w:rsidRPr="00A078ED">
        <w:rPr>
          <w:color w:val="000000" w:themeColor="text1"/>
          <w:lang w:val="en-US"/>
        </w:rPr>
        <w:t> </w:t>
      </w:r>
    </w:p>
    <w:p w:rsidR="008F6FFE" w:rsidRPr="00A078ED" w:rsidRDefault="008F6FFE" w:rsidP="00292C07">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Science. 2016;352(6284):aaf1098. doi:10.1126/science.aaf1098</w:t>
      </w:r>
    </w:p>
    <w:p w:rsidR="008F6FFE" w:rsidRPr="00A078ED" w:rsidRDefault="0052743C" w:rsidP="00292C07">
      <w:pPr>
        <w:shd w:val="clear" w:color="auto" w:fill="FFFFFF"/>
        <w:rPr>
          <w:rFonts w:asciiTheme="minorHAnsi" w:hAnsiTheme="minorHAnsi" w:cstheme="minorHAnsi"/>
          <w:color w:val="000000" w:themeColor="text1"/>
          <w:sz w:val="16"/>
          <w:szCs w:val="16"/>
          <w:lang w:val="en-US"/>
        </w:rPr>
      </w:pPr>
      <w:hyperlink r:id="rId1115" w:history="1">
        <w:r w:rsidR="008F6FFE" w:rsidRPr="00A078ED">
          <w:rPr>
            <w:rFonts w:asciiTheme="minorHAnsi" w:hAnsiTheme="minorHAnsi" w:cstheme="minorHAnsi"/>
            <w:color w:val="000000" w:themeColor="text1"/>
            <w:sz w:val="16"/>
            <w:szCs w:val="16"/>
            <w:lang w:val="en-US"/>
          </w:rPr>
          <w:t>https://www.ncbi.nlm.nih.gov/pmc/articles/PMC5087274/</w:t>
        </w:r>
      </w:hyperlink>
    </w:p>
    <w:p w:rsidR="008F6FFE" w:rsidRPr="00A078ED" w:rsidRDefault="008F6FFE" w:rsidP="00292C07">
      <w:pPr>
        <w:shd w:val="clear" w:color="auto" w:fill="FFFFFF"/>
        <w:rPr>
          <w:rFonts w:asciiTheme="minorHAnsi" w:hAnsiTheme="minorHAnsi" w:cstheme="minorHAnsi"/>
          <w:color w:val="000000" w:themeColor="text1"/>
          <w:sz w:val="16"/>
          <w:szCs w:val="16"/>
          <w:lang w:val="en-US"/>
        </w:rPr>
      </w:pPr>
    </w:p>
    <w:p w:rsidR="008F6FFE" w:rsidRPr="00A078ED" w:rsidRDefault="008F6FFE" w:rsidP="00292C07">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 xml:space="preserve">Netea MG. </w:t>
      </w:r>
    </w:p>
    <w:p w:rsidR="008F6FFE" w:rsidRPr="00A078ED" w:rsidRDefault="008F6FFE" w:rsidP="00292C07">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Training innate immunity: the changing concept of immunological memory in innate host defence. </w:t>
      </w:r>
    </w:p>
    <w:p w:rsidR="008F6FFE" w:rsidRPr="00A078ED" w:rsidRDefault="008F6FFE" w:rsidP="00292C07">
      <w:pPr>
        <w:shd w:val="clear" w:color="auto" w:fill="FFFFFF"/>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Eur J Clin Invest. 2013;43(8):881‐884. doi:10.1111/eci.12132</w:t>
      </w:r>
    </w:p>
    <w:p w:rsidR="008F6FFE" w:rsidRPr="00A078ED" w:rsidRDefault="0052743C" w:rsidP="00292C07">
      <w:pPr>
        <w:shd w:val="clear" w:color="auto" w:fill="FFFFFF"/>
        <w:rPr>
          <w:rFonts w:asciiTheme="minorHAnsi" w:hAnsiTheme="minorHAnsi" w:cstheme="minorHAnsi"/>
          <w:color w:val="000000" w:themeColor="text1"/>
          <w:sz w:val="16"/>
          <w:szCs w:val="16"/>
          <w:lang w:val="en-US"/>
        </w:rPr>
      </w:pPr>
      <w:hyperlink r:id="rId1116" w:history="1">
        <w:r w:rsidR="008F6FFE" w:rsidRPr="00A078ED">
          <w:rPr>
            <w:rFonts w:asciiTheme="minorHAnsi" w:hAnsiTheme="minorHAnsi" w:cstheme="minorHAnsi"/>
            <w:color w:val="000000" w:themeColor="text1"/>
            <w:sz w:val="16"/>
            <w:szCs w:val="16"/>
            <w:lang w:val="en-US"/>
          </w:rPr>
          <w:t>https://onlinelibrary.wiley.com/doi/full/10.1111/eci.12132</w:t>
        </w:r>
      </w:hyperlink>
    </w:p>
    <w:p w:rsidR="008F6FFE" w:rsidRPr="00717D4D" w:rsidRDefault="008F6FFE" w:rsidP="00717D4D">
      <w:pPr>
        <w:shd w:val="clear" w:color="auto" w:fill="FFFFFF"/>
        <w:rPr>
          <w:rFonts w:asciiTheme="minorHAnsi" w:hAnsiTheme="minorHAnsi" w:cstheme="minorHAnsi"/>
          <w:color w:val="1C1E21"/>
          <w:sz w:val="16"/>
          <w:szCs w:val="16"/>
          <w:lang w:val="en-US"/>
        </w:rPr>
      </w:pPr>
    </w:p>
  </w:footnote>
  <w:footnote w:id="152">
    <w:p w:rsidR="008F6FFE" w:rsidRPr="00717D4D" w:rsidRDefault="008F6FFE" w:rsidP="00717D4D">
      <w:pPr>
        <w:shd w:val="clear" w:color="auto" w:fill="FFFFFF"/>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1C1E21"/>
          <w:sz w:val="16"/>
          <w:szCs w:val="16"/>
          <w:vertAlign w:val="superscript"/>
          <w:lang w:val="en-US"/>
        </w:rPr>
        <w:footnoteRef/>
      </w:r>
      <w:r w:rsidRPr="00717D4D">
        <w:rPr>
          <w:rFonts w:asciiTheme="minorHAnsi" w:hAnsiTheme="minorHAnsi" w:cstheme="minorHAnsi"/>
          <w:color w:val="1C1E21"/>
          <w:sz w:val="16"/>
          <w:szCs w:val="16"/>
          <w:lang w:val="en-US"/>
        </w:rPr>
        <w:t xml:space="preserve"> </w:t>
      </w:r>
      <w:r w:rsidRPr="00717D4D">
        <w:rPr>
          <w:rFonts w:asciiTheme="minorHAnsi" w:hAnsiTheme="minorHAnsi" w:cstheme="minorHAnsi"/>
          <w:color w:val="000000" w:themeColor="text1"/>
          <w:sz w:val="16"/>
          <w:szCs w:val="16"/>
          <w:lang w:val="en-US"/>
        </w:rPr>
        <w:t xml:space="preserve">Nat Rev Immunol. 2007;7(5):379‐390. doi:10.1038/nri2075. </w:t>
      </w:r>
    </w:p>
    <w:p w:rsidR="008F6FFE" w:rsidRPr="00717D4D" w:rsidRDefault="008F6FFE" w:rsidP="00717D4D">
      <w:pPr>
        <w:shd w:val="clear" w:color="auto" w:fill="FFFFFF"/>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Innate immunity of the newborn: basic mechanisms and clinical correlates. </w:t>
      </w:r>
    </w:p>
    <w:p w:rsidR="008F6FFE" w:rsidRPr="00717D4D" w:rsidRDefault="008F6FFE" w:rsidP="00717D4D">
      <w:pPr>
        <w:shd w:val="clear" w:color="auto" w:fill="FFFFFF"/>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Levy O</w:t>
      </w:r>
    </w:p>
    <w:p w:rsidR="008F6FFE" w:rsidRPr="00717D4D" w:rsidRDefault="0052743C" w:rsidP="00717D4D">
      <w:pPr>
        <w:shd w:val="clear" w:color="auto" w:fill="FFFFFF"/>
        <w:jc w:val="both"/>
        <w:rPr>
          <w:rFonts w:asciiTheme="minorHAnsi" w:hAnsiTheme="minorHAnsi" w:cstheme="minorHAnsi"/>
          <w:color w:val="000000" w:themeColor="text1"/>
          <w:sz w:val="16"/>
          <w:szCs w:val="16"/>
          <w:lang w:val="en-US"/>
        </w:rPr>
      </w:pPr>
      <w:hyperlink r:id="rId1117" w:history="1">
        <w:r w:rsidR="008F6FFE" w:rsidRPr="00717D4D">
          <w:rPr>
            <w:rFonts w:asciiTheme="minorHAnsi" w:hAnsiTheme="minorHAnsi" w:cstheme="minorHAnsi"/>
            <w:color w:val="000000" w:themeColor="text1"/>
            <w:sz w:val="16"/>
            <w:szCs w:val="16"/>
            <w:lang w:val="en-US"/>
          </w:rPr>
          <w:t>https://www.nature.com/articles/nri2075</w:t>
        </w:r>
      </w:hyperlink>
    </w:p>
    <w:p w:rsidR="008F6FFE" w:rsidRPr="00717D4D" w:rsidRDefault="008F6FFE" w:rsidP="00717D4D">
      <w:pPr>
        <w:shd w:val="clear" w:color="auto" w:fill="FFFFFF"/>
        <w:jc w:val="both"/>
        <w:rPr>
          <w:rFonts w:asciiTheme="minorHAnsi" w:hAnsiTheme="minorHAnsi" w:cstheme="minorHAnsi"/>
          <w:color w:val="000000" w:themeColor="text1"/>
          <w:sz w:val="16"/>
          <w:szCs w:val="16"/>
          <w:lang w:val="en-US"/>
        </w:rPr>
      </w:pPr>
    </w:p>
    <w:p w:rsidR="008F6FFE" w:rsidRPr="00717D4D" w:rsidRDefault="008F6FFE" w:rsidP="00717D4D">
      <w:pPr>
        <w:shd w:val="clear" w:color="auto" w:fill="FFFFFF"/>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Nat Med 2019 Apr;25(4):591-596. doi: 10.1038/s41591-019-0392-8. </w:t>
      </w:r>
    </w:p>
    <w:p w:rsidR="008F6FFE" w:rsidRPr="00717D4D" w:rsidRDefault="008F6FFE" w:rsidP="00717D4D">
      <w:pPr>
        <w:shd w:val="clear" w:color="auto" w:fill="FFFFFF"/>
        <w:jc w:val="both"/>
        <w:rPr>
          <w:rFonts w:asciiTheme="minorHAnsi" w:hAnsiTheme="minorHAnsi" w:cstheme="minorHAnsi"/>
          <w:color w:val="000000" w:themeColor="text1"/>
          <w:sz w:val="16"/>
          <w:szCs w:val="16"/>
          <w:lang w:val="en-US"/>
        </w:rPr>
      </w:pPr>
      <w:r w:rsidRPr="00717D4D">
        <w:rPr>
          <w:rFonts w:asciiTheme="minorHAnsi" w:hAnsiTheme="minorHAnsi" w:cstheme="minorHAnsi"/>
          <w:color w:val="000000" w:themeColor="text1"/>
          <w:sz w:val="16"/>
          <w:szCs w:val="16"/>
          <w:lang w:val="en-US"/>
        </w:rPr>
        <w:t>The Repertoire of Maternal Anti-Viral Antibodies in Human Newborns</w:t>
      </w:r>
    </w:p>
    <w:p w:rsidR="008F6FFE" w:rsidRPr="00717D4D" w:rsidRDefault="0052743C" w:rsidP="00717D4D">
      <w:pPr>
        <w:shd w:val="clear" w:color="auto" w:fill="FFFFFF"/>
        <w:jc w:val="both"/>
        <w:rPr>
          <w:rFonts w:asciiTheme="minorHAnsi" w:hAnsiTheme="minorHAnsi" w:cstheme="minorHAnsi"/>
          <w:color w:val="000000" w:themeColor="text1"/>
          <w:sz w:val="16"/>
          <w:szCs w:val="16"/>
          <w:lang w:val="en-US"/>
        </w:rPr>
      </w:pPr>
      <w:hyperlink r:id="rId1118" w:history="1">
        <w:r w:rsidR="008F6FFE" w:rsidRPr="00717D4D">
          <w:rPr>
            <w:rFonts w:asciiTheme="minorHAnsi" w:hAnsiTheme="minorHAnsi" w:cstheme="minorHAnsi"/>
            <w:color w:val="000000" w:themeColor="text1"/>
            <w:sz w:val="16"/>
            <w:szCs w:val="16"/>
            <w:lang w:val="en-US"/>
          </w:rPr>
          <w:t>Christian Pou</w:t>
        </w:r>
      </w:hyperlink>
      <w:r w:rsidR="008F6FFE" w:rsidRPr="00717D4D">
        <w:rPr>
          <w:rFonts w:asciiTheme="minorHAnsi" w:hAnsiTheme="minorHAnsi" w:cstheme="minorHAnsi"/>
          <w:color w:val="000000" w:themeColor="text1"/>
          <w:sz w:val="16"/>
          <w:szCs w:val="16"/>
          <w:lang w:val="en-US"/>
        </w:rPr>
        <w:t> </w:t>
      </w:r>
      <w:r w:rsidR="008F6FFE" w:rsidRPr="00A832DC">
        <w:rPr>
          <w:rFonts w:asciiTheme="minorHAnsi" w:hAnsiTheme="minorHAnsi"/>
          <w:sz w:val="16"/>
          <w:szCs w:val="16"/>
          <w:lang w:val="en-US"/>
        </w:rPr>
        <w:t xml:space="preserve"> et al</w:t>
      </w:r>
    </w:p>
    <w:p w:rsidR="008F6FFE" w:rsidRPr="00A078ED" w:rsidRDefault="0052743C" w:rsidP="00292C07">
      <w:pPr>
        <w:shd w:val="clear" w:color="auto" w:fill="FFFFFF"/>
        <w:jc w:val="both"/>
        <w:rPr>
          <w:rFonts w:asciiTheme="minorHAnsi" w:hAnsiTheme="minorHAnsi" w:cstheme="minorHAnsi"/>
          <w:color w:val="000000" w:themeColor="text1"/>
          <w:sz w:val="16"/>
          <w:szCs w:val="16"/>
          <w:lang w:val="en-US"/>
        </w:rPr>
      </w:pPr>
      <w:hyperlink r:id="rId1119" w:history="1">
        <w:r w:rsidR="008F6FFE" w:rsidRPr="00A078ED">
          <w:rPr>
            <w:rFonts w:asciiTheme="minorHAnsi" w:hAnsiTheme="minorHAnsi" w:cstheme="minorHAnsi"/>
            <w:color w:val="000000" w:themeColor="text1"/>
            <w:sz w:val="16"/>
            <w:szCs w:val="16"/>
            <w:lang w:val="en-US"/>
          </w:rPr>
          <w:t>https://www.nature.com/articles/s41591-019-0392-8</w:t>
        </w:r>
      </w:hyperlink>
    </w:p>
    <w:p w:rsidR="008F6FFE" w:rsidRPr="00A078ED" w:rsidRDefault="008F6FFE" w:rsidP="00717D4D">
      <w:pPr>
        <w:shd w:val="clear" w:color="auto" w:fill="FFFFFF"/>
        <w:jc w:val="both"/>
        <w:rPr>
          <w:rFonts w:asciiTheme="minorHAnsi" w:hAnsiTheme="minorHAnsi" w:cstheme="minorHAnsi"/>
          <w:color w:val="000000" w:themeColor="text1"/>
          <w:sz w:val="16"/>
          <w:szCs w:val="16"/>
          <w:lang w:val="en-US"/>
        </w:rPr>
      </w:pPr>
    </w:p>
    <w:p w:rsidR="008F6FFE" w:rsidRPr="00A078ED" w:rsidRDefault="008F6FFE" w:rsidP="00717D4D">
      <w:pPr>
        <w:shd w:val="clear" w:color="auto" w:fill="FFFFFF"/>
        <w:jc w:val="both"/>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 xml:space="preserve">Am J Reprod Immunol. 2018 Sep;80(3):e12972. doi: 10.1111/aji.12972. </w:t>
      </w:r>
    </w:p>
    <w:p w:rsidR="008F6FFE" w:rsidRPr="00A078ED" w:rsidRDefault="008F6FFE" w:rsidP="00717D4D">
      <w:pPr>
        <w:shd w:val="clear" w:color="auto" w:fill="FFFFFF"/>
        <w:jc w:val="both"/>
        <w:rPr>
          <w:rFonts w:asciiTheme="minorHAnsi" w:hAnsiTheme="minorHAnsi" w:cstheme="minorHAnsi"/>
          <w:color w:val="000000" w:themeColor="text1"/>
          <w:sz w:val="16"/>
          <w:szCs w:val="16"/>
          <w:lang w:val="en-US"/>
        </w:rPr>
      </w:pPr>
      <w:r w:rsidRPr="00A078ED">
        <w:rPr>
          <w:rFonts w:asciiTheme="minorHAnsi" w:hAnsiTheme="minorHAnsi" w:cstheme="minorHAnsi"/>
          <w:color w:val="000000" w:themeColor="text1"/>
          <w:sz w:val="16"/>
          <w:szCs w:val="16"/>
          <w:lang w:val="en-US"/>
        </w:rPr>
        <w:t xml:space="preserve">Expression of FcRn receptor in placental tissue and its relationship with IgG levels in term and preterm newborns. </w:t>
      </w:r>
    </w:p>
    <w:p w:rsidR="008F6FFE" w:rsidRPr="00717D4D" w:rsidRDefault="008F6FFE" w:rsidP="00717D4D">
      <w:pPr>
        <w:shd w:val="clear" w:color="auto" w:fill="FFFFFF"/>
        <w:jc w:val="both"/>
        <w:rPr>
          <w:rFonts w:asciiTheme="minorHAnsi" w:hAnsiTheme="minorHAnsi" w:cstheme="minorHAnsi"/>
          <w:color w:val="000000" w:themeColor="text1"/>
          <w:sz w:val="16"/>
          <w:szCs w:val="16"/>
        </w:rPr>
      </w:pPr>
      <w:r w:rsidRPr="00717D4D">
        <w:rPr>
          <w:rFonts w:asciiTheme="minorHAnsi" w:hAnsiTheme="minorHAnsi" w:cstheme="minorHAnsi"/>
          <w:color w:val="000000" w:themeColor="text1"/>
          <w:sz w:val="16"/>
          <w:szCs w:val="16"/>
        </w:rPr>
        <w:t>Lozano NA, Lozano A, Marini V, Saranz RJ, Blumberg RS, Baker K, Agresta MF, Ponzio MF.</w:t>
      </w:r>
    </w:p>
    <w:p w:rsidR="008F6FFE" w:rsidRPr="00292C07" w:rsidRDefault="0052743C" w:rsidP="00292C07">
      <w:pPr>
        <w:shd w:val="clear" w:color="auto" w:fill="FFFFFF"/>
        <w:jc w:val="both"/>
        <w:rPr>
          <w:rFonts w:asciiTheme="minorHAnsi" w:hAnsiTheme="minorHAnsi" w:cstheme="minorHAnsi"/>
          <w:color w:val="000000" w:themeColor="text1"/>
          <w:sz w:val="16"/>
          <w:szCs w:val="16"/>
        </w:rPr>
      </w:pPr>
      <w:hyperlink r:id="rId1120" w:history="1">
        <w:r w:rsidR="008F6FFE" w:rsidRPr="00292C07">
          <w:rPr>
            <w:rFonts w:asciiTheme="minorHAnsi" w:hAnsiTheme="minorHAnsi" w:cstheme="minorHAnsi"/>
            <w:color w:val="000000" w:themeColor="text1"/>
            <w:sz w:val="16"/>
            <w:szCs w:val="16"/>
          </w:rPr>
          <w:t>https://www.ncbi.nlm.nih.gov/pmc/articles/PMC6153031/</w:t>
        </w:r>
      </w:hyperlink>
    </w:p>
    <w:p w:rsidR="008F6FFE" w:rsidRPr="00717D4D" w:rsidRDefault="008F6FFE" w:rsidP="00717D4D">
      <w:pPr>
        <w:pStyle w:val="FootnoteText"/>
        <w:rPr>
          <w:rFonts w:asciiTheme="minorHAnsi" w:hAnsiTheme="minorHAnsi"/>
          <w:sz w:val="16"/>
          <w:szCs w:val="16"/>
        </w:rPr>
      </w:pPr>
    </w:p>
  </w:footnote>
  <w:footnote w:id="153">
    <w:p w:rsidR="008F6FFE" w:rsidRPr="00717D4D" w:rsidRDefault="008F6FFE" w:rsidP="00717D4D">
      <w:pPr>
        <w:rPr>
          <w:rFonts w:asciiTheme="minorHAnsi" w:hAnsiTheme="minorHAnsi"/>
          <w:color w:val="000000" w:themeColor="text1"/>
          <w:sz w:val="16"/>
          <w:szCs w:val="16"/>
        </w:rPr>
      </w:pPr>
      <w:r w:rsidRPr="00717D4D">
        <w:rPr>
          <w:rStyle w:val="FootnoteReference"/>
          <w:rFonts w:asciiTheme="minorHAnsi" w:hAnsiTheme="minorHAnsi"/>
          <w:sz w:val="16"/>
          <w:szCs w:val="16"/>
        </w:rPr>
        <w:footnoteRef/>
      </w:r>
      <w:r w:rsidRPr="00717D4D">
        <w:rPr>
          <w:rFonts w:asciiTheme="minorHAnsi" w:hAnsiTheme="minorHAnsi"/>
          <w:sz w:val="16"/>
          <w:szCs w:val="16"/>
        </w:rPr>
        <w:t xml:space="preserve"> </w:t>
      </w:r>
      <w:hyperlink r:id="rId1121" w:history="1">
        <w:r w:rsidRPr="00717D4D">
          <w:rPr>
            <w:rStyle w:val="Hyperlink"/>
            <w:rFonts w:asciiTheme="minorHAnsi" w:eastAsiaTheme="majorEastAsia" w:hAnsiTheme="minorHAnsi"/>
            <w:color w:val="000000" w:themeColor="text1"/>
            <w:sz w:val="16"/>
            <w:szCs w:val="16"/>
            <w:u w:val="none"/>
          </w:rPr>
          <w:t>https://www.who.int/gho/child_health/mortality/neonatal_infant_text/en/</w:t>
        </w:r>
      </w:hyperlink>
    </w:p>
    <w:p w:rsidR="008F6FFE" w:rsidRPr="00717D4D" w:rsidRDefault="008F6FFE" w:rsidP="00717D4D">
      <w:pPr>
        <w:rPr>
          <w:rFonts w:asciiTheme="minorHAnsi" w:hAnsiTheme="minorHAnsi"/>
          <w:sz w:val="16"/>
          <w:szCs w:val="16"/>
        </w:rPr>
      </w:pPr>
    </w:p>
    <w:p w:rsidR="008F6FFE" w:rsidRPr="00717D4D" w:rsidRDefault="0052743C" w:rsidP="00717D4D">
      <w:pPr>
        <w:rPr>
          <w:rFonts w:asciiTheme="minorHAnsi" w:hAnsiTheme="minorHAnsi"/>
          <w:sz w:val="16"/>
          <w:szCs w:val="16"/>
        </w:rPr>
      </w:pPr>
      <w:hyperlink r:id="rId1122" w:history="1">
        <w:r w:rsidR="008F6FFE" w:rsidRPr="00717D4D">
          <w:rPr>
            <w:rStyle w:val="Hyperlink"/>
            <w:rFonts w:asciiTheme="minorHAnsi" w:eastAsiaTheme="majorEastAsia" w:hAnsiTheme="minorHAnsi"/>
            <w:color w:val="000000" w:themeColor="text1"/>
            <w:sz w:val="16"/>
            <w:szCs w:val="16"/>
            <w:u w:val="none"/>
          </w:rPr>
          <w:t>https://en.wikipedia.org/wiki/Infant_mortality</w:t>
        </w:r>
      </w:hyperlink>
    </w:p>
    <w:p w:rsidR="008F6FFE" w:rsidRPr="00717D4D" w:rsidRDefault="008F6FFE" w:rsidP="00717D4D">
      <w:pPr>
        <w:pStyle w:val="FootnoteText"/>
        <w:rPr>
          <w:rFonts w:asciiTheme="minorHAnsi" w:hAnsiTheme="minorHAnsi"/>
          <w:sz w:val="16"/>
          <w:szCs w:val="16"/>
        </w:rPr>
      </w:pPr>
    </w:p>
  </w:footnote>
  <w:footnote w:id="154">
    <w:p w:rsidR="008F6FFE" w:rsidRPr="00165563" w:rsidRDefault="008F6FFE" w:rsidP="00717D4D">
      <w:pPr>
        <w:rPr>
          <w:rFonts w:asciiTheme="minorHAnsi" w:hAnsiTheme="minorHAnsi"/>
          <w:color w:val="000000" w:themeColor="text1"/>
          <w:sz w:val="16"/>
          <w:szCs w:val="16"/>
          <w:shd w:val="clear" w:color="auto" w:fill="FFFFFF"/>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165563">
        <w:rPr>
          <w:rFonts w:asciiTheme="minorHAnsi" w:hAnsiTheme="minorHAnsi"/>
          <w:iCs/>
          <w:color w:val="000000" w:themeColor="text1"/>
          <w:sz w:val="16"/>
          <w:szCs w:val="16"/>
          <w:shd w:val="clear" w:color="auto" w:fill="FFFFFF"/>
          <w:lang w:val="en-US"/>
        </w:rPr>
        <w:t>npj Vaccines</w:t>
      </w:r>
      <w:r w:rsidRPr="00165563">
        <w:rPr>
          <w:rFonts w:asciiTheme="minorHAnsi" w:hAnsiTheme="minorHAnsi"/>
          <w:color w:val="000000" w:themeColor="text1"/>
          <w:sz w:val="16"/>
          <w:szCs w:val="16"/>
          <w:shd w:val="clear" w:color="auto" w:fill="FFFFFF"/>
          <w:lang w:val="en-US"/>
        </w:rPr>
        <w:t> </w:t>
      </w:r>
      <w:r w:rsidRPr="00165563">
        <w:rPr>
          <w:rFonts w:asciiTheme="minorHAnsi" w:hAnsiTheme="minorHAnsi"/>
          <w:bCs/>
          <w:color w:val="000000" w:themeColor="text1"/>
          <w:sz w:val="16"/>
          <w:szCs w:val="16"/>
          <w:shd w:val="clear" w:color="auto" w:fill="FFFFFF"/>
          <w:lang w:val="en-US"/>
        </w:rPr>
        <w:t>3,</w:t>
      </w:r>
      <w:r w:rsidRPr="00165563">
        <w:rPr>
          <w:rFonts w:asciiTheme="minorHAnsi" w:hAnsiTheme="minorHAnsi"/>
          <w:b/>
          <w:bCs/>
          <w:color w:val="000000" w:themeColor="text1"/>
          <w:sz w:val="16"/>
          <w:szCs w:val="16"/>
          <w:shd w:val="clear" w:color="auto" w:fill="FFFFFF"/>
          <w:lang w:val="en-US"/>
        </w:rPr>
        <w:t> </w:t>
      </w:r>
      <w:r w:rsidRPr="00165563">
        <w:rPr>
          <w:rFonts w:asciiTheme="minorHAnsi" w:hAnsiTheme="minorHAnsi"/>
          <w:color w:val="000000" w:themeColor="text1"/>
          <w:sz w:val="16"/>
          <w:szCs w:val="16"/>
          <w:shd w:val="clear" w:color="auto" w:fill="FFFFFF"/>
          <w:lang w:val="en-US"/>
        </w:rPr>
        <w:t xml:space="preserve">6 (2018). </w:t>
      </w:r>
      <w:hyperlink r:id="rId1123" w:history="1">
        <w:r w:rsidRPr="00165563">
          <w:rPr>
            <w:rStyle w:val="Hyperlink"/>
            <w:rFonts w:asciiTheme="minorHAnsi" w:hAnsiTheme="minorHAnsi"/>
            <w:color w:val="000000" w:themeColor="text1"/>
            <w:sz w:val="16"/>
            <w:szCs w:val="16"/>
            <w:u w:val="none"/>
            <w:shd w:val="clear" w:color="auto" w:fill="FFFFFF"/>
            <w:lang w:val="en-US"/>
          </w:rPr>
          <w:t>https://doi.org/10.1038/s41541-017-0042-4</w:t>
        </w:r>
      </w:hyperlink>
      <w:r w:rsidRPr="00165563">
        <w:rPr>
          <w:rFonts w:asciiTheme="minorHAnsi" w:hAnsiTheme="minorHAnsi"/>
          <w:color w:val="000000" w:themeColor="text1"/>
          <w:sz w:val="16"/>
          <w:szCs w:val="16"/>
          <w:shd w:val="clear" w:color="auto" w:fill="FFFFFF"/>
          <w:lang w:val="en-US"/>
        </w:rPr>
        <w:t xml:space="preserve"> </w:t>
      </w:r>
    </w:p>
    <w:p w:rsidR="008F6FFE" w:rsidRPr="00165563" w:rsidRDefault="008F6FFE" w:rsidP="00717D4D">
      <w:pPr>
        <w:rPr>
          <w:rFonts w:asciiTheme="minorHAnsi" w:hAnsiTheme="minorHAnsi"/>
          <w:color w:val="000000" w:themeColor="text1"/>
          <w:sz w:val="16"/>
          <w:szCs w:val="16"/>
          <w:lang w:val="en-US"/>
        </w:rPr>
      </w:pPr>
      <w:r w:rsidRPr="00165563">
        <w:rPr>
          <w:rFonts w:asciiTheme="minorHAnsi" w:hAnsiTheme="minorHAnsi"/>
          <w:color w:val="000000" w:themeColor="text1"/>
          <w:sz w:val="16"/>
          <w:szCs w:val="16"/>
          <w:shd w:val="clear" w:color="auto" w:fill="FFFFFF"/>
          <w:lang w:val="en-US"/>
        </w:rPr>
        <w:t>Pregnancy and infection: using disease pathogenesis to inform vaccine strategy. </w:t>
      </w:r>
    </w:p>
    <w:p w:rsidR="008F6FFE" w:rsidRPr="00235A16" w:rsidRDefault="008F6FFE" w:rsidP="00717D4D">
      <w:pPr>
        <w:rPr>
          <w:rFonts w:asciiTheme="minorHAnsi" w:hAnsiTheme="minorHAnsi"/>
          <w:color w:val="000000" w:themeColor="text1"/>
          <w:sz w:val="16"/>
          <w:szCs w:val="16"/>
          <w:shd w:val="clear" w:color="auto" w:fill="FFFFFF"/>
          <w:lang w:val="de-DE"/>
        </w:rPr>
      </w:pPr>
      <w:r w:rsidRPr="00235A16">
        <w:rPr>
          <w:rFonts w:asciiTheme="minorHAnsi" w:hAnsiTheme="minorHAnsi"/>
          <w:color w:val="000000" w:themeColor="text1"/>
          <w:sz w:val="16"/>
          <w:szCs w:val="16"/>
          <w:shd w:val="clear" w:color="auto" w:fill="FFFFFF"/>
          <w:lang w:val="de-DE"/>
        </w:rPr>
        <w:t xml:space="preserve">Vermillion, M.S., Klein, S.L. </w:t>
      </w:r>
    </w:p>
    <w:p w:rsidR="008F6FFE" w:rsidRPr="00235A16" w:rsidRDefault="0052743C" w:rsidP="006E668D">
      <w:pPr>
        <w:rPr>
          <w:rFonts w:asciiTheme="minorHAnsi" w:hAnsiTheme="minorHAnsi"/>
          <w:color w:val="000000" w:themeColor="text1"/>
          <w:sz w:val="16"/>
          <w:szCs w:val="16"/>
          <w:shd w:val="clear" w:color="auto" w:fill="FFFFFF"/>
          <w:lang w:val="de-DE"/>
        </w:rPr>
      </w:pPr>
      <w:hyperlink r:id="rId1124" w:history="1">
        <w:r w:rsidR="008F6FFE" w:rsidRPr="00235A16">
          <w:rPr>
            <w:rFonts w:asciiTheme="minorHAnsi" w:hAnsiTheme="minorHAnsi"/>
            <w:color w:val="000000" w:themeColor="text1"/>
            <w:sz w:val="16"/>
            <w:szCs w:val="16"/>
            <w:shd w:val="clear" w:color="auto" w:fill="FFFFFF"/>
            <w:lang w:val="de-DE"/>
          </w:rPr>
          <w:t>https://www.ncbi.nlm.nih.gov/pmc/articles/PMC5794984/</w:t>
        </w:r>
      </w:hyperlink>
    </w:p>
    <w:p w:rsidR="008F6FFE" w:rsidRPr="00235A16" w:rsidRDefault="008F6FFE" w:rsidP="00717D4D">
      <w:pPr>
        <w:pStyle w:val="FootnoteText"/>
        <w:rPr>
          <w:rFonts w:asciiTheme="minorHAnsi" w:hAnsiTheme="minorHAnsi"/>
          <w:sz w:val="16"/>
          <w:szCs w:val="16"/>
          <w:lang w:val="de-DE"/>
        </w:rPr>
      </w:pPr>
    </w:p>
  </w:footnote>
  <w:footnote w:id="155">
    <w:p w:rsidR="008F6FFE" w:rsidRPr="006442E5" w:rsidRDefault="008F6FFE" w:rsidP="00F97E0C">
      <w:pPr>
        <w:rPr>
          <w:rFonts w:asciiTheme="minorHAnsi" w:hAnsiTheme="minorHAnsi"/>
          <w:iCs/>
          <w:color w:val="000000" w:themeColor="text1"/>
          <w:sz w:val="16"/>
          <w:szCs w:val="16"/>
          <w:shd w:val="clear" w:color="auto" w:fill="FFFFFF"/>
        </w:rPr>
      </w:pPr>
      <w:r w:rsidRPr="00C46326">
        <w:rPr>
          <w:rFonts w:asciiTheme="minorHAnsi" w:hAnsiTheme="minorHAnsi"/>
          <w:iCs/>
          <w:color w:val="000000" w:themeColor="text1"/>
          <w:sz w:val="16"/>
          <w:szCs w:val="16"/>
          <w:shd w:val="clear" w:color="auto" w:fill="FFFFFF"/>
          <w:vertAlign w:val="superscript"/>
          <w:lang w:val="en-US"/>
        </w:rPr>
        <w:footnoteRef/>
      </w:r>
      <w:r w:rsidRPr="006442E5">
        <w:rPr>
          <w:rFonts w:asciiTheme="minorHAnsi" w:hAnsiTheme="minorHAnsi"/>
          <w:iCs/>
          <w:color w:val="000000" w:themeColor="text1"/>
          <w:sz w:val="16"/>
          <w:szCs w:val="16"/>
          <w:shd w:val="clear" w:color="auto" w:fill="FFFFFF"/>
          <w:vertAlign w:val="superscript"/>
        </w:rPr>
        <w:t xml:space="preserve"> </w:t>
      </w:r>
      <w:r w:rsidRPr="006442E5">
        <w:rPr>
          <w:rFonts w:asciiTheme="minorHAnsi" w:hAnsiTheme="minorHAnsi"/>
          <w:iCs/>
          <w:color w:val="000000" w:themeColor="text1"/>
          <w:sz w:val="16"/>
          <w:szCs w:val="16"/>
          <w:shd w:val="clear" w:color="auto" w:fill="FFFFFF"/>
        </w:rPr>
        <w:t xml:space="preserve">Mor G, Aldo P, Alvero AB. </w:t>
      </w:r>
    </w:p>
    <w:p w:rsidR="008F6FFE" w:rsidRPr="00C46326" w:rsidRDefault="008F6FFE" w:rsidP="00F97E0C">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The unique immunological and microbial aspects of pregnancy. </w:t>
      </w:r>
    </w:p>
    <w:p w:rsidR="008F6FFE" w:rsidRPr="00C46326" w:rsidRDefault="008F6FFE" w:rsidP="00F97E0C">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Nat Rev Immunol. 2017;17(8):469‐482. doi:10.1038/nri.2017.64</w:t>
      </w:r>
    </w:p>
    <w:p w:rsidR="008F6FFE" w:rsidRPr="006E668D" w:rsidRDefault="0052743C" w:rsidP="006E668D">
      <w:pPr>
        <w:rPr>
          <w:rFonts w:asciiTheme="minorHAnsi" w:hAnsiTheme="minorHAnsi"/>
          <w:iCs/>
          <w:color w:val="000000" w:themeColor="text1"/>
          <w:sz w:val="16"/>
          <w:szCs w:val="16"/>
          <w:shd w:val="clear" w:color="auto" w:fill="FFFFFF"/>
          <w:lang w:val="en-US"/>
        </w:rPr>
      </w:pPr>
      <w:hyperlink r:id="rId1125" w:history="1">
        <w:r w:rsidR="008F6FFE" w:rsidRPr="006E668D">
          <w:rPr>
            <w:rFonts w:asciiTheme="minorHAnsi" w:hAnsiTheme="minorHAnsi"/>
            <w:iCs/>
            <w:color w:val="000000" w:themeColor="text1"/>
            <w:sz w:val="16"/>
            <w:szCs w:val="16"/>
            <w:shd w:val="clear" w:color="auto" w:fill="FFFFFF"/>
            <w:lang w:val="en-US"/>
          </w:rPr>
          <w:t>https://www.nature.com/articles/nri.2017.64</w:t>
        </w:r>
      </w:hyperlink>
    </w:p>
    <w:p w:rsidR="008F6FFE" w:rsidRPr="00C46326" w:rsidRDefault="008F6FFE" w:rsidP="00C46326">
      <w:pPr>
        <w:rPr>
          <w:rFonts w:asciiTheme="minorHAnsi" w:hAnsiTheme="minorHAnsi"/>
          <w:iCs/>
          <w:color w:val="000000" w:themeColor="text1"/>
          <w:sz w:val="16"/>
          <w:szCs w:val="16"/>
          <w:shd w:val="clear" w:color="auto" w:fill="FFFFFF"/>
          <w:lang w:val="en-US"/>
        </w:rPr>
      </w:pPr>
    </w:p>
  </w:footnote>
  <w:footnote w:id="156">
    <w:p w:rsidR="008F6FFE" w:rsidRPr="00C46326" w:rsidRDefault="008F6FFE" w:rsidP="00F97E0C">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vertAlign w:val="superscript"/>
          <w:lang w:val="en-US"/>
        </w:rPr>
        <w:footnoteRef/>
      </w:r>
      <w:r w:rsidRPr="00C46326">
        <w:rPr>
          <w:rFonts w:asciiTheme="minorHAnsi" w:hAnsiTheme="minorHAnsi"/>
          <w:iCs/>
          <w:color w:val="000000" w:themeColor="text1"/>
          <w:sz w:val="16"/>
          <w:szCs w:val="16"/>
          <w:shd w:val="clear" w:color="auto" w:fill="FFFFFF"/>
          <w:vertAlign w:val="superscript"/>
          <w:lang w:val="en-US"/>
        </w:rPr>
        <w:t xml:space="preserve"> </w:t>
      </w:r>
      <w:r w:rsidRPr="00C46326">
        <w:rPr>
          <w:rFonts w:asciiTheme="minorHAnsi" w:hAnsiTheme="minorHAnsi"/>
          <w:iCs/>
          <w:color w:val="000000" w:themeColor="text1"/>
          <w:sz w:val="16"/>
          <w:szCs w:val="16"/>
          <w:shd w:val="clear" w:color="auto" w:fill="FFFFFF"/>
          <w:lang w:val="en-US"/>
        </w:rPr>
        <w:t xml:space="preserve">Aghaeepour N, et al. </w:t>
      </w:r>
    </w:p>
    <w:p w:rsidR="008F6FFE" w:rsidRPr="00C46326" w:rsidRDefault="008F6FFE" w:rsidP="00F97E0C">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An immune clock of human pregnancy. </w:t>
      </w:r>
    </w:p>
    <w:p w:rsidR="008F6FFE" w:rsidRPr="00A078ED" w:rsidRDefault="008F6FFE" w:rsidP="00F97E0C">
      <w:pPr>
        <w:rPr>
          <w:rFonts w:asciiTheme="minorHAnsi" w:hAnsiTheme="minorHAnsi"/>
          <w:iCs/>
          <w:color w:val="000000" w:themeColor="text1"/>
          <w:sz w:val="16"/>
          <w:szCs w:val="16"/>
          <w:shd w:val="clear" w:color="auto" w:fill="FFFFFF"/>
        </w:rPr>
      </w:pPr>
      <w:r w:rsidRPr="00A078ED">
        <w:rPr>
          <w:rFonts w:asciiTheme="minorHAnsi" w:hAnsiTheme="minorHAnsi"/>
          <w:iCs/>
          <w:color w:val="000000" w:themeColor="text1"/>
          <w:sz w:val="16"/>
          <w:szCs w:val="16"/>
          <w:shd w:val="clear" w:color="auto" w:fill="FFFFFF"/>
        </w:rPr>
        <w:t>Sci Immunol. 2017;2(15):eaan2946. doi:10.1126/sciimmunol.aan2946</w:t>
      </w:r>
    </w:p>
    <w:p w:rsidR="008F6FFE" w:rsidRPr="00A078ED" w:rsidRDefault="0052743C" w:rsidP="00C46326">
      <w:pPr>
        <w:rPr>
          <w:rFonts w:asciiTheme="minorHAnsi" w:hAnsiTheme="minorHAnsi"/>
          <w:iCs/>
          <w:color w:val="000000" w:themeColor="text1"/>
          <w:sz w:val="16"/>
          <w:szCs w:val="16"/>
          <w:shd w:val="clear" w:color="auto" w:fill="FFFFFF"/>
        </w:rPr>
      </w:pPr>
      <w:hyperlink r:id="rId1126" w:history="1">
        <w:r w:rsidR="008F6FFE" w:rsidRPr="00A078ED">
          <w:rPr>
            <w:rFonts w:asciiTheme="minorHAnsi" w:hAnsiTheme="minorHAnsi"/>
            <w:iCs/>
            <w:color w:val="000000" w:themeColor="text1"/>
            <w:sz w:val="16"/>
            <w:szCs w:val="16"/>
            <w:shd w:val="clear" w:color="auto" w:fill="FFFFFF"/>
          </w:rPr>
          <w:t>https://www.ncbi.nlm.nih.gov/pmc/articles/PMC5701281/</w:t>
        </w:r>
      </w:hyperlink>
    </w:p>
    <w:p w:rsidR="008F6FFE" w:rsidRPr="006442E5" w:rsidRDefault="008F6FFE" w:rsidP="00C46326">
      <w:pPr>
        <w:rPr>
          <w:rFonts w:asciiTheme="minorHAnsi" w:hAnsiTheme="minorHAnsi"/>
          <w:iCs/>
          <w:color w:val="000000" w:themeColor="text1"/>
          <w:sz w:val="16"/>
          <w:szCs w:val="16"/>
          <w:shd w:val="clear" w:color="auto" w:fill="FFFFFF"/>
        </w:rPr>
      </w:pPr>
    </w:p>
  </w:footnote>
  <w:footnote w:id="157">
    <w:p w:rsidR="008F6FFE" w:rsidRPr="006442E5" w:rsidRDefault="008F6FFE" w:rsidP="00E547CE">
      <w:pPr>
        <w:rPr>
          <w:rFonts w:asciiTheme="minorHAnsi" w:hAnsiTheme="minorHAnsi"/>
          <w:iCs/>
          <w:color w:val="000000" w:themeColor="text1"/>
          <w:sz w:val="16"/>
          <w:szCs w:val="16"/>
          <w:shd w:val="clear" w:color="auto" w:fill="FFFFFF"/>
        </w:rPr>
      </w:pPr>
      <w:r w:rsidRPr="00C46326">
        <w:rPr>
          <w:rFonts w:asciiTheme="minorHAnsi" w:hAnsiTheme="minorHAnsi"/>
          <w:iCs/>
          <w:color w:val="000000" w:themeColor="text1"/>
          <w:sz w:val="16"/>
          <w:szCs w:val="16"/>
          <w:shd w:val="clear" w:color="auto" w:fill="FFFFFF"/>
          <w:vertAlign w:val="superscript"/>
          <w:lang w:val="en-US"/>
        </w:rPr>
        <w:footnoteRef/>
      </w:r>
      <w:r w:rsidRPr="006442E5">
        <w:rPr>
          <w:rFonts w:asciiTheme="minorHAnsi" w:hAnsiTheme="minorHAnsi"/>
          <w:iCs/>
          <w:color w:val="000000" w:themeColor="text1"/>
          <w:sz w:val="16"/>
          <w:szCs w:val="16"/>
          <w:shd w:val="clear" w:color="auto" w:fill="FFFFFF"/>
          <w:vertAlign w:val="superscript"/>
        </w:rPr>
        <w:t xml:space="preserve"> </w:t>
      </w:r>
      <w:r w:rsidRPr="006442E5">
        <w:rPr>
          <w:rFonts w:asciiTheme="minorHAnsi" w:hAnsiTheme="minorHAnsi"/>
          <w:iCs/>
          <w:color w:val="000000" w:themeColor="text1"/>
          <w:sz w:val="16"/>
          <w:szCs w:val="16"/>
          <w:shd w:val="clear" w:color="auto" w:fill="FFFFFF"/>
        </w:rPr>
        <w:t xml:space="preserve">Liu H, Wang LL, Zhao SJ, Kwak-Kim J, Mor G, Liao AH. </w:t>
      </w:r>
    </w:p>
    <w:p w:rsidR="008F6FFE" w:rsidRPr="00C46326" w:rsidRDefault="008F6FFE" w:rsidP="00E547CE">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Why are pregnant women susceptible to COVID-19? An immunological viewpoint. </w:t>
      </w:r>
    </w:p>
    <w:p w:rsidR="008F6FFE" w:rsidRPr="006E668D" w:rsidRDefault="008F6FFE" w:rsidP="00E547CE">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 xml:space="preserve">J Reprod Immunol. </w:t>
      </w:r>
      <w:r w:rsidRPr="006E668D">
        <w:rPr>
          <w:rFonts w:asciiTheme="minorHAnsi" w:hAnsiTheme="minorHAnsi"/>
          <w:iCs/>
          <w:color w:val="000000" w:themeColor="text1"/>
          <w:sz w:val="16"/>
          <w:szCs w:val="16"/>
          <w:shd w:val="clear" w:color="auto" w:fill="FFFFFF"/>
          <w:lang w:val="en-US"/>
        </w:rPr>
        <w:t>2020;139:103122. doi:10.1016/j.jri.2020.103122</w:t>
      </w:r>
    </w:p>
    <w:p w:rsidR="008F6FFE" w:rsidRPr="006E668D" w:rsidRDefault="0052743C" w:rsidP="006E668D">
      <w:pPr>
        <w:rPr>
          <w:rFonts w:asciiTheme="minorHAnsi" w:hAnsiTheme="minorHAnsi"/>
          <w:iCs/>
          <w:color w:val="000000" w:themeColor="text1"/>
          <w:sz w:val="16"/>
          <w:szCs w:val="16"/>
          <w:shd w:val="clear" w:color="auto" w:fill="FFFFFF"/>
          <w:lang w:val="en-US"/>
        </w:rPr>
      </w:pPr>
      <w:hyperlink r:id="rId1127" w:history="1">
        <w:r w:rsidR="008F6FFE" w:rsidRPr="006E668D">
          <w:rPr>
            <w:rFonts w:asciiTheme="minorHAnsi" w:hAnsiTheme="minorHAnsi"/>
            <w:iCs/>
            <w:color w:val="000000" w:themeColor="text1"/>
            <w:sz w:val="16"/>
            <w:szCs w:val="16"/>
            <w:shd w:val="clear" w:color="auto" w:fill="FFFFFF"/>
            <w:lang w:val="en-US"/>
          </w:rPr>
          <w:t>https://www.ncbi.nlm.nih.gov/pmc/articles/PMC7156163/</w:t>
        </w:r>
      </w:hyperlink>
    </w:p>
    <w:p w:rsidR="008F6FFE" w:rsidRPr="00A078ED" w:rsidRDefault="008F6FFE" w:rsidP="00E547CE">
      <w:pPr>
        <w:rPr>
          <w:rFonts w:asciiTheme="minorHAnsi" w:hAnsiTheme="minorHAnsi"/>
          <w:iCs/>
          <w:color w:val="000000" w:themeColor="text1"/>
          <w:sz w:val="16"/>
          <w:szCs w:val="16"/>
          <w:shd w:val="clear" w:color="auto" w:fill="FFFFFF"/>
          <w:lang w:val="en-US"/>
        </w:rPr>
      </w:pPr>
    </w:p>
  </w:footnote>
  <w:footnote w:id="158">
    <w:p w:rsidR="008F6FFE" w:rsidRPr="006442E5" w:rsidRDefault="008F6FFE" w:rsidP="00E547CE">
      <w:pPr>
        <w:rPr>
          <w:rFonts w:asciiTheme="minorHAnsi" w:hAnsiTheme="minorHAnsi"/>
          <w:iCs/>
          <w:color w:val="000000" w:themeColor="text1"/>
          <w:sz w:val="16"/>
          <w:szCs w:val="16"/>
          <w:shd w:val="clear" w:color="auto" w:fill="FFFFFF"/>
        </w:rPr>
      </w:pPr>
      <w:r w:rsidRPr="00C46326">
        <w:rPr>
          <w:rFonts w:asciiTheme="minorHAnsi" w:hAnsiTheme="minorHAnsi"/>
          <w:iCs/>
          <w:color w:val="000000" w:themeColor="text1"/>
          <w:sz w:val="16"/>
          <w:szCs w:val="16"/>
          <w:shd w:val="clear" w:color="auto" w:fill="FFFFFF"/>
          <w:vertAlign w:val="superscript"/>
          <w:lang w:val="en-US"/>
        </w:rPr>
        <w:footnoteRef/>
      </w:r>
      <w:r w:rsidRPr="006442E5">
        <w:rPr>
          <w:rFonts w:asciiTheme="minorHAnsi" w:hAnsiTheme="minorHAnsi"/>
          <w:iCs/>
          <w:color w:val="000000" w:themeColor="text1"/>
          <w:sz w:val="16"/>
          <w:szCs w:val="16"/>
          <w:shd w:val="clear" w:color="auto" w:fill="FFFFFF"/>
        </w:rPr>
        <w:t xml:space="preserve"> Hervé C, Laupèze B, Del Giudice G, Didierlaurent AM, Tavares Da Silva F. </w:t>
      </w:r>
    </w:p>
    <w:p w:rsidR="008F6FFE" w:rsidRPr="00C46326" w:rsidRDefault="008F6FFE" w:rsidP="00E547CE">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The how's and what's of vaccine reactogenicity. </w:t>
      </w:r>
    </w:p>
    <w:p w:rsidR="008F6FFE" w:rsidRPr="00C46326" w:rsidRDefault="008F6FFE" w:rsidP="00E547CE">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NPJ Vaccines. 2019;4:39. doi:10.1038/s41541-019-0132-6</w:t>
      </w:r>
    </w:p>
    <w:p w:rsidR="008F6FFE" w:rsidRPr="00C46326" w:rsidRDefault="0052743C" w:rsidP="00E547CE">
      <w:pPr>
        <w:rPr>
          <w:rFonts w:asciiTheme="minorHAnsi" w:hAnsiTheme="minorHAnsi"/>
          <w:iCs/>
          <w:color w:val="000000" w:themeColor="text1"/>
          <w:sz w:val="16"/>
          <w:szCs w:val="16"/>
          <w:shd w:val="clear" w:color="auto" w:fill="FFFFFF"/>
          <w:lang w:val="en-US"/>
        </w:rPr>
      </w:pPr>
      <w:hyperlink r:id="rId1128" w:history="1">
        <w:r w:rsidR="008F6FFE" w:rsidRPr="00C46326">
          <w:rPr>
            <w:rFonts w:asciiTheme="minorHAnsi" w:hAnsiTheme="minorHAnsi"/>
            <w:iCs/>
            <w:color w:val="000000" w:themeColor="text1"/>
            <w:sz w:val="16"/>
            <w:szCs w:val="16"/>
            <w:shd w:val="clear" w:color="auto" w:fill="FFFFFF"/>
            <w:lang w:val="en-US"/>
          </w:rPr>
          <w:t>https://www.ncbi.nlm.nih.gov/pmc/articles/PMC6760227/</w:t>
        </w:r>
      </w:hyperlink>
    </w:p>
    <w:p w:rsidR="008F6FFE" w:rsidRPr="00C46326" w:rsidRDefault="008F6FFE" w:rsidP="00E547CE">
      <w:pPr>
        <w:rPr>
          <w:rFonts w:asciiTheme="minorHAnsi" w:hAnsiTheme="minorHAnsi"/>
          <w:iCs/>
          <w:color w:val="000000" w:themeColor="text1"/>
          <w:sz w:val="16"/>
          <w:szCs w:val="16"/>
          <w:shd w:val="clear" w:color="auto" w:fill="FFFFFF"/>
          <w:lang w:val="en-US"/>
        </w:rPr>
      </w:pPr>
    </w:p>
  </w:footnote>
  <w:footnote w:id="159">
    <w:p w:rsidR="008F6FFE" w:rsidRPr="006442E5" w:rsidRDefault="008F6FFE" w:rsidP="00E547CE">
      <w:pPr>
        <w:rPr>
          <w:rFonts w:asciiTheme="minorHAnsi" w:hAnsiTheme="minorHAnsi"/>
          <w:iCs/>
          <w:color w:val="000000" w:themeColor="text1"/>
          <w:sz w:val="16"/>
          <w:szCs w:val="16"/>
          <w:shd w:val="clear" w:color="auto" w:fill="FFFFFF"/>
        </w:rPr>
      </w:pPr>
      <w:r w:rsidRPr="00C46326">
        <w:rPr>
          <w:rFonts w:asciiTheme="minorHAnsi" w:hAnsiTheme="minorHAnsi"/>
          <w:iCs/>
          <w:color w:val="000000" w:themeColor="text1"/>
          <w:sz w:val="16"/>
          <w:szCs w:val="16"/>
          <w:shd w:val="clear" w:color="auto" w:fill="FFFFFF"/>
          <w:vertAlign w:val="superscript"/>
          <w:lang w:val="en-US"/>
        </w:rPr>
        <w:footnoteRef/>
      </w:r>
      <w:r w:rsidRPr="006442E5">
        <w:rPr>
          <w:rFonts w:asciiTheme="minorHAnsi" w:hAnsiTheme="minorHAnsi"/>
          <w:iCs/>
          <w:color w:val="000000" w:themeColor="text1"/>
          <w:sz w:val="16"/>
          <w:szCs w:val="16"/>
          <w:shd w:val="clear" w:color="auto" w:fill="FFFFFF"/>
        </w:rPr>
        <w:t xml:space="preserve"> Garcia-Flores V, et al. </w:t>
      </w:r>
    </w:p>
    <w:p w:rsidR="008F6FFE" w:rsidRPr="00C46326" w:rsidRDefault="008F6FFE" w:rsidP="00E547CE">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Inflammation-Induced Adverse Pregnancy and Neonatal Outcomes Can Be Improved by the Immunomodulatory Peptide Exendin-4. </w:t>
      </w:r>
    </w:p>
    <w:p w:rsidR="008F6FFE" w:rsidRPr="00C46326" w:rsidRDefault="008F6FFE" w:rsidP="00E547CE">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Front Immunol. 2018;9:1291. doi:10.3389/fimmu.2018.01291</w:t>
      </w:r>
    </w:p>
    <w:p w:rsidR="008F6FFE" w:rsidRPr="006E668D" w:rsidRDefault="0052743C" w:rsidP="006E668D">
      <w:pPr>
        <w:rPr>
          <w:rFonts w:asciiTheme="minorHAnsi" w:hAnsiTheme="minorHAnsi"/>
          <w:iCs/>
          <w:color w:val="000000" w:themeColor="text1"/>
          <w:sz w:val="16"/>
          <w:szCs w:val="16"/>
          <w:shd w:val="clear" w:color="auto" w:fill="FFFFFF"/>
          <w:lang w:val="en-US"/>
        </w:rPr>
      </w:pPr>
      <w:hyperlink r:id="rId1129" w:history="1">
        <w:r w:rsidR="008F6FFE" w:rsidRPr="006E668D">
          <w:rPr>
            <w:rFonts w:asciiTheme="minorHAnsi" w:hAnsiTheme="minorHAnsi"/>
            <w:iCs/>
            <w:color w:val="000000" w:themeColor="text1"/>
            <w:sz w:val="16"/>
            <w:szCs w:val="16"/>
            <w:shd w:val="clear" w:color="auto" w:fill="FFFFFF"/>
            <w:lang w:val="en-US"/>
          </w:rPr>
          <w:t>https://www.ncbi.nlm.nih.gov/pmc/articles/PMC6015905/</w:t>
        </w:r>
      </w:hyperlink>
    </w:p>
    <w:p w:rsidR="008F6FFE" w:rsidRPr="00C46326" w:rsidRDefault="008F6FFE" w:rsidP="00E547CE">
      <w:pPr>
        <w:rPr>
          <w:rFonts w:asciiTheme="minorHAnsi" w:hAnsiTheme="minorHAnsi"/>
          <w:iCs/>
          <w:color w:val="000000" w:themeColor="text1"/>
          <w:sz w:val="16"/>
          <w:szCs w:val="16"/>
          <w:shd w:val="clear" w:color="auto" w:fill="FFFFFF"/>
          <w:lang w:val="en-US"/>
        </w:rPr>
      </w:pPr>
    </w:p>
  </w:footnote>
  <w:footnote w:id="160">
    <w:p w:rsidR="008F6FFE" w:rsidRPr="00C46326" w:rsidRDefault="008F6FFE" w:rsidP="00E547CE">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vertAlign w:val="superscript"/>
          <w:lang w:val="en-US"/>
        </w:rPr>
        <w:footnoteRef/>
      </w:r>
      <w:r w:rsidRPr="00C46326">
        <w:rPr>
          <w:rFonts w:asciiTheme="minorHAnsi" w:hAnsiTheme="minorHAnsi"/>
          <w:iCs/>
          <w:color w:val="000000" w:themeColor="text1"/>
          <w:sz w:val="16"/>
          <w:szCs w:val="16"/>
          <w:shd w:val="clear" w:color="auto" w:fill="FFFFFF"/>
          <w:vertAlign w:val="superscript"/>
          <w:lang w:val="en-US"/>
        </w:rPr>
        <w:t xml:space="preserve"> </w:t>
      </w:r>
      <w:r w:rsidRPr="00C46326">
        <w:rPr>
          <w:rFonts w:asciiTheme="minorHAnsi" w:hAnsiTheme="minorHAnsi"/>
          <w:iCs/>
          <w:color w:val="000000" w:themeColor="text1"/>
          <w:sz w:val="16"/>
          <w:szCs w:val="16"/>
          <w:shd w:val="clear" w:color="auto" w:fill="FFFFFF"/>
          <w:lang w:val="en-US"/>
        </w:rPr>
        <w:t xml:space="preserve">Schepanski S, Buss C, Hanganu-Opatz IL, Arck PC. </w:t>
      </w:r>
    </w:p>
    <w:p w:rsidR="008F6FFE" w:rsidRPr="00C46326" w:rsidRDefault="008F6FFE" w:rsidP="00E547CE">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Prenatal Immune and Endocrine Modulators of Offspring's Brain Development and Cognitive Functions Later in Life. </w:t>
      </w:r>
    </w:p>
    <w:p w:rsidR="008F6FFE" w:rsidRPr="00C46326" w:rsidRDefault="008F6FFE" w:rsidP="00E547CE">
      <w:pPr>
        <w:rPr>
          <w:rFonts w:asciiTheme="minorHAnsi" w:hAnsiTheme="minorHAnsi"/>
          <w:iCs/>
          <w:color w:val="000000" w:themeColor="text1"/>
          <w:sz w:val="16"/>
          <w:szCs w:val="16"/>
          <w:shd w:val="clear" w:color="auto" w:fill="FFFFFF"/>
          <w:lang w:val="en-US"/>
        </w:rPr>
      </w:pPr>
      <w:r w:rsidRPr="00C46326">
        <w:rPr>
          <w:rFonts w:asciiTheme="minorHAnsi" w:hAnsiTheme="minorHAnsi"/>
          <w:iCs/>
          <w:color w:val="000000" w:themeColor="text1"/>
          <w:sz w:val="16"/>
          <w:szCs w:val="16"/>
          <w:shd w:val="clear" w:color="auto" w:fill="FFFFFF"/>
          <w:lang w:val="en-US"/>
        </w:rPr>
        <w:t>Front Immunol. 2018;9:2186. doi:10.3389/fimmu.2018.02186</w:t>
      </w:r>
    </w:p>
    <w:p w:rsidR="008F6FFE" w:rsidRPr="006E668D" w:rsidRDefault="0052743C" w:rsidP="006E668D">
      <w:pPr>
        <w:rPr>
          <w:rFonts w:asciiTheme="minorHAnsi" w:hAnsiTheme="minorHAnsi"/>
          <w:iCs/>
          <w:color w:val="000000" w:themeColor="text1"/>
          <w:sz w:val="16"/>
          <w:szCs w:val="16"/>
          <w:shd w:val="clear" w:color="auto" w:fill="FFFFFF"/>
          <w:lang w:val="en-US"/>
        </w:rPr>
      </w:pPr>
      <w:hyperlink r:id="rId1130" w:history="1">
        <w:r w:rsidR="008F6FFE" w:rsidRPr="006E668D">
          <w:rPr>
            <w:rFonts w:asciiTheme="minorHAnsi" w:hAnsiTheme="minorHAnsi"/>
            <w:iCs/>
            <w:color w:val="000000" w:themeColor="text1"/>
            <w:sz w:val="16"/>
            <w:szCs w:val="16"/>
            <w:shd w:val="clear" w:color="auto" w:fill="FFFFFF"/>
            <w:lang w:val="en-US"/>
          </w:rPr>
          <w:t>https://www.ncbi.nlm.nih.gov/pmc/articles/PMC6168638/</w:t>
        </w:r>
      </w:hyperlink>
    </w:p>
    <w:p w:rsidR="008F6FFE" w:rsidRPr="00C46326" w:rsidRDefault="008F6FFE" w:rsidP="00E547CE">
      <w:pPr>
        <w:pStyle w:val="FootnoteText"/>
        <w:rPr>
          <w:rFonts w:asciiTheme="minorHAnsi" w:hAnsiTheme="minorHAnsi" w:cstheme="minorHAnsi"/>
          <w:sz w:val="16"/>
          <w:szCs w:val="16"/>
          <w:lang w:val="en-US"/>
        </w:rPr>
      </w:pPr>
    </w:p>
  </w:footnote>
  <w:footnote w:id="161">
    <w:p w:rsidR="008F6FFE" w:rsidRPr="00717D4D" w:rsidRDefault="008F6FFE" w:rsidP="004231D6">
      <w:pPr>
        <w:rPr>
          <w:rFonts w:asciiTheme="minorHAnsi" w:hAnsiTheme="minorHAnsi"/>
          <w:sz w:val="16"/>
          <w:szCs w:val="16"/>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717D4D">
        <w:rPr>
          <w:rFonts w:asciiTheme="minorHAnsi" w:hAnsiTheme="minorHAnsi" w:cs="Arial"/>
          <w:iCs/>
          <w:color w:val="303030"/>
          <w:sz w:val="16"/>
          <w:szCs w:val="16"/>
          <w:lang w:val="en-US"/>
        </w:rPr>
        <w:t xml:space="preserve">Am J Reprod Immunol. 2010 Jun; 63(6):425-33. </w:t>
      </w:r>
      <w:r w:rsidRPr="00717D4D">
        <w:rPr>
          <w:rFonts w:asciiTheme="minorHAnsi" w:hAnsiTheme="minorHAnsi" w:cstheme="majorHAnsi"/>
          <w:color w:val="5B616B"/>
          <w:sz w:val="16"/>
          <w:szCs w:val="16"/>
          <w:shd w:val="clear" w:color="auto" w:fill="FFFFFF"/>
          <w:lang w:val="en-US"/>
        </w:rPr>
        <w:t>doi: 10.1111/j.1600-0897.2010.00836.x</w:t>
      </w:r>
    </w:p>
    <w:p w:rsidR="008F6FFE" w:rsidRPr="00717D4D" w:rsidRDefault="008F6FFE" w:rsidP="004231D6">
      <w:pPr>
        <w:rPr>
          <w:rFonts w:asciiTheme="minorHAnsi" w:hAnsiTheme="minorHAnsi"/>
          <w:sz w:val="16"/>
          <w:szCs w:val="16"/>
          <w:lang w:val="en-US"/>
        </w:rPr>
      </w:pPr>
      <w:r w:rsidRPr="00717D4D">
        <w:rPr>
          <w:rFonts w:asciiTheme="minorHAnsi" w:hAnsiTheme="minorHAnsi" w:cs="Arial"/>
          <w:color w:val="303030"/>
          <w:sz w:val="16"/>
          <w:szCs w:val="16"/>
          <w:shd w:val="clear" w:color="auto" w:fill="FFFFFF"/>
          <w:lang w:val="en-US"/>
        </w:rPr>
        <w:t>The immune system in pregnancy: a unique complexity.</w:t>
      </w:r>
    </w:p>
    <w:p w:rsidR="008F6FFE" w:rsidRDefault="008F6FFE" w:rsidP="004231D6">
      <w:pPr>
        <w:shd w:val="clear" w:color="auto" w:fill="FFFFFF"/>
        <w:rPr>
          <w:rFonts w:asciiTheme="minorHAnsi" w:hAnsiTheme="minorHAnsi" w:cs="Arial"/>
          <w:iCs/>
          <w:color w:val="303030"/>
          <w:sz w:val="16"/>
          <w:szCs w:val="16"/>
          <w:lang w:val="en-US"/>
        </w:rPr>
      </w:pPr>
      <w:r w:rsidRPr="00717D4D">
        <w:rPr>
          <w:rFonts w:asciiTheme="minorHAnsi" w:hAnsiTheme="minorHAnsi" w:cs="Arial"/>
          <w:iCs/>
          <w:color w:val="303030"/>
          <w:sz w:val="16"/>
          <w:szCs w:val="16"/>
          <w:lang w:val="en-US"/>
        </w:rPr>
        <w:t>Mor G, Cardenas I</w:t>
      </w:r>
    </w:p>
    <w:p w:rsidR="008F6FFE" w:rsidRPr="006E668D" w:rsidRDefault="0052743C" w:rsidP="006E668D">
      <w:pPr>
        <w:rPr>
          <w:rFonts w:asciiTheme="minorHAnsi" w:hAnsiTheme="minorHAnsi" w:cs="Arial"/>
          <w:iCs/>
          <w:color w:val="303030"/>
          <w:sz w:val="16"/>
          <w:szCs w:val="16"/>
          <w:lang w:val="en-US"/>
        </w:rPr>
      </w:pPr>
      <w:hyperlink r:id="rId1131" w:history="1">
        <w:r w:rsidR="008F6FFE" w:rsidRPr="006E668D">
          <w:rPr>
            <w:rFonts w:asciiTheme="minorHAnsi" w:hAnsiTheme="minorHAnsi" w:cs="Arial"/>
            <w:iCs/>
            <w:color w:val="303030"/>
            <w:sz w:val="16"/>
            <w:szCs w:val="16"/>
            <w:lang w:val="en-US"/>
          </w:rPr>
          <w:t>https://www.ncbi.nlm.nih.gov/pmc/articles/PMC3025805/</w:t>
        </w:r>
      </w:hyperlink>
    </w:p>
    <w:p w:rsidR="008F6FFE" w:rsidRDefault="008F6FFE" w:rsidP="006E668D">
      <w:pPr>
        <w:rPr>
          <w:rFonts w:asciiTheme="minorHAnsi" w:hAnsiTheme="minorHAnsi" w:cs="Arial"/>
          <w:iCs/>
          <w:color w:val="303030"/>
          <w:sz w:val="16"/>
          <w:szCs w:val="16"/>
          <w:lang w:val="en-US"/>
        </w:rPr>
      </w:pPr>
    </w:p>
    <w:p w:rsidR="008F6FFE" w:rsidRPr="00801670" w:rsidRDefault="008F6FFE" w:rsidP="004231D6">
      <w:pPr>
        <w:rPr>
          <w:rFonts w:asciiTheme="minorHAnsi" w:hAnsiTheme="minorHAnsi" w:cs="Arial"/>
          <w:iCs/>
          <w:color w:val="303030"/>
          <w:sz w:val="16"/>
          <w:szCs w:val="16"/>
          <w:lang w:val="en-US"/>
        </w:rPr>
      </w:pPr>
      <w:r w:rsidRPr="0003509B">
        <w:rPr>
          <w:rFonts w:asciiTheme="minorHAnsi" w:hAnsiTheme="minorHAnsi" w:cs="Arial"/>
          <w:iCs/>
          <w:color w:val="303030"/>
          <w:sz w:val="16"/>
          <w:szCs w:val="16"/>
          <w:lang w:val="en-US"/>
        </w:rPr>
        <w:t>Annu Rev Immunol. 2013;31:387‐411. doi:10.1146/annurev-immunol-032712-100003</w:t>
      </w:r>
    </w:p>
    <w:p w:rsidR="008F6FFE" w:rsidRPr="00801670" w:rsidRDefault="008F6FFE" w:rsidP="004231D6">
      <w:pPr>
        <w:rPr>
          <w:rFonts w:asciiTheme="minorHAnsi" w:hAnsiTheme="minorHAnsi" w:cs="Arial"/>
          <w:iCs/>
          <w:color w:val="303030"/>
          <w:sz w:val="16"/>
          <w:szCs w:val="16"/>
          <w:lang w:val="en-US"/>
        </w:rPr>
      </w:pPr>
      <w:r w:rsidRPr="0003509B">
        <w:rPr>
          <w:rFonts w:asciiTheme="minorHAnsi" w:hAnsiTheme="minorHAnsi" w:cs="Arial"/>
          <w:iCs/>
          <w:color w:val="303030"/>
          <w:sz w:val="16"/>
          <w:szCs w:val="16"/>
          <w:lang w:val="en-US"/>
        </w:rPr>
        <w:t>Immunology of the maternal-fetal interface. </w:t>
      </w:r>
    </w:p>
    <w:p w:rsidR="008F6FFE" w:rsidRPr="00235A16" w:rsidRDefault="008F6FFE" w:rsidP="004231D6">
      <w:pPr>
        <w:rPr>
          <w:rFonts w:asciiTheme="minorHAnsi" w:hAnsiTheme="minorHAnsi" w:cs="Arial"/>
          <w:iCs/>
          <w:color w:val="303030"/>
          <w:sz w:val="16"/>
          <w:szCs w:val="16"/>
          <w:lang w:val="de-DE"/>
        </w:rPr>
      </w:pPr>
      <w:r w:rsidRPr="00235A16">
        <w:rPr>
          <w:rFonts w:asciiTheme="minorHAnsi" w:hAnsiTheme="minorHAnsi" w:cs="Arial"/>
          <w:iCs/>
          <w:color w:val="303030"/>
          <w:sz w:val="16"/>
          <w:szCs w:val="16"/>
          <w:lang w:val="de-DE"/>
        </w:rPr>
        <w:t>Erlebacher A.</w:t>
      </w:r>
    </w:p>
    <w:p w:rsidR="008F6FFE" w:rsidRPr="00235A16" w:rsidRDefault="0052743C" w:rsidP="006E668D">
      <w:pPr>
        <w:rPr>
          <w:rFonts w:asciiTheme="minorHAnsi" w:hAnsiTheme="minorHAnsi" w:cs="Arial"/>
          <w:iCs/>
          <w:color w:val="303030"/>
          <w:sz w:val="16"/>
          <w:szCs w:val="16"/>
          <w:lang w:val="de-DE"/>
        </w:rPr>
      </w:pPr>
      <w:hyperlink r:id="rId1132" w:history="1">
        <w:r w:rsidR="008F6FFE" w:rsidRPr="00235A16">
          <w:rPr>
            <w:rFonts w:asciiTheme="minorHAnsi" w:hAnsiTheme="minorHAnsi" w:cs="Arial"/>
            <w:iCs/>
            <w:color w:val="303030"/>
            <w:sz w:val="16"/>
            <w:szCs w:val="16"/>
            <w:lang w:val="de-DE"/>
          </w:rPr>
          <w:t>https://www.annualreviews.org/doi/pdf/10.1146/annurev-immunol-032712-100003</w:t>
        </w:r>
      </w:hyperlink>
    </w:p>
    <w:p w:rsidR="008F6FFE" w:rsidRPr="00235A16" w:rsidRDefault="008F6FFE" w:rsidP="004231D6">
      <w:pPr>
        <w:rPr>
          <w:rFonts w:asciiTheme="minorHAnsi" w:hAnsiTheme="minorHAnsi" w:cs="Arial"/>
          <w:iCs/>
          <w:color w:val="303030"/>
          <w:sz w:val="16"/>
          <w:szCs w:val="16"/>
          <w:lang w:val="de-DE"/>
        </w:rPr>
      </w:pPr>
    </w:p>
    <w:p w:rsidR="008F6FFE" w:rsidRDefault="008F6FFE" w:rsidP="004231D6">
      <w:pPr>
        <w:rPr>
          <w:rFonts w:asciiTheme="minorHAnsi" w:hAnsiTheme="minorHAnsi" w:cs="Arial"/>
          <w:iCs/>
          <w:color w:val="303030"/>
          <w:sz w:val="16"/>
          <w:szCs w:val="16"/>
          <w:lang w:val="en-US"/>
        </w:rPr>
      </w:pPr>
      <w:r w:rsidRPr="0003509B">
        <w:rPr>
          <w:rFonts w:asciiTheme="minorHAnsi" w:hAnsiTheme="minorHAnsi" w:cs="Arial"/>
          <w:iCs/>
          <w:color w:val="303030"/>
          <w:sz w:val="16"/>
          <w:szCs w:val="16"/>
          <w:lang w:val="en-US"/>
        </w:rPr>
        <w:t>Nat Immunol. 2004;5(3):266‐271. doi:10.1038/ni1037</w:t>
      </w:r>
      <w:r w:rsidRPr="00801670">
        <w:rPr>
          <w:rFonts w:asciiTheme="minorHAnsi" w:hAnsiTheme="minorHAnsi" w:cs="Arial"/>
          <w:iCs/>
          <w:color w:val="303030"/>
          <w:sz w:val="16"/>
          <w:szCs w:val="16"/>
          <w:lang w:val="en-US"/>
        </w:rPr>
        <w:t xml:space="preserve"> </w:t>
      </w:r>
    </w:p>
    <w:p w:rsidR="008F6FFE" w:rsidRPr="00801670" w:rsidRDefault="008F6FFE" w:rsidP="004231D6">
      <w:pPr>
        <w:rPr>
          <w:rFonts w:asciiTheme="minorHAnsi" w:hAnsiTheme="minorHAnsi" w:cs="Arial"/>
          <w:iCs/>
          <w:color w:val="303030"/>
          <w:sz w:val="16"/>
          <w:szCs w:val="16"/>
          <w:lang w:val="en-US"/>
        </w:rPr>
      </w:pPr>
      <w:r w:rsidRPr="0003509B">
        <w:rPr>
          <w:rFonts w:asciiTheme="minorHAnsi" w:hAnsiTheme="minorHAnsi" w:cs="Arial"/>
          <w:iCs/>
          <w:color w:val="303030"/>
          <w:sz w:val="16"/>
          <w:szCs w:val="16"/>
          <w:lang w:val="en-US"/>
        </w:rPr>
        <w:t>Regulatory T cells mediate maternal tolerance to the fetus. </w:t>
      </w:r>
    </w:p>
    <w:p w:rsidR="008F6FFE" w:rsidRPr="00235A16" w:rsidRDefault="008F6FFE" w:rsidP="004231D6">
      <w:pPr>
        <w:rPr>
          <w:rFonts w:asciiTheme="minorHAnsi" w:hAnsiTheme="minorHAnsi" w:cs="Arial"/>
          <w:iCs/>
          <w:color w:val="303030"/>
          <w:sz w:val="16"/>
          <w:szCs w:val="16"/>
          <w:lang w:val="de-DE"/>
        </w:rPr>
      </w:pPr>
      <w:r w:rsidRPr="00235A16">
        <w:rPr>
          <w:rFonts w:asciiTheme="minorHAnsi" w:hAnsiTheme="minorHAnsi" w:cs="Arial"/>
          <w:iCs/>
          <w:color w:val="303030"/>
          <w:sz w:val="16"/>
          <w:szCs w:val="16"/>
          <w:lang w:val="de-DE"/>
        </w:rPr>
        <w:t>Aluvihare VR, Kallikourdis M, Betz AG.</w:t>
      </w:r>
    </w:p>
    <w:p w:rsidR="008F6FFE" w:rsidRPr="00235A16" w:rsidRDefault="0052743C" w:rsidP="006E668D">
      <w:pPr>
        <w:rPr>
          <w:rFonts w:asciiTheme="minorHAnsi" w:hAnsiTheme="minorHAnsi" w:cs="Arial"/>
          <w:iCs/>
          <w:color w:val="303030"/>
          <w:sz w:val="16"/>
          <w:szCs w:val="16"/>
          <w:lang w:val="de-DE"/>
        </w:rPr>
      </w:pPr>
      <w:hyperlink r:id="rId1133" w:history="1">
        <w:r w:rsidR="008F6FFE" w:rsidRPr="00235A16">
          <w:rPr>
            <w:rFonts w:asciiTheme="minorHAnsi" w:hAnsiTheme="minorHAnsi" w:cs="Arial"/>
            <w:iCs/>
            <w:color w:val="303030"/>
            <w:sz w:val="16"/>
            <w:szCs w:val="16"/>
            <w:lang w:val="de-DE"/>
          </w:rPr>
          <w:t>https://www.nature.com/articles/ni1037</w:t>
        </w:r>
      </w:hyperlink>
    </w:p>
    <w:p w:rsidR="008F6FFE" w:rsidRPr="00235A16" w:rsidRDefault="008F6FFE" w:rsidP="004231D6">
      <w:pPr>
        <w:rPr>
          <w:rFonts w:asciiTheme="minorHAnsi" w:hAnsiTheme="minorHAnsi" w:cs="Arial"/>
          <w:iCs/>
          <w:color w:val="303030"/>
          <w:sz w:val="16"/>
          <w:szCs w:val="16"/>
          <w:lang w:val="de-DE"/>
        </w:rPr>
      </w:pPr>
    </w:p>
    <w:p w:rsidR="008F6FFE" w:rsidRPr="00801670" w:rsidRDefault="008F6FFE" w:rsidP="004231D6">
      <w:pPr>
        <w:rPr>
          <w:rFonts w:asciiTheme="minorHAnsi" w:hAnsiTheme="minorHAnsi" w:cs="Arial"/>
          <w:iCs/>
          <w:color w:val="303030"/>
          <w:sz w:val="16"/>
          <w:szCs w:val="16"/>
          <w:lang w:val="en-US"/>
        </w:rPr>
      </w:pPr>
      <w:r w:rsidRPr="0003509B">
        <w:rPr>
          <w:rFonts w:asciiTheme="minorHAnsi" w:hAnsiTheme="minorHAnsi" w:cs="Arial"/>
          <w:iCs/>
          <w:color w:val="303030"/>
          <w:sz w:val="16"/>
          <w:szCs w:val="16"/>
          <w:lang w:val="en-US"/>
        </w:rPr>
        <w:t>J Clin Invest. 2014;124(5):1872‐1879. doi:10.1172/JCI68107</w:t>
      </w:r>
      <w:r w:rsidRPr="00801670">
        <w:rPr>
          <w:rFonts w:asciiTheme="minorHAnsi" w:hAnsiTheme="minorHAnsi" w:cs="Arial"/>
          <w:iCs/>
          <w:color w:val="303030"/>
          <w:sz w:val="16"/>
          <w:szCs w:val="16"/>
          <w:lang w:val="en-US"/>
        </w:rPr>
        <w:t xml:space="preserve"> </w:t>
      </w:r>
    </w:p>
    <w:p w:rsidR="008F6FFE" w:rsidRPr="00801670" w:rsidRDefault="008F6FFE" w:rsidP="004231D6">
      <w:pPr>
        <w:rPr>
          <w:rFonts w:asciiTheme="minorHAnsi" w:hAnsiTheme="minorHAnsi" w:cs="Arial"/>
          <w:iCs/>
          <w:color w:val="303030"/>
          <w:sz w:val="16"/>
          <w:szCs w:val="16"/>
          <w:lang w:val="en-US"/>
        </w:rPr>
      </w:pPr>
      <w:r w:rsidRPr="0003509B">
        <w:rPr>
          <w:rFonts w:asciiTheme="minorHAnsi" w:hAnsiTheme="minorHAnsi" w:cs="Arial"/>
          <w:iCs/>
          <w:color w:val="303030"/>
          <w:sz w:val="16"/>
          <w:szCs w:val="16"/>
          <w:lang w:val="en-US"/>
        </w:rPr>
        <w:t>Uterine NK cells: active regulators at the maternal-fetal interface</w:t>
      </w:r>
      <w:r w:rsidRPr="00801670">
        <w:rPr>
          <w:rFonts w:asciiTheme="minorHAnsi" w:hAnsiTheme="minorHAnsi" w:cs="Arial"/>
          <w:iCs/>
          <w:color w:val="303030"/>
          <w:sz w:val="16"/>
          <w:szCs w:val="16"/>
          <w:lang w:val="en-US"/>
        </w:rPr>
        <w:t xml:space="preserve"> </w:t>
      </w:r>
    </w:p>
    <w:p w:rsidR="008F6FFE" w:rsidRPr="00A078ED" w:rsidRDefault="008F6FFE" w:rsidP="004231D6">
      <w:pPr>
        <w:rPr>
          <w:rFonts w:asciiTheme="minorHAnsi" w:hAnsiTheme="minorHAnsi" w:cs="Arial"/>
          <w:iCs/>
          <w:color w:val="303030"/>
          <w:sz w:val="16"/>
          <w:szCs w:val="16"/>
        </w:rPr>
      </w:pPr>
      <w:r w:rsidRPr="00A078ED">
        <w:rPr>
          <w:rFonts w:asciiTheme="minorHAnsi" w:hAnsiTheme="minorHAnsi" w:cs="Arial"/>
          <w:iCs/>
          <w:color w:val="303030"/>
          <w:sz w:val="16"/>
          <w:szCs w:val="16"/>
        </w:rPr>
        <w:t>Moffett A, Colucci F.</w:t>
      </w:r>
    </w:p>
    <w:p w:rsidR="008F6FFE" w:rsidRPr="00A078ED" w:rsidRDefault="0052743C" w:rsidP="006E668D">
      <w:pPr>
        <w:rPr>
          <w:rFonts w:asciiTheme="minorHAnsi" w:hAnsiTheme="minorHAnsi" w:cs="Arial"/>
          <w:iCs/>
          <w:color w:val="303030"/>
          <w:sz w:val="16"/>
          <w:szCs w:val="16"/>
        </w:rPr>
      </w:pPr>
      <w:hyperlink r:id="rId1134" w:history="1">
        <w:r w:rsidR="008F6FFE" w:rsidRPr="00A078ED">
          <w:rPr>
            <w:rFonts w:asciiTheme="minorHAnsi" w:hAnsiTheme="minorHAnsi" w:cs="Arial"/>
            <w:iCs/>
            <w:color w:val="303030"/>
            <w:sz w:val="16"/>
            <w:szCs w:val="16"/>
          </w:rPr>
          <w:t>https://www.ncbi.nlm.nih.gov/pmc/articles/PMC4001528/</w:t>
        </w:r>
      </w:hyperlink>
    </w:p>
    <w:p w:rsidR="008F6FFE" w:rsidRPr="00EC57FB" w:rsidRDefault="008F6FFE" w:rsidP="004231D6">
      <w:pPr>
        <w:pStyle w:val="FootnoteText"/>
        <w:rPr>
          <w:rFonts w:asciiTheme="minorHAnsi" w:hAnsiTheme="minorHAnsi"/>
          <w:sz w:val="16"/>
          <w:szCs w:val="16"/>
        </w:rPr>
      </w:pPr>
    </w:p>
  </w:footnote>
  <w:footnote w:id="162">
    <w:p w:rsidR="008F6FFE" w:rsidRPr="00717D4D" w:rsidRDefault="008F6FFE" w:rsidP="004231D6">
      <w:pPr>
        <w:rPr>
          <w:rFonts w:asciiTheme="minorHAnsi" w:hAnsiTheme="minorHAnsi"/>
          <w:color w:val="000000"/>
          <w:sz w:val="16"/>
          <w:szCs w:val="16"/>
          <w:lang w:val="en-US"/>
        </w:rPr>
      </w:pPr>
      <w:r w:rsidRPr="00717D4D">
        <w:rPr>
          <w:rStyle w:val="FootnoteReference"/>
          <w:rFonts w:asciiTheme="minorHAnsi" w:hAnsiTheme="minorHAnsi"/>
          <w:sz w:val="16"/>
          <w:szCs w:val="16"/>
        </w:rPr>
        <w:footnoteRef/>
      </w:r>
      <w:r w:rsidRPr="00EC57FB">
        <w:rPr>
          <w:rFonts w:asciiTheme="minorHAnsi" w:hAnsiTheme="minorHAnsi"/>
          <w:sz w:val="16"/>
          <w:szCs w:val="16"/>
        </w:rPr>
        <w:t xml:space="preserve"> </w:t>
      </w:r>
      <w:r w:rsidRPr="00EC57FB">
        <w:rPr>
          <w:rFonts w:asciiTheme="minorHAnsi" w:hAnsiTheme="minorHAnsi"/>
          <w:color w:val="000000"/>
          <w:sz w:val="16"/>
          <w:szCs w:val="16"/>
          <w:shd w:val="clear" w:color="auto" w:fill="FFFFFF"/>
        </w:rPr>
        <w:t> </w:t>
      </w:r>
      <w:r w:rsidRPr="00EC57FB">
        <w:rPr>
          <w:rFonts w:asciiTheme="minorHAnsi" w:hAnsiTheme="minorHAnsi"/>
          <w:color w:val="000000"/>
          <w:sz w:val="16"/>
          <w:szCs w:val="16"/>
        </w:rPr>
        <w:t xml:space="preserve">Semin. </w:t>
      </w:r>
      <w:r w:rsidRPr="00717D4D">
        <w:rPr>
          <w:rFonts w:asciiTheme="minorHAnsi" w:hAnsiTheme="minorHAnsi"/>
          <w:color w:val="000000"/>
          <w:sz w:val="16"/>
          <w:szCs w:val="16"/>
          <w:lang w:val="en-US"/>
        </w:rPr>
        <w:t>Immunopathol. 2007. 29, 185–191. 10.1007/s00281-007-0072-5</w:t>
      </w:r>
    </w:p>
    <w:p w:rsidR="008F6FFE" w:rsidRPr="00717D4D" w:rsidRDefault="008F6FFE" w:rsidP="004231D6">
      <w:pPr>
        <w:rPr>
          <w:rFonts w:asciiTheme="minorHAnsi" w:hAnsiTheme="minorHAnsi"/>
          <w:color w:val="000000"/>
          <w:sz w:val="16"/>
          <w:szCs w:val="16"/>
          <w:lang w:val="en-US"/>
        </w:rPr>
      </w:pPr>
      <w:r w:rsidRPr="00717D4D">
        <w:rPr>
          <w:rFonts w:asciiTheme="minorHAnsi" w:hAnsiTheme="minorHAnsi"/>
          <w:color w:val="000000"/>
          <w:sz w:val="16"/>
          <w:szCs w:val="16"/>
          <w:lang w:val="en-US"/>
        </w:rPr>
        <w:t xml:space="preserve">The remission of rheumatoid arthritis during pregnancy </w:t>
      </w:r>
    </w:p>
    <w:p w:rsidR="008F6FFE" w:rsidRPr="00A078ED" w:rsidRDefault="008F6FFE" w:rsidP="004231D6">
      <w:pPr>
        <w:rPr>
          <w:rFonts w:asciiTheme="minorHAnsi" w:hAnsiTheme="minorHAnsi"/>
          <w:color w:val="000000"/>
          <w:sz w:val="16"/>
          <w:szCs w:val="16"/>
        </w:rPr>
      </w:pPr>
      <w:r w:rsidRPr="00A078ED">
        <w:rPr>
          <w:rFonts w:asciiTheme="minorHAnsi" w:hAnsiTheme="minorHAnsi"/>
          <w:color w:val="000000"/>
          <w:sz w:val="16"/>
          <w:szCs w:val="16"/>
        </w:rPr>
        <w:t xml:space="preserve">Ostensen M, Villiger PM. </w:t>
      </w:r>
    </w:p>
    <w:p w:rsidR="008F6FFE" w:rsidRPr="00A078ED" w:rsidRDefault="0052743C" w:rsidP="006E668D">
      <w:pPr>
        <w:rPr>
          <w:rFonts w:asciiTheme="minorHAnsi" w:hAnsiTheme="minorHAnsi"/>
          <w:color w:val="000000"/>
          <w:sz w:val="16"/>
          <w:szCs w:val="16"/>
        </w:rPr>
      </w:pPr>
      <w:hyperlink r:id="rId1135" w:history="1">
        <w:r w:rsidR="008F6FFE" w:rsidRPr="00A078ED">
          <w:rPr>
            <w:rFonts w:asciiTheme="minorHAnsi" w:hAnsiTheme="minorHAnsi"/>
            <w:color w:val="000000"/>
            <w:sz w:val="16"/>
            <w:szCs w:val="16"/>
          </w:rPr>
          <w:t>https://pubmed.ncbi.nlm.nih.gov/17621703/</w:t>
        </w:r>
      </w:hyperlink>
    </w:p>
    <w:p w:rsidR="008F6FFE" w:rsidRPr="00A078ED" w:rsidRDefault="008F6FFE" w:rsidP="006E668D">
      <w:pPr>
        <w:rPr>
          <w:rFonts w:asciiTheme="minorHAnsi" w:hAnsiTheme="minorHAnsi"/>
          <w:color w:val="000000"/>
          <w:sz w:val="16"/>
          <w:szCs w:val="16"/>
        </w:rPr>
      </w:pPr>
    </w:p>
    <w:p w:rsidR="008F6FFE" w:rsidRPr="00717D4D" w:rsidRDefault="008F6FFE" w:rsidP="004231D6">
      <w:pPr>
        <w:rPr>
          <w:rFonts w:asciiTheme="minorHAnsi" w:hAnsiTheme="minorHAnsi"/>
          <w:color w:val="000000"/>
          <w:sz w:val="16"/>
          <w:szCs w:val="16"/>
          <w:lang w:val="en-US"/>
        </w:rPr>
      </w:pPr>
      <w:r w:rsidRPr="00717D4D">
        <w:rPr>
          <w:rFonts w:asciiTheme="minorHAnsi" w:hAnsiTheme="minorHAnsi"/>
          <w:color w:val="000000"/>
          <w:sz w:val="16"/>
          <w:szCs w:val="16"/>
          <w:lang w:val="en-US"/>
        </w:rPr>
        <w:t>Influenza Other Respir. Viruses</w:t>
      </w:r>
      <w:r w:rsidRPr="006E668D">
        <w:rPr>
          <w:rFonts w:asciiTheme="minorHAnsi" w:hAnsiTheme="minorHAnsi"/>
          <w:color w:val="000000"/>
          <w:sz w:val="16"/>
          <w:szCs w:val="16"/>
          <w:lang w:val="en-US"/>
        </w:rPr>
        <w:t> </w:t>
      </w:r>
      <w:r w:rsidRPr="00717D4D">
        <w:rPr>
          <w:rFonts w:asciiTheme="minorHAnsi" w:hAnsiTheme="minorHAnsi"/>
          <w:color w:val="000000"/>
          <w:sz w:val="16"/>
          <w:szCs w:val="16"/>
          <w:lang w:val="en-US"/>
        </w:rPr>
        <w:t xml:space="preserve"> </w:t>
      </w:r>
      <w:r w:rsidRPr="006E668D">
        <w:rPr>
          <w:rFonts w:asciiTheme="minorHAnsi" w:hAnsiTheme="minorHAnsi"/>
          <w:color w:val="000000"/>
          <w:sz w:val="16"/>
          <w:szCs w:val="16"/>
          <w:lang w:val="en-US"/>
        </w:rPr>
        <w:t>2013. </w:t>
      </w:r>
      <w:r w:rsidRPr="00717D4D">
        <w:rPr>
          <w:rFonts w:asciiTheme="minorHAnsi" w:hAnsiTheme="minorHAnsi"/>
          <w:color w:val="000000"/>
          <w:sz w:val="16"/>
          <w:szCs w:val="16"/>
          <w:lang w:val="en-US"/>
        </w:rPr>
        <w:t>7</w:t>
      </w:r>
      <w:r w:rsidRPr="006E668D">
        <w:rPr>
          <w:rFonts w:asciiTheme="minorHAnsi" w:hAnsiTheme="minorHAnsi"/>
          <w:color w:val="000000"/>
          <w:sz w:val="16"/>
          <w:szCs w:val="16"/>
          <w:lang w:val="en-US"/>
        </w:rPr>
        <w:t>, 1033–1039. 10.1111/irv.12055</w:t>
      </w:r>
    </w:p>
    <w:p w:rsidR="008F6FFE" w:rsidRPr="006E668D" w:rsidRDefault="008F6FFE" w:rsidP="004231D6">
      <w:pPr>
        <w:rPr>
          <w:rFonts w:asciiTheme="minorHAnsi" w:hAnsiTheme="minorHAnsi"/>
          <w:color w:val="000000"/>
          <w:sz w:val="16"/>
          <w:szCs w:val="16"/>
          <w:lang w:val="en-US"/>
        </w:rPr>
      </w:pPr>
      <w:r w:rsidRPr="00717D4D">
        <w:rPr>
          <w:rFonts w:asciiTheme="minorHAnsi" w:hAnsiTheme="minorHAnsi"/>
          <w:color w:val="000000"/>
          <w:sz w:val="16"/>
          <w:szCs w:val="16"/>
          <w:lang w:val="en-US"/>
        </w:rPr>
        <w:t>Influenza in pregnancy</w:t>
      </w:r>
      <w:r w:rsidRPr="006E668D">
        <w:rPr>
          <w:rFonts w:asciiTheme="minorHAnsi" w:hAnsiTheme="minorHAnsi"/>
          <w:color w:val="000000"/>
          <w:sz w:val="16"/>
          <w:szCs w:val="16"/>
          <w:lang w:val="en-US"/>
        </w:rPr>
        <w:t>. </w:t>
      </w:r>
      <w:r w:rsidRPr="00717D4D">
        <w:rPr>
          <w:rFonts w:asciiTheme="minorHAnsi" w:hAnsiTheme="minorHAnsi"/>
          <w:color w:val="000000"/>
          <w:sz w:val="16"/>
          <w:szCs w:val="16"/>
          <w:lang w:val="en-US"/>
        </w:rPr>
        <w:t xml:space="preserve"> </w:t>
      </w:r>
    </w:p>
    <w:p w:rsidR="008F6FFE" w:rsidRPr="006E668D" w:rsidRDefault="008F6FFE" w:rsidP="006E668D">
      <w:pPr>
        <w:rPr>
          <w:rFonts w:asciiTheme="minorHAnsi" w:hAnsiTheme="minorHAnsi"/>
          <w:color w:val="000000"/>
          <w:sz w:val="16"/>
          <w:szCs w:val="16"/>
          <w:lang w:val="en-US"/>
        </w:rPr>
      </w:pPr>
      <w:r w:rsidRPr="006E668D">
        <w:rPr>
          <w:rFonts w:asciiTheme="minorHAnsi" w:hAnsiTheme="minorHAnsi"/>
          <w:color w:val="000000"/>
          <w:sz w:val="16"/>
          <w:szCs w:val="16"/>
          <w:lang w:val="en-US"/>
        </w:rPr>
        <w:t>Memoli MJ, Harvey H, Morens DM, Taubenberger JK</w:t>
      </w:r>
    </w:p>
    <w:p w:rsidR="008F6FFE" w:rsidRPr="006E668D" w:rsidRDefault="0052743C" w:rsidP="006E668D">
      <w:pPr>
        <w:rPr>
          <w:rFonts w:asciiTheme="minorHAnsi" w:hAnsiTheme="minorHAnsi"/>
          <w:color w:val="000000"/>
          <w:sz w:val="16"/>
          <w:szCs w:val="16"/>
          <w:lang w:val="en-US"/>
        </w:rPr>
      </w:pPr>
      <w:hyperlink r:id="rId1136" w:history="1">
        <w:r w:rsidR="008F6FFE" w:rsidRPr="006E668D">
          <w:rPr>
            <w:rFonts w:asciiTheme="minorHAnsi" w:hAnsiTheme="minorHAnsi"/>
            <w:color w:val="000000"/>
            <w:sz w:val="16"/>
            <w:szCs w:val="16"/>
            <w:lang w:val="en-US"/>
          </w:rPr>
          <w:t>https://www.ncbi.nlm.nih.gov/pmc/articles/PMC3582707/</w:t>
        </w:r>
      </w:hyperlink>
    </w:p>
    <w:p w:rsidR="008F6FFE" w:rsidRPr="00717D4D" w:rsidRDefault="008F6FFE" w:rsidP="004231D6">
      <w:pPr>
        <w:pStyle w:val="FootnoteText"/>
        <w:rPr>
          <w:rFonts w:asciiTheme="minorHAnsi" w:hAnsiTheme="minorHAnsi"/>
          <w:sz w:val="16"/>
          <w:szCs w:val="16"/>
          <w:lang w:val="en-US"/>
        </w:rPr>
      </w:pPr>
    </w:p>
  </w:footnote>
  <w:footnote w:id="163">
    <w:p w:rsidR="008F6FFE" w:rsidRPr="00C6567F" w:rsidRDefault="008F6FFE" w:rsidP="004231D6">
      <w:pPr>
        <w:rPr>
          <w:rFonts w:asciiTheme="minorHAnsi" w:hAnsiTheme="minorHAnsi"/>
          <w:color w:val="000000"/>
          <w:sz w:val="16"/>
          <w:szCs w:val="16"/>
          <w:shd w:val="clear" w:color="auto" w:fill="FFFFFF"/>
          <w:lang w:val="en-US"/>
        </w:rPr>
      </w:pPr>
      <w:r w:rsidRPr="00C6567F">
        <w:rPr>
          <w:rFonts w:asciiTheme="minorHAnsi" w:hAnsiTheme="minorHAnsi"/>
          <w:color w:val="000000"/>
          <w:sz w:val="16"/>
          <w:szCs w:val="16"/>
          <w:shd w:val="clear" w:color="auto" w:fill="FFFFFF"/>
          <w:vertAlign w:val="superscript"/>
          <w:lang w:val="en-US"/>
        </w:rPr>
        <w:footnoteRef/>
      </w:r>
      <w:r w:rsidRPr="00C6567F">
        <w:rPr>
          <w:rFonts w:asciiTheme="minorHAnsi" w:hAnsiTheme="minorHAnsi"/>
          <w:color w:val="000000"/>
          <w:sz w:val="16"/>
          <w:szCs w:val="16"/>
          <w:shd w:val="clear" w:color="auto" w:fill="FFFFFF"/>
          <w:vertAlign w:val="superscript"/>
          <w:lang w:val="en-US"/>
        </w:rPr>
        <w:t xml:space="preserve"> </w:t>
      </w:r>
      <w:r w:rsidRPr="00C6567F">
        <w:rPr>
          <w:rFonts w:asciiTheme="minorHAnsi" w:hAnsiTheme="minorHAnsi"/>
          <w:color w:val="000000"/>
          <w:sz w:val="16"/>
          <w:szCs w:val="16"/>
          <w:shd w:val="clear" w:color="auto" w:fill="FFFFFF"/>
          <w:lang w:val="en-US"/>
        </w:rPr>
        <w:t>PLoS One. 2013;8(4):e56700. doi:10.1371/journal.pone.0056700</w:t>
      </w:r>
    </w:p>
    <w:p w:rsidR="008F6FFE" w:rsidRDefault="008F6FFE" w:rsidP="004231D6">
      <w:pPr>
        <w:rPr>
          <w:rFonts w:asciiTheme="minorHAnsi" w:hAnsiTheme="minorHAnsi"/>
          <w:color w:val="000000"/>
          <w:sz w:val="16"/>
          <w:szCs w:val="16"/>
          <w:shd w:val="clear" w:color="auto" w:fill="FFFFFF"/>
          <w:lang w:val="en-US"/>
        </w:rPr>
      </w:pPr>
      <w:r w:rsidRPr="00C6567F">
        <w:rPr>
          <w:rFonts w:asciiTheme="minorHAnsi" w:hAnsiTheme="minorHAnsi"/>
          <w:color w:val="000000"/>
          <w:sz w:val="16"/>
          <w:szCs w:val="16"/>
          <w:shd w:val="clear" w:color="auto" w:fill="FFFFFF"/>
          <w:lang w:val="en-US"/>
        </w:rPr>
        <w:t>Altered response to A(H1N1)pnd09 vaccination in pregnant women: a single blinded randomized controlled trial. </w:t>
      </w:r>
    </w:p>
    <w:p w:rsidR="008F6FFE" w:rsidRPr="00235A16" w:rsidRDefault="008F6FFE" w:rsidP="004231D6">
      <w:pPr>
        <w:rPr>
          <w:rFonts w:asciiTheme="minorHAnsi" w:hAnsiTheme="minorHAnsi"/>
          <w:color w:val="000000"/>
          <w:sz w:val="16"/>
          <w:szCs w:val="16"/>
          <w:shd w:val="clear" w:color="auto" w:fill="FFFFFF"/>
          <w:lang w:val="de-DE"/>
        </w:rPr>
      </w:pPr>
      <w:r w:rsidRPr="00235A16">
        <w:rPr>
          <w:rFonts w:asciiTheme="minorHAnsi" w:hAnsiTheme="minorHAnsi"/>
          <w:color w:val="000000"/>
          <w:sz w:val="16"/>
          <w:szCs w:val="16"/>
          <w:shd w:val="clear" w:color="auto" w:fill="FFFFFF"/>
          <w:lang w:val="de-DE"/>
        </w:rPr>
        <w:t>Bischoff AL et al.</w:t>
      </w:r>
    </w:p>
    <w:p w:rsidR="008F6FFE" w:rsidRPr="00235A16" w:rsidRDefault="0052743C" w:rsidP="006E668D">
      <w:pPr>
        <w:rPr>
          <w:rFonts w:asciiTheme="minorHAnsi" w:hAnsiTheme="minorHAnsi"/>
          <w:color w:val="000000"/>
          <w:sz w:val="16"/>
          <w:szCs w:val="16"/>
          <w:shd w:val="clear" w:color="auto" w:fill="FFFFFF"/>
          <w:lang w:val="de-DE"/>
        </w:rPr>
      </w:pPr>
      <w:hyperlink r:id="rId1137" w:history="1">
        <w:r w:rsidR="008F6FFE" w:rsidRPr="00235A16">
          <w:rPr>
            <w:rFonts w:asciiTheme="minorHAnsi" w:hAnsiTheme="minorHAnsi"/>
            <w:color w:val="000000"/>
            <w:sz w:val="16"/>
            <w:szCs w:val="16"/>
            <w:shd w:val="clear" w:color="auto" w:fill="FFFFFF"/>
            <w:lang w:val="de-DE"/>
          </w:rPr>
          <w:t>https://www.ncbi.nlm.nih.gov/pmc/articles/PMC3630160/</w:t>
        </w:r>
      </w:hyperlink>
    </w:p>
    <w:p w:rsidR="008F6FFE" w:rsidRPr="00235A16" w:rsidRDefault="008F6FFE" w:rsidP="004231D6">
      <w:pPr>
        <w:rPr>
          <w:rFonts w:asciiTheme="minorHAnsi" w:hAnsiTheme="minorHAnsi"/>
          <w:color w:val="000000"/>
          <w:sz w:val="16"/>
          <w:szCs w:val="16"/>
          <w:shd w:val="clear" w:color="auto" w:fill="FFFFFF"/>
          <w:lang w:val="de-DE"/>
        </w:rPr>
      </w:pPr>
    </w:p>
    <w:p w:rsidR="008F6FFE" w:rsidRPr="00C6567F" w:rsidRDefault="008F6FFE" w:rsidP="004231D6">
      <w:pPr>
        <w:rPr>
          <w:rFonts w:asciiTheme="minorHAnsi" w:hAnsiTheme="minorHAnsi"/>
          <w:color w:val="000000"/>
          <w:sz w:val="16"/>
          <w:szCs w:val="16"/>
          <w:shd w:val="clear" w:color="auto" w:fill="FFFFFF"/>
          <w:lang w:val="en-US"/>
        </w:rPr>
      </w:pPr>
      <w:r w:rsidRPr="00C6567F">
        <w:rPr>
          <w:rFonts w:asciiTheme="minorHAnsi" w:hAnsiTheme="minorHAnsi"/>
          <w:color w:val="000000"/>
          <w:sz w:val="16"/>
          <w:szCs w:val="16"/>
          <w:shd w:val="clear" w:color="auto" w:fill="FFFFFF"/>
          <w:lang w:val="en-US"/>
        </w:rPr>
        <w:t xml:space="preserve">J Infect Dis. 2012;206(11):1670‐1673. doi:10.1093/infdis/jis592 </w:t>
      </w:r>
    </w:p>
    <w:p w:rsidR="008F6FFE" w:rsidRPr="00C6567F" w:rsidRDefault="008F6FFE" w:rsidP="004231D6">
      <w:pPr>
        <w:rPr>
          <w:rFonts w:asciiTheme="minorHAnsi" w:hAnsiTheme="minorHAnsi"/>
          <w:color w:val="000000"/>
          <w:sz w:val="16"/>
          <w:szCs w:val="16"/>
          <w:shd w:val="clear" w:color="auto" w:fill="FFFFFF"/>
          <w:lang w:val="en-US"/>
        </w:rPr>
      </w:pPr>
      <w:r w:rsidRPr="00C6567F">
        <w:rPr>
          <w:rFonts w:asciiTheme="minorHAnsi" w:hAnsiTheme="minorHAnsi"/>
          <w:color w:val="000000"/>
          <w:sz w:val="16"/>
          <w:szCs w:val="16"/>
          <w:shd w:val="clear" w:color="auto" w:fill="FFFFFF"/>
          <w:lang w:val="en-US"/>
        </w:rPr>
        <w:t>Pregnancy modifies the antibody response to trivalent influenza immunization. </w:t>
      </w:r>
    </w:p>
    <w:p w:rsidR="008F6FFE" w:rsidRPr="00235A16" w:rsidRDefault="008F6FFE" w:rsidP="004231D6">
      <w:pPr>
        <w:rPr>
          <w:rFonts w:asciiTheme="minorHAnsi" w:hAnsiTheme="minorHAnsi"/>
          <w:color w:val="000000"/>
          <w:sz w:val="16"/>
          <w:szCs w:val="16"/>
          <w:shd w:val="clear" w:color="auto" w:fill="FFFFFF"/>
          <w:lang w:val="de-DE"/>
        </w:rPr>
      </w:pPr>
      <w:r w:rsidRPr="00235A16">
        <w:rPr>
          <w:rFonts w:asciiTheme="minorHAnsi" w:hAnsiTheme="minorHAnsi"/>
          <w:color w:val="000000"/>
          <w:sz w:val="16"/>
          <w:szCs w:val="16"/>
          <w:shd w:val="clear" w:color="auto" w:fill="FFFFFF"/>
          <w:lang w:val="de-DE"/>
        </w:rPr>
        <w:t xml:space="preserve">Schlaudecker EP, McNeal MM, Dodd CN, Ranz JB, Steinhoff MC. </w:t>
      </w:r>
    </w:p>
    <w:p w:rsidR="008F6FFE" w:rsidRPr="00235A16" w:rsidRDefault="0052743C" w:rsidP="006E668D">
      <w:pPr>
        <w:rPr>
          <w:rFonts w:asciiTheme="minorHAnsi" w:hAnsiTheme="minorHAnsi"/>
          <w:color w:val="000000"/>
          <w:sz w:val="16"/>
          <w:szCs w:val="16"/>
          <w:shd w:val="clear" w:color="auto" w:fill="FFFFFF"/>
          <w:lang w:val="de-DE"/>
        </w:rPr>
      </w:pPr>
      <w:hyperlink r:id="rId1138" w:history="1">
        <w:r w:rsidR="008F6FFE" w:rsidRPr="00235A16">
          <w:rPr>
            <w:rFonts w:asciiTheme="minorHAnsi" w:hAnsiTheme="minorHAnsi"/>
            <w:color w:val="000000"/>
            <w:sz w:val="16"/>
            <w:szCs w:val="16"/>
            <w:shd w:val="clear" w:color="auto" w:fill="FFFFFF"/>
            <w:lang w:val="de-DE"/>
          </w:rPr>
          <w:t>https://academic.oup.com/jid/article/206/11/1670/897117</w:t>
        </w:r>
      </w:hyperlink>
    </w:p>
    <w:p w:rsidR="008F6FFE" w:rsidRPr="00235A16" w:rsidRDefault="008F6FFE" w:rsidP="004231D6">
      <w:pPr>
        <w:rPr>
          <w:rFonts w:asciiTheme="minorHAnsi" w:hAnsiTheme="minorHAnsi"/>
          <w:color w:val="000000"/>
          <w:sz w:val="16"/>
          <w:szCs w:val="16"/>
          <w:shd w:val="clear" w:color="auto" w:fill="FFFFFF"/>
          <w:lang w:val="de-DE"/>
        </w:rPr>
      </w:pPr>
    </w:p>
  </w:footnote>
  <w:footnote w:id="164">
    <w:p w:rsidR="008F6FFE" w:rsidRPr="00C341B6" w:rsidRDefault="008F6FFE" w:rsidP="00C46326">
      <w:pPr>
        <w:rPr>
          <w:rFonts w:asciiTheme="minorHAnsi" w:hAnsiTheme="minorHAnsi" w:cstheme="minorHAnsi"/>
          <w:color w:val="000000" w:themeColor="text1"/>
          <w:sz w:val="16"/>
          <w:szCs w:val="16"/>
        </w:rPr>
      </w:pPr>
      <w:r w:rsidRPr="00C341B6">
        <w:rPr>
          <w:rStyle w:val="FootnoteReference"/>
          <w:rFonts w:asciiTheme="minorHAnsi" w:hAnsiTheme="minorHAnsi" w:cstheme="minorHAnsi"/>
          <w:color w:val="000000" w:themeColor="text1"/>
          <w:sz w:val="16"/>
          <w:szCs w:val="16"/>
        </w:rPr>
        <w:footnoteRef/>
      </w:r>
      <w:r w:rsidRPr="00C341B6">
        <w:rPr>
          <w:rFonts w:asciiTheme="minorHAnsi" w:hAnsiTheme="minorHAnsi" w:cstheme="minorHAnsi"/>
          <w:color w:val="000000" w:themeColor="text1"/>
          <w:sz w:val="16"/>
          <w:szCs w:val="16"/>
        </w:rPr>
        <w:t xml:space="preserve"> Vaccinazioni raccomandate per le donne in età fertile e in gravidanza – ERRATA CORRIGE</w:t>
      </w:r>
    </w:p>
    <w:p w:rsidR="008F6FFE" w:rsidRPr="00C341B6" w:rsidRDefault="0052743C" w:rsidP="00C46326">
      <w:pPr>
        <w:rPr>
          <w:rFonts w:asciiTheme="minorHAnsi" w:hAnsiTheme="minorHAnsi" w:cstheme="minorHAnsi"/>
          <w:color w:val="000000" w:themeColor="text1"/>
          <w:sz w:val="16"/>
          <w:szCs w:val="16"/>
        </w:rPr>
      </w:pPr>
      <w:hyperlink r:id="rId1139" w:history="1">
        <w:r w:rsidR="008F6FFE" w:rsidRPr="00C341B6">
          <w:rPr>
            <w:rStyle w:val="Hyperlink"/>
            <w:rFonts w:asciiTheme="minorHAnsi" w:eastAsiaTheme="majorEastAsia" w:hAnsiTheme="minorHAnsi" w:cstheme="minorHAnsi"/>
            <w:color w:val="000000" w:themeColor="text1"/>
            <w:sz w:val="16"/>
            <w:szCs w:val="16"/>
            <w:u w:val="none"/>
          </w:rPr>
          <w:t>http://www.trovanorme.salute.gov.it/norme/renderNormsanPdf?anno=2018&amp;codLeg=66751&amp;parte=1%20&amp;serie=null</w:t>
        </w:r>
      </w:hyperlink>
    </w:p>
    <w:p w:rsidR="008F6FFE" w:rsidRPr="00C46326" w:rsidRDefault="008F6FFE">
      <w:pPr>
        <w:pStyle w:val="FootnoteText"/>
      </w:pPr>
    </w:p>
  </w:footnote>
  <w:footnote w:id="165">
    <w:p w:rsidR="008F6FFE" w:rsidRPr="00967CC1" w:rsidRDefault="008F6FFE" w:rsidP="00967CC1">
      <w:pPr>
        <w:rPr>
          <w:rFonts w:asciiTheme="minorHAnsi" w:hAnsiTheme="minorHAnsi"/>
          <w:color w:val="000000"/>
          <w:sz w:val="16"/>
          <w:szCs w:val="16"/>
          <w:shd w:val="clear" w:color="auto" w:fill="FFFFFF"/>
          <w:lang w:val="en-US"/>
        </w:rPr>
      </w:pPr>
      <w:r w:rsidRPr="00967CC1">
        <w:rPr>
          <w:rFonts w:asciiTheme="minorHAnsi" w:hAnsiTheme="minorHAnsi"/>
          <w:color w:val="000000"/>
          <w:sz w:val="16"/>
          <w:szCs w:val="16"/>
          <w:shd w:val="clear" w:color="auto" w:fill="FFFFFF"/>
          <w:vertAlign w:val="superscript"/>
          <w:lang w:val="en-US"/>
        </w:rPr>
        <w:footnoteRef/>
      </w:r>
      <w:r w:rsidRPr="00967CC1">
        <w:rPr>
          <w:rFonts w:asciiTheme="minorHAnsi" w:hAnsiTheme="minorHAnsi"/>
          <w:color w:val="000000"/>
          <w:sz w:val="16"/>
          <w:szCs w:val="16"/>
          <w:shd w:val="clear" w:color="auto" w:fill="FFFFFF"/>
          <w:lang w:val="en-US"/>
        </w:rPr>
        <w:t xml:space="preserve">  Bioessays. 2015;37(10):1106‐1118. doi:10.1002/bies.201500059 </w:t>
      </w:r>
    </w:p>
    <w:p w:rsidR="008F6FFE" w:rsidRPr="00967CC1" w:rsidRDefault="008F6FFE" w:rsidP="00967CC1">
      <w:pPr>
        <w:rPr>
          <w:rFonts w:asciiTheme="minorHAnsi" w:hAnsiTheme="minorHAnsi"/>
          <w:color w:val="000000"/>
          <w:sz w:val="16"/>
          <w:szCs w:val="16"/>
          <w:shd w:val="clear" w:color="auto" w:fill="FFFFFF"/>
          <w:lang w:val="en-US"/>
        </w:rPr>
      </w:pPr>
      <w:r w:rsidRPr="00967CC1">
        <w:rPr>
          <w:rFonts w:asciiTheme="minorHAnsi" w:hAnsiTheme="minorHAnsi"/>
          <w:color w:val="000000"/>
          <w:sz w:val="16"/>
          <w:szCs w:val="16"/>
          <w:shd w:val="clear" w:color="auto" w:fill="FFFFFF"/>
          <w:lang w:val="en-US"/>
        </w:rPr>
        <w:t>Fetal microchimerism and maternal health: a review and evolutionary analysis of cooperation and conflict beyond the womb</w:t>
      </w:r>
    </w:p>
    <w:p w:rsidR="008F6FFE" w:rsidRDefault="008F6FFE" w:rsidP="00967CC1">
      <w:pPr>
        <w:rPr>
          <w:rFonts w:asciiTheme="minorHAnsi" w:hAnsiTheme="minorHAnsi"/>
          <w:color w:val="000000"/>
          <w:sz w:val="16"/>
          <w:szCs w:val="16"/>
          <w:shd w:val="clear" w:color="auto" w:fill="FFFFFF"/>
          <w:lang w:val="en-US"/>
        </w:rPr>
      </w:pPr>
      <w:r w:rsidRPr="00967CC1">
        <w:rPr>
          <w:rFonts w:asciiTheme="minorHAnsi" w:hAnsiTheme="minorHAnsi"/>
          <w:color w:val="000000"/>
          <w:sz w:val="16"/>
          <w:szCs w:val="16"/>
          <w:shd w:val="clear" w:color="auto" w:fill="FFFFFF"/>
          <w:lang w:val="en-US"/>
        </w:rPr>
        <w:t>Boddy AM, Fortunato A, Wilson Sayres M, Aktipis A</w:t>
      </w:r>
    </w:p>
    <w:p w:rsidR="008F6FFE" w:rsidRPr="006E668D" w:rsidRDefault="0052743C" w:rsidP="006E668D">
      <w:pPr>
        <w:rPr>
          <w:rFonts w:asciiTheme="minorHAnsi" w:hAnsiTheme="minorHAnsi"/>
          <w:color w:val="000000"/>
          <w:sz w:val="16"/>
          <w:szCs w:val="16"/>
          <w:shd w:val="clear" w:color="auto" w:fill="FFFFFF"/>
          <w:lang w:val="en-US"/>
        </w:rPr>
      </w:pPr>
      <w:hyperlink r:id="rId1140" w:history="1">
        <w:r w:rsidR="008F6FFE" w:rsidRPr="006E668D">
          <w:rPr>
            <w:rFonts w:asciiTheme="minorHAnsi" w:hAnsiTheme="minorHAnsi"/>
            <w:color w:val="000000"/>
            <w:sz w:val="16"/>
            <w:szCs w:val="16"/>
            <w:shd w:val="clear" w:color="auto" w:fill="FFFFFF"/>
            <w:lang w:val="en-US"/>
          </w:rPr>
          <w:t>https://www.ncbi.nlm.nih.gov/pmc/articles/PMC4712643/</w:t>
        </w:r>
      </w:hyperlink>
    </w:p>
    <w:p w:rsidR="008F6FFE" w:rsidRDefault="008F6FFE" w:rsidP="00967CC1">
      <w:pPr>
        <w:rPr>
          <w:rFonts w:asciiTheme="minorHAnsi" w:hAnsiTheme="minorHAnsi"/>
          <w:color w:val="000000"/>
          <w:sz w:val="16"/>
          <w:szCs w:val="16"/>
          <w:shd w:val="clear" w:color="auto" w:fill="FFFFFF"/>
          <w:lang w:val="en-US"/>
        </w:rPr>
      </w:pPr>
    </w:p>
    <w:p w:rsidR="008F6FFE" w:rsidRDefault="008F6FFE" w:rsidP="00E40608">
      <w:pPr>
        <w:rPr>
          <w:rFonts w:asciiTheme="minorHAnsi" w:hAnsiTheme="minorHAnsi"/>
          <w:color w:val="000000"/>
          <w:sz w:val="16"/>
          <w:szCs w:val="16"/>
          <w:shd w:val="clear" w:color="auto" w:fill="FFFFFF"/>
          <w:lang w:val="en-US"/>
        </w:rPr>
      </w:pPr>
      <w:r w:rsidRPr="00E40608">
        <w:rPr>
          <w:rFonts w:asciiTheme="minorHAnsi" w:hAnsiTheme="minorHAnsi"/>
          <w:color w:val="000000"/>
          <w:sz w:val="16"/>
          <w:szCs w:val="16"/>
          <w:shd w:val="clear" w:color="auto" w:fill="FFFFFF"/>
          <w:lang w:val="en-US"/>
        </w:rPr>
        <w:t xml:space="preserve">Expert Rev Mol Med. 2009;11:e33. doi:10.1017/S1462399409001264 </w:t>
      </w:r>
    </w:p>
    <w:p w:rsidR="008F6FFE" w:rsidRPr="00E40608" w:rsidRDefault="008F6FFE" w:rsidP="00E40608">
      <w:pPr>
        <w:rPr>
          <w:rFonts w:asciiTheme="minorHAnsi" w:hAnsiTheme="minorHAnsi"/>
          <w:color w:val="000000"/>
          <w:sz w:val="16"/>
          <w:szCs w:val="16"/>
          <w:shd w:val="clear" w:color="auto" w:fill="FFFFFF"/>
          <w:lang w:val="en-US"/>
        </w:rPr>
      </w:pPr>
      <w:r w:rsidRPr="00E40608">
        <w:rPr>
          <w:rFonts w:asciiTheme="minorHAnsi" w:hAnsiTheme="minorHAnsi"/>
          <w:color w:val="000000"/>
          <w:sz w:val="16"/>
          <w:szCs w:val="16"/>
          <w:shd w:val="clear" w:color="auto" w:fill="FFFFFF"/>
          <w:lang w:val="en-US"/>
        </w:rPr>
        <w:t>Fetal microchimerism: the cellular and immunological legacy of pregnancy. </w:t>
      </w:r>
    </w:p>
    <w:p w:rsidR="008F6FFE" w:rsidRPr="00235A16" w:rsidRDefault="008F6FFE" w:rsidP="00E40608">
      <w:pPr>
        <w:rPr>
          <w:rFonts w:asciiTheme="minorHAnsi" w:hAnsiTheme="minorHAnsi"/>
          <w:color w:val="000000"/>
          <w:sz w:val="16"/>
          <w:szCs w:val="16"/>
          <w:shd w:val="clear" w:color="auto" w:fill="FFFFFF"/>
          <w:lang w:val="de-DE"/>
        </w:rPr>
      </w:pPr>
      <w:r w:rsidRPr="00235A16">
        <w:rPr>
          <w:rFonts w:asciiTheme="minorHAnsi" w:hAnsiTheme="minorHAnsi"/>
          <w:color w:val="000000"/>
          <w:sz w:val="16"/>
          <w:szCs w:val="16"/>
          <w:shd w:val="clear" w:color="auto" w:fill="FFFFFF"/>
          <w:lang w:val="de-DE"/>
        </w:rPr>
        <w:t xml:space="preserve">Lissauer DM, Piper KP, Moss PA, Kilby MD. </w:t>
      </w:r>
    </w:p>
    <w:p w:rsidR="008F6FFE" w:rsidRPr="00235A16" w:rsidRDefault="0052743C" w:rsidP="006E668D">
      <w:pPr>
        <w:rPr>
          <w:rFonts w:asciiTheme="minorHAnsi" w:hAnsiTheme="minorHAnsi"/>
          <w:color w:val="000000"/>
          <w:sz w:val="16"/>
          <w:szCs w:val="16"/>
          <w:shd w:val="clear" w:color="auto" w:fill="FFFFFF"/>
          <w:lang w:val="de-DE"/>
        </w:rPr>
      </w:pPr>
      <w:hyperlink r:id="rId1141" w:history="1">
        <w:r w:rsidR="008F6FFE" w:rsidRPr="00235A16">
          <w:rPr>
            <w:rFonts w:asciiTheme="minorHAnsi" w:hAnsiTheme="minorHAnsi"/>
            <w:color w:val="000000"/>
            <w:sz w:val="16"/>
            <w:szCs w:val="16"/>
            <w:shd w:val="clear" w:color="auto" w:fill="FFFFFF"/>
            <w:lang w:val="de-DE"/>
          </w:rPr>
          <w:t>https://pubmed.ncbi.nlm.nih.gov/19909558/</w:t>
        </w:r>
      </w:hyperlink>
    </w:p>
    <w:p w:rsidR="008F6FFE" w:rsidRPr="00235A16" w:rsidRDefault="008F6FFE" w:rsidP="00E40608">
      <w:pPr>
        <w:rPr>
          <w:rFonts w:asciiTheme="minorHAnsi" w:hAnsiTheme="minorHAnsi"/>
          <w:color w:val="000000"/>
          <w:sz w:val="16"/>
          <w:szCs w:val="16"/>
          <w:shd w:val="clear" w:color="auto" w:fill="FFFFFF"/>
          <w:lang w:val="de-DE"/>
        </w:rPr>
      </w:pPr>
    </w:p>
    <w:p w:rsidR="008F6FFE" w:rsidRPr="00C41153" w:rsidRDefault="008F6FFE" w:rsidP="00C41153">
      <w:pPr>
        <w:rPr>
          <w:rFonts w:asciiTheme="minorHAnsi" w:hAnsiTheme="minorHAnsi"/>
          <w:color w:val="000000"/>
          <w:sz w:val="16"/>
          <w:szCs w:val="16"/>
          <w:shd w:val="clear" w:color="auto" w:fill="FFFFFF"/>
          <w:lang w:val="en-US"/>
        </w:rPr>
      </w:pPr>
      <w:r w:rsidRPr="00C41153">
        <w:rPr>
          <w:rFonts w:asciiTheme="minorHAnsi" w:hAnsiTheme="minorHAnsi"/>
          <w:color w:val="000000"/>
          <w:sz w:val="16"/>
          <w:szCs w:val="16"/>
          <w:shd w:val="clear" w:color="auto" w:fill="FFFFFF"/>
          <w:lang w:val="en-US"/>
        </w:rPr>
        <w:t xml:space="preserve">Trends Immunol. 2012;33(8):421‐427. doi:10.1016/j.it.2012.03.002 </w:t>
      </w:r>
    </w:p>
    <w:p w:rsidR="008F6FFE" w:rsidRPr="00C41153" w:rsidRDefault="008F6FFE" w:rsidP="00C41153">
      <w:pPr>
        <w:rPr>
          <w:rFonts w:asciiTheme="minorHAnsi" w:hAnsiTheme="minorHAnsi"/>
          <w:color w:val="000000"/>
          <w:sz w:val="16"/>
          <w:szCs w:val="16"/>
          <w:shd w:val="clear" w:color="auto" w:fill="FFFFFF"/>
          <w:lang w:val="en-US"/>
        </w:rPr>
      </w:pPr>
      <w:r w:rsidRPr="00C41153">
        <w:rPr>
          <w:rFonts w:asciiTheme="minorHAnsi" w:hAnsiTheme="minorHAnsi"/>
          <w:color w:val="000000"/>
          <w:sz w:val="16"/>
          <w:szCs w:val="16"/>
          <w:shd w:val="clear" w:color="auto" w:fill="FFFFFF"/>
          <w:lang w:val="en-US"/>
        </w:rPr>
        <w:t>The otherness of self: microchimerism in health and disease. </w:t>
      </w:r>
    </w:p>
    <w:p w:rsidR="008F6FFE" w:rsidRPr="00967CC1" w:rsidRDefault="008F6FFE" w:rsidP="00967CC1">
      <w:pPr>
        <w:rPr>
          <w:rFonts w:asciiTheme="minorHAnsi" w:hAnsiTheme="minorHAnsi"/>
          <w:color w:val="000000"/>
          <w:sz w:val="16"/>
          <w:szCs w:val="16"/>
          <w:shd w:val="clear" w:color="auto" w:fill="FFFFFF"/>
          <w:lang w:val="en-US"/>
        </w:rPr>
      </w:pPr>
      <w:r w:rsidRPr="00C41153">
        <w:rPr>
          <w:rFonts w:asciiTheme="minorHAnsi" w:hAnsiTheme="minorHAnsi"/>
          <w:color w:val="000000"/>
          <w:sz w:val="16"/>
          <w:szCs w:val="16"/>
          <w:shd w:val="clear" w:color="auto" w:fill="FFFFFF"/>
          <w:lang w:val="en-US"/>
        </w:rPr>
        <w:t xml:space="preserve">Nelson JL. </w:t>
      </w:r>
    </w:p>
    <w:p w:rsidR="008F6FFE" w:rsidRPr="001B1EE4" w:rsidRDefault="0052743C" w:rsidP="003107DC">
      <w:pPr>
        <w:rPr>
          <w:rFonts w:asciiTheme="minorHAnsi" w:hAnsiTheme="minorHAnsi"/>
          <w:sz w:val="16"/>
          <w:szCs w:val="16"/>
          <w:lang w:val="en-US"/>
        </w:rPr>
      </w:pPr>
      <w:hyperlink r:id="rId1142" w:history="1">
        <w:r w:rsidR="008F6FFE" w:rsidRPr="003107DC">
          <w:rPr>
            <w:rFonts w:asciiTheme="minorHAnsi" w:hAnsiTheme="minorHAnsi"/>
            <w:color w:val="000000"/>
            <w:sz w:val="16"/>
            <w:szCs w:val="16"/>
            <w:shd w:val="clear" w:color="auto" w:fill="FFFFFF"/>
            <w:lang w:val="en-US"/>
          </w:rPr>
          <w:t>https://www.ncbi.nlm.nih.gov/pmc/articles/PMC3516290/</w:t>
        </w:r>
      </w:hyperlink>
    </w:p>
  </w:footnote>
  <w:footnote w:id="166">
    <w:p w:rsidR="008F6FFE" w:rsidRPr="00AB1ED1" w:rsidRDefault="008F6FFE" w:rsidP="00967CC1">
      <w:pPr>
        <w:rPr>
          <w:rFonts w:asciiTheme="minorHAnsi" w:hAnsiTheme="minorHAnsi"/>
          <w:color w:val="000000"/>
          <w:sz w:val="16"/>
          <w:szCs w:val="16"/>
          <w:shd w:val="clear" w:color="auto" w:fill="FFFFFF"/>
          <w:lang w:val="en-US"/>
        </w:rPr>
      </w:pPr>
      <w:r w:rsidRPr="00AB1ED1">
        <w:rPr>
          <w:rFonts w:asciiTheme="minorHAnsi" w:hAnsiTheme="minorHAnsi"/>
          <w:color w:val="000000"/>
          <w:sz w:val="16"/>
          <w:szCs w:val="16"/>
          <w:shd w:val="clear" w:color="auto" w:fill="FFFFFF"/>
          <w:vertAlign w:val="superscript"/>
          <w:lang w:val="en-US"/>
        </w:rPr>
        <w:footnoteRef/>
      </w:r>
      <w:r w:rsidRPr="00AB1ED1">
        <w:rPr>
          <w:rFonts w:asciiTheme="minorHAnsi" w:hAnsiTheme="minorHAnsi"/>
          <w:color w:val="000000"/>
          <w:sz w:val="16"/>
          <w:szCs w:val="16"/>
          <w:shd w:val="clear" w:color="auto" w:fill="FFFFFF"/>
          <w:vertAlign w:val="superscript"/>
          <w:lang w:val="en-US"/>
        </w:rPr>
        <w:t xml:space="preserve"> </w:t>
      </w:r>
      <w:r w:rsidRPr="00AB1ED1">
        <w:rPr>
          <w:rFonts w:asciiTheme="minorHAnsi" w:hAnsiTheme="minorHAnsi"/>
          <w:color w:val="000000"/>
          <w:sz w:val="16"/>
          <w:szCs w:val="16"/>
          <w:shd w:val="clear" w:color="auto" w:fill="FFFFFF"/>
          <w:lang w:val="en-US"/>
        </w:rPr>
        <w:t>Nat Rev Immunol. 2017 Aug;17(8):483-494. doi: 10.1038/nri.2017.38</w:t>
      </w:r>
    </w:p>
    <w:p w:rsidR="008F6FFE" w:rsidRPr="00AB1ED1" w:rsidRDefault="008F6FFE" w:rsidP="00967CC1">
      <w:pPr>
        <w:rPr>
          <w:rFonts w:asciiTheme="minorHAnsi" w:hAnsiTheme="minorHAnsi"/>
          <w:color w:val="000000"/>
          <w:sz w:val="16"/>
          <w:szCs w:val="16"/>
          <w:shd w:val="clear" w:color="auto" w:fill="FFFFFF"/>
          <w:lang w:val="en-US"/>
        </w:rPr>
      </w:pPr>
      <w:r w:rsidRPr="00AB1ED1">
        <w:rPr>
          <w:rFonts w:asciiTheme="minorHAnsi" w:hAnsiTheme="minorHAnsi"/>
          <w:color w:val="000000"/>
          <w:sz w:val="16"/>
          <w:szCs w:val="16"/>
          <w:shd w:val="clear" w:color="auto" w:fill="FFFFFF"/>
          <w:lang w:val="en-US"/>
        </w:rPr>
        <w:t xml:space="preserve">Immunological implications of pregnancy-induced microchimerism. </w:t>
      </w:r>
    </w:p>
    <w:p w:rsidR="008F6FFE" w:rsidRDefault="008F6FFE" w:rsidP="00967CC1">
      <w:pPr>
        <w:rPr>
          <w:rFonts w:asciiTheme="minorHAnsi" w:hAnsiTheme="minorHAnsi"/>
          <w:color w:val="000000"/>
          <w:sz w:val="16"/>
          <w:szCs w:val="16"/>
          <w:shd w:val="clear" w:color="auto" w:fill="FFFFFF"/>
          <w:lang w:val="en-US"/>
        </w:rPr>
      </w:pPr>
      <w:r w:rsidRPr="00AB1ED1">
        <w:rPr>
          <w:rFonts w:asciiTheme="minorHAnsi" w:hAnsiTheme="minorHAnsi"/>
          <w:color w:val="000000"/>
          <w:sz w:val="16"/>
          <w:szCs w:val="16"/>
          <w:shd w:val="clear" w:color="auto" w:fill="FFFFFF"/>
          <w:lang w:val="en-US"/>
        </w:rPr>
        <w:t>Kinder JM, Stelzer IA, Arck PC, Way SS</w:t>
      </w:r>
    </w:p>
    <w:p w:rsidR="008F6FFE" w:rsidRPr="00496BA7" w:rsidRDefault="0052743C" w:rsidP="00496BA7">
      <w:pPr>
        <w:rPr>
          <w:rFonts w:asciiTheme="minorHAnsi" w:hAnsiTheme="minorHAnsi"/>
          <w:color w:val="000000"/>
          <w:sz w:val="16"/>
          <w:szCs w:val="16"/>
          <w:shd w:val="clear" w:color="auto" w:fill="FFFFFF"/>
          <w:lang w:val="en-US"/>
        </w:rPr>
      </w:pPr>
      <w:hyperlink r:id="rId1143" w:history="1">
        <w:r w:rsidR="008F6FFE" w:rsidRPr="00496BA7">
          <w:rPr>
            <w:rFonts w:asciiTheme="minorHAnsi" w:hAnsiTheme="minorHAnsi"/>
            <w:color w:val="000000"/>
            <w:sz w:val="16"/>
            <w:szCs w:val="16"/>
            <w:shd w:val="clear" w:color="auto" w:fill="FFFFFF"/>
            <w:lang w:val="en-US"/>
          </w:rPr>
          <w:t>https://www.ncbi.nlm.nih.gov/pmc/articles/PMC5532073/</w:t>
        </w:r>
      </w:hyperlink>
    </w:p>
    <w:p w:rsidR="008F6FFE" w:rsidRPr="00B479BE" w:rsidRDefault="008F6FFE" w:rsidP="00967CC1">
      <w:pPr>
        <w:rPr>
          <w:rFonts w:asciiTheme="minorHAnsi" w:hAnsiTheme="minorHAnsi"/>
          <w:color w:val="000000"/>
          <w:sz w:val="16"/>
          <w:szCs w:val="16"/>
          <w:shd w:val="clear" w:color="auto" w:fill="FFFFFF"/>
          <w:lang w:val="en-US"/>
        </w:rPr>
      </w:pPr>
    </w:p>
  </w:footnote>
  <w:footnote w:id="167">
    <w:p w:rsidR="008F6FFE" w:rsidRPr="00B479BE" w:rsidRDefault="008F6FFE" w:rsidP="00B479BE">
      <w:pPr>
        <w:rPr>
          <w:rFonts w:asciiTheme="minorHAnsi" w:hAnsiTheme="minorHAnsi"/>
          <w:color w:val="000000"/>
          <w:sz w:val="16"/>
          <w:szCs w:val="16"/>
          <w:shd w:val="clear" w:color="auto" w:fill="FFFFFF"/>
          <w:lang w:val="en-US"/>
        </w:rPr>
      </w:pPr>
      <w:r w:rsidRPr="00496BA7">
        <w:rPr>
          <w:rFonts w:asciiTheme="minorHAnsi" w:hAnsiTheme="minorHAnsi"/>
          <w:color w:val="000000"/>
          <w:sz w:val="16"/>
          <w:szCs w:val="16"/>
          <w:shd w:val="clear" w:color="auto" w:fill="FFFFFF"/>
          <w:lang w:val="en-US"/>
        </w:rPr>
        <w:footnoteRef/>
      </w:r>
      <w:r w:rsidRPr="00496BA7">
        <w:rPr>
          <w:rFonts w:asciiTheme="minorHAnsi" w:hAnsiTheme="minorHAnsi"/>
          <w:color w:val="000000"/>
          <w:sz w:val="16"/>
          <w:szCs w:val="16"/>
          <w:shd w:val="clear" w:color="auto" w:fill="FFFFFF"/>
          <w:lang w:val="en-US"/>
        </w:rPr>
        <w:t xml:space="preserve"> </w:t>
      </w:r>
      <w:r w:rsidRPr="00B479BE">
        <w:rPr>
          <w:rFonts w:asciiTheme="minorHAnsi" w:hAnsiTheme="minorHAnsi"/>
          <w:color w:val="000000"/>
          <w:sz w:val="16"/>
          <w:szCs w:val="16"/>
          <w:shd w:val="clear" w:color="auto" w:fill="FFFFFF"/>
          <w:lang w:val="en-US"/>
        </w:rPr>
        <w:t>Best Pract Res Clin Obstet Gynaecol. 2016;31:121‐130. doi:10.1016/j.bpobgyn.2015.08.005</w:t>
      </w:r>
    </w:p>
    <w:p w:rsidR="008F6FFE" w:rsidRPr="00B479BE" w:rsidRDefault="008F6FFE" w:rsidP="00B479BE">
      <w:pPr>
        <w:rPr>
          <w:rFonts w:asciiTheme="minorHAnsi" w:hAnsiTheme="minorHAnsi"/>
          <w:color w:val="000000"/>
          <w:sz w:val="16"/>
          <w:szCs w:val="16"/>
          <w:shd w:val="clear" w:color="auto" w:fill="FFFFFF"/>
          <w:lang w:val="en-US"/>
        </w:rPr>
      </w:pPr>
      <w:r w:rsidRPr="00B479BE">
        <w:rPr>
          <w:rFonts w:asciiTheme="minorHAnsi" w:hAnsiTheme="minorHAnsi"/>
          <w:color w:val="000000"/>
          <w:sz w:val="16"/>
          <w:szCs w:val="16"/>
          <w:shd w:val="clear" w:color="auto" w:fill="FFFFFF"/>
          <w:lang w:val="en-US"/>
        </w:rPr>
        <w:t xml:space="preserve">Maternal microchimerism in health and disease.  </w:t>
      </w:r>
    </w:p>
    <w:p w:rsidR="008F6FFE" w:rsidRPr="00B479BE" w:rsidRDefault="008F6FFE" w:rsidP="00B479BE">
      <w:pPr>
        <w:rPr>
          <w:rFonts w:asciiTheme="minorHAnsi" w:hAnsiTheme="minorHAnsi"/>
          <w:color w:val="000000"/>
          <w:sz w:val="16"/>
          <w:szCs w:val="16"/>
          <w:shd w:val="clear" w:color="auto" w:fill="FFFFFF"/>
          <w:lang w:val="en-US"/>
        </w:rPr>
      </w:pPr>
      <w:r w:rsidRPr="00B479BE">
        <w:rPr>
          <w:rFonts w:asciiTheme="minorHAnsi" w:hAnsiTheme="minorHAnsi"/>
          <w:color w:val="000000"/>
          <w:sz w:val="16"/>
          <w:szCs w:val="16"/>
          <w:shd w:val="clear" w:color="auto" w:fill="FFFFFF"/>
          <w:lang w:val="en-US"/>
        </w:rPr>
        <w:t xml:space="preserve">Stevens AM. </w:t>
      </w:r>
    </w:p>
    <w:p w:rsidR="008F6FFE" w:rsidRPr="00B479BE" w:rsidRDefault="0052743C" w:rsidP="00496BA7">
      <w:pPr>
        <w:rPr>
          <w:lang w:val="en-US"/>
        </w:rPr>
      </w:pPr>
      <w:hyperlink r:id="rId1144" w:history="1">
        <w:r w:rsidR="008F6FFE" w:rsidRPr="00496BA7">
          <w:rPr>
            <w:rFonts w:asciiTheme="minorHAnsi" w:hAnsiTheme="minorHAnsi"/>
            <w:color w:val="000000"/>
            <w:sz w:val="16"/>
            <w:szCs w:val="16"/>
            <w:shd w:val="clear" w:color="auto" w:fill="FFFFFF"/>
            <w:lang w:val="en-US"/>
          </w:rPr>
          <w:t>https://pubmed.ncbi.nlm.nih.gov/26612343/</w:t>
        </w:r>
      </w:hyperlink>
    </w:p>
  </w:footnote>
  <w:footnote w:id="168">
    <w:p w:rsidR="008F6FFE" w:rsidRPr="009C183E" w:rsidRDefault="008F6FFE" w:rsidP="00332FA4">
      <w:pPr>
        <w:rPr>
          <w:rFonts w:asciiTheme="minorHAnsi" w:hAnsiTheme="minorHAnsi" w:cs="Arial"/>
          <w:color w:val="303030"/>
          <w:sz w:val="16"/>
          <w:szCs w:val="16"/>
          <w:shd w:val="clear" w:color="auto" w:fill="FFFFFF"/>
          <w:lang w:val="en-US"/>
        </w:rPr>
      </w:pPr>
      <w:r w:rsidRPr="009C183E">
        <w:rPr>
          <w:rFonts w:asciiTheme="minorHAnsi" w:hAnsiTheme="minorHAnsi" w:cstheme="minorHAnsi"/>
          <w:color w:val="303030"/>
          <w:sz w:val="16"/>
          <w:szCs w:val="16"/>
          <w:shd w:val="clear" w:color="auto" w:fill="FFFFFF"/>
          <w:vertAlign w:val="superscript"/>
          <w:lang w:val="en-US"/>
        </w:rPr>
        <w:footnoteRef/>
      </w:r>
      <w:r w:rsidRPr="009C183E">
        <w:rPr>
          <w:rFonts w:asciiTheme="minorHAnsi" w:hAnsiTheme="minorHAnsi" w:cstheme="minorHAnsi"/>
          <w:color w:val="303030"/>
          <w:sz w:val="16"/>
          <w:szCs w:val="16"/>
          <w:shd w:val="clear" w:color="auto" w:fill="FFFFFF"/>
          <w:vertAlign w:val="superscript"/>
          <w:lang w:val="en-US"/>
        </w:rPr>
        <w:t xml:space="preserve"> </w:t>
      </w:r>
      <w:r w:rsidRPr="009C183E">
        <w:rPr>
          <w:rFonts w:asciiTheme="minorHAnsi" w:hAnsiTheme="minorHAnsi" w:cs="Arial"/>
          <w:color w:val="303030"/>
          <w:sz w:val="16"/>
          <w:szCs w:val="16"/>
          <w:shd w:val="clear" w:color="auto" w:fill="FFFFFF"/>
          <w:lang w:val="en-US"/>
        </w:rPr>
        <w:t xml:space="preserve">J Dev Orig Health Dis. 2018;9(6):590‐597. doi:10.1017/S2040174418000119 </w:t>
      </w:r>
    </w:p>
    <w:p w:rsidR="008F6FFE" w:rsidRPr="009C183E" w:rsidRDefault="008F6FFE" w:rsidP="00332FA4">
      <w:pPr>
        <w:rPr>
          <w:rFonts w:asciiTheme="minorHAnsi" w:hAnsiTheme="minorHAnsi" w:cs="Arial"/>
          <w:color w:val="303030"/>
          <w:sz w:val="16"/>
          <w:szCs w:val="16"/>
          <w:shd w:val="clear" w:color="auto" w:fill="FFFFFF"/>
          <w:lang w:val="en-US"/>
        </w:rPr>
      </w:pPr>
      <w:r w:rsidRPr="009C183E">
        <w:rPr>
          <w:rFonts w:asciiTheme="minorHAnsi" w:hAnsiTheme="minorHAnsi" w:cs="Arial"/>
          <w:color w:val="303030"/>
          <w:sz w:val="16"/>
          <w:szCs w:val="16"/>
          <w:shd w:val="clear" w:color="auto" w:fill="FFFFFF"/>
          <w:lang w:val="en-US"/>
        </w:rPr>
        <w:t>The developing gut microbiota and its consequences for health. </w:t>
      </w:r>
    </w:p>
    <w:p w:rsidR="008F6FFE" w:rsidRPr="009C183E" w:rsidRDefault="008F6FFE" w:rsidP="00332FA4">
      <w:pPr>
        <w:rPr>
          <w:rFonts w:asciiTheme="minorHAnsi" w:hAnsiTheme="minorHAnsi" w:cs="Arial"/>
          <w:color w:val="303030"/>
          <w:sz w:val="16"/>
          <w:szCs w:val="16"/>
          <w:shd w:val="clear" w:color="auto" w:fill="FFFFFF"/>
          <w:lang w:val="en-US"/>
        </w:rPr>
      </w:pPr>
      <w:r w:rsidRPr="009C183E">
        <w:rPr>
          <w:rFonts w:asciiTheme="minorHAnsi" w:hAnsiTheme="minorHAnsi" w:cs="Arial"/>
          <w:color w:val="303030"/>
          <w:sz w:val="16"/>
          <w:szCs w:val="16"/>
          <w:shd w:val="clear" w:color="auto" w:fill="FFFFFF"/>
          <w:lang w:val="en-US"/>
        </w:rPr>
        <w:t xml:space="preserve">Butel MJ, Waligora-Dupriet AJ, Wydau-Dematteis S. </w:t>
      </w:r>
    </w:p>
    <w:p w:rsidR="008F6FFE" w:rsidRPr="009C183E" w:rsidRDefault="0052743C" w:rsidP="005D164D">
      <w:pPr>
        <w:jc w:val="both"/>
        <w:rPr>
          <w:rFonts w:asciiTheme="minorHAnsi" w:hAnsiTheme="minorHAnsi" w:cs="Arial"/>
          <w:color w:val="303030"/>
          <w:sz w:val="16"/>
          <w:szCs w:val="16"/>
          <w:shd w:val="clear" w:color="auto" w:fill="FFFFFF"/>
          <w:lang w:val="en-US"/>
        </w:rPr>
      </w:pPr>
      <w:hyperlink r:id="rId1145" w:history="1">
        <w:r w:rsidR="008F6FFE" w:rsidRPr="009C183E">
          <w:rPr>
            <w:rFonts w:asciiTheme="minorHAnsi" w:hAnsiTheme="minorHAnsi" w:cs="Arial"/>
            <w:color w:val="303030"/>
            <w:sz w:val="16"/>
            <w:szCs w:val="16"/>
            <w:shd w:val="clear" w:color="auto" w:fill="FFFFFF"/>
            <w:lang w:val="en-US"/>
          </w:rPr>
          <w:t>https://www.cambridge.org/core/journals/journal-of-developmental-origins-of-health-and-disease/article/developing-gut-microbiota-and-its-consequences-for-health/2B7BC1C8128692852F42DBCB883A9462/core-reader</w:t>
        </w:r>
      </w:hyperlink>
    </w:p>
    <w:p w:rsidR="008F6FFE" w:rsidRPr="009C183E" w:rsidRDefault="008F6FFE" w:rsidP="009C183E">
      <w:pPr>
        <w:rPr>
          <w:rFonts w:asciiTheme="minorHAnsi" w:hAnsiTheme="minorHAnsi" w:cs="Arial"/>
          <w:color w:val="303030"/>
          <w:sz w:val="16"/>
          <w:szCs w:val="16"/>
          <w:shd w:val="clear" w:color="auto" w:fill="FFFFFF"/>
          <w:lang w:val="en-US"/>
        </w:rPr>
      </w:pPr>
    </w:p>
    <w:p w:rsidR="008F6FFE" w:rsidRPr="009C183E" w:rsidRDefault="008F6FFE" w:rsidP="003E2CCD">
      <w:pPr>
        <w:rPr>
          <w:rFonts w:asciiTheme="minorHAnsi" w:hAnsiTheme="minorHAnsi" w:cs="Arial"/>
          <w:color w:val="303030"/>
          <w:sz w:val="16"/>
          <w:szCs w:val="16"/>
          <w:shd w:val="clear" w:color="auto" w:fill="FFFFFF"/>
          <w:lang w:val="en-US"/>
        </w:rPr>
      </w:pPr>
      <w:r w:rsidRPr="009C183E">
        <w:rPr>
          <w:rFonts w:asciiTheme="minorHAnsi" w:hAnsiTheme="minorHAnsi" w:cs="Arial"/>
          <w:color w:val="303030"/>
          <w:sz w:val="16"/>
          <w:szCs w:val="16"/>
          <w:shd w:val="clear" w:color="auto" w:fill="FFFFFF"/>
          <w:lang w:val="en-US"/>
        </w:rPr>
        <w:t xml:space="preserve">Front Microbiol. 2020 Apr 3;11:439. doi: 10.3389/fmicb.2020.00439. </w:t>
      </w:r>
    </w:p>
    <w:p w:rsidR="008F6FFE" w:rsidRPr="009C183E" w:rsidRDefault="008F6FFE" w:rsidP="003E2CCD">
      <w:pPr>
        <w:rPr>
          <w:rFonts w:asciiTheme="minorHAnsi" w:hAnsiTheme="minorHAnsi" w:cs="Arial"/>
          <w:color w:val="303030"/>
          <w:sz w:val="16"/>
          <w:szCs w:val="16"/>
          <w:shd w:val="clear" w:color="auto" w:fill="FFFFFF"/>
          <w:lang w:val="en-US"/>
        </w:rPr>
      </w:pPr>
      <w:r w:rsidRPr="009C183E">
        <w:rPr>
          <w:rFonts w:asciiTheme="minorHAnsi" w:hAnsiTheme="minorHAnsi" w:cs="Arial"/>
          <w:color w:val="303030"/>
          <w:sz w:val="16"/>
          <w:szCs w:val="16"/>
          <w:shd w:val="clear" w:color="auto" w:fill="FFFFFF"/>
          <w:lang w:val="en-US"/>
        </w:rPr>
        <w:t>Evolution of the Gut Microbiome in Early Childhood: A Cross-Sectional Study of Chinese Children.</w:t>
      </w:r>
    </w:p>
    <w:p w:rsidR="008F6FFE" w:rsidRPr="009C183E" w:rsidRDefault="008F6FFE" w:rsidP="003E2CCD">
      <w:pPr>
        <w:rPr>
          <w:rFonts w:asciiTheme="minorHAnsi" w:hAnsiTheme="minorHAnsi" w:cs="Arial"/>
          <w:color w:val="303030"/>
          <w:sz w:val="16"/>
          <w:szCs w:val="16"/>
          <w:shd w:val="clear" w:color="auto" w:fill="FFFFFF"/>
          <w:lang w:val="en-US"/>
        </w:rPr>
      </w:pPr>
      <w:r w:rsidRPr="009C183E">
        <w:rPr>
          <w:rFonts w:asciiTheme="minorHAnsi" w:hAnsiTheme="minorHAnsi" w:cs="Arial"/>
          <w:color w:val="303030"/>
          <w:sz w:val="16"/>
          <w:szCs w:val="16"/>
          <w:shd w:val="clear" w:color="auto" w:fill="FFFFFF"/>
          <w:lang w:val="en-US"/>
        </w:rPr>
        <w:t xml:space="preserve">Niu J, Xu L, Qian Y, Sun Z, Yu D, Huang J, Zhou X, Wang Y, Zhang T, Ren R, Li Z, Yu J, Gao X. </w:t>
      </w:r>
    </w:p>
    <w:p w:rsidR="008F6FFE" w:rsidRPr="009C183E" w:rsidRDefault="0052743C" w:rsidP="009C183E">
      <w:pPr>
        <w:rPr>
          <w:rFonts w:asciiTheme="minorHAnsi" w:hAnsiTheme="minorHAnsi" w:cs="Arial"/>
          <w:color w:val="303030"/>
          <w:sz w:val="16"/>
          <w:szCs w:val="16"/>
          <w:shd w:val="clear" w:color="auto" w:fill="FFFFFF"/>
          <w:lang w:val="en-US"/>
        </w:rPr>
      </w:pPr>
      <w:hyperlink r:id="rId1146" w:history="1">
        <w:r w:rsidR="008F6FFE" w:rsidRPr="009C183E">
          <w:rPr>
            <w:rFonts w:asciiTheme="minorHAnsi" w:hAnsiTheme="minorHAnsi" w:cs="Arial"/>
            <w:color w:val="303030"/>
            <w:sz w:val="16"/>
            <w:szCs w:val="16"/>
            <w:shd w:val="clear" w:color="auto" w:fill="FFFFFF"/>
            <w:lang w:val="en-US"/>
          </w:rPr>
          <w:t>https://www.ncbi.nlm.nih.gov/pmc/articles/PMC7169428/</w:t>
        </w:r>
      </w:hyperlink>
    </w:p>
    <w:p w:rsidR="008F6FFE" w:rsidRPr="00996C82" w:rsidRDefault="008F6FFE" w:rsidP="003E2CCD">
      <w:pPr>
        <w:rPr>
          <w:rFonts w:asciiTheme="minorHAnsi" w:hAnsiTheme="minorHAnsi" w:cs="Arial"/>
          <w:color w:val="303030"/>
          <w:sz w:val="16"/>
          <w:szCs w:val="16"/>
          <w:shd w:val="clear" w:color="auto" w:fill="FFFFFF"/>
          <w:lang w:val="en-US"/>
        </w:rPr>
      </w:pPr>
    </w:p>
    <w:p w:rsidR="008F6FFE" w:rsidRPr="009C183E" w:rsidRDefault="008F6FFE" w:rsidP="003E2CCD">
      <w:pPr>
        <w:rPr>
          <w:rFonts w:asciiTheme="minorHAnsi" w:hAnsiTheme="minorHAnsi" w:cs="Arial"/>
          <w:color w:val="303030"/>
          <w:sz w:val="16"/>
          <w:szCs w:val="16"/>
          <w:shd w:val="clear" w:color="auto" w:fill="FFFFFF"/>
          <w:lang w:val="en-US"/>
        </w:rPr>
      </w:pPr>
      <w:r w:rsidRPr="009C183E">
        <w:rPr>
          <w:rFonts w:asciiTheme="minorHAnsi" w:hAnsiTheme="minorHAnsi" w:cs="Arial"/>
          <w:color w:val="303030"/>
          <w:sz w:val="16"/>
          <w:szCs w:val="16"/>
          <w:shd w:val="clear" w:color="auto" w:fill="FFFFFF"/>
          <w:lang w:val="en-US"/>
        </w:rPr>
        <w:t xml:space="preserve">Ital J Pediatr. 2020 Feb 5;46(1):16. doi: 10.1186/s13052-020-0781-0. </w:t>
      </w:r>
    </w:p>
    <w:p w:rsidR="008F6FFE" w:rsidRPr="009C183E" w:rsidRDefault="008F6FFE" w:rsidP="003E2CCD">
      <w:pPr>
        <w:rPr>
          <w:rFonts w:asciiTheme="minorHAnsi" w:hAnsiTheme="minorHAnsi" w:cs="Arial"/>
          <w:color w:val="303030"/>
          <w:sz w:val="16"/>
          <w:szCs w:val="16"/>
          <w:shd w:val="clear" w:color="auto" w:fill="FFFFFF"/>
          <w:lang w:val="en-US"/>
        </w:rPr>
      </w:pPr>
      <w:r w:rsidRPr="009C183E">
        <w:rPr>
          <w:rFonts w:asciiTheme="minorHAnsi" w:hAnsiTheme="minorHAnsi" w:cs="Arial"/>
          <w:color w:val="303030"/>
          <w:sz w:val="16"/>
          <w:szCs w:val="16"/>
          <w:shd w:val="clear" w:color="auto" w:fill="FFFFFF"/>
          <w:lang w:val="en-US"/>
        </w:rPr>
        <w:t>The infant gut microbiome as a microbial organ influencing host well-being.</w:t>
      </w:r>
    </w:p>
    <w:p w:rsidR="008F6FFE" w:rsidRPr="00A078ED" w:rsidRDefault="008F6FFE" w:rsidP="003E2CCD">
      <w:pPr>
        <w:rPr>
          <w:rFonts w:asciiTheme="minorHAnsi" w:hAnsiTheme="minorHAnsi" w:cs="Arial"/>
          <w:color w:val="303030"/>
          <w:sz w:val="16"/>
          <w:szCs w:val="16"/>
          <w:shd w:val="clear" w:color="auto" w:fill="FFFFFF"/>
        </w:rPr>
      </w:pPr>
      <w:r w:rsidRPr="00A078ED">
        <w:rPr>
          <w:rFonts w:asciiTheme="minorHAnsi" w:hAnsiTheme="minorHAnsi" w:cs="Arial"/>
          <w:color w:val="303030"/>
          <w:sz w:val="16"/>
          <w:szCs w:val="16"/>
          <w:shd w:val="clear" w:color="auto" w:fill="FFFFFF"/>
        </w:rPr>
        <w:t xml:space="preserve">Turroni F, Milani C, Duranti S, Lugli GA, Bernasconi S, Margolles A, Di Pierro F, van Sinderen D, Ventura M. </w:t>
      </w:r>
    </w:p>
    <w:p w:rsidR="008F6FFE" w:rsidRPr="00A078ED" w:rsidRDefault="0052743C" w:rsidP="009C183E">
      <w:pPr>
        <w:rPr>
          <w:rFonts w:asciiTheme="minorHAnsi" w:hAnsiTheme="minorHAnsi" w:cs="Arial"/>
          <w:color w:val="303030"/>
          <w:sz w:val="16"/>
          <w:szCs w:val="16"/>
          <w:shd w:val="clear" w:color="auto" w:fill="FFFFFF"/>
        </w:rPr>
      </w:pPr>
      <w:hyperlink r:id="rId1147" w:history="1">
        <w:r w:rsidR="008F6FFE" w:rsidRPr="00A078ED">
          <w:rPr>
            <w:rFonts w:asciiTheme="minorHAnsi" w:hAnsiTheme="minorHAnsi" w:cs="Arial"/>
            <w:color w:val="303030"/>
            <w:sz w:val="16"/>
            <w:szCs w:val="16"/>
            <w:shd w:val="clear" w:color="auto" w:fill="FFFFFF"/>
          </w:rPr>
          <w:t>https://www.ncbi.nlm.nih.gov/pmc/articles/PMC7003403/</w:t>
        </w:r>
      </w:hyperlink>
    </w:p>
    <w:p w:rsidR="008F6FFE" w:rsidRPr="00A078ED" w:rsidRDefault="008F6FFE" w:rsidP="00717D4D">
      <w:pPr>
        <w:rPr>
          <w:rFonts w:asciiTheme="minorHAnsi" w:hAnsiTheme="minorHAnsi" w:cs="Arial"/>
          <w:color w:val="303030"/>
          <w:sz w:val="16"/>
          <w:szCs w:val="16"/>
          <w:shd w:val="clear" w:color="auto" w:fill="FFFFFF"/>
        </w:rPr>
      </w:pPr>
    </w:p>
    <w:p w:rsidR="008F6FFE" w:rsidRPr="009C183E" w:rsidRDefault="008F6FFE" w:rsidP="00717D4D">
      <w:pPr>
        <w:rPr>
          <w:rFonts w:asciiTheme="minorHAnsi" w:hAnsiTheme="minorHAnsi" w:cs="Arial"/>
          <w:color w:val="303030"/>
          <w:sz w:val="16"/>
          <w:szCs w:val="16"/>
          <w:shd w:val="clear" w:color="auto" w:fill="FFFFFF"/>
          <w:lang w:val="en-US"/>
        </w:rPr>
      </w:pPr>
      <w:r w:rsidRPr="009C183E">
        <w:rPr>
          <w:rFonts w:asciiTheme="minorHAnsi" w:hAnsiTheme="minorHAnsi" w:cs="Arial"/>
          <w:color w:val="303030"/>
          <w:sz w:val="16"/>
          <w:szCs w:val="16"/>
          <w:shd w:val="clear" w:color="auto" w:fill="FFFFFF"/>
          <w:lang w:val="en-US"/>
        </w:rPr>
        <w:t>Nat Rev Immunol. 2009 May; 9(5):313-23. doi: 10.1038/nri2515.</w:t>
      </w:r>
    </w:p>
    <w:p w:rsidR="008F6FFE" w:rsidRPr="009C183E" w:rsidRDefault="008F6FFE" w:rsidP="00717D4D">
      <w:pPr>
        <w:rPr>
          <w:rFonts w:asciiTheme="minorHAnsi" w:hAnsiTheme="minorHAnsi" w:cs="Arial"/>
          <w:color w:val="303030"/>
          <w:sz w:val="16"/>
          <w:szCs w:val="16"/>
          <w:shd w:val="clear" w:color="auto" w:fill="FFFFFF"/>
          <w:lang w:val="en-US"/>
        </w:rPr>
      </w:pPr>
      <w:r w:rsidRPr="003E2CCD">
        <w:rPr>
          <w:rFonts w:asciiTheme="minorHAnsi" w:hAnsiTheme="minorHAnsi" w:cs="Arial"/>
          <w:color w:val="303030"/>
          <w:sz w:val="16"/>
          <w:szCs w:val="16"/>
          <w:shd w:val="clear" w:color="auto" w:fill="FFFFFF"/>
          <w:lang w:val="en-US"/>
        </w:rPr>
        <w:t>The gut microbiota shapes intestinal immune responses during health and disease.</w:t>
      </w:r>
    </w:p>
    <w:p w:rsidR="008F6FFE" w:rsidRPr="009C183E" w:rsidRDefault="008F6FFE" w:rsidP="009C183E">
      <w:pPr>
        <w:rPr>
          <w:rFonts w:asciiTheme="minorHAnsi" w:hAnsiTheme="minorHAnsi" w:cs="Arial"/>
          <w:color w:val="303030"/>
          <w:sz w:val="16"/>
          <w:szCs w:val="16"/>
          <w:shd w:val="clear" w:color="auto" w:fill="FFFFFF"/>
          <w:lang w:val="en-US"/>
        </w:rPr>
      </w:pPr>
      <w:r w:rsidRPr="009C183E">
        <w:rPr>
          <w:rFonts w:asciiTheme="minorHAnsi" w:hAnsiTheme="minorHAnsi" w:cs="Arial"/>
          <w:color w:val="303030"/>
          <w:sz w:val="16"/>
          <w:szCs w:val="16"/>
          <w:shd w:val="clear" w:color="auto" w:fill="FFFFFF"/>
          <w:lang w:val="en-US"/>
        </w:rPr>
        <w:t>Round JL, Mazmanian SK</w:t>
      </w:r>
    </w:p>
    <w:p w:rsidR="008F6FFE" w:rsidRPr="009C183E" w:rsidRDefault="0052743C" w:rsidP="00717D4D">
      <w:pPr>
        <w:rPr>
          <w:rFonts w:asciiTheme="minorHAnsi" w:hAnsiTheme="minorHAnsi" w:cs="Arial"/>
          <w:color w:val="303030"/>
          <w:sz w:val="16"/>
          <w:szCs w:val="16"/>
          <w:shd w:val="clear" w:color="auto" w:fill="FFFFFF"/>
          <w:lang w:val="en-US"/>
        </w:rPr>
      </w:pPr>
      <w:hyperlink r:id="rId1148" w:history="1">
        <w:r w:rsidR="008F6FFE" w:rsidRPr="009C183E">
          <w:rPr>
            <w:rFonts w:asciiTheme="minorHAnsi" w:hAnsiTheme="minorHAnsi" w:cs="Arial"/>
            <w:color w:val="303030"/>
            <w:sz w:val="16"/>
            <w:szCs w:val="16"/>
            <w:shd w:val="clear" w:color="auto" w:fill="FFFFFF"/>
            <w:lang w:val="en-US"/>
          </w:rPr>
          <w:t>https://www.ncbi.nlm.nih.gov/pmc/articles/PMC4095778/</w:t>
        </w:r>
      </w:hyperlink>
    </w:p>
    <w:p w:rsidR="008F6FFE" w:rsidRPr="009C183E" w:rsidRDefault="008F6FFE" w:rsidP="009C183E">
      <w:pPr>
        <w:rPr>
          <w:rFonts w:asciiTheme="minorHAnsi" w:hAnsiTheme="minorHAnsi" w:cs="Arial"/>
          <w:color w:val="303030"/>
          <w:sz w:val="16"/>
          <w:szCs w:val="16"/>
          <w:shd w:val="clear" w:color="auto" w:fill="FFFFFF"/>
          <w:lang w:val="en-US"/>
        </w:rPr>
      </w:pPr>
    </w:p>
    <w:p w:rsidR="008F6FFE" w:rsidRDefault="008F6FFE" w:rsidP="00717D4D">
      <w:pPr>
        <w:rPr>
          <w:rFonts w:asciiTheme="minorHAnsi" w:hAnsiTheme="minorHAnsi" w:cs="Arial"/>
          <w:color w:val="303030"/>
          <w:sz w:val="16"/>
          <w:szCs w:val="16"/>
          <w:shd w:val="clear" w:color="auto" w:fill="FFFFFF"/>
          <w:lang w:val="en-US"/>
        </w:rPr>
      </w:pPr>
      <w:r w:rsidRPr="00717D4D">
        <w:rPr>
          <w:rFonts w:asciiTheme="minorHAnsi" w:hAnsiTheme="minorHAnsi" w:cs="Arial"/>
          <w:color w:val="303030"/>
          <w:sz w:val="16"/>
          <w:szCs w:val="16"/>
          <w:shd w:val="clear" w:color="auto" w:fill="FFFFFF"/>
          <w:lang w:val="en-US"/>
        </w:rPr>
        <w:t xml:space="preserve">Lin L, Zhang J. </w:t>
      </w:r>
    </w:p>
    <w:p w:rsidR="008F6FFE" w:rsidRDefault="008F6FFE" w:rsidP="00717D4D">
      <w:pPr>
        <w:rPr>
          <w:rFonts w:asciiTheme="minorHAnsi" w:hAnsiTheme="minorHAnsi" w:cs="Arial"/>
          <w:color w:val="303030"/>
          <w:sz w:val="16"/>
          <w:szCs w:val="16"/>
          <w:shd w:val="clear" w:color="auto" w:fill="FFFFFF"/>
          <w:lang w:val="en-US"/>
        </w:rPr>
      </w:pPr>
      <w:r w:rsidRPr="00717D4D">
        <w:rPr>
          <w:rFonts w:asciiTheme="minorHAnsi" w:hAnsiTheme="minorHAnsi" w:cs="Arial"/>
          <w:color w:val="303030"/>
          <w:sz w:val="16"/>
          <w:szCs w:val="16"/>
          <w:shd w:val="clear" w:color="auto" w:fill="FFFFFF"/>
          <w:lang w:val="en-US"/>
        </w:rPr>
        <w:t>Role of intestinal microbiota and metabolites on gut homeostasis and human diseases.</w:t>
      </w:r>
    </w:p>
    <w:p w:rsidR="008F6FFE" w:rsidRPr="00A832DC" w:rsidRDefault="008F6FFE" w:rsidP="00717D4D">
      <w:pPr>
        <w:rPr>
          <w:rFonts w:asciiTheme="minorHAnsi" w:hAnsiTheme="minorHAnsi" w:cs="Arial"/>
          <w:color w:val="303030"/>
          <w:sz w:val="16"/>
          <w:szCs w:val="16"/>
          <w:shd w:val="clear" w:color="auto" w:fill="FFFFFF"/>
          <w:lang w:val="en-US"/>
        </w:rPr>
      </w:pPr>
      <w:r w:rsidRPr="00A832DC">
        <w:rPr>
          <w:rFonts w:asciiTheme="minorHAnsi" w:hAnsiTheme="minorHAnsi" w:cs="Arial"/>
          <w:color w:val="303030"/>
          <w:sz w:val="16"/>
          <w:szCs w:val="16"/>
          <w:shd w:val="clear" w:color="auto" w:fill="FFFFFF"/>
          <w:lang w:val="en-US"/>
        </w:rPr>
        <w:t xml:space="preserve">BMC Immunol. 2017 Jan 6;18(1):2. doi: 10.1186/s12865-016-0187-3. </w:t>
      </w:r>
    </w:p>
    <w:p w:rsidR="008F6FFE" w:rsidRPr="009C183E" w:rsidRDefault="0052743C" w:rsidP="00717D4D">
      <w:pPr>
        <w:rPr>
          <w:rFonts w:asciiTheme="minorHAnsi" w:hAnsiTheme="minorHAnsi" w:cs="Arial"/>
          <w:color w:val="303030"/>
          <w:sz w:val="16"/>
          <w:szCs w:val="16"/>
          <w:shd w:val="clear" w:color="auto" w:fill="FFFFFF"/>
          <w:lang w:val="en-US"/>
        </w:rPr>
      </w:pPr>
      <w:hyperlink r:id="rId1149" w:history="1">
        <w:r w:rsidR="008F6FFE" w:rsidRPr="009C183E">
          <w:rPr>
            <w:rFonts w:asciiTheme="minorHAnsi" w:hAnsiTheme="minorHAnsi" w:cs="Arial"/>
            <w:color w:val="303030"/>
            <w:sz w:val="16"/>
            <w:szCs w:val="16"/>
            <w:shd w:val="clear" w:color="auto" w:fill="FFFFFF"/>
            <w:lang w:val="en-US"/>
          </w:rPr>
          <w:t>https://www.ncbi.nlm.nih.gov/pmc/articles/PMC5219689/</w:t>
        </w:r>
      </w:hyperlink>
    </w:p>
    <w:p w:rsidR="008F6FFE" w:rsidRDefault="008F6FFE" w:rsidP="00717D4D">
      <w:pPr>
        <w:rPr>
          <w:rFonts w:asciiTheme="minorHAnsi" w:hAnsiTheme="minorHAnsi" w:cs="Arial"/>
          <w:color w:val="303030"/>
          <w:sz w:val="16"/>
          <w:szCs w:val="16"/>
          <w:shd w:val="clear" w:color="auto" w:fill="FFFFFF"/>
          <w:lang w:val="en-US"/>
        </w:rPr>
      </w:pPr>
      <w:r w:rsidRPr="00717D4D">
        <w:rPr>
          <w:rFonts w:asciiTheme="minorHAnsi" w:hAnsiTheme="minorHAnsi" w:cs="Arial"/>
          <w:color w:val="303030"/>
          <w:sz w:val="16"/>
          <w:szCs w:val="16"/>
          <w:shd w:val="clear" w:color="auto" w:fill="FFFFFF"/>
          <w:lang w:val="en-US"/>
        </w:rPr>
        <w:t xml:space="preserve">Pan WH, Sommer F, </w:t>
      </w:r>
      <w:r>
        <w:rPr>
          <w:rFonts w:asciiTheme="minorHAnsi" w:hAnsiTheme="minorHAnsi" w:cs="Arial"/>
          <w:color w:val="303030"/>
          <w:sz w:val="16"/>
          <w:szCs w:val="16"/>
          <w:shd w:val="clear" w:color="auto" w:fill="FFFFFF"/>
          <w:lang w:val="en-US"/>
        </w:rPr>
        <w:t>et al</w:t>
      </w:r>
    </w:p>
    <w:p w:rsidR="008F6FFE" w:rsidRPr="009C183E" w:rsidRDefault="008F6FFE" w:rsidP="00717D4D">
      <w:pPr>
        <w:rPr>
          <w:rFonts w:asciiTheme="minorHAnsi" w:hAnsiTheme="minorHAnsi" w:cs="Arial"/>
          <w:color w:val="303030"/>
          <w:sz w:val="16"/>
          <w:szCs w:val="16"/>
          <w:shd w:val="clear" w:color="auto" w:fill="FFFFFF"/>
          <w:lang w:val="en-US"/>
        </w:rPr>
      </w:pPr>
      <w:r w:rsidRPr="00717D4D">
        <w:rPr>
          <w:rFonts w:asciiTheme="minorHAnsi" w:hAnsiTheme="minorHAnsi" w:cs="Arial"/>
          <w:color w:val="303030"/>
          <w:sz w:val="16"/>
          <w:szCs w:val="16"/>
          <w:shd w:val="clear" w:color="auto" w:fill="FFFFFF"/>
          <w:lang w:val="en-US"/>
        </w:rPr>
        <w:t xml:space="preserve">Exposure to the gut microbiota drives distinct methylome and transcriptome changes in intestinal epithelial cells during postnatal development. </w:t>
      </w:r>
      <w:r w:rsidRPr="00A832DC">
        <w:rPr>
          <w:rFonts w:asciiTheme="minorHAnsi" w:hAnsiTheme="minorHAnsi" w:cs="Arial"/>
          <w:color w:val="303030"/>
          <w:sz w:val="16"/>
          <w:szCs w:val="16"/>
          <w:shd w:val="clear" w:color="auto" w:fill="FFFFFF"/>
          <w:lang w:val="en-US"/>
        </w:rPr>
        <w:t xml:space="preserve">Genome Med. 2018 Apr 13;10(1):27. doi: 10.1186/s13073-018-0534-5. </w:t>
      </w:r>
    </w:p>
    <w:p w:rsidR="008F6FFE" w:rsidRPr="009C183E" w:rsidRDefault="0052743C" w:rsidP="009C183E">
      <w:pPr>
        <w:rPr>
          <w:rFonts w:asciiTheme="minorHAnsi" w:hAnsiTheme="minorHAnsi" w:cs="Arial"/>
          <w:color w:val="303030"/>
          <w:sz w:val="16"/>
          <w:szCs w:val="16"/>
          <w:shd w:val="clear" w:color="auto" w:fill="FFFFFF"/>
          <w:lang w:val="en-US"/>
        </w:rPr>
      </w:pPr>
      <w:hyperlink r:id="rId1150" w:history="1">
        <w:r w:rsidR="008F6FFE" w:rsidRPr="009C183E">
          <w:rPr>
            <w:rFonts w:asciiTheme="minorHAnsi" w:hAnsiTheme="minorHAnsi" w:cs="Arial"/>
            <w:color w:val="303030"/>
            <w:sz w:val="16"/>
            <w:szCs w:val="16"/>
            <w:shd w:val="clear" w:color="auto" w:fill="FFFFFF"/>
            <w:lang w:val="en-US"/>
          </w:rPr>
          <w:t>https://www.ncbi.nlm.nih.gov/pmc/articles/PMC5899322/</w:t>
        </w:r>
      </w:hyperlink>
    </w:p>
    <w:p w:rsidR="008F6FFE" w:rsidRPr="009C183E" w:rsidRDefault="008F6FFE" w:rsidP="00717D4D">
      <w:pPr>
        <w:rPr>
          <w:rFonts w:asciiTheme="minorHAnsi" w:hAnsiTheme="minorHAnsi" w:cs="Arial"/>
          <w:color w:val="303030"/>
          <w:sz w:val="16"/>
          <w:szCs w:val="16"/>
          <w:shd w:val="clear" w:color="auto" w:fill="FFFFFF"/>
          <w:lang w:val="en-US"/>
        </w:rPr>
      </w:pPr>
    </w:p>
    <w:p w:rsidR="008F6FFE" w:rsidRDefault="008F6FFE" w:rsidP="00717D4D">
      <w:pPr>
        <w:rPr>
          <w:rFonts w:asciiTheme="minorHAnsi" w:hAnsiTheme="minorHAnsi" w:cs="Arial"/>
          <w:color w:val="303030"/>
          <w:sz w:val="16"/>
          <w:szCs w:val="16"/>
          <w:shd w:val="clear" w:color="auto" w:fill="FFFFFF"/>
          <w:lang w:val="en-US"/>
        </w:rPr>
      </w:pPr>
      <w:r w:rsidRPr="00717D4D">
        <w:rPr>
          <w:rFonts w:asciiTheme="minorHAnsi" w:hAnsiTheme="minorHAnsi" w:cs="Arial"/>
          <w:color w:val="303030"/>
          <w:sz w:val="16"/>
          <w:szCs w:val="16"/>
          <w:shd w:val="clear" w:color="auto" w:fill="FFFFFF"/>
          <w:lang w:val="en-US"/>
        </w:rPr>
        <w:t xml:space="preserve">Rooks MG, Garrett WS. </w:t>
      </w:r>
    </w:p>
    <w:p w:rsidR="008F6FFE" w:rsidRDefault="008F6FFE" w:rsidP="00717D4D">
      <w:pPr>
        <w:rPr>
          <w:rFonts w:asciiTheme="minorHAnsi" w:hAnsiTheme="minorHAnsi" w:cs="Arial"/>
          <w:color w:val="303030"/>
          <w:sz w:val="16"/>
          <w:szCs w:val="16"/>
          <w:shd w:val="clear" w:color="auto" w:fill="FFFFFF"/>
          <w:lang w:val="en-US"/>
        </w:rPr>
      </w:pPr>
      <w:r w:rsidRPr="00717D4D">
        <w:rPr>
          <w:rFonts w:asciiTheme="minorHAnsi" w:hAnsiTheme="minorHAnsi" w:cs="Arial"/>
          <w:color w:val="303030"/>
          <w:sz w:val="16"/>
          <w:szCs w:val="16"/>
          <w:shd w:val="clear" w:color="auto" w:fill="FFFFFF"/>
          <w:lang w:val="en-US"/>
        </w:rPr>
        <w:t xml:space="preserve">Gut microbiota, metabolites and host immunity. </w:t>
      </w:r>
    </w:p>
    <w:p w:rsidR="008F6FFE" w:rsidRPr="009C183E" w:rsidRDefault="008F6FFE" w:rsidP="00717D4D">
      <w:pPr>
        <w:rPr>
          <w:rFonts w:asciiTheme="minorHAnsi" w:hAnsiTheme="minorHAnsi" w:cs="Arial"/>
          <w:color w:val="303030"/>
          <w:sz w:val="16"/>
          <w:szCs w:val="16"/>
          <w:shd w:val="clear" w:color="auto" w:fill="FFFFFF"/>
          <w:lang w:val="en-US"/>
        </w:rPr>
      </w:pPr>
      <w:r w:rsidRPr="00717D4D">
        <w:rPr>
          <w:rFonts w:asciiTheme="minorHAnsi" w:hAnsiTheme="minorHAnsi" w:cs="Arial"/>
          <w:color w:val="303030"/>
          <w:sz w:val="16"/>
          <w:szCs w:val="16"/>
          <w:shd w:val="clear" w:color="auto" w:fill="FFFFFF"/>
          <w:lang w:val="en-US"/>
        </w:rPr>
        <w:t xml:space="preserve">Nat Rev Immunol. 2016 May 27;16(6):341-52. doi: 10.1038/nri.2016.42. </w:t>
      </w:r>
    </w:p>
    <w:p w:rsidR="008F6FFE" w:rsidRPr="009C183E" w:rsidRDefault="0052743C" w:rsidP="009C183E">
      <w:pPr>
        <w:rPr>
          <w:rFonts w:asciiTheme="minorHAnsi" w:hAnsiTheme="minorHAnsi" w:cs="Arial"/>
          <w:color w:val="303030"/>
          <w:sz w:val="16"/>
          <w:szCs w:val="16"/>
          <w:shd w:val="clear" w:color="auto" w:fill="FFFFFF"/>
          <w:lang w:val="en-US"/>
        </w:rPr>
      </w:pPr>
      <w:hyperlink r:id="rId1151" w:history="1">
        <w:r w:rsidR="008F6FFE" w:rsidRPr="009C183E">
          <w:rPr>
            <w:rFonts w:asciiTheme="minorHAnsi" w:hAnsiTheme="minorHAnsi" w:cs="Arial"/>
            <w:color w:val="303030"/>
            <w:sz w:val="16"/>
            <w:szCs w:val="16"/>
            <w:shd w:val="clear" w:color="auto" w:fill="FFFFFF"/>
            <w:lang w:val="en-US"/>
          </w:rPr>
          <w:t>https://www.ncbi.nlm.nih.gov/pmc/articles/PMC5541232/</w:t>
        </w:r>
      </w:hyperlink>
    </w:p>
    <w:p w:rsidR="008F6FFE" w:rsidRPr="009C183E" w:rsidRDefault="008F6FFE" w:rsidP="009C183E">
      <w:pPr>
        <w:rPr>
          <w:rFonts w:asciiTheme="minorHAnsi" w:hAnsiTheme="minorHAnsi" w:cs="Arial"/>
          <w:color w:val="303030"/>
          <w:sz w:val="16"/>
          <w:szCs w:val="16"/>
          <w:shd w:val="clear" w:color="auto" w:fill="FFFFFF"/>
          <w:lang w:val="en-US"/>
        </w:rPr>
      </w:pPr>
    </w:p>
    <w:p w:rsidR="008F6FFE" w:rsidRPr="00A078ED" w:rsidRDefault="008F6FFE" w:rsidP="009C183E">
      <w:pPr>
        <w:rPr>
          <w:rFonts w:asciiTheme="minorHAnsi" w:hAnsiTheme="minorHAnsi" w:cs="Arial"/>
          <w:color w:val="303030"/>
          <w:sz w:val="16"/>
          <w:szCs w:val="16"/>
          <w:shd w:val="clear" w:color="auto" w:fill="FFFFFF"/>
        </w:rPr>
      </w:pPr>
      <w:r w:rsidRPr="00A078ED">
        <w:rPr>
          <w:rFonts w:asciiTheme="minorHAnsi" w:hAnsiTheme="minorHAnsi" w:cs="Arial"/>
          <w:color w:val="303030"/>
          <w:sz w:val="16"/>
          <w:szCs w:val="16"/>
          <w:shd w:val="clear" w:color="auto" w:fill="FFFFFF"/>
        </w:rPr>
        <w:t xml:space="preserve">Microbiol Mol Biol Rev. 2017 Nov 8;81(4):e00036-17. doi: 10.1128/MMBR.00036-17. </w:t>
      </w:r>
    </w:p>
    <w:p w:rsidR="008F6FFE" w:rsidRDefault="008F6FFE" w:rsidP="009C183E">
      <w:pPr>
        <w:rPr>
          <w:rFonts w:asciiTheme="minorHAnsi" w:hAnsiTheme="minorHAnsi" w:cs="Arial"/>
          <w:color w:val="303030"/>
          <w:sz w:val="16"/>
          <w:szCs w:val="16"/>
          <w:shd w:val="clear" w:color="auto" w:fill="FFFFFF"/>
          <w:lang w:val="en-US"/>
        </w:rPr>
      </w:pPr>
      <w:r w:rsidRPr="00717D4D">
        <w:rPr>
          <w:rFonts w:asciiTheme="minorHAnsi" w:hAnsiTheme="minorHAnsi" w:cs="Arial"/>
          <w:color w:val="303030"/>
          <w:sz w:val="16"/>
          <w:szCs w:val="16"/>
          <w:shd w:val="clear" w:color="auto" w:fill="FFFFFF"/>
          <w:lang w:val="en-US"/>
        </w:rPr>
        <w:t xml:space="preserve">The First Microbial Colonizers of the Human Gut: Composition, Activities, and Health Implications of the Infant Gut Microbiota. </w:t>
      </w:r>
    </w:p>
    <w:p w:rsidR="008F6FFE" w:rsidRPr="00A078ED" w:rsidRDefault="008F6FFE" w:rsidP="009C183E">
      <w:pPr>
        <w:rPr>
          <w:rFonts w:asciiTheme="minorHAnsi" w:hAnsiTheme="minorHAnsi" w:cs="Arial"/>
          <w:color w:val="303030"/>
          <w:sz w:val="16"/>
          <w:szCs w:val="16"/>
          <w:shd w:val="clear" w:color="auto" w:fill="FFFFFF"/>
        </w:rPr>
      </w:pPr>
      <w:r w:rsidRPr="00A078ED">
        <w:rPr>
          <w:rFonts w:asciiTheme="minorHAnsi" w:hAnsiTheme="minorHAnsi" w:cs="Arial"/>
          <w:color w:val="303030"/>
          <w:sz w:val="16"/>
          <w:szCs w:val="16"/>
          <w:shd w:val="clear" w:color="auto" w:fill="FFFFFF"/>
        </w:rPr>
        <w:t xml:space="preserve">Milani C, et al </w:t>
      </w:r>
    </w:p>
    <w:p w:rsidR="008F6FFE" w:rsidRPr="00A078ED" w:rsidRDefault="0052743C" w:rsidP="009C183E">
      <w:pPr>
        <w:rPr>
          <w:rFonts w:asciiTheme="minorHAnsi" w:hAnsiTheme="minorHAnsi" w:cs="Arial"/>
          <w:color w:val="303030"/>
          <w:sz w:val="16"/>
          <w:szCs w:val="16"/>
          <w:shd w:val="clear" w:color="auto" w:fill="FFFFFF"/>
        </w:rPr>
      </w:pPr>
      <w:hyperlink r:id="rId1152" w:history="1">
        <w:r w:rsidR="008F6FFE" w:rsidRPr="00A078ED">
          <w:rPr>
            <w:rFonts w:asciiTheme="minorHAnsi" w:hAnsiTheme="minorHAnsi" w:cs="Arial"/>
            <w:color w:val="303030"/>
            <w:sz w:val="16"/>
            <w:szCs w:val="16"/>
            <w:shd w:val="clear" w:color="auto" w:fill="FFFFFF"/>
          </w:rPr>
          <w:t>https://www.ncbi.nlm.nih.gov/pmc/articles/PMC5706746/</w:t>
        </w:r>
      </w:hyperlink>
    </w:p>
    <w:p w:rsidR="008F6FFE" w:rsidRPr="00A078ED" w:rsidRDefault="008F6FFE" w:rsidP="009C183E">
      <w:pPr>
        <w:rPr>
          <w:rFonts w:asciiTheme="minorHAnsi" w:hAnsiTheme="minorHAnsi" w:cs="Arial"/>
          <w:color w:val="303030"/>
          <w:sz w:val="16"/>
          <w:szCs w:val="16"/>
          <w:shd w:val="clear" w:color="auto" w:fill="FFFFFF"/>
        </w:rPr>
      </w:pPr>
    </w:p>
    <w:p w:rsidR="008F6FFE" w:rsidRPr="00165563" w:rsidRDefault="008F6FFE" w:rsidP="003E2CCD">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Mil Med Res. 2017 Apr 27;4:14. doi: 10.1186/s40779-017-0122-9. </w:t>
      </w:r>
    </w:p>
    <w:p w:rsidR="008F6FFE" w:rsidRPr="00165563" w:rsidRDefault="008F6FFE" w:rsidP="003E2CCD">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Interaction between the gut microbiome and mucosal immune system. </w:t>
      </w:r>
    </w:p>
    <w:p w:rsidR="008F6FFE" w:rsidRPr="00A078ED" w:rsidRDefault="008F6FFE" w:rsidP="003E2CCD">
      <w:pPr>
        <w:rPr>
          <w:rFonts w:asciiTheme="minorHAnsi" w:hAnsiTheme="minorHAnsi" w:cs="Arial"/>
          <w:color w:val="303030"/>
          <w:sz w:val="16"/>
          <w:szCs w:val="16"/>
          <w:shd w:val="clear" w:color="auto" w:fill="FFFFFF"/>
        </w:rPr>
      </w:pPr>
      <w:r w:rsidRPr="00A078ED">
        <w:rPr>
          <w:rFonts w:asciiTheme="minorHAnsi" w:hAnsiTheme="minorHAnsi" w:cs="Arial"/>
          <w:color w:val="303030"/>
          <w:sz w:val="16"/>
          <w:szCs w:val="16"/>
          <w:shd w:val="clear" w:color="auto" w:fill="FFFFFF"/>
        </w:rPr>
        <w:t>Shi N, Li N, Duan X, Niu H.</w:t>
      </w:r>
    </w:p>
    <w:p w:rsidR="008F6FFE" w:rsidRPr="00A078ED" w:rsidRDefault="0052743C" w:rsidP="009C183E">
      <w:pPr>
        <w:rPr>
          <w:rFonts w:asciiTheme="minorHAnsi" w:hAnsiTheme="minorHAnsi" w:cs="Arial"/>
          <w:color w:val="303030"/>
          <w:sz w:val="16"/>
          <w:szCs w:val="16"/>
          <w:shd w:val="clear" w:color="auto" w:fill="FFFFFF"/>
        </w:rPr>
      </w:pPr>
      <w:hyperlink r:id="rId1153" w:history="1">
        <w:r w:rsidR="008F6FFE" w:rsidRPr="00A078ED">
          <w:rPr>
            <w:rFonts w:asciiTheme="minorHAnsi" w:hAnsiTheme="minorHAnsi" w:cs="Arial"/>
            <w:color w:val="303030"/>
            <w:sz w:val="16"/>
            <w:szCs w:val="16"/>
            <w:shd w:val="clear" w:color="auto" w:fill="FFFFFF"/>
          </w:rPr>
          <w:t>https://www.ncbi.nlm.nih.gov/pmc/articles/PMC5408367/</w:t>
        </w:r>
      </w:hyperlink>
    </w:p>
    <w:p w:rsidR="008F6FFE" w:rsidRPr="00A078ED" w:rsidRDefault="008F6FFE" w:rsidP="003E2CCD">
      <w:pPr>
        <w:rPr>
          <w:rFonts w:asciiTheme="minorHAnsi" w:hAnsiTheme="minorHAnsi" w:cs="Arial"/>
          <w:color w:val="303030"/>
          <w:sz w:val="16"/>
          <w:szCs w:val="16"/>
          <w:shd w:val="clear" w:color="auto" w:fill="FFFFFF"/>
        </w:rPr>
      </w:pPr>
    </w:p>
    <w:p w:rsidR="008F6FFE" w:rsidRPr="00165563" w:rsidRDefault="008F6FFE" w:rsidP="003E2CCD">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Gerontology. 2018;64(6):513-520. doi: 10.1159/000490615 </w:t>
      </w:r>
    </w:p>
    <w:p w:rsidR="008F6FFE" w:rsidRPr="00165563" w:rsidRDefault="008F6FFE" w:rsidP="003E2CCD">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The Gut Microbiota and Healthy Aging: A Mini-Review. </w:t>
      </w:r>
    </w:p>
    <w:p w:rsidR="008F6FFE" w:rsidRPr="00165563" w:rsidRDefault="008F6FFE" w:rsidP="003E2CCD">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Kim S, Jazwinski SM</w:t>
      </w:r>
    </w:p>
    <w:p w:rsidR="008F6FFE" w:rsidRPr="009C183E" w:rsidRDefault="0052743C" w:rsidP="009C183E">
      <w:pPr>
        <w:rPr>
          <w:rFonts w:asciiTheme="minorHAnsi" w:hAnsiTheme="minorHAnsi" w:cs="Arial"/>
          <w:color w:val="303030"/>
          <w:sz w:val="16"/>
          <w:szCs w:val="16"/>
          <w:shd w:val="clear" w:color="auto" w:fill="FFFFFF"/>
          <w:lang w:val="en-US"/>
        </w:rPr>
      </w:pPr>
      <w:hyperlink r:id="rId1154" w:history="1">
        <w:r w:rsidR="008F6FFE" w:rsidRPr="009C183E">
          <w:rPr>
            <w:rFonts w:asciiTheme="minorHAnsi" w:hAnsiTheme="minorHAnsi" w:cs="Arial"/>
            <w:color w:val="303030"/>
            <w:sz w:val="16"/>
            <w:szCs w:val="16"/>
            <w:shd w:val="clear" w:color="auto" w:fill="FFFFFF"/>
            <w:lang w:val="en-US"/>
          </w:rPr>
          <w:t>https://www.ncbi.nlm.nih.gov/pmc/articles/PMC6191326/</w:t>
        </w:r>
      </w:hyperlink>
    </w:p>
    <w:p w:rsidR="008F6FFE" w:rsidRPr="009C183E" w:rsidRDefault="008F6FFE" w:rsidP="00165563">
      <w:pPr>
        <w:rPr>
          <w:rFonts w:asciiTheme="minorHAnsi" w:hAnsiTheme="minorHAnsi" w:cs="Arial"/>
          <w:b/>
          <w:bCs/>
          <w:color w:val="303030"/>
          <w:sz w:val="16"/>
          <w:szCs w:val="16"/>
          <w:shd w:val="clear" w:color="auto" w:fill="FFFFFF"/>
          <w:lang w:val="en-US"/>
        </w:rPr>
      </w:pPr>
    </w:p>
  </w:footnote>
  <w:footnote w:id="169">
    <w:p w:rsidR="008F6FFE" w:rsidRPr="00165563" w:rsidRDefault="008F6FFE" w:rsidP="005D164D">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vertAlign w:val="superscript"/>
          <w:lang w:val="en-US"/>
        </w:rPr>
        <w:footnoteRef/>
      </w:r>
      <w:r w:rsidRPr="00165563">
        <w:rPr>
          <w:rFonts w:asciiTheme="minorHAnsi" w:hAnsiTheme="minorHAnsi" w:cs="Arial"/>
          <w:color w:val="303030"/>
          <w:sz w:val="16"/>
          <w:szCs w:val="16"/>
          <w:shd w:val="clear" w:color="auto" w:fill="FFFFFF"/>
          <w:vertAlign w:val="superscript"/>
          <w:lang w:val="en-US"/>
        </w:rPr>
        <w:t xml:space="preserve"> </w:t>
      </w:r>
      <w:r w:rsidRPr="00165563">
        <w:rPr>
          <w:rFonts w:asciiTheme="minorHAnsi" w:hAnsiTheme="minorHAnsi" w:cs="Arial"/>
          <w:color w:val="303030"/>
          <w:sz w:val="16"/>
          <w:szCs w:val="16"/>
          <w:shd w:val="clear" w:color="auto" w:fill="FFFFFF"/>
          <w:lang w:val="en-US"/>
        </w:rPr>
        <w:t>Trends Immunol. 2007 Dec; 28(12):514-8.</w:t>
      </w:r>
    </w:p>
    <w:p w:rsidR="008F6FFE" w:rsidRPr="00165563" w:rsidRDefault="008F6FFE" w:rsidP="00717D4D">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Do most lymphocytes in humans really reside in the gut?</w:t>
      </w:r>
    </w:p>
    <w:p w:rsidR="008F6FFE" w:rsidRPr="00235A16" w:rsidRDefault="008F6FFE" w:rsidP="00165563">
      <w:pPr>
        <w:rPr>
          <w:rFonts w:asciiTheme="minorHAnsi" w:hAnsiTheme="minorHAnsi" w:cs="Arial"/>
          <w:color w:val="303030"/>
          <w:sz w:val="16"/>
          <w:szCs w:val="16"/>
          <w:shd w:val="clear" w:color="auto" w:fill="FFFFFF"/>
          <w:lang w:val="de-DE"/>
        </w:rPr>
      </w:pPr>
      <w:r w:rsidRPr="00235A16">
        <w:rPr>
          <w:rFonts w:asciiTheme="minorHAnsi" w:hAnsiTheme="minorHAnsi" w:cs="Arial"/>
          <w:color w:val="303030"/>
          <w:sz w:val="16"/>
          <w:szCs w:val="16"/>
          <w:shd w:val="clear" w:color="auto" w:fill="FFFFFF"/>
          <w:lang w:val="de-DE"/>
        </w:rPr>
        <w:t>Ganusov VV, De Boer RJ</w:t>
      </w:r>
    </w:p>
    <w:p w:rsidR="008F6FFE" w:rsidRPr="00235A16" w:rsidRDefault="0052743C" w:rsidP="005D164D">
      <w:pPr>
        <w:rPr>
          <w:rFonts w:asciiTheme="minorHAnsi" w:hAnsiTheme="minorHAnsi" w:cs="Arial"/>
          <w:color w:val="303030"/>
          <w:sz w:val="16"/>
          <w:szCs w:val="16"/>
          <w:shd w:val="clear" w:color="auto" w:fill="FFFFFF"/>
          <w:lang w:val="de-DE"/>
        </w:rPr>
      </w:pPr>
      <w:hyperlink r:id="rId1155" w:history="1">
        <w:r w:rsidR="008F6FFE" w:rsidRPr="00235A16">
          <w:rPr>
            <w:rFonts w:asciiTheme="minorHAnsi" w:hAnsiTheme="minorHAnsi" w:cs="Arial"/>
            <w:color w:val="303030"/>
            <w:sz w:val="16"/>
            <w:szCs w:val="16"/>
            <w:shd w:val="clear" w:color="auto" w:fill="FFFFFF"/>
            <w:lang w:val="de-DE"/>
          </w:rPr>
          <w:t>https://pubmed.ncbi.nlm.nih.gov/17964854/</w:t>
        </w:r>
      </w:hyperlink>
    </w:p>
    <w:p w:rsidR="008F6FFE" w:rsidRPr="00235A16" w:rsidRDefault="008F6FFE" w:rsidP="00165563">
      <w:pPr>
        <w:rPr>
          <w:rFonts w:asciiTheme="minorHAnsi" w:hAnsiTheme="minorHAnsi" w:cs="Arial"/>
          <w:color w:val="303030"/>
          <w:sz w:val="16"/>
          <w:szCs w:val="16"/>
          <w:shd w:val="clear" w:color="auto" w:fill="FFFFFF"/>
          <w:lang w:val="de-DE"/>
        </w:rPr>
      </w:pPr>
    </w:p>
    <w:p w:rsidR="008F6FFE" w:rsidRPr="00165563" w:rsidRDefault="008F6FFE" w:rsidP="009B351F">
      <w:pPr>
        <w:rPr>
          <w:rFonts w:asciiTheme="minorHAnsi" w:hAnsiTheme="minorHAnsi" w:cs="Arial"/>
          <w:color w:val="303030"/>
          <w:sz w:val="16"/>
          <w:szCs w:val="16"/>
          <w:shd w:val="clear" w:color="auto" w:fill="FFFFFF"/>
          <w:lang w:val="en-US"/>
        </w:rPr>
      </w:pPr>
      <w:r w:rsidRPr="00235A16">
        <w:rPr>
          <w:rFonts w:asciiTheme="minorHAnsi" w:hAnsiTheme="minorHAnsi" w:cs="Arial"/>
          <w:color w:val="303030"/>
          <w:sz w:val="16"/>
          <w:szCs w:val="16"/>
          <w:shd w:val="clear" w:color="auto" w:fill="FFFFFF"/>
          <w:lang w:val="de-DE"/>
        </w:rPr>
        <w:t xml:space="preserve">Clin Immunol. </w:t>
      </w:r>
      <w:r w:rsidRPr="00165563">
        <w:rPr>
          <w:rFonts w:asciiTheme="minorHAnsi" w:hAnsiTheme="minorHAnsi" w:cs="Arial"/>
          <w:color w:val="303030"/>
          <w:sz w:val="16"/>
          <w:szCs w:val="16"/>
          <w:shd w:val="clear" w:color="auto" w:fill="FFFFFF"/>
          <w:lang w:val="en-US"/>
        </w:rPr>
        <w:t xml:space="preserve">2015 Aug;159(2):122-127. doi: 10.1016/j.clim.2015.05.014. </w:t>
      </w:r>
    </w:p>
    <w:p w:rsidR="008F6FFE" w:rsidRPr="00165563" w:rsidRDefault="008F6FFE" w:rsidP="009B351F">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Immune-microbiota interactions in health and disease. </w:t>
      </w:r>
    </w:p>
    <w:p w:rsidR="008F6FFE" w:rsidRPr="00165563" w:rsidRDefault="008F6FFE" w:rsidP="009B351F">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Palm NW, de Zoete MR, Flavell RA.</w:t>
      </w:r>
    </w:p>
    <w:p w:rsidR="008F6FFE" w:rsidRPr="005D164D" w:rsidRDefault="0052743C" w:rsidP="005D164D">
      <w:pPr>
        <w:rPr>
          <w:rFonts w:asciiTheme="minorHAnsi" w:hAnsiTheme="minorHAnsi" w:cs="Arial"/>
          <w:color w:val="303030"/>
          <w:sz w:val="16"/>
          <w:szCs w:val="16"/>
          <w:shd w:val="clear" w:color="auto" w:fill="FFFFFF"/>
          <w:lang w:val="en-US"/>
        </w:rPr>
      </w:pPr>
      <w:hyperlink r:id="rId1156" w:history="1">
        <w:r w:rsidR="008F6FFE" w:rsidRPr="005D164D">
          <w:rPr>
            <w:rFonts w:asciiTheme="minorHAnsi" w:hAnsiTheme="minorHAnsi" w:cs="Arial"/>
            <w:color w:val="303030"/>
            <w:sz w:val="16"/>
            <w:szCs w:val="16"/>
            <w:shd w:val="clear" w:color="auto" w:fill="FFFFFF"/>
            <w:lang w:val="en-US"/>
          </w:rPr>
          <w:t>https://www.ncbi.nlm.nih.gov/pmc/articles/PMC4943041/</w:t>
        </w:r>
      </w:hyperlink>
    </w:p>
    <w:p w:rsidR="008F6FFE" w:rsidRPr="005D164D" w:rsidRDefault="008F6FFE" w:rsidP="005D164D">
      <w:pPr>
        <w:rPr>
          <w:rFonts w:asciiTheme="minorHAnsi" w:hAnsiTheme="minorHAnsi" w:cs="Arial"/>
          <w:color w:val="303030"/>
          <w:sz w:val="16"/>
          <w:szCs w:val="16"/>
          <w:shd w:val="clear" w:color="auto" w:fill="FFFFFF"/>
          <w:lang w:val="en-US"/>
        </w:rPr>
      </w:pPr>
    </w:p>
    <w:p w:rsidR="008F6FFE" w:rsidRPr="00165563" w:rsidRDefault="008F6FFE" w:rsidP="0035319E">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Front Immunol. 2020 Apr 3;11:575. doi: 10.3389/fimmu.2020.00575. </w:t>
      </w:r>
    </w:p>
    <w:p w:rsidR="008F6FFE" w:rsidRDefault="008F6FFE" w:rsidP="0035319E">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Intestinal Flora and Disease Mutually Shape the Regional Immune System in the Intestinal Tract. </w:t>
      </w:r>
    </w:p>
    <w:p w:rsidR="008F6FFE" w:rsidRPr="00165563" w:rsidRDefault="008F6FFE" w:rsidP="0035319E">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Zhou B, Yuan Y, Zhang S, Guo C, Li X, Li G, Xiong W, Zeng Z.</w:t>
      </w:r>
    </w:p>
    <w:p w:rsidR="008F6FFE" w:rsidRPr="005D164D" w:rsidRDefault="0052743C" w:rsidP="005D164D">
      <w:pPr>
        <w:rPr>
          <w:rFonts w:asciiTheme="minorHAnsi" w:hAnsiTheme="minorHAnsi" w:cs="Arial"/>
          <w:color w:val="303030"/>
          <w:sz w:val="16"/>
          <w:szCs w:val="16"/>
          <w:shd w:val="clear" w:color="auto" w:fill="FFFFFF"/>
          <w:lang w:val="en-US"/>
        </w:rPr>
      </w:pPr>
      <w:hyperlink r:id="rId1157" w:history="1">
        <w:r w:rsidR="008F6FFE" w:rsidRPr="005D164D">
          <w:rPr>
            <w:rFonts w:asciiTheme="minorHAnsi" w:hAnsiTheme="minorHAnsi" w:cs="Arial"/>
            <w:color w:val="303030"/>
            <w:sz w:val="16"/>
            <w:szCs w:val="16"/>
            <w:shd w:val="clear" w:color="auto" w:fill="FFFFFF"/>
            <w:lang w:val="en-US"/>
          </w:rPr>
          <w:t>https://www.ncbi.nlm.nih.gov/pmc/articles/PMC7147503/</w:t>
        </w:r>
      </w:hyperlink>
    </w:p>
    <w:p w:rsidR="008F6FFE" w:rsidRPr="00165563" w:rsidRDefault="008F6FFE" w:rsidP="00165563">
      <w:pPr>
        <w:rPr>
          <w:rFonts w:asciiTheme="minorHAnsi" w:hAnsiTheme="minorHAnsi" w:cs="Arial"/>
          <w:color w:val="303030"/>
          <w:sz w:val="16"/>
          <w:szCs w:val="16"/>
          <w:shd w:val="clear" w:color="auto" w:fill="FFFFFF"/>
          <w:lang w:val="en-US"/>
        </w:rPr>
      </w:pPr>
    </w:p>
  </w:footnote>
  <w:footnote w:id="170">
    <w:p w:rsidR="008F6FFE" w:rsidRPr="00165563" w:rsidRDefault="008F6FFE" w:rsidP="00165563">
      <w:pPr>
        <w:rPr>
          <w:rFonts w:asciiTheme="minorHAnsi" w:hAnsiTheme="minorHAnsi" w:cs="Arial"/>
          <w:color w:val="303030"/>
          <w:sz w:val="16"/>
          <w:szCs w:val="16"/>
          <w:shd w:val="clear" w:color="auto" w:fill="FFFFFF"/>
          <w:lang w:val="en-US"/>
        </w:rPr>
      </w:pPr>
      <w:r w:rsidRPr="00717D4D">
        <w:rPr>
          <w:rStyle w:val="FootnoteReference"/>
          <w:rFonts w:asciiTheme="minorHAnsi" w:hAnsiTheme="minorHAnsi"/>
          <w:sz w:val="16"/>
          <w:szCs w:val="16"/>
        </w:rPr>
        <w:footnoteRef/>
      </w:r>
      <w:r w:rsidRPr="00717D4D">
        <w:rPr>
          <w:rFonts w:asciiTheme="minorHAnsi" w:hAnsiTheme="minorHAnsi"/>
          <w:sz w:val="16"/>
          <w:szCs w:val="16"/>
          <w:lang w:val="en-US"/>
        </w:rPr>
        <w:t xml:space="preserve"> </w:t>
      </w:r>
      <w:r w:rsidRPr="00165563">
        <w:rPr>
          <w:rFonts w:asciiTheme="minorHAnsi" w:hAnsiTheme="minorHAnsi" w:cs="Arial"/>
          <w:color w:val="303030"/>
          <w:sz w:val="16"/>
          <w:szCs w:val="16"/>
          <w:shd w:val="clear" w:color="auto" w:fill="FFFFFF"/>
          <w:lang w:val="en-US"/>
        </w:rPr>
        <w:t xml:space="preserve">Nature. 2014 Jun 5;510(7503):152-6. doi: 10.1038/nature13279. </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Focused specificity of intestinal TH17 cells towards commensal bacterial antigens.</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Yang Y et al</w:t>
      </w:r>
    </w:p>
    <w:p w:rsidR="008F6FFE" w:rsidRPr="005D164D" w:rsidRDefault="0052743C" w:rsidP="005D164D">
      <w:pPr>
        <w:rPr>
          <w:rFonts w:asciiTheme="minorHAnsi" w:hAnsiTheme="minorHAnsi" w:cs="Arial"/>
          <w:color w:val="303030"/>
          <w:sz w:val="16"/>
          <w:szCs w:val="16"/>
          <w:shd w:val="clear" w:color="auto" w:fill="FFFFFF"/>
          <w:lang w:val="en-US"/>
        </w:rPr>
      </w:pPr>
      <w:hyperlink r:id="rId1158" w:history="1">
        <w:r w:rsidR="008F6FFE" w:rsidRPr="005D164D">
          <w:rPr>
            <w:rFonts w:asciiTheme="minorHAnsi" w:hAnsiTheme="minorHAnsi" w:cs="Arial"/>
            <w:color w:val="303030"/>
            <w:sz w:val="16"/>
            <w:szCs w:val="16"/>
            <w:shd w:val="clear" w:color="auto" w:fill="FFFFFF"/>
            <w:lang w:val="en-US"/>
          </w:rPr>
          <w:t>https://www.ncbi.nlm.nih.gov/pmc/articles/PMC4128479/</w:t>
        </w:r>
      </w:hyperlink>
    </w:p>
    <w:p w:rsidR="008F6FFE" w:rsidRPr="00A078ED" w:rsidRDefault="008F6FFE" w:rsidP="00165563">
      <w:pPr>
        <w:rPr>
          <w:rFonts w:asciiTheme="minorHAnsi" w:hAnsiTheme="minorHAnsi" w:cstheme="minorHAnsi"/>
          <w:color w:val="303030"/>
          <w:sz w:val="16"/>
          <w:szCs w:val="16"/>
          <w:shd w:val="clear" w:color="auto" w:fill="FFFFFF"/>
          <w:lang w:val="en-US"/>
        </w:rPr>
      </w:pP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Cell. 2009 Oct 30;139(3):485-98. doi: 10.1016/j.cell.2009.09.033. </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Induction of intestinal Th17 cells by segmented filamentous bacteria. </w:t>
      </w:r>
    </w:p>
    <w:p w:rsidR="008F6FFE" w:rsidRPr="00A078ED" w:rsidRDefault="008F6FFE" w:rsidP="00717D4D">
      <w:pPr>
        <w:rPr>
          <w:rFonts w:asciiTheme="minorHAnsi" w:hAnsiTheme="minorHAnsi" w:cs="Arial"/>
          <w:color w:val="303030"/>
          <w:sz w:val="16"/>
          <w:szCs w:val="16"/>
          <w:shd w:val="clear" w:color="auto" w:fill="FFFFFF"/>
        </w:rPr>
      </w:pPr>
      <w:r w:rsidRPr="00A078ED">
        <w:rPr>
          <w:rFonts w:asciiTheme="minorHAnsi" w:hAnsiTheme="minorHAnsi" w:cs="Arial"/>
          <w:color w:val="303030"/>
          <w:sz w:val="16"/>
          <w:szCs w:val="16"/>
          <w:shd w:val="clear" w:color="auto" w:fill="FFFFFF"/>
        </w:rPr>
        <w:t>Ivanov II et al</w:t>
      </w:r>
    </w:p>
    <w:p w:rsidR="008F6FFE" w:rsidRPr="00A078ED" w:rsidRDefault="0052743C" w:rsidP="005D164D">
      <w:pPr>
        <w:rPr>
          <w:rFonts w:asciiTheme="minorHAnsi" w:hAnsiTheme="minorHAnsi" w:cs="Arial"/>
          <w:color w:val="303030"/>
          <w:sz w:val="16"/>
          <w:szCs w:val="16"/>
          <w:shd w:val="clear" w:color="auto" w:fill="FFFFFF"/>
        </w:rPr>
      </w:pPr>
      <w:hyperlink r:id="rId1159" w:history="1">
        <w:r w:rsidR="008F6FFE" w:rsidRPr="00A078ED">
          <w:rPr>
            <w:rFonts w:asciiTheme="minorHAnsi" w:hAnsiTheme="minorHAnsi" w:cs="Arial"/>
            <w:color w:val="303030"/>
            <w:sz w:val="16"/>
            <w:szCs w:val="16"/>
            <w:shd w:val="clear" w:color="auto" w:fill="FFFFFF"/>
          </w:rPr>
          <w:t>https://www.ncbi.nlm.nih.gov/pmc/articles/PMC2796826/</w:t>
        </w:r>
      </w:hyperlink>
    </w:p>
    <w:p w:rsidR="008F6FFE" w:rsidRPr="00A078ED" w:rsidRDefault="008F6FFE" w:rsidP="00717D4D">
      <w:pPr>
        <w:rPr>
          <w:rFonts w:asciiTheme="minorHAnsi" w:hAnsiTheme="minorHAnsi" w:cs="Arial"/>
          <w:color w:val="303030"/>
          <w:sz w:val="16"/>
          <w:szCs w:val="16"/>
          <w:shd w:val="clear" w:color="auto" w:fill="FFFFFF"/>
        </w:rPr>
      </w:pP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J Exp Med. 2014 Jun 30;211(7):1273-80. doi: 10.1084/jem.20130555. </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Proteome-wide analysis of HIV-specific naive and memory CD4(+) T cells in unexposed blood donors.</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Campion SL, Brodie TM, Fischer W, Korber BT, Rossetti A, Goonetilleke N, McMichael AJ, Sallusto F. </w:t>
      </w:r>
    </w:p>
    <w:p w:rsidR="008F6FFE" w:rsidRPr="005D164D" w:rsidRDefault="0052743C" w:rsidP="005D164D">
      <w:pPr>
        <w:rPr>
          <w:rFonts w:asciiTheme="minorHAnsi" w:hAnsiTheme="minorHAnsi" w:cs="Arial"/>
          <w:color w:val="303030"/>
          <w:sz w:val="16"/>
          <w:szCs w:val="16"/>
          <w:shd w:val="clear" w:color="auto" w:fill="FFFFFF"/>
          <w:lang w:val="en-US"/>
        </w:rPr>
      </w:pPr>
      <w:hyperlink r:id="rId1160" w:history="1">
        <w:r w:rsidR="008F6FFE" w:rsidRPr="005D164D">
          <w:rPr>
            <w:rFonts w:asciiTheme="minorHAnsi" w:hAnsiTheme="minorHAnsi" w:cs="Arial"/>
            <w:color w:val="303030"/>
            <w:sz w:val="16"/>
            <w:szCs w:val="16"/>
            <w:shd w:val="clear" w:color="auto" w:fill="FFFFFF"/>
            <w:lang w:val="en-US"/>
          </w:rPr>
          <w:t>https://www.ncbi.nlm.nih.gov/pmc/articles/PMC4076590/</w:t>
        </w:r>
      </w:hyperlink>
    </w:p>
    <w:p w:rsidR="008F6FFE" w:rsidRPr="00165563" w:rsidRDefault="008F6FFE" w:rsidP="00717D4D">
      <w:pPr>
        <w:rPr>
          <w:rFonts w:asciiTheme="minorHAnsi" w:hAnsiTheme="minorHAnsi" w:cs="Arial"/>
          <w:color w:val="303030"/>
          <w:sz w:val="16"/>
          <w:szCs w:val="16"/>
          <w:shd w:val="clear" w:color="auto" w:fill="FFFFFF"/>
          <w:lang w:val="en-US"/>
        </w:rPr>
      </w:pP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J Autoimmun. 2010 May;34(3):J220-5. doi: 10.1016/j.jaut.2009.11.007. </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Coordination of tolerogenic immune responses by the commensal microbiota. </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Round JL, O'Connell RM, Mazmanian SK. </w:t>
      </w:r>
    </w:p>
    <w:p w:rsidR="008F6FFE" w:rsidRPr="005D164D" w:rsidRDefault="0052743C" w:rsidP="005D164D">
      <w:pPr>
        <w:rPr>
          <w:rFonts w:asciiTheme="minorHAnsi" w:hAnsiTheme="minorHAnsi" w:cs="Arial"/>
          <w:color w:val="303030"/>
          <w:sz w:val="16"/>
          <w:szCs w:val="16"/>
          <w:shd w:val="clear" w:color="auto" w:fill="FFFFFF"/>
          <w:lang w:val="en-US"/>
        </w:rPr>
      </w:pPr>
      <w:hyperlink r:id="rId1161" w:history="1">
        <w:r w:rsidR="008F6FFE" w:rsidRPr="005D164D">
          <w:rPr>
            <w:rFonts w:asciiTheme="minorHAnsi" w:hAnsiTheme="minorHAnsi" w:cs="Arial"/>
            <w:color w:val="303030"/>
            <w:sz w:val="16"/>
            <w:szCs w:val="16"/>
            <w:shd w:val="clear" w:color="auto" w:fill="FFFFFF"/>
            <w:lang w:val="en-US"/>
          </w:rPr>
          <w:t>https://www.ncbi.nlm.nih.gov/pmc/articles/PMC3155383/</w:t>
        </w:r>
      </w:hyperlink>
    </w:p>
    <w:p w:rsidR="008F6FFE" w:rsidRPr="00165563" w:rsidRDefault="008F6FFE" w:rsidP="00717D4D">
      <w:pPr>
        <w:rPr>
          <w:rFonts w:asciiTheme="minorHAnsi" w:hAnsiTheme="minorHAnsi" w:cs="Arial"/>
          <w:color w:val="303030"/>
          <w:sz w:val="16"/>
          <w:szCs w:val="16"/>
          <w:shd w:val="clear" w:color="auto" w:fill="FFFFFF"/>
          <w:lang w:val="en-US"/>
        </w:rPr>
      </w:pP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Immunity. 2013 Feb 21;38(2):373-83. doi: 10.1016/j.immuni.2012.10.021. </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Virus-specific CD4(+) memory-phenotype T cells are abundant in unexposed adults. </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Su LF, Kidd BA, Han A, Kotzin JJ, Davis MM. </w:t>
      </w:r>
    </w:p>
    <w:p w:rsidR="008F6FFE" w:rsidRPr="005D164D" w:rsidRDefault="0052743C" w:rsidP="005D164D">
      <w:pPr>
        <w:rPr>
          <w:rFonts w:asciiTheme="minorHAnsi" w:hAnsiTheme="minorHAnsi" w:cs="Arial"/>
          <w:color w:val="303030"/>
          <w:sz w:val="16"/>
          <w:szCs w:val="16"/>
          <w:shd w:val="clear" w:color="auto" w:fill="FFFFFF"/>
          <w:lang w:val="en-US"/>
        </w:rPr>
      </w:pPr>
      <w:hyperlink r:id="rId1162" w:history="1">
        <w:r w:rsidR="008F6FFE" w:rsidRPr="005D164D">
          <w:rPr>
            <w:rFonts w:asciiTheme="minorHAnsi" w:hAnsiTheme="minorHAnsi" w:cs="Arial"/>
            <w:color w:val="303030"/>
            <w:sz w:val="16"/>
            <w:szCs w:val="16"/>
            <w:shd w:val="clear" w:color="auto" w:fill="FFFFFF"/>
            <w:lang w:val="en-US"/>
          </w:rPr>
          <w:t>https://www.ncbi.nlm.nih.gov/pmc/articles/PMC3626102/</w:t>
        </w:r>
      </w:hyperlink>
    </w:p>
    <w:p w:rsidR="008F6FFE" w:rsidRDefault="008F6FFE" w:rsidP="00717D4D">
      <w:pPr>
        <w:rPr>
          <w:rFonts w:asciiTheme="minorHAnsi" w:hAnsiTheme="minorHAnsi"/>
          <w:color w:val="000000"/>
          <w:sz w:val="16"/>
          <w:szCs w:val="16"/>
          <w:lang w:val="en-US"/>
        </w:rPr>
      </w:pPr>
    </w:p>
    <w:p w:rsidR="008F6FFE" w:rsidRPr="00165563" w:rsidRDefault="008F6FFE" w:rsidP="0035319E">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Med Sci (Basel). 2018 Jul 17;6(3):56. doi: 10.3390/medsci6030056. </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Gut Microbiota and Mucosal Immunity in the Neonate. </w:t>
      </w:r>
    </w:p>
    <w:p w:rsidR="008F6FFE" w:rsidRDefault="008F6FFE" w:rsidP="00165563">
      <w:pPr>
        <w:rPr>
          <w:rFonts w:asciiTheme="minorHAnsi" w:hAnsiTheme="minorHAnsi" w:cs="Arial"/>
          <w:color w:val="303030"/>
          <w:sz w:val="16"/>
          <w:szCs w:val="16"/>
          <w:shd w:val="clear" w:color="auto" w:fill="FFFFFF"/>
        </w:rPr>
      </w:pPr>
      <w:r w:rsidRPr="00A832DC">
        <w:rPr>
          <w:rFonts w:asciiTheme="minorHAnsi" w:hAnsiTheme="minorHAnsi" w:cs="Arial"/>
          <w:color w:val="303030"/>
          <w:sz w:val="16"/>
          <w:szCs w:val="16"/>
          <w:shd w:val="clear" w:color="auto" w:fill="FFFFFF"/>
        </w:rPr>
        <w:t xml:space="preserve">Dzidic M, Boix-Amorós A, Selma-Royo M, Mira A, Collado MC. </w:t>
      </w:r>
    </w:p>
    <w:p w:rsidR="008F6FFE" w:rsidRPr="00A078ED" w:rsidRDefault="0052743C" w:rsidP="005D164D">
      <w:pPr>
        <w:rPr>
          <w:rFonts w:asciiTheme="minorHAnsi" w:hAnsiTheme="minorHAnsi"/>
          <w:color w:val="000000"/>
          <w:sz w:val="16"/>
          <w:szCs w:val="16"/>
        </w:rPr>
      </w:pPr>
      <w:hyperlink r:id="rId1163" w:history="1">
        <w:r w:rsidR="008F6FFE" w:rsidRPr="00A078ED">
          <w:rPr>
            <w:rFonts w:asciiTheme="minorHAnsi" w:hAnsiTheme="minorHAnsi"/>
            <w:color w:val="000000"/>
            <w:sz w:val="16"/>
            <w:szCs w:val="16"/>
          </w:rPr>
          <w:t>https://www.ncbi.nlm.nih.gov/pmc/articles/PMC6163169/</w:t>
        </w:r>
      </w:hyperlink>
    </w:p>
    <w:p w:rsidR="008F6FFE" w:rsidRPr="005D164D" w:rsidRDefault="008F6FFE" w:rsidP="0035319E">
      <w:pPr>
        <w:rPr>
          <w:rFonts w:asciiTheme="minorHAnsi" w:hAnsiTheme="minorHAnsi" w:cstheme="minorHAnsi"/>
          <w:color w:val="303030"/>
          <w:sz w:val="16"/>
          <w:szCs w:val="16"/>
          <w:shd w:val="clear" w:color="auto" w:fill="FFFFFF"/>
        </w:rPr>
      </w:pPr>
    </w:p>
    <w:p w:rsidR="008F6FFE" w:rsidRPr="00165563" w:rsidRDefault="008F6FFE" w:rsidP="00165563">
      <w:pPr>
        <w:rPr>
          <w:rFonts w:asciiTheme="minorHAnsi" w:hAnsiTheme="minorHAnsi"/>
          <w:color w:val="000000"/>
          <w:sz w:val="16"/>
          <w:szCs w:val="16"/>
          <w:lang w:val="en-US"/>
        </w:rPr>
      </w:pPr>
      <w:r w:rsidRPr="00165563">
        <w:rPr>
          <w:rFonts w:asciiTheme="minorHAnsi" w:hAnsiTheme="minorHAnsi"/>
          <w:color w:val="000000"/>
          <w:sz w:val="16"/>
          <w:szCs w:val="16"/>
          <w:lang w:val="en-US"/>
        </w:rPr>
        <w:t xml:space="preserve">Clin Dev Immunol. 2013;2013:270301. doi: 10.1155/2013/270301. </w:t>
      </w:r>
    </w:p>
    <w:p w:rsidR="008F6FFE" w:rsidRPr="00165563" w:rsidRDefault="008F6FFE" w:rsidP="00165563">
      <w:pPr>
        <w:rPr>
          <w:rFonts w:asciiTheme="minorHAnsi" w:hAnsiTheme="minorHAnsi"/>
          <w:color w:val="000000"/>
          <w:sz w:val="16"/>
          <w:szCs w:val="16"/>
          <w:lang w:val="en-US"/>
        </w:rPr>
      </w:pPr>
      <w:r w:rsidRPr="00165563">
        <w:rPr>
          <w:rFonts w:asciiTheme="minorHAnsi" w:hAnsiTheme="minorHAnsi"/>
          <w:color w:val="000000"/>
          <w:sz w:val="16"/>
          <w:szCs w:val="16"/>
          <w:lang w:val="en-US"/>
        </w:rPr>
        <w:t xml:space="preserve">Neonatal immune adaptation of the gut and its role during infections. </w:t>
      </w:r>
    </w:p>
    <w:p w:rsidR="008F6FFE" w:rsidRPr="00235A16" w:rsidRDefault="008F6FFE" w:rsidP="00165563">
      <w:pPr>
        <w:rPr>
          <w:rFonts w:asciiTheme="minorHAnsi" w:hAnsiTheme="minorHAnsi"/>
          <w:color w:val="000000"/>
          <w:sz w:val="16"/>
          <w:szCs w:val="16"/>
          <w:lang w:val="de-DE"/>
        </w:rPr>
      </w:pPr>
      <w:r w:rsidRPr="00235A16">
        <w:rPr>
          <w:rFonts w:asciiTheme="minorHAnsi" w:hAnsiTheme="minorHAnsi"/>
          <w:color w:val="000000"/>
          <w:sz w:val="16"/>
          <w:szCs w:val="16"/>
          <w:lang w:val="de-DE"/>
        </w:rPr>
        <w:t xml:space="preserve">Tourneur E, Chassin C. </w:t>
      </w:r>
    </w:p>
    <w:p w:rsidR="008F6FFE" w:rsidRPr="00235A16" w:rsidRDefault="0052743C" w:rsidP="005D164D">
      <w:pPr>
        <w:rPr>
          <w:rFonts w:asciiTheme="minorHAnsi" w:hAnsiTheme="minorHAnsi"/>
          <w:color w:val="000000"/>
          <w:sz w:val="16"/>
          <w:szCs w:val="16"/>
          <w:lang w:val="de-DE"/>
        </w:rPr>
      </w:pPr>
      <w:hyperlink r:id="rId1164" w:history="1">
        <w:r w:rsidR="008F6FFE" w:rsidRPr="00235A16">
          <w:rPr>
            <w:rFonts w:asciiTheme="minorHAnsi" w:hAnsiTheme="minorHAnsi"/>
            <w:color w:val="000000"/>
            <w:sz w:val="16"/>
            <w:szCs w:val="16"/>
            <w:lang w:val="de-DE"/>
          </w:rPr>
          <w:t>https://www.ncbi.nlm.nih.gov/pmc/articles/PMC3659470/</w:t>
        </w:r>
      </w:hyperlink>
    </w:p>
    <w:p w:rsidR="008F6FFE" w:rsidRPr="00235A16" w:rsidRDefault="008F6FFE" w:rsidP="003D0829">
      <w:pPr>
        <w:rPr>
          <w:rFonts w:asciiTheme="minorHAnsi" w:hAnsiTheme="minorHAnsi"/>
          <w:color w:val="000000"/>
          <w:sz w:val="16"/>
          <w:szCs w:val="16"/>
          <w:lang w:val="de-DE"/>
        </w:rPr>
      </w:pPr>
    </w:p>
  </w:footnote>
  <w:footnote w:id="171">
    <w:p w:rsidR="008F6FFE" w:rsidRPr="00235A16" w:rsidRDefault="008F6FFE" w:rsidP="003D0829">
      <w:pPr>
        <w:rPr>
          <w:rFonts w:asciiTheme="minorHAnsi" w:hAnsiTheme="minorHAnsi"/>
          <w:color w:val="000000"/>
          <w:sz w:val="16"/>
          <w:szCs w:val="16"/>
          <w:lang w:val="de-DE"/>
        </w:rPr>
      </w:pPr>
      <w:r w:rsidRPr="005D164D">
        <w:rPr>
          <w:rFonts w:asciiTheme="minorHAnsi" w:hAnsiTheme="minorHAnsi"/>
          <w:color w:val="000000"/>
          <w:sz w:val="16"/>
          <w:szCs w:val="16"/>
          <w:vertAlign w:val="superscript"/>
          <w:lang w:val="en-US"/>
        </w:rPr>
        <w:footnoteRef/>
      </w:r>
      <w:r w:rsidRPr="00235A16">
        <w:rPr>
          <w:rFonts w:asciiTheme="minorHAnsi" w:hAnsiTheme="minorHAnsi"/>
          <w:color w:val="000000"/>
          <w:sz w:val="16"/>
          <w:szCs w:val="16"/>
          <w:vertAlign w:val="superscript"/>
          <w:lang w:val="de-DE"/>
        </w:rPr>
        <w:t xml:space="preserve"> </w:t>
      </w:r>
      <w:r w:rsidRPr="00235A16">
        <w:rPr>
          <w:rFonts w:asciiTheme="minorHAnsi" w:hAnsiTheme="minorHAnsi"/>
          <w:color w:val="000000"/>
          <w:sz w:val="16"/>
          <w:szCs w:val="16"/>
          <w:lang w:val="de-DE"/>
        </w:rPr>
        <w:t xml:space="preserve">Torow N, Marsland BJ, Hornef MW, Gollwitzer ES. </w:t>
      </w:r>
    </w:p>
    <w:p w:rsidR="008F6FFE" w:rsidRPr="003D0829" w:rsidRDefault="008F6FFE" w:rsidP="003D0829">
      <w:pPr>
        <w:rPr>
          <w:rFonts w:asciiTheme="minorHAnsi" w:hAnsiTheme="minorHAnsi"/>
          <w:color w:val="000000"/>
          <w:sz w:val="16"/>
          <w:szCs w:val="16"/>
          <w:lang w:val="en-US"/>
        </w:rPr>
      </w:pPr>
      <w:r w:rsidRPr="003D0829">
        <w:rPr>
          <w:rFonts w:asciiTheme="minorHAnsi" w:hAnsiTheme="minorHAnsi"/>
          <w:color w:val="000000"/>
          <w:sz w:val="16"/>
          <w:szCs w:val="16"/>
          <w:lang w:val="en-US"/>
        </w:rPr>
        <w:t>Neonatal mucosal immunology. </w:t>
      </w:r>
    </w:p>
    <w:p w:rsidR="008F6FFE" w:rsidRPr="00A078ED" w:rsidRDefault="008F6FFE" w:rsidP="003D0829">
      <w:pPr>
        <w:rPr>
          <w:rFonts w:asciiTheme="minorHAnsi" w:hAnsiTheme="minorHAnsi"/>
          <w:color w:val="000000"/>
          <w:sz w:val="16"/>
          <w:szCs w:val="16"/>
          <w:lang w:val="en-US"/>
        </w:rPr>
      </w:pPr>
      <w:r w:rsidRPr="003D0829">
        <w:rPr>
          <w:rFonts w:asciiTheme="minorHAnsi" w:hAnsiTheme="minorHAnsi"/>
          <w:color w:val="000000"/>
          <w:sz w:val="16"/>
          <w:szCs w:val="16"/>
          <w:lang w:val="en-US"/>
        </w:rPr>
        <w:t xml:space="preserve">Mucosal Immunol. </w:t>
      </w:r>
      <w:r w:rsidRPr="00A078ED">
        <w:rPr>
          <w:rFonts w:asciiTheme="minorHAnsi" w:hAnsiTheme="minorHAnsi"/>
          <w:color w:val="000000"/>
          <w:sz w:val="16"/>
          <w:szCs w:val="16"/>
          <w:lang w:val="en-US"/>
        </w:rPr>
        <w:t>2017;10(1):5‐17. doi:10.1038/mi.2016.81</w:t>
      </w:r>
    </w:p>
    <w:p w:rsidR="008F6FFE" w:rsidRPr="00A078ED" w:rsidRDefault="0052743C" w:rsidP="003302DA">
      <w:pPr>
        <w:rPr>
          <w:rFonts w:asciiTheme="minorHAnsi" w:hAnsiTheme="minorHAnsi" w:cstheme="minorHAnsi"/>
          <w:sz w:val="16"/>
          <w:szCs w:val="16"/>
          <w:lang w:val="en-US"/>
        </w:rPr>
      </w:pPr>
      <w:hyperlink r:id="rId1165" w:history="1">
        <w:r w:rsidR="008F6FFE" w:rsidRPr="005D164D">
          <w:rPr>
            <w:rFonts w:asciiTheme="minorHAnsi" w:hAnsiTheme="minorHAnsi"/>
            <w:color w:val="000000"/>
            <w:sz w:val="16"/>
            <w:szCs w:val="16"/>
            <w:lang w:val="en-US"/>
          </w:rPr>
          <w:t>https://www.nature.com/articles/mi201681</w:t>
        </w:r>
      </w:hyperlink>
    </w:p>
  </w:footnote>
  <w:footnote w:id="172">
    <w:p w:rsidR="008F6FFE" w:rsidRPr="00165563" w:rsidRDefault="008F6FFE" w:rsidP="00165563">
      <w:pPr>
        <w:rPr>
          <w:rFonts w:asciiTheme="minorHAnsi" w:hAnsiTheme="minorHAnsi"/>
          <w:color w:val="000000"/>
          <w:sz w:val="16"/>
          <w:szCs w:val="16"/>
          <w:lang w:val="en-US"/>
        </w:rPr>
      </w:pPr>
      <w:r w:rsidRPr="00165563">
        <w:rPr>
          <w:rFonts w:asciiTheme="minorHAnsi" w:hAnsiTheme="minorHAnsi"/>
          <w:color w:val="000000"/>
          <w:sz w:val="16"/>
          <w:szCs w:val="16"/>
          <w:vertAlign w:val="superscript"/>
          <w:lang w:val="en-US"/>
        </w:rPr>
        <w:footnoteRef/>
      </w:r>
      <w:r w:rsidRPr="00330DB8">
        <w:rPr>
          <w:rFonts w:asciiTheme="minorHAnsi" w:hAnsiTheme="minorHAnsi"/>
          <w:color w:val="000000"/>
          <w:sz w:val="16"/>
          <w:szCs w:val="16"/>
          <w:lang w:val="en-US"/>
        </w:rPr>
        <w:t xml:space="preserve"> J Allergy Clin Immunol. </w:t>
      </w:r>
      <w:r w:rsidRPr="00165563">
        <w:rPr>
          <w:rFonts w:asciiTheme="minorHAnsi" w:hAnsiTheme="minorHAnsi"/>
          <w:color w:val="000000"/>
          <w:sz w:val="16"/>
          <w:szCs w:val="16"/>
          <w:lang w:val="en-US"/>
        </w:rPr>
        <w:t>2003;112(5):973‐980. doi:10.1016/j.jaci.2003.07.003</w:t>
      </w:r>
    </w:p>
    <w:p w:rsidR="008F6FFE" w:rsidRPr="00165563" w:rsidRDefault="008F6FFE" w:rsidP="00165563">
      <w:pPr>
        <w:rPr>
          <w:rFonts w:asciiTheme="minorHAnsi" w:hAnsiTheme="minorHAnsi"/>
          <w:color w:val="000000"/>
          <w:sz w:val="16"/>
          <w:szCs w:val="16"/>
          <w:lang w:val="en-US"/>
        </w:rPr>
      </w:pPr>
      <w:r w:rsidRPr="00165563">
        <w:rPr>
          <w:rFonts w:asciiTheme="minorHAnsi" w:hAnsiTheme="minorHAnsi"/>
          <w:color w:val="000000"/>
          <w:sz w:val="16"/>
          <w:szCs w:val="16"/>
          <w:lang w:val="en-US"/>
        </w:rPr>
        <w:t xml:space="preserve">Lymphocyte subsets in healthy children from birth through 18 years of age: the Pediatric AIDS Clinical Trials Group P1009 study </w:t>
      </w:r>
    </w:p>
    <w:p w:rsidR="008F6FFE" w:rsidRPr="00165563" w:rsidRDefault="008F6FFE" w:rsidP="00165563">
      <w:pPr>
        <w:rPr>
          <w:rFonts w:asciiTheme="minorHAnsi" w:hAnsiTheme="minorHAnsi"/>
          <w:color w:val="000000"/>
          <w:sz w:val="16"/>
          <w:szCs w:val="16"/>
          <w:lang w:val="en-US"/>
        </w:rPr>
      </w:pPr>
      <w:r w:rsidRPr="00165563">
        <w:rPr>
          <w:rFonts w:asciiTheme="minorHAnsi" w:hAnsiTheme="minorHAnsi"/>
          <w:color w:val="000000"/>
          <w:sz w:val="16"/>
          <w:szCs w:val="16"/>
          <w:lang w:val="en-US"/>
        </w:rPr>
        <w:t>Shearer WT et al</w:t>
      </w:r>
    </w:p>
    <w:p w:rsidR="008F6FFE" w:rsidRPr="005D164D" w:rsidRDefault="0052743C" w:rsidP="005D164D">
      <w:pPr>
        <w:rPr>
          <w:rFonts w:asciiTheme="minorHAnsi" w:hAnsiTheme="minorHAnsi"/>
          <w:color w:val="000000"/>
          <w:sz w:val="16"/>
          <w:szCs w:val="16"/>
          <w:lang w:val="en-US"/>
        </w:rPr>
      </w:pPr>
      <w:hyperlink r:id="rId1166" w:history="1">
        <w:r w:rsidR="008F6FFE" w:rsidRPr="005D164D">
          <w:rPr>
            <w:rFonts w:asciiTheme="minorHAnsi" w:hAnsiTheme="minorHAnsi"/>
            <w:color w:val="000000"/>
            <w:sz w:val="16"/>
            <w:szCs w:val="16"/>
            <w:lang w:val="en-US"/>
          </w:rPr>
          <w:t>https://www.jacionline.org/article/S0091-6749(03)02030-X/fulltext</w:t>
        </w:r>
      </w:hyperlink>
    </w:p>
    <w:p w:rsidR="008F6FFE" w:rsidRPr="00165563" w:rsidRDefault="008F6FFE" w:rsidP="00165563">
      <w:pPr>
        <w:rPr>
          <w:rFonts w:asciiTheme="minorHAnsi" w:hAnsiTheme="minorHAnsi"/>
          <w:sz w:val="16"/>
          <w:szCs w:val="16"/>
          <w:lang w:val="en-US"/>
        </w:rPr>
      </w:pPr>
    </w:p>
  </w:footnote>
  <w:footnote w:id="173">
    <w:p w:rsidR="008F6FFE" w:rsidRPr="00165563" w:rsidRDefault="008F6FFE" w:rsidP="00165563">
      <w:pPr>
        <w:rPr>
          <w:rFonts w:asciiTheme="minorHAnsi" w:hAnsiTheme="minorHAnsi"/>
          <w:color w:val="000000"/>
          <w:sz w:val="16"/>
          <w:szCs w:val="16"/>
          <w:lang w:val="en-US"/>
        </w:rPr>
      </w:pPr>
      <w:r w:rsidRPr="00165563">
        <w:rPr>
          <w:rStyle w:val="FootnoteReference"/>
          <w:rFonts w:asciiTheme="minorHAnsi" w:hAnsiTheme="minorHAnsi"/>
          <w:sz w:val="16"/>
          <w:szCs w:val="16"/>
        </w:rPr>
        <w:footnoteRef/>
      </w:r>
      <w:r w:rsidRPr="00717D4D">
        <w:rPr>
          <w:lang w:val="en-US"/>
        </w:rPr>
        <w:t xml:space="preserve"> </w:t>
      </w:r>
      <w:r w:rsidRPr="00717D4D">
        <w:rPr>
          <w:rStyle w:val="apple-converted-space"/>
          <w:rFonts w:eastAsiaTheme="majorEastAsia"/>
          <w:color w:val="000000"/>
          <w:shd w:val="clear" w:color="auto" w:fill="FFFFFF"/>
          <w:lang w:val="en-US"/>
        </w:rPr>
        <w:t> </w:t>
      </w:r>
      <w:r w:rsidRPr="00165563">
        <w:rPr>
          <w:rFonts w:asciiTheme="minorHAnsi" w:hAnsiTheme="minorHAnsi"/>
          <w:color w:val="000000"/>
          <w:sz w:val="16"/>
          <w:szCs w:val="16"/>
          <w:lang w:val="en-US"/>
        </w:rPr>
        <w:t>J Exp Med. 1994 Jun 1;179(6):1933-43. doi: 10.1084/jem.179.6.1933.</w:t>
      </w:r>
    </w:p>
    <w:p w:rsidR="008F6FFE" w:rsidRPr="00165563" w:rsidRDefault="008F6FFE" w:rsidP="00165563">
      <w:pPr>
        <w:rPr>
          <w:rFonts w:asciiTheme="minorHAnsi" w:hAnsiTheme="minorHAnsi"/>
          <w:color w:val="000000"/>
          <w:sz w:val="16"/>
          <w:szCs w:val="16"/>
          <w:lang w:val="en-US"/>
        </w:rPr>
      </w:pPr>
      <w:r w:rsidRPr="00165563">
        <w:rPr>
          <w:rFonts w:asciiTheme="minorHAnsi" w:hAnsiTheme="minorHAnsi"/>
          <w:color w:val="000000"/>
          <w:sz w:val="16"/>
          <w:szCs w:val="16"/>
          <w:lang w:val="en-US"/>
        </w:rPr>
        <w:t>Cross-reactivities in memory cytotoxic T lymphocyte recognition of heterologous viruses.</w:t>
      </w:r>
    </w:p>
    <w:p w:rsidR="008F6FFE" w:rsidRPr="00235A16" w:rsidRDefault="008F6FFE" w:rsidP="00165563">
      <w:pPr>
        <w:rPr>
          <w:rFonts w:asciiTheme="minorHAnsi" w:hAnsiTheme="minorHAnsi"/>
          <w:color w:val="000000"/>
          <w:sz w:val="16"/>
          <w:szCs w:val="16"/>
          <w:lang w:val="de-DE"/>
        </w:rPr>
      </w:pPr>
      <w:r w:rsidRPr="00235A16">
        <w:rPr>
          <w:rFonts w:asciiTheme="minorHAnsi" w:hAnsiTheme="minorHAnsi"/>
          <w:color w:val="000000"/>
          <w:sz w:val="16"/>
          <w:szCs w:val="16"/>
          <w:lang w:val="de-DE"/>
        </w:rPr>
        <w:t xml:space="preserve">Selin LK, Nahill SR, Welsh RM. </w:t>
      </w:r>
    </w:p>
    <w:p w:rsidR="008F6FFE" w:rsidRPr="00235A16" w:rsidRDefault="0052743C" w:rsidP="00165563">
      <w:pPr>
        <w:rPr>
          <w:rFonts w:asciiTheme="minorHAnsi" w:hAnsiTheme="minorHAnsi"/>
          <w:color w:val="000000"/>
          <w:sz w:val="16"/>
          <w:szCs w:val="16"/>
          <w:lang w:val="de-DE"/>
        </w:rPr>
      </w:pPr>
      <w:hyperlink r:id="rId1167" w:history="1">
        <w:r w:rsidR="008F6FFE" w:rsidRPr="00235A16">
          <w:rPr>
            <w:rFonts w:asciiTheme="minorHAnsi" w:hAnsiTheme="minorHAnsi"/>
            <w:color w:val="000000"/>
            <w:sz w:val="16"/>
            <w:szCs w:val="16"/>
            <w:lang w:val="de-DE"/>
          </w:rPr>
          <w:t>https://www.ncbi.nlm.nih.gov/pmc/articles/PMC2191532/</w:t>
        </w:r>
      </w:hyperlink>
    </w:p>
  </w:footnote>
  <w:footnote w:id="174">
    <w:p w:rsidR="008F6FFE" w:rsidRPr="00AC3FD4" w:rsidRDefault="008F6FFE" w:rsidP="00AC3FD4">
      <w:pPr>
        <w:rPr>
          <w:rFonts w:asciiTheme="minorHAnsi" w:hAnsiTheme="minorHAnsi"/>
          <w:color w:val="212121"/>
          <w:sz w:val="16"/>
          <w:szCs w:val="16"/>
          <w:shd w:val="clear" w:color="auto" w:fill="FFFFFF"/>
          <w:lang w:val="en-US"/>
        </w:rPr>
      </w:pPr>
      <w:r w:rsidRPr="00AC3FD4">
        <w:rPr>
          <w:rStyle w:val="FootnoteReference"/>
          <w:rFonts w:asciiTheme="minorHAnsi" w:hAnsiTheme="minorHAnsi"/>
          <w:sz w:val="16"/>
          <w:szCs w:val="16"/>
        </w:rPr>
        <w:footnoteRef/>
      </w:r>
      <w:r w:rsidRPr="00AC3FD4">
        <w:rPr>
          <w:rFonts w:asciiTheme="minorHAnsi" w:hAnsiTheme="minorHAnsi"/>
          <w:sz w:val="16"/>
          <w:szCs w:val="16"/>
          <w:lang w:val="en-US"/>
        </w:rPr>
        <w:t xml:space="preserve"> </w:t>
      </w:r>
      <w:r w:rsidRPr="00AC3FD4">
        <w:rPr>
          <w:rFonts w:asciiTheme="minorHAnsi" w:hAnsiTheme="minorHAnsi"/>
          <w:iCs/>
          <w:color w:val="212121"/>
          <w:sz w:val="16"/>
          <w:szCs w:val="16"/>
          <w:shd w:val="clear" w:color="auto" w:fill="FFFFFF"/>
          <w:lang w:val="en-US"/>
        </w:rPr>
        <w:t>Pediatr Obes</w:t>
      </w:r>
      <w:r w:rsidRPr="00AC3FD4">
        <w:rPr>
          <w:rFonts w:asciiTheme="minorHAnsi" w:hAnsiTheme="minorHAnsi"/>
          <w:color w:val="212121"/>
          <w:sz w:val="16"/>
          <w:szCs w:val="16"/>
          <w:shd w:val="clear" w:color="auto" w:fill="FFFFFF"/>
          <w:lang w:val="en-US"/>
        </w:rPr>
        <w:t>. 2017;12 Suppl 1(Suppl 1):3‐17. doi:10.1111/ijpo.12217</w:t>
      </w:r>
    </w:p>
    <w:p w:rsidR="008F6FFE" w:rsidRPr="00AC3FD4" w:rsidRDefault="008F6FFE" w:rsidP="00AC3FD4">
      <w:pPr>
        <w:rPr>
          <w:rFonts w:asciiTheme="minorHAnsi" w:hAnsiTheme="minorHAnsi"/>
          <w:color w:val="212121"/>
          <w:sz w:val="16"/>
          <w:szCs w:val="16"/>
          <w:shd w:val="clear" w:color="auto" w:fill="FFFFFF"/>
          <w:lang w:val="en-US"/>
        </w:rPr>
      </w:pPr>
      <w:r w:rsidRPr="00AC3FD4">
        <w:rPr>
          <w:rFonts w:asciiTheme="minorHAnsi" w:hAnsiTheme="minorHAnsi"/>
          <w:color w:val="212121"/>
          <w:sz w:val="16"/>
          <w:szCs w:val="16"/>
          <w:shd w:val="clear" w:color="auto" w:fill="FFFFFF"/>
          <w:lang w:val="en-US"/>
        </w:rPr>
        <w:t>The prenatal gut microbiome: are we colonized with bacteria in utero?</w:t>
      </w:r>
    </w:p>
    <w:p w:rsidR="008F6FFE" w:rsidRPr="00AC3FD4" w:rsidRDefault="008F6FFE" w:rsidP="00AC3FD4">
      <w:pPr>
        <w:rPr>
          <w:rFonts w:asciiTheme="minorHAnsi" w:hAnsiTheme="minorHAnsi"/>
          <w:sz w:val="16"/>
          <w:szCs w:val="16"/>
          <w:lang w:val="en-US"/>
        </w:rPr>
      </w:pPr>
      <w:r w:rsidRPr="00AC3FD4">
        <w:rPr>
          <w:rFonts w:asciiTheme="minorHAnsi" w:hAnsiTheme="minorHAnsi"/>
          <w:color w:val="212121"/>
          <w:sz w:val="16"/>
          <w:szCs w:val="16"/>
          <w:shd w:val="clear" w:color="auto" w:fill="FFFFFF"/>
          <w:lang w:val="en-US"/>
        </w:rPr>
        <w:t>Walker RW, Clemente JC, Peter I, Loos RJF.</w:t>
      </w:r>
    </w:p>
    <w:p w:rsidR="008F6FFE" w:rsidRPr="00AC3FD4" w:rsidRDefault="0052743C" w:rsidP="005D164D">
      <w:pPr>
        <w:rPr>
          <w:lang w:val="en-US"/>
        </w:rPr>
      </w:pPr>
      <w:hyperlink r:id="rId1168" w:history="1">
        <w:r w:rsidR="008F6FFE" w:rsidRPr="005D164D">
          <w:rPr>
            <w:rFonts w:asciiTheme="minorHAnsi" w:hAnsiTheme="minorHAnsi"/>
            <w:color w:val="212121"/>
            <w:sz w:val="16"/>
            <w:szCs w:val="16"/>
            <w:shd w:val="clear" w:color="auto" w:fill="FFFFFF"/>
            <w:lang w:val="en-US"/>
          </w:rPr>
          <w:t>https://www.ncbi.nlm.nih.gov/pmc/articles/PMC5583026/</w:t>
        </w:r>
      </w:hyperlink>
    </w:p>
  </w:footnote>
  <w:footnote w:id="175">
    <w:p w:rsidR="008F6FFE" w:rsidRPr="00AC3FD4" w:rsidRDefault="008F6FFE" w:rsidP="003E2CCD">
      <w:pPr>
        <w:rPr>
          <w:rFonts w:asciiTheme="minorHAnsi" w:hAnsiTheme="minorHAnsi"/>
          <w:color w:val="000000"/>
          <w:sz w:val="16"/>
          <w:szCs w:val="16"/>
          <w:lang w:val="en-US"/>
        </w:rPr>
      </w:pPr>
      <w:r w:rsidRPr="00165563">
        <w:rPr>
          <w:rFonts w:asciiTheme="minorHAnsi" w:hAnsiTheme="minorHAnsi"/>
          <w:color w:val="000000"/>
          <w:sz w:val="16"/>
          <w:szCs w:val="16"/>
          <w:vertAlign w:val="superscript"/>
          <w:lang w:val="en-US"/>
        </w:rPr>
        <w:footnoteRef/>
      </w:r>
      <w:r w:rsidRPr="00165563">
        <w:rPr>
          <w:rFonts w:asciiTheme="minorHAnsi" w:hAnsiTheme="minorHAnsi"/>
          <w:color w:val="000000"/>
          <w:sz w:val="16"/>
          <w:szCs w:val="16"/>
          <w:vertAlign w:val="superscript"/>
          <w:lang w:val="en-US"/>
        </w:rPr>
        <w:t xml:space="preserve">  </w:t>
      </w:r>
      <w:r w:rsidRPr="00AC3FD4">
        <w:rPr>
          <w:rFonts w:asciiTheme="minorHAnsi" w:hAnsiTheme="minorHAnsi"/>
          <w:color w:val="000000"/>
          <w:sz w:val="16"/>
          <w:szCs w:val="16"/>
          <w:lang w:val="en-US"/>
        </w:rPr>
        <w:t>J Microbiol Biotechnol </w:t>
      </w:r>
      <w:r w:rsidRPr="00165563">
        <w:rPr>
          <w:rFonts w:asciiTheme="minorHAnsi" w:hAnsiTheme="minorHAnsi"/>
          <w:color w:val="000000"/>
          <w:sz w:val="16"/>
          <w:szCs w:val="16"/>
          <w:lang w:val="en-US"/>
        </w:rPr>
        <w:t>2015</w:t>
      </w:r>
      <w:r w:rsidRPr="00AC3FD4">
        <w:rPr>
          <w:rFonts w:asciiTheme="minorHAnsi" w:hAnsiTheme="minorHAnsi"/>
          <w:color w:val="000000"/>
          <w:sz w:val="16"/>
          <w:szCs w:val="16"/>
          <w:lang w:val="en-US"/>
        </w:rPr>
        <w:t>, 25:1583–1588. doi:10.4014/jmb.1501.01039</w:t>
      </w:r>
    </w:p>
    <w:p w:rsidR="008F6FFE" w:rsidRPr="00A832DC" w:rsidRDefault="008F6FFE" w:rsidP="003E2CCD">
      <w:pPr>
        <w:rPr>
          <w:rFonts w:asciiTheme="minorHAnsi" w:hAnsiTheme="minorHAnsi"/>
          <w:color w:val="000000"/>
          <w:sz w:val="16"/>
          <w:szCs w:val="16"/>
          <w:lang w:val="en-US"/>
        </w:rPr>
      </w:pPr>
      <w:r w:rsidRPr="00A832DC">
        <w:rPr>
          <w:rFonts w:asciiTheme="minorHAnsi" w:hAnsiTheme="minorHAnsi"/>
          <w:color w:val="000000"/>
          <w:sz w:val="16"/>
          <w:szCs w:val="16"/>
          <w:lang w:val="en-US"/>
        </w:rPr>
        <w:t>Use of germ-free animal models in microbiota-related research. </w:t>
      </w:r>
    </w:p>
    <w:p w:rsidR="008F6FFE" w:rsidRPr="00A832DC" w:rsidRDefault="008F6FFE" w:rsidP="003E2CCD">
      <w:pPr>
        <w:rPr>
          <w:rFonts w:asciiTheme="minorHAnsi" w:hAnsiTheme="minorHAnsi"/>
          <w:color w:val="000000"/>
          <w:sz w:val="16"/>
          <w:szCs w:val="16"/>
        </w:rPr>
      </w:pPr>
      <w:r w:rsidRPr="00A832DC">
        <w:rPr>
          <w:rFonts w:asciiTheme="minorHAnsi" w:hAnsiTheme="minorHAnsi"/>
          <w:color w:val="000000"/>
          <w:sz w:val="16"/>
          <w:szCs w:val="16"/>
        </w:rPr>
        <w:t>Al-Asmakh M, Zadjali F.</w:t>
      </w:r>
    </w:p>
    <w:p w:rsidR="008F6FFE" w:rsidRPr="00A078ED" w:rsidRDefault="0052743C" w:rsidP="005D164D">
      <w:pPr>
        <w:rPr>
          <w:rFonts w:asciiTheme="minorHAnsi" w:hAnsiTheme="minorHAnsi"/>
          <w:color w:val="000000"/>
          <w:sz w:val="16"/>
          <w:szCs w:val="16"/>
        </w:rPr>
      </w:pPr>
      <w:hyperlink r:id="rId1169" w:history="1">
        <w:r w:rsidR="008F6FFE" w:rsidRPr="00A078ED">
          <w:rPr>
            <w:rFonts w:asciiTheme="minorHAnsi" w:hAnsiTheme="minorHAnsi"/>
            <w:color w:val="000000"/>
            <w:sz w:val="16"/>
            <w:szCs w:val="16"/>
          </w:rPr>
          <w:t>https://pubmed.ncbi.nlm.nih.gov/26032361/</w:t>
        </w:r>
      </w:hyperlink>
    </w:p>
    <w:p w:rsidR="008F6FFE" w:rsidRPr="00A832DC" w:rsidRDefault="008F6FFE" w:rsidP="00165563">
      <w:pPr>
        <w:rPr>
          <w:rFonts w:asciiTheme="minorHAnsi" w:hAnsiTheme="minorHAnsi"/>
          <w:color w:val="000000"/>
          <w:sz w:val="16"/>
          <w:szCs w:val="16"/>
        </w:rPr>
      </w:pPr>
    </w:p>
  </w:footnote>
  <w:footnote w:id="176">
    <w:p w:rsidR="008F6FFE" w:rsidRPr="00165563" w:rsidRDefault="008F6FFE" w:rsidP="00165563">
      <w:pPr>
        <w:rPr>
          <w:rFonts w:asciiTheme="minorHAnsi" w:hAnsiTheme="minorHAnsi"/>
          <w:color w:val="000000"/>
          <w:sz w:val="16"/>
          <w:szCs w:val="16"/>
          <w:lang w:val="en-US"/>
        </w:rPr>
      </w:pPr>
      <w:r w:rsidRPr="00165563">
        <w:rPr>
          <w:rFonts w:asciiTheme="minorHAnsi" w:hAnsiTheme="minorHAnsi"/>
          <w:color w:val="000000"/>
          <w:sz w:val="16"/>
          <w:szCs w:val="16"/>
          <w:vertAlign w:val="superscript"/>
          <w:lang w:val="en-US"/>
        </w:rPr>
        <w:footnoteRef/>
      </w:r>
      <w:r w:rsidRPr="00165563">
        <w:rPr>
          <w:rFonts w:asciiTheme="minorHAnsi" w:hAnsiTheme="minorHAnsi"/>
          <w:color w:val="000000"/>
          <w:sz w:val="16"/>
          <w:szCs w:val="16"/>
          <w:vertAlign w:val="superscript"/>
          <w:lang w:val="en-US"/>
        </w:rPr>
        <w:t xml:space="preserve"> </w:t>
      </w:r>
      <w:r w:rsidRPr="00165563">
        <w:rPr>
          <w:rFonts w:asciiTheme="minorHAnsi" w:hAnsiTheme="minorHAnsi"/>
          <w:color w:val="000000"/>
          <w:sz w:val="16"/>
          <w:szCs w:val="16"/>
          <w:lang w:val="en-US"/>
        </w:rPr>
        <w:t>Science. 2012 Apr 27;336(6080):489-93. doi: 10.1126/science.1219328</w:t>
      </w:r>
    </w:p>
    <w:p w:rsidR="008F6FFE" w:rsidRPr="00165563" w:rsidRDefault="008F6FFE" w:rsidP="00165563">
      <w:pPr>
        <w:rPr>
          <w:rFonts w:asciiTheme="minorHAnsi" w:hAnsiTheme="minorHAnsi"/>
          <w:color w:val="000000"/>
          <w:sz w:val="16"/>
          <w:szCs w:val="16"/>
          <w:lang w:val="en-US"/>
        </w:rPr>
      </w:pPr>
      <w:r w:rsidRPr="00165563">
        <w:rPr>
          <w:rFonts w:asciiTheme="minorHAnsi" w:hAnsiTheme="minorHAnsi"/>
          <w:color w:val="000000"/>
          <w:sz w:val="16"/>
          <w:szCs w:val="16"/>
          <w:lang w:val="en-US"/>
        </w:rPr>
        <w:t xml:space="preserve">Microbial exposure during early life has persistent effects on natural killer T cell function. </w:t>
      </w:r>
    </w:p>
    <w:p w:rsidR="008F6FFE" w:rsidRPr="00235A16" w:rsidRDefault="008F6FFE" w:rsidP="00165563">
      <w:pPr>
        <w:rPr>
          <w:rFonts w:asciiTheme="minorHAnsi" w:hAnsiTheme="minorHAnsi"/>
          <w:color w:val="000000"/>
          <w:sz w:val="16"/>
          <w:szCs w:val="16"/>
          <w:lang w:val="de-DE"/>
        </w:rPr>
      </w:pPr>
      <w:r w:rsidRPr="00235A16">
        <w:rPr>
          <w:rFonts w:asciiTheme="minorHAnsi" w:hAnsiTheme="minorHAnsi"/>
          <w:color w:val="000000"/>
          <w:sz w:val="16"/>
          <w:szCs w:val="16"/>
          <w:lang w:val="de-DE"/>
        </w:rPr>
        <w:t>Olszak T et al</w:t>
      </w:r>
    </w:p>
    <w:p w:rsidR="008F6FFE" w:rsidRPr="00235A16" w:rsidRDefault="0052743C" w:rsidP="00165563">
      <w:pPr>
        <w:rPr>
          <w:rFonts w:asciiTheme="minorHAnsi" w:hAnsiTheme="minorHAnsi"/>
          <w:color w:val="000000"/>
          <w:sz w:val="16"/>
          <w:szCs w:val="16"/>
          <w:lang w:val="de-DE"/>
        </w:rPr>
      </w:pPr>
      <w:hyperlink r:id="rId1170" w:history="1">
        <w:r w:rsidR="008F6FFE" w:rsidRPr="00235A16">
          <w:rPr>
            <w:rFonts w:asciiTheme="minorHAnsi" w:hAnsiTheme="minorHAnsi"/>
            <w:color w:val="000000"/>
            <w:sz w:val="16"/>
            <w:szCs w:val="16"/>
            <w:lang w:val="de-DE"/>
          </w:rPr>
          <w:t>https://www.ncbi.nlm.nih.gov/pmc/articles/PMC3437652/</w:t>
        </w:r>
      </w:hyperlink>
    </w:p>
  </w:footnote>
  <w:footnote w:id="177">
    <w:p w:rsidR="008F6FFE" w:rsidRPr="00165563" w:rsidRDefault="008F6FFE" w:rsidP="00165563">
      <w:pPr>
        <w:rPr>
          <w:rFonts w:asciiTheme="minorHAnsi" w:hAnsiTheme="minorHAnsi" w:cs="Arial"/>
          <w:color w:val="303030"/>
          <w:sz w:val="16"/>
          <w:szCs w:val="16"/>
          <w:shd w:val="clear" w:color="auto" w:fill="FFFFFF"/>
          <w:lang w:val="en-US"/>
        </w:rPr>
      </w:pPr>
      <w:r w:rsidRPr="00165563">
        <w:rPr>
          <w:rStyle w:val="FootnoteReference"/>
          <w:rFonts w:asciiTheme="minorHAnsi" w:hAnsiTheme="minorHAnsi"/>
          <w:sz w:val="16"/>
          <w:szCs w:val="16"/>
        </w:rPr>
        <w:footnoteRef/>
      </w:r>
      <w:r w:rsidRPr="00165563">
        <w:rPr>
          <w:rFonts w:asciiTheme="minorHAnsi" w:hAnsiTheme="minorHAnsi"/>
          <w:sz w:val="16"/>
          <w:szCs w:val="16"/>
          <w:lang w:val="en-US"/>
        </w:rPr>
        <w:t xml:space="preserve"> </w:t>
      </w:r>
      <w:r w:rsidRPr="00165563">
        <w:rPr>
          <w:rFonts w:asciiTheme="minorHAnsi" w:hAnsiTheme="minorHAnsi" w:cs="Arial"/>
          <w:color w:val="303030"/>
          <w:sz w:val="16"/>
          <w:szCs w:val="16"/>
          <w:shd w:val="clear" w:color="auto" w:fill="FFFFFF"/>
          <w:lang w:val="en-US"/>
        </w:rPr>
        <w:t xml:space="preserve">Cell Host Microbe. 2017 Apr 12;21(4):433-442. doi: 10.1016/j.chom.2017.03.010. </w:t>
      </w:r>
    </w:p>
    <w:p w:rsidR="008F6FFE" w:rsidRPr="00165563" w:rsidRDefault="008F6FFE" w:rsidP="00165563">
      <w:pPr>
        <w:rPr>
          <w:rFonts w:asciiTheme="minorHAnsi" w:hAnsiTheme="minorHAnsi" w:cs="Arial"/>
          <w:color w:val="303030"/>
          <w:sz w:val="16"/>
          <w:szCs w:val="16"/>
          <w:shd w:val="clear" w:color="auto" w:fill="FFFFFF"/>
          <w:lang w:val="en-US"/>
        </w:rPr>
      </w:pPr>
      <w:r w:rsidRPr="00165563">
        <w:rPr>
          <w:rFonts w:asciiTheme="minorHAnsi" w:hAnsiTheme="minorHAnsi" w:cs="Arial"/>
          <w:color w:val="303030"/>
          <w:sz w:val="16"/>
          <w:szCs w:val="16"/>
          <w:shd w:val="clear" w:color="auto" w:fill="FFFFFF"/>
          <w:lang w:val="en-US"/>
        </w:rPr>
        <w:t xml:space="preserve">The Gut Microbiome: Connecting Spatial Organization to Function </w:t>
      </w:r>
    </w:p>
    <w:p w:rsidR="008F6FFE" w:rsidRDefault="008F6FFE" w:rsidP="00165563">
      <w:pPr>
        <w:rPr>
          <w:rFonts w:ascii="Arial" w:hAnsi="Arial" w:cs="Arial"/>
          <w:color w:val="303030"/>
          <w:sz w:val="20"/>
          <w:szCs w:val="20"/>
          <w:shd w:val="clear" w:color="auto" w:fill="FFFFFF"/>
        </w:rPr>
      </w:pPr>
      <w:r w:rsidRPr="00165563">
        <w:rPr>
          <w:rFonts w:asciiTheme="minorHAnsi" w:hAnsiTheme="minorHAnsi" w:cs="Arial"/>
          <w:color w:val="303030"/>
          <w:sz w:val="16"/>
          <w:szCs w:val="16"/>
          <w:shd w:val="clear" w:color="auto" w:fill="FFFFFF"/>
        </w:rPr>
        <w:t>Tropini C, Earle KA, Huang KC, Sonnenburg JL</w:t>
      </w:r>
      <w:r>
        <w:rPr>
          <w:rFonts w:ascii="Arial" w:hAnsi="Arial" w:cs="Arial"/>
          <w:color w:val="303030"/>
          <w:sz w:val="20"/>
          <w:szCs w:val="20"/>
          <w:shd w:val="clear" w:color="auto" w:fill="FFFFFF"/>
        </w:rPr>
        <w:t xml:space="preserve"> </w:t>
      </w:r>
    </w:p>
    <w:p w:rsidR="008F6FFE" w:rsidRPr="00A078ED" w:rsidRDefault="0052743C" w:rsidP="00953A13">
      <w:pPr>
        <w:rPr>
          <w:rFonts w:asciiTheme="minorHAnsi" w:hAnsiTheme="minorHAnsi" w:cs="Arial"/>
          <w:color w:val="303030"/>
          <w:sz w:val="16"/>
          <w:szCs w:val="16"/>
          <w:shd w:val="clear" w:color="auto" w:fill="FFFFFF"/>
        </w:rPr>
      </w:pPr>
      <w:hyperlink r:id="rId1171" w:history="1">
        <w:r w:rsidR="008F6FFE" w:rsidRPr="00A078ED">
          <w:rPr>
            <w:rFonts w:asciiTheme="minorHAnsi" w:hAnsiTheme="minorHAnsi" w:cs="Arial"/>
            <w:color w:val="303030"/>
            <w:sz w:val="16"/>
            <w:szCs w:val="16"/>
            <w:shd w:val="clear" w:color="auto" w:fill="FFFFFF"/>
          </w:rPr>
          <w:t>https://www.ncbi.nlm.nih.gov/pmc/articles/PMC5576359/</w:t>
        </w:r>
      </w:hyperlink>
    </w:p>
    <w:p w:rsidR="008F6FFE" w:rsidRPr="00953A13" w:rsidRDefault="008F6FFE" w:rsidP="00165563">
      <w:pPr>
        <w:rPr>
          <w:rFonts w:asciiTheme="minorHAnsi" w:hAnsiTheme="minorHAnsi" w:cstheme="minorHAnsi"/>
          <w:sz w:val="16"/>
          <w:szCs w:val="16"/>
        </w:rPr>
      </w:pPr>
    </w:p>
  </w:footnote>
  <w:footnote w:id="178">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vertAlign w:val="superscript"/>
          <w:lang w:val="en-US"/>
        </w:rPr>
        <w:footnoteRef/>
      </w:r>
      <w:r w:rsidRPr="002A4DD9">
        <w:rPr>
          <w:rFonts w:asciiTheme="minorHAnsi" w:hAnsiTheme="minorHAnsi" w:cs="Arial"/>
          <w:color w:val="303030"/>
          <w:sz w:val="16"/>
          <w:szCs w:val="16"/>
          <w:shd w:val="clear" w:color="auto" w:fill="FFFFFF"/>
          <w:vertAlign w:val="superscript"/>
          <w:lang w:val="en-US"/>
        </w:rPr>
        <w:t xml:space="preserve"> </w:t>
      </w:r>
      <w:r w:rsidRPr="002A4DD9">
        <w:rPr>
          <w:rFonts w:asciiTheme="minorHAnsi" w:hAnsiTheme="minorHAnsi" w:cs="Arial"/>
          <w:color w:val="303030"/>
          <w:sz w:val="16"/>
          <w:szCs w:val="16"/>
          <w:shd w:val="clear" w:color="auto" w:fill="FFFFFF"/>
          <w:lang w:val="en-US"/>
        </w:rPr>
        <w:t xml:space="preserve">PLoS Biol. 2016 Aug 19;14(8):e1002533. doi: 10.1371/journal.pbio.1002533. </w:t>
      </w:r>
    </w:p>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 xml:space="preserve">Revised Estimates for the Number of Human and Bacteria Cells in the Body. </w:t>
      </w:r>
    </w:p>
    <w:p w:rsidR="008F6FFE" w:rsidRPr="00235A16" w:rsidRDefault="008F6FFE" w:rsidP="002A4DD9">
      <w:pPr>
        <w:rPr>
          <w:rFonts w:asciiTheme="minorHAnsi" w:hAnsiTheme="minorHAnsi" w:cs="Arial"/>
          <w:color w:val="303030"/>
          <w:sz w:val="16"/>
          <w:szCs w:val="16"/>
          <w:shd w:val="clear" w:color="auto" w:fill="FFFFFF"/>
          <w:lang w:val="de-DE"/>
        </w:rPr>
      </w:pPr>
      <w:r w:rsidRPr="00235A16">
        <w:rPr>
          <w:rFonts w:asciiTheme="minorHAnsi" w:hAnsiTheme="minorHAnsi" w:cs="Arial"/>
          <w:color w:val="303030"/>
          <w:sz w:val="16"/>
          <w:szCs w:val="16"/>
          <w:shd w:val="clear" w:color="auto" w:fill="FFFFFF"/>
          <w:lang w:val="de-DE"/>
        </w:rPr>
        <w:t>Sender R, Fuchs S, Milo R.</w:t>
      </w:r>
    </w:p>
    <w:p w:rsidR="008F6FFE" w:rsidRPr="00235A16" w:rsidRDefault="0052743C" w:rsidP="002A4DD9">
      <w:pPr>
        <w:rPr>
          <w:rFonts w:asciiTheme="minorHAnsi" w:hAnsiTheme="minorHAnsi"/>
          <w:sz w:val="16"/>
          <w:szCs w:val="16"/>
          <w:vertAlign w:val="superscript"/>
          <w:lang w:val="de-DE"/>
        </w:rPr>
      </w:pPr>
      <w:hyperlink r:id="rId1172" w:history="1">
        <w:r w:rsidR="008F6FFE" w:rsidRPr="00235A16">
          <w:rPr>
            <w:rFonts w:asciiTheme="minorHAnsi" w:hAnsiTheme="minorHAnsi" w:cs="Arial"/>
            <w:color w:val="303030"/>
            <w:sz w:val="16"/>
            <w:szCs w:val="16"/>
            <w:shd w:val="clear" w:color="auto" w:fill="FFFFFF"/>
            <w:lang w:val="de-DE"/>
          </w:rPr>
          <w:t>https://www.ncbi.nlm.nih.gov/pmc/articles/PMC4991899/</w:t>
        </w:r>
      </w:hyperlink>
    </w:p>
  </w:footnote>
  <w:footnote w:id="179">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vertAlign w:val="superscript"/>
          <w:lang w:val="en-US"/>
        </w:rPr>
        <w:footnoteRef/>
      </w:r>
      <w:r w:rsidRPr="002A4DD9">
        <w:rPr>
          <w:rFonts w:asciiTheme="minorHAnsi" w:hAnsiTheme="minorHAnsi" w:cs="Arial"/>
          <w:color w:val="303030"/>
          <w:sz w:val="16"/>
          <w:szCs w:val="16"/>
          <w:shd w:val="clear" w:color="auto" w:fill="FFFFFF"/>
          <w:lang w:val="en-US"/>
        </w:rPr>
        <w:t xml:space="preserve"> Cell. 2014 Mar 27;157(1):142-50. doi: 10.1016/j.cell.2014.02.032. </w:t>
      </w:r>
    </w:p>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 xml:space="preserve">The virome in mammalian physiology and disease. </w:t>
      </w:r>
    </w:p>
    <w:p w:rsidR="008F6FFE"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Virgin HW.</w:t>
      </w:r>
    </w:p>
    <w:p w:rsidR="008F6FFE" w:rsidRPr="00953A13" w:rsidRDefault="0052743C" w:rsidP="00953A13">
      <w:pPr>
        <w:rPr>
          <w:rFonts w:asciiTheme="minorHAnsi" w:hAnsiTheme="minorHAnsi" w:cs="Arial"/>
          <w:color w:val="303030"/>
          <w:sz w:val="16"/>
          <w:szCs w:val="16"/>
          <w:shd w:val="clear" w:color="auto" w:fill="FFFFFF"/>
          <w:lang w:val="en-US"/>
        </w:rPr>
      </w:pPr>
      <w:hyperlink r:id="rId1173" w:history="1">
        <w:r w:rsidR="008F6FFE" w:rsidRPr="00953A13">
          <w:rPr>
            <w:rFonts w:asciiTheme="minorHAnsi" w:hAnsiTheme="minorHAnsi" w:cs="Arial"/>
            <w:color w:val="303030"/>
            <w:sz w:val="16"/>
            <w:szCs w:val="16"/>
            <w:shd w:val="clear" w:color="auto" w:fill="FFFFFF"/>
            <w:lang w:val="en-US"/>
          </w:rPr>
          <w:t>https://www.ncbi.nlm.nih.gov/pmc/articles/PMC3977141/</w:t>
        </w:r>
      </w:hyperlink>
    </w:p>
    <w:p w:rsidR="008F6FFE" w:rsidRPr="00953A13" w:rsidRDefault="008F6FFE" w:rsidP="00953A13">
      <w:pPr>
        <w:rPr>
          <w:rFonts w:asciiTheme="minorHAnsi" w:hAnsiTheme="minorHAnsi" w:cs="Arial"/>
          <w:color w:val="303030"/>
          <w:sz w:val="16"/>
          <w:szCs w:val="16"/>
          <w:shd w:val="clear" w:color="auto" w:fill="FFFFFF"/>
          <w:lang w:val="en-US"/>
        </w:rPr>
      </w:pPr>
    </w:p>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 xml:space="preserve">Microbiol Mol Biol Rev. 2019 Jan 9;83(1):e00044-18. doi: 10.1128/MMBR.00044-18. </w:t>
      </w:r>
    </w:p>
    <w:p w:rsidR="008F6FFE" w:rsidRPr="002A4DD9" w:rsidRDefault="008F6FFE" w:rsidP="003E2CCD">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 xml:space="preserve">Cross-Domain and Viral Interactions in the Microbiome. </w:t>
      </w:r>
    </w:p>
    <w:p w:rsidR="008F6FFE"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 xml:space="preserve">Rowan-Nash AD, Korry BJ, Mylonakis E, Belenky P. </w:t>
      </w:r>
    </w:p>
    <w:p w:rsidR="008F6FFE" w:rsidRPr="00953A13" w:rsidRDefault="0052743C" w:rsidP="00953A13">
      <w:pPr>
        <w:rPr>
          <w:rFonts w:asciiTheme="minorHAnsi" w:hAnsiTheme="minorHAnsi" w:cs="Arial"/>
          <w:color w:val="303030"/>
          <w:sz w:val="16"/>
          <w:szCs w:val="16"/>
          <w:shd w:val="clear" w:color="auto" w:fill="FFFFFF"/>
          <w:lang w:val="en-US"/>
        </w:rPr>
      </w:pPr>
      <w:hyperlink r:id="rId1174" w:history="1">
        <w:r w:rsidR="008F6FFE" w:rsidRPr="00953A13">
          <w:rPr>
            <w:rFonts w:asciiTheme="minorHAnsi" w:hAnsiTheme="minorHAnsi" w:cs="Arial"/>
            <w:color w:val="303030"/>
            <w:sz w:val="16"/>
            <w:szCs w:val="16"/>
            <w:shd w:val="clear" w:color="auto" w:fill="FFFFFF"/>
            <w:lang w:val="en-US"/>
          </w:rPr>
          <w:t>https://www.ncbi.nlm.nih.gov/pmc/articles/PMC6383444/</w:t>
        </w:r>
      </w:hyperlink>
    </w:p>
    <w:p w:rsidR="008F6FFE" w:rsidRPr="002A4DD9" w:rsidRDefault="008F6FFE" w:rsidP="002A4DD9">
      <w:pPr>
        <w:rPr>
          <w:rFonts w:asciiTheme="minorHAnsi" w:hAnsiTheme="minorHAnsi" w:cs="Arial"/>
          <w:color w:val="303030"/>
          <w:sz w:val="16"/>
          <w:szCs w:val="16"/>
          <w:shd w:val="clear" w:color="auto" w:fill="FFFFFF"/>
          <w:lang w:val="en-US"/>
        </w:rPr>
      </w:pPr>
    </w:p>
  </w:footnote>
  <w:footnote w:id="180">
    <w:p w:rsidR="008F6FFE"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vertAlign w:val="superscript"/>
          <w:lang w:val="en-US"/>
        </w:rPr>
        <w:footnoteRef/>
      </w:r>
      <w:r w:rsidRPr="002A4DD9">
        <w:rPr>
          <w:rFonts w:asciiTheme="minorHAnsi" w:hAnsiTheme="minorHAnsi" w:cs="Arial"/>
          <w:color w:val="303030"/>
          <w:sz w:val="16"/>
          <w:szCs w:val="16"/>
          <w:shd w:val="clear" w:color="auto" w:fill="FFFFFF"/>
          <w:vertAlign w:val="superscript"/>
          <w:lang w:val="en-US"/>
        </w:rPr>
        <w:t xml:space="preserve"> </w:t>
      </w:r>
      <w:r w:rsidRPr="002A4DD9">
        <w:rPr>
          <w:rFonts w:asciiTheme="minorHAnsi" w:hAnsiTheme="minorHAnsi" w:cs="Arial"/>
          <w:color w:val="303030"/>
          <w:sz w:val="16"/>
          <w:szCs w:val="16"/>
          <w:shd w:val="clear" w:color="auto" w:fill="FFFFFF"/>
          <w:lang w:val="en-US"/>
        </w:rPr>
        <w:t xml:space="preserve"> Nat Rev Gastroenterol Hepatol. 2015;12(1):6. doi:10.1038/nrgastro.2014.220 </w:t>
      </w:r>
    </w:p>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Gut microbiota: a 'friendly' gut virus?</w:t>
      </w:r>
    </w:p>
    <w:p w:rsidR="008F6FFE" w:rsidRDefault="008F6FFE" w:rsidP="000F58F5">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Ray K.</w:t>
      </w:r>
    </w:p>
    <w:p w:rsidR="008F6FFE" w:rsidRPr="00953A13" w:rsidRDefault="0052743C" w:rsidP="00953A13">
      <w:pPr>
        <w:rPr>
          <w:rFonts w:asciiTheme="minorHAnsi" w:hAnsiTheme="minorHAnsi" w:cs="Arial"/>
          <w:color w:val="303030"/>
          <w:sz w:val="16"/>
          <w:szCs w:val="16"/>
          <w:shd w:val="clear" w:color="auto" w:fill="FFFFFF"/>
          <w:lang w:val="en-US"/>
        </w:rPr>
      </w:pPr>
      <w:hyperlink r:id="rId1175" w:history="1">
        <w:r w:rsidR="008F6FFE" w:rsidRPr="00953A13">
          <w:rPr>
            <w:rFonts w:asciiTheme="minorHAnsi" w:hAnsiTheme="minorHAnsi" w:cs="Arial"/>
            <w:color w:val="303030"/>
            <w:sz w:val="16"/>
            <w:szCs w:val="16"/>
            <w:shd w:val="clear" w:color="auto" w:fill="FFFFFF"/>
            <w:lang w:val="en-US"/>
          </w:rPr>
          <w:t>https://www.nature.com/articles/nrgastro.2014.220</w:t>
        </w:r>
      </w:hyperlink>
    </w:p>
    <w:p w:rsidR="008F6FFE" w:rsidRPr="002A4DD9" w:rsidRDefault="008F6FFE" w:rsidP="002A4DD9">
      <w:pPr>
        <w:rPr>
          <w:rFonts w:asciiTheme="minorHAnsi" w:hAnsiTheme="minorHAnsi" w:cs="Arial"/>
          <w:color w:val="303030"/>
          <w:sz w:val="16"/>
          <w:szCs w:val="16"/>
          <w:shd w:val="clear" w:color="auto" w:fill="FFFFFF"/>
          <w:lang w:val="en-US"/>
        </w:rPr>
      </w:pPr>
    </w:p>
  </w:footnote>
  <w:footnote w:id="181">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vertAlign w:val="superscript"/>
          <w:lang w:val="en-US"/>
        </w:rPr>
        <w:footnoteRef/>
      </w:r>
      <w:r w:rsidRPr="002A4DD9">
        <w:rPr>
          <w:rFonts w:asciiTheme="minorHAnsi" w:hAnsiTheme="minorHAnsi" w:cs="Arial"/>
          <w:color w:val="303030"/>
          <w:sz w:val="16"/>
          <w:szCs w:val="16"/>
          <w:shd w:val="clear" w:color="auto" w:fill="FFFFFF"/>
          <w:vertAlign w:val="superscript"/>
          <w:lang w:val="en-US"/>
        </w:rPr>
        <w:t xml:space="preserve"> </w:t>
      </w:r>
      <w:r w:rsidRPr="002A4DD9">
        <w:rPr>
          <w:rFonts w:asciiTheme="minorHAnsi" w:hAnsiTheme="minorHAnsi" w:cs="Arial"/>
          <w:color w:val="303030"/>
          <w:sz w:val="16"/>
          <w:szCs w:val="16"/>
          <w:shd w:val="clear" w:color="auto" w:fill="FFFFFF"/>
          <w:lang w:val="en-US"/>
        </w:rPr>
        <w:t xml:space="preserve">Nat Med. 2015 Oct;21(10):1228-34. doi: 10.1038/nm.3950. </w:t>
      </w:r>
    </w:p>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Early life dynamics of the human gut virome and bacterial microbiome in infants.</w:t>
      </w:r>
    </w:p>
    <w:p w:rsidR="008F6FFE" w:rsidRPr="00235A16" w:rsidRDefault="008F6FFE" w:rsidP="002A4DD9">
      <w:pPr>
        <w:rPr>
          <w:rFonts w:asciiTheme="minorHAnsi" w:hAnsiTheme="minorHAnsi" w:cs="Arial"/>
          <w:color w:val="303030"/>
          <w:sz w:val="16"/>
          <w:szCs w:val="16"/>
          <w:shd w:val="clear" w:color="auto" w:fill="FFFFFF"/>
          <w:lang w:val="de-DE"/>
        </w:rPr>
      </w:pPr>
      <w:r w:rsidRPr="00235A16">
        <w:rPr>
          <w:rFonts w:asciiTheme="minorHAnsi" w:hAnsiTheme="minorHAnsi" w:cs="Arial"/>
          <w:color w:val="303030"/>
          <w:sz w:val="16"/>
          <w:szCs w:val="16"/>
          <w:shd w:val="clear" w:color="auto" w:fill="FFFFFF"/>
          <w:lang w:val="de-DE"/>
        </w:rPr>
        <w:t xml:space="preserve">Lim ES, Zhou Y, Zhao G, Bauer IK, Droit L, Ndao IM, Warner BB, Tarr PI, Wang D, Holtz LR. </w:t>
      </w:r>
    </w:p>
    <w:p w:rsidR="008F6FFE" w:rsidRPr="00235A16" w:rsidRDefault="0052743C" w:rsidP="00953A13">
      <w:pPr>
        <w:rPr>
          <w:rFonts w:asciiTheme="minorHAnsi" w:hAnsiTheme="minorHAnsi" w:cs="Arial"/>
          <w:color w:val="303030"/>
          <w:sz w:val="16"/>
          <w:szCs w:val="16"/>
          <w:shd w:val="clear" w:color="auto" w:fill="FFFFFF"/>
          <w:lang w:val="de-DE"/>
        </w:rPr>
      </w:pPr>
      <w:hyperlink r:id="rId1176" w:history="1">
        <w:r w:rsidR="008F6FFE" w:rsidRPr="00235A16">
          <w:rPr>
            <w:rFonts w:asciiTheme="minorHAnsi" w:hAnsiTheme="minorHAnsi" w:cs="Arial"/>
            <w:color w:val="303030"/>
            <w:sz w:val="16"/>
            <w:szCs w:val="16"/>
            <w:shd w:val="clear" w:color="auto" w:fill="FFFFFF"/>
            <w:lang w:val="de-DE"/>
          </w:rPr>
          <w:t>https://www.ncbi.nlm.nih.gov/pmc/articles/PMC4710368/</w:t>
        </w:r>
      </w:hyperlink>
    </w:p>
    <w:p w:rsidR="008F6FFE" w:rsidRPr="00235A16" w:rsidRDefault="008F6FFE" w:rsidP="002A4DD9">
      <w:pPr>
        <w:rPr>
          <w:rFonts w:asciiTheme="minorHAnsi" w:hAnsiTheme="minorHAnsi" w:cs="Arial"/>
          <w:color w:val="303030"/>
          <w:sz w:val="16"/>
          <w:szCs w:val="16"/>
          <w:shd w:val="clear" w:color="auto" w:fill="FFFFFF"/>
          <w:vertAlign w:val="superscript"/>
          <w:lang w:val="de-DE"/>
        </w:rPr>
      </w:pPr>
    </w:p>
  </w:footnote>
  <w:footnote w:id="182">
    <w:p w:rsidR="008F6FFE" w:rsidRPr="002A4DD9" w:rsidRDefault="008F6FFE" w:rsidP="006954CB">
      <w:pPr>
        <w:rPr>
          <w:rFonts w:asciiTheme="minorHAnsi" w:hAnsiTheme="minorHAnsi" w:cs="Arial"/>
          <w:color w:val="303030"/>
          <w:sz w:val="16"/>
          <w:szCs w:val="16"/>
          <w:shd w:val="clear" w:color="auto" w:fill="FFFFFF"/>
          <w:lang w:val="en-US"/>
        </w:rPr>
      </w:pPr>
      <w:r w:rsidRPr="00953A13">
        <w:rPr>
          <w:rFonts w:asciiTheme="minorHAnsi" w:hAnsiTheme="minorHAnsi" w:cs="Arial"/>
          <w:color w:val="303030"/>
          <w:sz w:val="16"/>
          <w:szCs w:val="16"/>
          <w:shd w:val="clear" w:color="auto" w:fill="FFFFFF"/>
          <w:vertAlign w:val="superscript"/>
          <w:lang w:val="en-US"/>
        </w:rPr>
        <w:footnoteRef/>
      </w:r>
      <w:r w:rsidRPr="002A4DD9">
        <w:rPr>
          <w:rFonts w:asciiTheme="minorHAnsi" w:hAnsiTheme="minorHAnsi" w:cs="Arial"/>
          <w:color w:val="303030"/>
          <w:sz w:val="16"/>
          <w:szCs w:val="16"/>
          <w:shd w:val="clear" w:color="auto" w:fill="FFFFFF"/>
          <w:lang w:val="en-US"/>
        </w:rPr>
        <w:t xml:space="preserve"> </w:t>
      </w:r>
      <w:r w:rsidRPr="00A832DC">
        <w:rPr>
          <w:rFonts w:asciiTheme="minorHAnsi" w:hAnsiTheme="minorHAnsi"/>
          <w:sz w:val="16"/>
          <w:szCs w:val="16"/>
          <w:lang w:val="en-US"/>
        </w:rPr>
        <w:t>Trends Microbiol</w:t>
      </w:r>
      <w:r w:rsidRPr="002A4DD9">
        <w:rPr>
          <w:rFonts w:asciiTheme="minorHAnsi" w:hAnsiTheme="minorHAnsi" w:cs="Arial"/>
          <w:color w:val="303030"/>
          <w:sz w:val="16"/>
          <w:szCs w:val="16"/>
          <w:shd w:val="clear" w:color="auto" w:fill="FFFFFF"/>
          <w:lang w:val="en-US"/>
        </w:rPr>
        <w:t> 2016. </w:t>
      </w:r>
      <w:r w:rsidRPr="00A832DC">
        <w:rPr>
          <w:rFonts w:asciiTheme="minorHAnsi" w:hAnsiTheme="minorHAnsi"/>
          <w:sz w:val="16"/>
          <w:szCs w:val="16"/>
          <w:lang w:val="en-US"/>
        </w:rPr>
        <w:t>24</w:t>
      </w:r>
      <w:r w:rsidRPr="002A4DD9">
        <w:rPr>
          <w:rFonts w:asciiTheme="minorHAnsi" w:hAnsiTheme="minorHAnsi" w:cs="Arial"/>
          <w:color w:val="303030"/>
          <w:sz w:val="16"/>
          <w:szCs w:val="16"/>
          <w:shd w:val="clear" w:color="auto" w:fill="FFFFFF"/>
          <w:lang w:val="en-US"/>
        </w:rPr>
        <w:t>:801–810. doi:10.1016/j.tim.2016.06.001</w:t>
      </w:r>
    </w:p>
    <w:p w:rsidR="008F6FFE" w:rsidRPr="002A4DD9" w:rsidRDefault="008F6FFE" w:rsidP="006954CB">
      <w:pPr>
        <w:rPr>
          <w:rFonts w:asciiTheme="minorHAnsi" w:hAnsiTheme="minorHAnsi" w:cs="Arial"/>
          <w:color w:val="303030"/>
          <w:sz w:val="16"/>
          <w:szCs w:val="16"/>
          <w:shd w:val="clear" w:color="auto" w:fill="FFFFFF"/>
          <w:lang w:val="en-US"/>
        </w:rPr>
      </w:pPr>
      <w:r w:rsidRPr="00A832DC">
        <w:rPr>
          <w:rFonts w:asciiTheme="minorHAnsi" w:hAnsiTheme="minorHAnsi"/>
          <w:sz w:val="16"/>
          <w:szCs w:val="16"/>
          <w:lang w:val="en-US"/>
        </w:rPr>
        <w:t>The bacterial microbiome and virome milestones of infant development</w:t>
      </w:r>
      <w:r w:rsidRPr="002A4DD9">
        <w:rPr>
          <w:rFonts w:asciiTheme="minorHAnsi" w:hAnsiTheme="minorHAnsi" w:cs="Arial"/>
          <w:color w:val="303030"/>
          <w:sz w:val="16"/>
          <w:szCs w:val="16"/>
          <w:shd w:val="clear" w:color="auto" w:fill="FFFFFF"/>
          <w:lang w:val="en-US"/>
        </w:rPr>
        <w:t>. </w:t>
      </w:r>
    </w:p>
    <w:p w:rsidR="008F6FFE" w:rsidRPr="00235A16" w:rsidRDefault="008F6FFE" w:rsidP="00953A13">
      <w:pPr>
        <w:rPr>
          <w:rFonts w:asciiTheme="minorHAnsi" w:hAnsiTheme="minorHAnsi" w:cs="Arial"/>
          <w:color w:val="303030"/>
          <w:sz w:val="16"/>
          <w:szCs w:val="16"/>
          <w:shd w:val="clear" w:color="auto" w:fill="FFFFFF"/>
          <w:lang w:val="de-DE"/>
        </w:rPr>
      </w:pPr>
      <w:r w:rsidRPr="00235A16">
        <w:rPr>
          <w:rFonts w:asciiTheme="minorHAnsi" w:hAnsiTheme="minorHAnsi" w:cs="Arial"/>
          <w:color w:val="303030"/>
          <w:sz w:val="16"/>
          <w:szCs w:val="16"/>
          <w:shd w:val="clear" w:color="auto" w:fill="FFFFFF"/>
          <w:lang w:val="de-DE"/>
        </w:rPr>
        <w:t xml:space="preserve">Lim ES, Wang D, Holtz LR. </w:t>
      </w:r>
    </w:p>
    <w:p w:rsidR="008F6FFE" w:rsidRPr="00235A16" w:rsidRDefault="0052743C" w:rsidP="002A4DD9">
      <w:pPr>
        <w:rPr>
          <w:rFonts w:asciiTheme="minorHAnsi" w:hAnsiTheme="minorHAnsi" w:cs="Arial"/>
          <w:color w:val="303030"/>
          <w:sz w:val="16"/>
          <w:szCs w:val="16"/>
          <w:shd w:val="clear" w:color="auto" w:fill="FFFFFF"/>
          <w:lang w:val="de-DE"/>
        </w:rPr>
      </w:pPr>
      <w:hyperlink r:id="rId1177" w:history="1">
        <w:r w:rsidR="008F6FFE" w:rsidRPr="00235A16">
          <w:rPr>
            <w:rFonts w:asciiTheme="minorHAnsi" w:hAnsiTheme="minorHAnsi" w:cs="Arial"/>
            <w:color w:val="303030"/>
            <w:sz w:val="16"/>
            <w:szCs w:val="16"/>
            <w:shd w:val="clear" w:color="auto" w:fill="FFFFFF"/>
            <w:lang w:val="de-DE"/>
          </w:rPr>
          <w:t>https://pubmed.ncbi.nlm.nih.gov/27353648/</w:t>
        </w:r>
      </w:hyperlink>
    </w:p>
  </w:footnote>
  <w:footnote w:id="183">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vertAlign w:val="superscript"/>
          <w:lang w:val="en-US"/>
        </w:rPr>
        <w:footnoteRef/>
      </w:r>
      <w:r w:rsidRPr="002A4DD9">
        <w:rPr>
          <w:rFonts w:asciiTheme="minorHAnsi" w:hAnsiTheme="minorHAnsi" w:cs="Arial"/>
          <w:color w:val="303030"/>
          <w:sz w:val="16"/>
          <w:szCs w:val="16"/>
          <w:shd w:val="clear" w:color="auto" w:fill="FFFFFF"/>
          <w:vertAlign w:val="superscript"/>
          <w:lang w:val="en-US"/>
        </w:rPr>
        <w:t xml:space="preserve"> </w:t>
      </w:r>
      <w:r w:rsidRPr="002A4DD9">
        <w:rPr>
          <w:rFonts w:asciiTheme="minorHAnsi" w:hAnsiTheme="minorHAnsi" w:cs="Arial"/>
          <w:color w:val="303030"/>
          <w:sz w:val="16"/>
          <w:szCs w:val="16"/>
          <w:shd w:val="clear" w:color="auto" w:fill="FFFFFF"/>
          <w:lang w:val="en-US"/>
        </w:rPr>
        <w:t xml:space="preserve"> Genome Res. 2011 Oct;21(10):1616-25. doi: 10.1101/gr.122705.111. </w:t>
      </w:r>
    </w:p>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 xml:space="preserve">The human gut virome: inter-individual variation and dynamic response to diet. </w:t>
      </w:r>
    </w:p>
    <w:p w:rsidR="008F6FFE" w:rsidRPr="002A4DD9" w:rsidRDefault="008F6FFE" w:rsidP="002A4DD9">
      <w:pPr>
        <w:rPr>
          <w:rFonts w:asciiTheme="minorHAnsi" w:hAnsiTheme="minorHAnsi" w:cs="Arial"/>
          <w:color w:val="303030"/>
          <w:sz w:val="16"/>
          <w:szCs w:val="16"/>
          <w:shd w:val="clear" w:color="auto" w:fill="FFFFFF"/>
          <w:lang w:val="en-US"/>
        </w:rPr>
      </w:pPr>
      <w:r w:rsidRPr="002A4DD9">
        <w:rPr>
          <w:rFonts w:asciiTheme="minorHAnsi" w:hAnsiTheme="minorHAnsi" w:cs="Arial"/>
          <w:color w:val="303030"/>
          <w:sz w:val="16"/>
          <w:szCs w:val="16"/>
          <w:shd w:val="clear" w:color="auto" w:fill="FFFFFF"/>
          <w:lang w:val="en-US"/>
        </w:rPr>
        <w:t xml:space="preserve">Minot S, Sinha R, Chen J, Li H, Keilbaugh SA, Wu GD, Lewis JD, Bushman FD. </w:t>
      </w:r>
    </w:p>
    <w:p w:rsidR="008F6FFE" w:rsidRPr="00953A13" w:rsidRDefault="0052743C" w:rsidP="00953A13">
      <w:pPr>
        <w:rPr>
          <w:rFonts w:asciiTheme="minorHAnsi" w:hAnsiTheme="minorHAnsi" w:cs="Arial"/>
          <w:color w:val="303030"/>
          <w:sz w:val="16"/>
          <w:szCs w:val="16"/>
          <w:shd w:val="clear" w:color="auto" w:fill="FFFFFF"/>
          <w:lang w:val="en-US"/>
        </w:rPr>
      </w:pPr>
      <w:hyperlink r:id="rId1178" w:history="1">
        <w:r w:rsidR="008F6FFE" w:rsidRPr="00953A13">
          <w:rPr>
            <w:rFonts w:asciiTheme="minorHAnsi" w:hAnsiTheme="minorHAnsi" w:cs="Arial"/>
            <w:color w:val="303030"/>
            <w:sz w:val="16"/>
            <w:szCs w:val="16"/>
            <w:shd w:val="clear" w:color="auto" w:fill="FFFFFF"/>
            <w:lang w:val="en-US"/>
          </w:rPr>
          <w:t>https://www.ncbi.nlm.nih.gov/pmc/articles/PMC3202279/</w:t>
        </w:r>
      </w:hyperlink>
    </w:p>
    <w:p w:rsidR="008F6FFE" w:rsidRPr="00953A13" w:rsidRDefault="008F6FFE">
      <w:pPr>
        <w:pStyle w:val="FootnoteText"/>
        <w:rPr>
          <w:rFonts w:asciiTheme="minorHAnsi" w:hAnsiTheme="minorHAnsi" w:cstheme="minorHAnsi"/>
          <w:sz w:val="16"/>
          <w:szCs w:val="16"/>
          <w:lang w:val="en-US"/>
        </w:rPr>
      </w:pPr>
    </w:p>
  </w:footnote>
  <w:footnote w:id="184">
    <w:p w:rsidR="008F6FFE" w:rsidRPr="00F86F89" w:rsidRDefault="008F6FFE" w:rsidP="00F86F89">
      <w:pPr>
        <w:rPr>
          <w:rFonts w:asciiTheme="minorHAnsi" w:hAnsiTheme="minorHAnsi"/>
          <w:color w:val="212121"/>
          <w:sz w:val="16"/>
          <w:szCs w:val="16"/>
          <w:shd w:val="clear" w:color="auto" w:fill="FFFFFF"/>
          <w:lang w:val="en-US"/>
        </w:rPr>
      </w:pPr>
      <w:r w:rsidRPr="00F86F89">
        <w:rPr>
          <w:rStyle w:val="FootnoteReference"/>
          <w:rFonts w:asciiTheme="minorHAnsi" w:hAnsiTheme="minorHAnsi"/>
          <w:sz w:val="16"/>
          <w:szCs w:val="16"/>
        </w:rPr>
        <w:footnoteRef/>
      </w:r>
      <w:r w:rsidRPr="00F86F89">
        <w:rPr>
          <w:rFonts w:asciiTheme="minorHAnsi" w:hAnsiTheme="minorHAnsi"/>
          <w:sz w:val="16"/>
          <w:szCs w:val="16"/>
          <w:lang w:val="en-US"/>
        </w:rPr>
        <w:t xml:space="preserve"> </w:t>
      </w:r>
      <w:r w:rsidRPr="00F86F89">
        <w:rPr>
          <w:rFonts w:asciiTheme="minorHAnsi" w:hAnsiTheme="minorHAnsi"/>
          <w:iCs/>
          <w:color w:val="212121"/>
          <w:sz w:val="16"/>
          <w:szCs w:val="16"/>
          <w:shd w:val="clear" w:color="auto" w:fill="FFFFFF"/>
          <w:lang w:val="en-US"/>
        </w:rPr>
        <w:t>Immunity</w:t>
      </w:r>
      <w:r w:rsidRPr="00F86F89">
        <w:rPr>
          <w:rFonts w:asciiTheme="minorHAnsi" w:hAnsiTheme="minorHAnsi"/>
          <w:color w:val="212121"/>
          <w:sz w:val="16"/>
          <w:szCs w:val="16"/>
          <w:shd w:val="clear" w:color="auto" w:fill="FFFFFF"/>
          <w:lang w:val="en-US"/>
        </w:rPr>
        <w:t>. 2017;46(3):350‐363. doi:10.1016/j.immuni.2017.03.009</w:t>
      </w:r>
    </w:p>
    <w:p w:rsidR="008F6FFE" w:rsidRPr="00F86F89" w:rsidRDefault="008F6FFE" w:rsidP="00F86F89">
      <w:pPr>
        <w:rPr>
          <w:rFonts w:asciiTheme="minorHAnsi" w:hAnsiTheme="minorHAnsi"/>
          <w:color w:val="212121"/>
          <w:sz w:val="16"/>
          <w:szCs w:val="16"/>
          <w:shd w:val="clear" w:color="auto" w:fill="FFFFFF"/>
          <w:lang w:val="en-US"/>
        </w:rPr>
      </w:pPr>
      <w:r w:rsidRPr="00F86F89">
        <w:rPr>
          <w:rFonts w:asciiTheme="minorHAnsi" w:hAnsiTheme="minorHAnsi"/>
          <w:color w:val="212121"/>
          <w:sz w:val="16"/>
          <w:szCs w:val="16"/>
          <w:shd w:val="clear" w:color="auto" w:fill="FFFFFF"/>
          <w:lang w:val="en-US"/>
        </w:rPr>
        <w:t>Protecting the Newborn and Young Infant from Infectious Diseases: Lessons from Immune Ontogeny. </w:t>
      </w:r>
    </w:p>
    <w:p w:rsidR="008F6FFE" w:rsidRPr="00F86F89" w:rsidRDefault="008F6FFE" w:rsidP="00F86F89">
      <w:pPr>
        <w:rPr>
          <w:rFonts w:asciiTheme="minorHAnsi" w:hAnsiTheme="minorHAnsi"/>
          <w:sz w:val="16"/>
          <w:szCs w:val="16"/>
          <w:lang w:val="en-US"/>
        </w:rPr>
      </w:pPr>
      <w:r w:rsidRPr="00F86F89">
        <w:rPr>
          <w:rFonts w:asciiTheme="minorHAnsi" w:hAnsiTheme="minorHAnsi"/>
          <w:color w:val="212121"/>
          <w:sz w:val="16"/>
          <w:szCs w:val="16"/>
          <w:shd w:val="clear" w:color="auto" w:fill="FFFFFF"/>
          <w:lang w:val="en-US"/>
        </w:rPr>
        <w:t>Kollmann TR, Kampmann B, Mazmanian SK, Marchant A, Levy O.</w:t>
      </w:r>
    </w:p>
    <w:p w:rsidR="008F6FFE" w:rsidRPr="00953A13" w:rsidRDefault="0052743C" w:rsidP="00953A13">
      <w:pPr>
        <w:rPr>
          <w:rFonts w:asciiTheme="minorHAnsi" w:hAnsiTheme="minorHAnsi"/>
          <w:color w:val="212121"/>
          <w:sz w:val="16"/>
          <w:szCs w:val="16"/>
          <w:shd w:val="clear" w:color="auto" w:fill="FFFFFF"/>
          <w:lang w:val="en-US"/>
        </w:rPr>
      </w:pPr>
      <w:hyperlink r:id="rId1179" w:history="1">
        <w:r w:rsidR="008F6FFE" w:rsidRPr="00953A13">
          <w:rPr>
            <w:rFonts w:asciiTheme="minorHAnsi" w:hAnsiTheme="minorHAnsi"/>
            <w:color w:val="212121"/>
            <w:sz w:val="16"/>
            <w:szCs w:val="16"/>
            <w:shd w:val="clear" w:color="auto" w:fill="FFFFFF"/>
            <w:lang w:val="en-US"/>
          </w:rPr>
          <w:t>https://www.cell.com/action/showPdf?pii=S1074-7613%2817%2930090-0</w:t>
        </w:r>
      </w:hyperlink>
    </w:p>
  </w:footnote>
  <w:footnote w:id="185">
    <w:p w:rsidR="008F6FFE" w:rsidRDefault="008F6FFE" w:rsidP="00717D4D">
      <w:pPr>
        <w:rPr>
          <w:rFonts w:asciiTheme="minorHAnsi" w:hAnsiTheme="minorHAnsi"/>
          <w:color w:val="000000" w:themeColor="text1"/>
          <w:sz w:val="16"/>
          <w:szCs w:val="16"/>
          <w:lang w:val="en-US"/>
        </w:rPr>
      </w:pPr>
      <w:r w:rsidRPr="00717D4D">
        <w:rPr>
          <w:rStyle w:val="FootnoteReference"/>
          <w:rFonts w:asciiTheme="minorHAnsi" w:hAnsiTheme="minorHAnsi" w:cstheme="minorHAnsi"/>
          <w:sz w:val="16"/>
          <w:szCs w:val="16"/>
        </w:rPr>
        <w:footnoteRef/>
      </w:r>
      <w:r w:rsidRPr="00717D4D">
        <w:rPr>
          <w:rFonts w:asciiTheme="minorHAnsi" w:hAnsiTheme="minorHAnsi" w:cstheme="minorHAnsi"/>
          <w:sz w:val="16"/>
          <w:szCs w:val="16"/>
          <w:lang w:val="en-US"/>
        </w:rPr>
        <w:t xml:space="preserve"> </w:t>
      </w:r>
      <w:r w:rsidRPr="00052B0C">
        <w:rPr>
          <w:rFonts w:asciiTheme="minorHAnsi" w:hAnsiTheme="minorHAnsi"/>
          <w:color w:val="000000" w:themeColor="text1"/>
          <w:sz w:val="16"/>
          <w:szCs w:val="16"/>
          <w:lang w:val="en-US"/>
        </w:rPr>
        <w:t xml:space="preserve">Proc Biol Sci. 2015 Dec 22;282(1821):20143085. doi: 10.1098/rspb.2014.3085. </w:t>
      </w:r>
    </w:p>
    <w:p w:rsidR="008F6FFE" w:rsidRDefault="008F6FFE" w:rsidP="00717D4D">
      <w:pPr>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 xml:space="preserve">Evolution of the immune system in humans from infancy to old age. </w:t>
      </w:r>
    </w:p>
    <w:p w:rsidR="008F6FFE" w:rsidRDefault="008F6FFE" w:rsidP="00717D4D">
      <w:pPr>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Simon AK, Hollander GA, McMichael A.</w:t>
      </w:r>
    </w:p>
    <w:p w:rsidR="008F6FFE" w:rsidRPr="00953A13" w:rsidRDefault="0052743C" w:rsidP="00953A13">
      <w:pPr>
        <w:rPr>
          <w:rFonts w:asciiTheme="minorHAnsi" w:hAnsiTheme="minorHAnsi"/>
          <w:color w:val="000000" w:themeColor="text1"/>
          <w:sz w:val="16"/>
          <w:szCs w:val="16"/>
          <w:lang w:val="en-US"/>
        </w:rPr>
      </w:pPr>
      <w:hyperlink r:id="rId1180" w:history="1">
        <w:r w:rsidR="008F6FFE" w:rsidRPr="00953A13">
          <w:rPr>
            <w:rFonts w:asciiTheme="minorHAnsi" w:hAnsiTheme="minorHAnsi"/>
            <w:color w:val="000000" w:themeColor="text1"/>
            <w:sz w:val="16"/>
            <w:szCs w:val="16"/>
            <w:lang w:val="en-US"/>
          </w:rPr>
          <w:t>https://www.ncbi.nlm.nih.gov/pmc/articles/PMC4707740/</w:t>
        </w:r>
      </w:hyperlink>
    </w:p>
    <w:p w:rsidR="008F6FFE" w:rsidRDefault="008F6FFE" w:rsidP="00717D4D">
      <w:pPr>
        <w:rPr>
          <w:rFonts w:asciiTheme="minorHAnsi" w:hAnsiTheme="minorHAnsi"/>
          <w:color w:val="000000" w:themeColor="text1"/>
          <w:sz w:val="16"/>
          <w:szCs w:val="16"/>
          <w:lang w:val="en-US"/>
        </w:rPr>
      </w:pPr>
    </w:p>
    <w:p w:rsidR="008F6FFE" w:rsidRDefault="008F6FFE" w:rsidP="00EB38D1">
      <w:pPr>
        <w:rPr>
          <w:rFonts w:asciiTheme="minorHAnsi" w:hAnsiTheme="minorHAnsi"/>
          <w:color w:val="000000" w:themeColor="text1"/>
          <w:sz w:val="16"/>
          <w:szCs w:val="16"/>
          <w:lang w:val="en-US"/>
        </w:rPr>
      </w:pPr>
      <w:r w:rsidRPr="00EB38D1">
        <w:rPr>
          <w:rFonts w:asciiTheme="minorHAnsi" w:hAnsiTheme="minorHAnsi"/>
          <w:color w:val="000000" w:themeColor="text1"/>
          <w:sz w:val="16"/>
          <w:szCs w:val="16"/>
          <w:lang w:val="en-US"/>
        </w:rPr>
        <w:t>The Immune System and Its Dysregulation with Aging. In: Harris J., Korolchuk V. (eds) Biochemistry and Cell Biology of Ageing: Part II Clinical Science. Subcellular Biochemistry, vol 91. Springer, Singapore  (2019)</w:t>
      </w:r>
    </w:p>
    <w:p w:rsidR="008F6FFE" w:rsidRPr="00EC57FB" w:rsidRDefault="008F6FFE" w:rsidP="00EB38D1">
      <w:pPr>
        <w:rPr>
          <w:rFonts w:asciiTheme="minorHAnsi" w:hAnsiTheme="minorHAnsi"/>
          <w:color w:val="000000" w:themeColor="text1"/>
          <w:sz w:val="16"/>
          <w:szCs w:val="16"/>
          <w:lang w:val="en-US"/>
        </w:rPr>
      </w:pPr>
      <w:r w:rsidRPr="00EC57FB">
        <w:rPr>
          <w:rFonts w:asciiTheme="minorHAnsi" w:hAnsiTheme="minorHAnsi"/>
          <w:color w:val="000000" w:themeColor="text1"/>
          <w:sz w:val="16"/>
          <w:szCs w:val="16"/>
          <w:lang w:val="en-US"/>
        </w:rPr>
        <w:t>Müller L., Di Benedetto S., Pawelec G.</w:t>
      </w:r>
    </w:p>
    <w:p w:rsidR="008F6FFE" w:rsidRPr="00EC57FB"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footnote>
  <w:footnote w:id="186">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vertAlign w:val="superscript"/>
          <w:lang w:val="en-US"/>
        </w:rPr>
        <w:footnoteRef/>
      </w:r>
      <w:r w:rsidRPr="00052B0C">
        <w:rPr>
          <w:rFonts w:asciiTheme="minorHAnsi" w:hAnsiTheme="minorHAnsi"/>
          <w:color w:val="000000" w:themeColor="text1"/>
          <w:sz w:val="16"/>
          <w:szCs w:val="16"/>
          <w:lang w:val="en-US"/>
        </w:rPr>
        <w:t xml:space="preserve"> Transpl Int. 2009;22(11):1041‐1050. doi:10.1111/j.1432-2277.2009.00927.x. </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 xml:space="preserve">The aging of the immune system </w:t>
      </w:r>
    </w:p>
    <w:p w:rsidR="008F6FFE" w:rsidRPr="00235A16"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de-DE"/>
        </w:rPr>
      </w:pPr>
      <w:r w:rsidRPr="00235A16">
        <w:rPr>
          <w:rFonts w:asciiTheme="minorHAnsi" w:hAnsiTheme="minorHAnsi"/>
          <w:color w:val="000000" w:themeColor="text1"/>
          <w:sz w:val="16"/>
          <w:szCs w:val="16"/>
          <w:lang w:val="de-DE"/>
        </w:rPr>
        <w:t>Weiskopf D, Weinberger B, Grubeck-Loebenstein B. </w:t>
      </w:r>
    </w:p>
    <w:p w:rsidR="008F6FFE" w:rsidRPr="00235A16" w:rsidRDefault="0052743C" w:rsidP="00953A13">
      <w:pPr>
        <w:pStyle w:val="labs-full-docsum"/>
        <w:shd w:val="clear" w:color="auto" w:fill="FFFFFF"/>
        <w:spacing w:before="0" w:beforeAutospacing="0" w:after="0" w:afterAutospacing="0"/>
        <w:rPr>
          <w:rFonts w:asciiTheme="minorHAnsi" w:hAnsiTheme="minorHAnsi"/>
          <w:color w:val="000000" w:themeColor="text1"/>
          <w:sz w:val="16"/>
          <w:szCs w:val="16"/>
          <w:lang w:val="de-DE"/>
        </w:rPr>
      </w:pPr>
      <w:hyperlink r:id="rId1181" w:history="1">
        <w:r w:rsidR="008F6FFE" w:rsidRPr="00235A16">
          <w:rPr>
            <w:rFonts w:asciiTheme="minorHAnsi" w:hAnsiTheme="minorHAnsi"/>
            <w:color w:val="000000" w:themeColor="text1"/>
            <w:sz w:val="16"/>
            <w:szCs w:val="16"/>
            <w:lang w:val="de-DE"/>
          </w:rPr>
          <w:t>https://onlinelibrary.wiley.com/doi/epdf/10.1111/j.1432-2277.2009.00927.x</w:t>
        </w:r>
      </w:hyperlink>
    </w:p>
    <w:p w:rsidR="008F6FFE" w:rsidRPr="00235A16"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de-DE"/>
        </w:rPr>
      </w:pP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 xml:space="preserve">Chin Med J (Engl). 2012;125(18):3325‐3331. </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Senescent remodeling of the immune system and its contribution to the predisposition of the elderly to infections. </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Dewan SK, Zheng SB, Xia SJ, Bill K.</w:t>
      </w:r>
    </w:p>
    <w:p w:rsidR="008F6FFE" w:rsidRPr="00953A13" w:rsidRDefault="0052743C" w:rsidP="00953A13">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182" w:history="1">
        <w:r w:rsidR="008F6FFE" w:rsidRPr="00953A13">
          <w:rPr>
            <w:rFonts w:asciiTheme="minorHAnsi" w:hAnsiTheme="minorHAnsi"/>
            <w:color w:val="000000" w:themeColor="text1"/>
            <w:sz w:val="16"/>
            <w:szCs w:val="16"/>
            <w:lang w:val="en-US"/>
          </w:rPr>
          <w:t>https://pubmed.ncbi.nlm.nih.gov/22964331/</w:t>
        </w:r>
      </w:hyperlink>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A078ED"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 xml:space="preserve">Ann Allergy Asthma Immunol. 2010;104(3):183‐210. doi:10.1016/j.anai.2009.11.009 </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 xml:space="preserve">Innate and adaptive immunosenescence </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Agarwal S, Busse PJ </w:t>
      </w:r>
    </w:p>
    <w:p w:rsidR="008F6FFE" w:rsidRPr="00953A13" w:rsidRDefault="0052743C" w:rsidP="00953A13">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183" w:history="1">
        <w:r w:rsidR="008F6FFE" w:rsidRPr="00953A13">
          <w:rPr>
            <w:rFonts w:asciiTheme="minorHAnsi" w:hAnsiTheme="minorHAnsi"/>
            <w:color w:val="000000" w:themeColor="text1"/>
            <w:sz w:val="16"/>
            <w:szCs w:val="16"/>
            <w:lang w:val="en-US"/>
          </w:rPr>
          <w:t>https://pubmed.ncbi.nlm.nih.gov/20377107/</w:t>
        </w:r>
      </w:hyperlink>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 xml:space="preserve">Clin Infect Dis. 2000;31(2):578‐585. doi:10.1086/313947 </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Clinical relevance of age-related immune dysfunction.</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Castle SC.</w:t>
      </w:r>
    </w:p>
    <w:p w:rsidR="008F6FFE" w:rsidRPr="00953A13" w:rsidRDefault="0052743C" w:rsidP="00953A13">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184" w:history="1">
        <w:r w:rsidR="008F6FFE" w:rsidRPr="00953A13">
          <w:rPr>
            <w:rFonts w:asciiTheme="minorHAnsi" w:hAnsiTheme="minorHAnsi"/>
            <w:color w:val="000000" w:themeColor="text1"/>
            <w:sz w:val="16"/>
            <w:szCs w:val="16"/>
            <w:lang w:val="en-US"/>
          </w:rPr>
          <w:t>https://academic.oup.com/cid/article/31/2/578/299255</w:t>
        </w:r>
      </w:hyperlink>
    </w:p>
    <w:p w:rsidR="008F6FFE" w:rsidRPr="00953A13" w:rsidRDefault="008F6FFE" w:rsidP="001B1EE4">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Biogerontology. 2006;7(5-6):471‐481. doi:10.1007/s10522-006-9062-6</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Immunological biomarkers of ageing in man: changes in both innate and adaptive immunity are associated with health and longevity. </w:t>
      </w:r>
    </w:p>
    <w:p w:rsidR="008F6FFE" w:rsidRPr="00A078ED"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DelaRosa O, et al.</w:t>
      </w:r>
    </w:p>
    <w:p w:rsidR="008F6FFE" w:rsidRPr="00A078ED" w:rsidRDefault="0052743C" w:rsidP="00953A13">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185" w:history="1">
        <w:r w:rsidR="008F6FFE" w:rsidRPr="00A078ED">
          <w:rPr>
            <w:rFonts w:asciiTheme="minorHAnsi" w:hAnsiTheme="minorHAnsi"/>
            <w:color w:val="000000" w:themeColor="text1"/>
            <w:sz w:val="16"/>
            <w:szCs w:val="16"/>
          </w:rPr>
          <w:t>https://pubmed.ncbi.nlm.nih.gov/16957868/</w:t>
        </w:r>
      </w:hyperlink>
    </w:p>
    <w:p w:rsidR="008F6FFE" w:rsidRPr="00EC57FB"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rPr>
      </w:pPr>
    </w:p>
  </w:footnote>
  <w:footnote w:id="187">
    <w:p w:rsidR="008F6FFE" w:rsidRPr="00A078ED"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vertAlign w:val="superscript"/>
          <w:lang w:val="en-US"/>
        </w:rPr>
        <w:footnoteRef/>
      </w:r>
      <w:r w:rsidRPr="00A078ED">
        <w:rPr>
          <w:rFonts w:asciiTheme="minorHAnsi" w:hAnsiTheme="minorHAnsi"/>
          <w:color w:val="000000" w:themeColor="text1"/>
          <w:sz w:val="16"/>
          <w:szCs w:val="16"/>
          <w:vertAlign w:val="superscript"/>
          <w:lang w:val="en-US"/>
        </w:rPr>
        <w:t xml:space="preserve"> </w:t>
      </w:r>
      <w:r w:rsidRPr="00A078ED">
        <w:rPr>
          <w:rFonts w:asciiTheme="minorHAnsi" w:hAnsiTheme="minorHAnsi"/>
          <w:color w:val="000000" w:themeColor="text1"/>
          <w:sz w:val="16"/>
          <w:szCs w:val="16"/>
          <w:lang w:val="en-US"/>
        </w:rPr>
        <w:t>Clin Infect Dis. 2000;30(6):931‐933. doi:10.1086/313792</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Epidemiology and unique aspects of aging and infectious diseases. </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Yoshikawa TT.</w:t>
      </w:r>
    </w:p>
    <w:p w:rsidR="008F6FFE" w:rsidRPr="00953A13" w:rsidRDefault="0052743C" w:rsidP="00953A13">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186" w:history="1">
        <w:r w:rsidR="008F6FFE" w:rsidRPr="00953A13">
          <w:rPr>
            <w:rFonts w:asciiTheme="minorHAnsi" w:hAnsiTheme="minorHAnsi"/>
            <w:color w:val="000000" w:themeColor="text1"/>
            <w:sz w:val="16"/>
            <w:szCs w:val="16"/>
            <w:lang w:val="en-US"/>
          </w:rPr>
          <w:t>https://academic.oup.com/cid/article/30/6/931/433911</w:t>
        </w:r>
      </w:hyperlink>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1B1EE4">
        <w:rPr>
          <w:rFonts w:asciiTheme="minorHAnsi" w:hAnsiTheme="minorHAnsi"/>
          <w:color w:val="000000" w:themeColor="text1"/>
          <w:sz w:val="16"/>
          <w:szCs w:val="16"/>
          <w:lang w:val="en-US"/>
        </w:rPr>
        <w:t>Ageing Res Rev. 2009;8(1):18‐30. doi:10.1016/j.arr.2008.07.002</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1B1EE4">
        <w:rPr>
          <w:rFonts w:asciiTheme="minorHAnsi" w:hAnsiTheme="minorHAnsi"/>
          <w:color w:val="000000" w:themeColor="text1"/>
          <w:sz w:val="16"/>
          <w:szCs w:val="16"/>
          <w:lang w:val="en-US"/>
        </w:rPr>
        <w:t>Molecular inflammation: underpinnings of aging and age-related diseases. </w:t>
      </w:r>
    </w:p>
    <w:p w:rsidR="008F6FFE" w:rsidRPr="00235A16"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de-DE"/>
        </w:rPr>
      </w:pPr>
      <w:r w:rsidRPr="00235A16">
        <w:rPr>
          <w:rFonts w:asciiTheme="minorHAnsi" w:hAnsiTheme="minorHAnsi"/>
          <w:color w:val="000000" w:themeColor="text1"/>
          <w:sz w:val="16"/>
          <w:szCs w:val="16"/>
          <w:lang w:val="de-DE"/>
        </w:rPr>
        <w:t>Chung HY, et al.</w:t>
      </w:r>
    </w:p>
    <w:p w:rsidR="008F6FFE" w:rsidRPr="00235A16" w:rsidRDefault="0052743C" w:rsidP="00953A13">
      <w:pPr>
        <w:pStyle w:val="labs-full-docsum"/>
        <w:shd w:val="clear" w:color="auto" w:fill="FFFFFF"/>
        <w:spacing w:before="0" w:beforeAutospacing="0" w:after="0" w:afterAutospacing="0"/>
        <w:rPr>
          <w:rFonts w:asciiTheme="minorHAnsi" w:hAnsiTheme="minorHAnsi"/>
          <w:color w:val="000000" w:themeColor="text1"/>
          <w:sz w:val="16"/>
          <w:szCs w:val="16"/>
          <w:lang w:val="de-DE"/>
        </w:rPr>
      </w:pPr>
      <w:hyperlink r:id="rId1187" w:history="1">
        <w:r w:rsidR="008F6FFE" w:rsidRPr="00235A16">
          <w:rPr>
            <w:rFonts w:asciiTheme="minorHAnsi" w:hAnsiTheme="minorHAnsi"/>
            <w:color w:val="000000" w:themeColor="text1"/>
            <w:sz w:val="16"/>
            <w:szCs w:val="16"/>
            <w:lang w:val="de-DE"/>
          </w:rPr>
          <w:t>https://www.ncbi.nlm.nih.gov/pmc/articles/PMC3782993/</w:t>
        </w:r>
      </w:hyperlink>
    </w:p>
    <w:p w:rsidR="008F6FFE" w:rsidRPr="00235A16" w:rsidRDefault="008F6FFE" w:rsidP="00953A13">
      <w:pPr>
        <w:pStyle w:val="labs-full-docsum"/>
        <w:shd w:val="clear" w:color="auto" w:fill="FFFFFF"/>
        <w:spacing w:before="0" w:beforeAutospacing="0" w:after="0" w:afterAutospacing="0"/>
        <w:rPr>
          <w:rFonts w:asciiTheme="minorHAnsi" w:hAnsiTheme="minorHAnsi"/>
          <w:color w:val="000000" w:themeColor="text1"/>
          <w:sz w:val="16"/>
          <w:szCs w:val="16"/>
          <w:lang w:val="de-DE"/>
        </w:rPr>
      </w:pPr>
    </w:p>
  </w:footnote>
  <w:footnote w:id="188">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953A13">
        <w:rPr>
          <w:rFonts w:asciiTheme="minorHAnsi" w:hAnsiTheme="minorHAnsi"/>
          <w:color w:val="000000" w:themeColor="text1"/>
          <w:sz w:val="16"/>
          <w:szCs w:val="16"/>
          <w:vertAlign w:val="superscript"/>
          <w:lang w:val="en-US"/>
        </w:rPr>
        <w:footnoteRef/>
      </w:r>
      <w:r w:rsidRPr="00953A13">
        <w:rPr>
          <w:rFonts w:asciiTheme="minorHAnsi" w:hAnsiTheme="minorHAnsi"/>
          <w:color w:val="000000" w:themeColor="text1"/>
          <w:sz w:val="16"/>
          <w:szCs w:val="16"/>
          <w:lang w:val="en-US"/>
        </w:rPr>
        <w:t xml:space="preserve"> </w:t>
      </w:r>
      <w:r w:rsidRPr="001B1EE4">
        <w:rPr>
          <w:rFonts w:asciiTheme="minorHAnsi" w:hAnsiTheme="minorHAnsi"/>
          <w:color w:val="000000" w:themeColor="text1"/>
          <w:sz w:val="16"/>
          <w:szCs w:val="16"/>
          <w:lang w:val="en-US"/>
        </w:rPr>
        <w:t>Sci Transl Med. 2013;5(171):171ra19. doi:10.1126/scitranslmed.3004794</w:t>
      </w:r>
      <w:r w:rsidRPr="00052B0C">
        <w:rPr>
          <w:rFonts w:asciiTheme="minorHAnsi" w:hAnsiTheme="minorHAnsi"/>
          <w:color w:val="000000" w:themeColor="text1"/>
          <w:sz w:val="16"/>
          <w:szCs w:val="16"/>
          <w:lang w:val="en-US"/>
        </w:rPr>
        <w:t xml:space="preserve"> </w:t>
      </w:r>
      <w:r w:rsidRPr="001B1EE4">
        <w:rPr>
          <w:rFonts w:asciiTheme="minorHAnsi" w:hAnsiTheme="minorHAnsi"/>
          <w:color w:val="000000" w:themeColor="text1"/>
          <w:sz w:val="16"/>
          <w:szCs w:val="16"/>
          <w:lang w:val="en-US"/>
        </w:rPr>
        <w:t>[published correction appears in Sci Transl Med. 2013 Jul 10;5(193):193er8]. </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1B1EE4">
        <w:rPr>
          <w:rFonts w:asciiTheme="minorHAnsi" w:hAnsiTheme="minorHAnsi"/>
          <w:color w:val="000000" w:themeColor="text1"/>
          <w:sz w:val="16"/>
          <w:szCs w:val="16"/>
          <w:lang w:val="en-US"/>
        </w:rPr>
        <w:t xml:space="preserve">Lineage structure of the human antibody repertoire in response to influenza vaccination </w:t>
      </w:r>
    </w:p>
    <w:p w:rsidR="008F6FFE" w:rsidRPr="00235A16"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de-DE"/>
        </w:rPr>
      </w:pPr>
      <w:r w:rsidRPr="00235A16">
        <w:rPr>
          <w:rFonts w:asciiTheme="minorHAnsi" w:hAnsiTheme="minorHAnsi"/>
          <w:color w:val="000000" w:themeColor="text1"/>
          <w:sz w:val="16"/>
          <w:szCs w:val="16"/>
          <w:lang w:val="de-DE"/>
        </w:rPr>
        <w:t>Jiang N, He J, Weinstein JA, et al.</w:t>
      </w:r>
    </w:p>
    <w:p w:rsidR="008F6FFE" w:rsidRPr="00235A16"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lang w:val="de-DE"/>
        </w:rPr>
      </w:pPr>
      <w:hyperlink r:id="rId1188" w:history="1">
        <w:r w:rsidR="008F6FFE" w:rsidRPr="00235A16">
          <w:rPr>
            <w:rFonts w:asciiTheme="minorHAnsi" w:hAnsiTheme="minorHAnsi"/>
            <w:color w:val="000000" w:themeColor="text1"/>
            <w:sz w:val="16"/>
            <w:szCs w:val="16"/>
            <w:lang w:val="de-DE"/>
          </w:rPr>
          <w:t>https://www.ncbi.nlm.nih.gov/pmc/articles/PMC3699344/</w:t>
        </w:r>
      </w:hyperlink>
    </w:p>
    <w:p w:rsidR="008F6FFE" w:rsidRPr="00235A16"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de-DE"/>
        </w:rPr>
      </w:pP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1B1EE4">
        <w:rPr>
          <w:rFonts w:asciiTheme="minorHAnsi" w:hAnsiTheme="minorHAnsi"/>
          <w:color w:val="000000" w:themeColor="text1"/>
          <w:sz w:val="16"/>
          <w:szCs w:val="16"/>
          <w:lang w:val="en-US"/>
        </w:rPr>
        <w:t>Clin Infect Dis. 2012;55(7):951‐959. doi:10.1093/cid/cis574</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1B1EE4">
        <w:rPr>
          <w:rFonts w:asciiTheme="minorHAnsi" w:hAnsiTheme="minorHAnsi"/>
          <w:color w:val="000000" w:themeColor="text1"/>
          <w:sz w:val="16"/>
          <w:szCs w:val="16"/>
          <w:lang w:val="en-US"/>
        </w:rPr>
        <w:t>Effectiveness of seasonal influenza vaccines in the United States during a season with circulation of all three vaccine strains. </w:t>
      </w:r>
    </w:p>
    <w:p w:rsidR="008F6FFE" w:rsidRPr="001B1EE4"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1B1EE4">
        <w:rPr>
          <w:rFonts w:asciiTheme="minorHAnsi" w:hAnsiTheme="minorHAnsi"/>
          <w:color w:val="000000" w:themeColor="text1"/>
          <w:sz w:val="16"/>
          <w:szCs w:val="16"/>
          <w:lang w:val="en-US"/>
        </w:rPr>
        <w:t>Treanor JJ, et al.</w:t>
      </w:r>
    </w:p>
    <w:p w:rsidR="008F6FFE" w:rsidRPr="00052B0C" w:rsidRDefault="0052743C"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189" w:history="1">
        <w:r w:rsidR="008F6FFE" w:rsidRPr="009A3C07">
          <w:rPr>
            <w:rFonts w:asciiTheme="minorHAnsi" w:hAnsiTheme="minorHAnsi"/>
            <w:color w:val="000000" w:themeColor="text1"/>
            <w:sz w:val="16"/>
            <w:szCs w:val="16"/>
            <w:lang w:val="en-US"/>
          </w:rPr>
          <w:t>https://www.ncbi.nlm.nih.gov/pmc/articles/PMC3657521/</w:t>
        </w:r>
      </w:hyperlink>
    </w:p>
  </w:footnote>
  <w:footnote w:id="189">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vertAlign w:val="superscript"/>
          <w:lang w:val="en-US"/>
        </w:rPr>
        <w:footnoteRef/>
      </w:r>
      <w:r w:rsidRPr="00052B0C">
        <w:rPr>
          <w:rFonts w:asciiTheme="minorHAnsi" w:hAnsiTheme="minorHAnsi"/>
          <w:color w:val="000000" w:themeColor="text1"/>
          <w:sz w:val="16"/>
          <w:szCs w:val="16"/>
          <w:vertAlign w:val="superscript"/>
          <w:lang w:val="en-US"/>
        </w:rPr>
        <w:t xml:space="preserve"> </w:t>
      </w:r>
      <w:r w:rsidRPr="00052B0C">
        <w:rPr>
          <w:rFonts w:asciiTheme="minorHAnsi" w:hAnsiTheme="minorHAnsi"/>
          <w:color w:val="000000" w:themeColor="text1"/>
          <w:sz w:val="16"/>
          <w:szCs w:val="16"/>
          <w:lang w:val="en-US"/>
        </w:rPr>
        <w:t>Pharmacol Res. 2013;69(1):11‐20. doi:10.1016/j.phrs.2012.10.005</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Ageing and gut microbes: perspectives for health maintenance and longevity. </w:t>
      </w:r>
    </w:p>
    <w:p w:rsidR="008F6FFE" w:rsidRPr="00EC57FB"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rPr>
      </w:pPr>
      <w:r w:rsidRPr="00EC57FB">
        <w:rPr>
          <w:rFonts w:asciiTheme="minorHAnsi" w:hAnsiTheme="minorHAnsi"/>
          <w:color w:val="000000" w:themeColor="text1"/>
          <w:sz w:val="16"/>
          <w:szCs w:val="16"/>
        </w:rPr>
        <w:t xml:space="preserve">Biagi E, Candela M, Turroni S, Garagnani P, Franceschi C, Brigidi P. </w:t>
      </w:r>
    </w:p>
    <w:p w:rsidR="008F6FFE" w:rsidRPr="00A078ED"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190" w:history="1">
        <w:r w:rsidR="008F6FFE" w:rsidRPr="00A078ED">
          <w:rPr>
            <w:rFonts w:asciiTheme="minorHAnsi" w:hAnsiTheme="minorHAnsi"/>
            <w:color w:val="000000" w:themeColor="text1"/>
            <w:sz w:val="16"/>
            <w:szCs w:val="16"/>
          </w:rPr>
          <w:t>https://pubmed.ncbi.nlm.nih.gov/23079287/</w:t>
        </w:r>
      </w:hyperlink>
    </w:p>
    <w:p w:rsidR="008F6FFE" w:rsidRPr="00953A13" w:rsidRDefault="008F6FFE" w:rsidP="00953A13">
      <w:pPr>
        <w:rPr>
          <w:rFonts w:asciiTheme="minorHAnsi" w:hAnsiTheme="minorHAnsi" w:cstheme="minorHAnsi"/>
          <w:sz w:val="16"/>
          <w:szCs w:val="16"/>
        </w:rPr>
      </w:pP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Arthritis Res Ther. 2003;5(5):225‐234. doi:10.1186/ar974</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Aging, autoimmunity and arthritis: T-cell senescence and contraction of T-cell repertoire diversity - catalysts of autoimmunity and chronic inflammation. </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Goronzy JJ, Weyand CM.</w:t>
      </w:r>
    </w:p>
    <w:p w:rsidR="008F6FFE" w:rsidRPr="009A3C07" w:rsidRDefault="0052743C" w:rsidP="00953A13">
      <w:pPr>
        <w:rPr>
          <w:rFonts w:asciiTheme="minorHAnsi" w:hAnsiTheme="minorHAnsi"/>
          <w:color w:val="000000" w:themeColor="text1"/>
          <w:sz w:val="16"/>
          <w:szCs w:val="16"/>
          <w:lang w:val="en-US"/>
        </w:rPr>
      </w:pPr>
      <w:hyperlink r:id="rId1191" w:history="1">
        <w:r w:rsidR="008F6FFE" w:rsidRPr="009A3C07">
          <w:rPr>
            <w:rFonts w:asciiTheme="minorHAnsi" w:hAnsiTheme="minorHAnsi"/>
            <w:color w:val="000000" w:themeColor="text1"/>
            <w:sz w:val="16"/>
            <w:szCs w:val="16"/>
            <w:lang w:val="en-US"/>
          </w:rPr>
          <w:t>https://www.ncbi.nlm.nih.gov/pmc/articles/PMC193735/</w:t>
        </w:r>
      </w:hyperlink>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footnote>
  <w:footnote w:id="190">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vertAlign w:val="superscript"/>
          <w:lang w:val="en-US"/>
        </w:rPr>
        <w:footnoteRef/>
      </w:r>
      <w:r w:rsidRPr="00052B0C">
        <w:rPr>
          <w:rFonts w:asciiTheme="minorHAnsi" w:hAnsiTheme="minorHAnsi"/>
          <w:color w:val="000000" w:themeColor="text1"/>
          <w:sz w:val="16"/>
          <w:szCs w:val="16"/>
          <w:vertAlign w:val="superscript"/>
          <w:lang w:val="en-US"/>
        </w:rPr>
        <w:t xml:space="preserve"> </w:t>
      </w:r>
      <w:r w:rsidRPr="00052B0C">
        <w:rPr>
          <w:rFonts w:asciiTheme="minorHAnsi" w:hAnsiTheme="minorHAnsi"/>
          <w:color w:val="000000" w:themeColor="text1"/>
          <w:sz w:val="16"/>
          <w:szCs w:val="16"/>
          <w:lang w:val="en-US"/>
        </w:rPr>
        <w:t>PLoS One. 2014;9(2):e89379. doi:10.1371/journal.pone.0089379</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Premature CD4+ T cell aging and its contribution to lymphopenia-induced proliferation of memory cells in autoimmune-prone non-obese diabetic mice. </w:t>
      </w:r>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Sheu TT, Chiang BL, Yen JH, Lin WC.</w:t>
      </w:r>
    </w:p>
    <w:p w:rsidR="008F6FFE" w:rsidRPr="009A3C07" w:rsidRDefault="0052743C" w:rsidP="00953A13">
      <w:pPr>
        <w:rPr>
          <w:rFonts w:asciiTheme="minorHAnsi" w:hAnsiTheme="minorHAnsi"/>
          <w:color w:val="000000" w:themeColor="text1"/>
          <w:sz w:val="16"/>
          <w:szCs w:val="16"/>
          <w:lang w:val="en-US"/>
        </w:rPr>
      </w:pPr>
      <w:hyperlink r:id="rId1192" w:history="1">
        <w:r w:rsidR="008F6FFE" w:rsidRPr="009A3C07">
          <w:rPr>
            <w:rFonts w:asciiTheme="minorHAnsi" w:hAnsiTheme="minorHAnsi"/>
            <w:color w:val="000000" w:themeColor="text1"/>
            <w:sz w:val="16"/>
            <w:szCs w:val="16"/>
            <w:lang w:val="en-US"/>
          </w:rPr>
          <w:t>https://www.ncbi.nlm.nih.gov/pmc/articles/PMC3935863/</w:t>
        </w:r>
      </w:hyperlink>
    </w:p>
    <w:p w:rsidR="008F6FFE" w:rsidRPr="00052B0C" w:rsidRDefault="008F6FFE" w:rsidP="00052B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052B0C" w:rsidRDefault="008F6FFE" w:rsidP="00953A1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 xml:space="preserve">Transpl Int. 2009;22(11):1041‐1050. doi:10.1111/j.1432-2277.2009.00927.x. </w:t>
      </w:r>
    </w:p>
    <w:p w:rsidR="008F6FFE" w:rsidRPr="00052B0C" w:rsidRDefault="008F6FFE" w:rsidP="00953A1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 xml:space="preserve">The aging of the immune system </w:t>
      </w:r>
    </w:p>
    <w:p w:rsidR="008F6FFE" w:rsidRPr="00235A16" w:rsidRDefault="008F6FFE" w:rsidP="00953A13">
      <w:pPr>
        <w:pStyle w:val="labs-full-docsum"/>
        <w:shd w:val="clear" w:color="auto" w:fill="FFFFFF"/>
        <w:spacing w:before="0" w:beforeAutospacing="0" w:after="0" w:afterAutospacing="0"/>
        <w:rPr>
          <w:rFonts w:asciiTheme="minorHAnsi" w:hAnsiTheme="minorHAnsi"/>
          <w:color w:val="000000" w:themeColor="text1"/>
          <w:sz w:val="16"/>
          <w:szCs w:val="16"/>
          <w:lang w:val="de-DE"/>
        </w:rPr>
      </w:pPr>
      <w:r w:rsidRPr="00235A16">
        <w:rPr>
          <w:rFonts w:asciiTheme="minorHAnsi" w:hAnsiTheme="minorHAnsi"/>
          <w:color w:val="000000" w:themeColor="text1"/>
          <w:sz w:val="16"/>
          <w:szCs w:val="16"/>
          <w:lang w:val="de-DE"/>
        </w:rPr>
        <w:t>Weiskopf D, Weinberger B, Grubeck-Loebenstein B. </w:t>
      </w:r>
    </w:p>
    <w:p w:rsidR="008F6FFE" w:rsidRPr="00235A16" w:rsidRDefault="0052743C" w:rsidP="00953A13">
      <w:pPr>
        <w:pStyle w:val="labs-full-docsum"/>
        <w:shd w:val="clear" w:color="auto" w:fill="FFFFFF"/>
        <w:spacing w:before="0" w:beforeAutospacing="0" w:after="0" w:afterAutospacing="0"/>
        <w:rPr>
          <w:rFonts w:asciiTheme="minorHAnsi" w:hAnsiTheme="minorHAnsi"/>
          <w:color w:val="000000" w:themeColor="text1"/>
          <w:sz w:val="16"/>
          <w:szCs w:val="16"/>
          <w:lang w:val="de-DE"/>
        </w:rPr>
      </w:pPr>
      <w:hyperlink r:id="rId1193" w:history="1">
        <w:r w:rsidR="008F6FFE" w:rsidRPr="00235A16">
          <w:rPr>
            <w:rFonts w:asciiTheme="minorHAnsi" w:hAnsiTheme="minorHAnsi"/>
            <w:color w:val="000000" w:themeColor="text1"/>
            <w:sz w:val="16"/>
            <w:szCs w:val="16"/>
            <w:lang w:val="de-DE"/>
          </w:rPr>
          <w:t>https://onlinelibrary.wiley.com/doi/epdf/10.1111/j.1432-2277.2009.00927.x</w:t>
        </w:r>
      </w:hyperlink>
    </w:p>
    <w:p w:rsidR="008F6FFE" w:rsidRPr="00235A16" w:rsidRDefault="008F6FFE">
      <w:pPr>
        <w:pStyle w:val="FootnoteText"/>
        <w:rPr>
          <w:rFonts w:asciiTheme="minorHAnsi" w:hAnsiTheme="minorHAnsi"/>
          <w:sz w:val="16"/>
          <w:szCs w:val="16"/>
          <w:lang w:val="de-DE"/>
        </w:rPr>
      </w:pPr>
    </w:p>
  </w:footnote>
  <w:footnote w:id="191">
    <w:p w:rsidR="008F6FFE" w:rsidRPr="00052B0C"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vertAlign w:val="superscript"/>
          <w:lang w:val="en-US"/>
        </w:rPr>
        <w:footnoteRef/>
      </w:r>
      <w:r w:rsidRPr="00052B0C">
        <w:rPr>
          <w:rFonts w:asciiTheme="minorHAnsi" w:hAnsiTheme="minorHAnsi"/>
          <w:color w:val="000000" w:themeColor="text1"/>
          <w:sz w:val="16"/>
          <w:szCs w:val="16"/>
          <w:vertAlign w:val="superscript"/>
          <w:lang w:val="en-US"/>
        </w:rPr>
        <w:t xml:space="preserve"> </w:t>
      </w:r>
      <w:r w:rsidRPr="00052B0C">
        <w:rPr>
          <w:rFonts w:asciiTheme="minorHAnsi" w:hAnsiTheme="minorHAnsi"/>
          <w:color w:val="000000" w:themeColor="text1"/>
          <w:sz w:val="16"/>
          <w:szCs w:val="16"/>
          <w:lang w:val="en-US"/>
        </w:rPr>
        <w:t>Mech Ageing Dev. 2007;128(1):92‐105. doi:10.1016/j.mad.2006.11.016</w:t>
      </w:r>
    </w:p>
    <w:p w:rsidR="008F6FFE" w:rsidRPr="00052B0C"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Inflammaging and anti-inflammaging: a systemic perspective on aging and longevity emerged from studies in humans. </w:t>
      </w:r>
    </w:p>
    <w:p w:rsidR="008F6FFE" w:rsidRPr="00EC57FB"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rPr>
      </w:pPr>
      <w:r w:rsidRPr="00EC57FB">
        <w:rPr>
          <w:rFonts w:asciiTheme="minorHAnsi" w:hAnsiTheme="minorHAnsi"/>
          <w:color w:val="000000" w:themeColor="text1"/>
          <w:sz w:val="16"/>
          <w:szCs w:val="16"/>
        </w:rPr>
        <w:t>Franceschi C, et al.</w:t>
      </w:r>
    </w:p>
    <w:p w:rsidR="008F6FFE" w:rsidRPr="003B68FD" w:rsidRDefault="0052743C" w:rsidP="003B68FD">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194" w:history="1">
        <w:r w:rsidR="008F6FFE" w:rsidRPr="003B68FD">
          <w:rPr>
            <w:rFonts w:asciiTheme="minorHAnsi" w:hAnsiTheme="minorHAnsi"/>
            <w:color w:val="000000" w:themeColor="text1"/>
            <w:sz w:val="16"/>
            <w:szCs w:val="16"/>
          </w:rPr>
          <w:t>https://pubmed.ncbi.nlm.nih.gov/17116321/</w:t>
        </w:r>
      </w:hyperlink>
    </w:p>
    <w:p w:rsidR="008F6FFE" w:rsidRPr="00EC57FB"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052B0C"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3B68FD">
        <w:rPr>
          <w:rFonts w:asciiTheme="minorHAnsi" w:hAnsiTheme="minorHAnsi"/>
          <w:color w:val="000000" w:themeColor="text1"/>
          <w:sz w:val="16"/>
          <w:szCs w:val="16"/>
          <w:lang w:val="en-US"/>
        </w:rPr>
        <w:t xml:space="preserve">Exp Gerontol. </w:t>
      </w:r>
      <w:r w:rsidRPr="00052B0C">
        <w:rPr>
          <w:rFonts w:asciiTheme="minorHAnsi" w:hAnsiTheme="minorHAnsi"/>
          <w:color w:val="000000" w:themeColor="text1"/>
          <w:sz w:val="16"/>
          <w:szCs w:val="16"/>
          <w:lang w:val="en-US"/>
        </w:rPr>
        <w:t>2003;38(6):669‐672. doi:10.1016/s0531-5565(03)00061-5</w:t>
      </w:r>
    </w:p>
    <w:p w:rsidR="008F6FFE" w:rsidRPr="00052B0C"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52B0C">
        <w:rPr>
          <w:rFonts w:asciiTheme="minorHAnsi" w:hAnsiTheme="minorHAnsi"/>
          <w:color w:val="000000" w:themeColor="text1"/>
          <w:sz w:val="16"/>
          <w:szCs w:val="16"/>
          <w:lang w:val="en-US"/>
        </w:rPr>
        <w:t xml:space="preserve">Increased circulating Interleukin-18 levels in centenarians with no signs of vascular disease: another paradox of longevity?  </w:t>
      </w:r>
    </w:p>
    <w:p w:rsidR="008F6FFE"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rPr>
      </w:pPr>
      <w:r w:rsidRPr="00EC57FB">
        <w:rPr>
          <w:rFonts w:asciiTheme="minorHAnsi" w:hAnsiTheme="minorHAnsi"/>
          <w:color w:val="000000" w:themeColor="text1"/>
          <w:sz w:val="16"/>
          <w:szCs w:val="16"/>
        </w:rPr>
        <w:t xml:space="preserve">Gangemi S, Basile G, Merendino RA, et al. </w:t>
      </w:r>
    </w:p>
    <w:p w:rsidR="008F6FFE" w:rsidRPr="009A3C07" w:rsidRDefault="0052743C" w:rsidP="003B68FD">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195" w:history="1">
        <w:r w:rsidR="008F6FFE" w:rsidRPr="009A3C07">
          <w:rPr>
            <w:rFonts w:asciiTheme="minorHAnsi" w:hAnsiTheme="minorHAnsi"/>
            <w:color w:val="000000" w:themeColor="text1"/>
            <w:sz w:val="16"/>
            <w:szCs w:val="16"/>
          </w:rPr>
          <w:t>https://pubmed.ncbi.nlm.nih.gov/12814802/</w:t>
        </w:r>
      </w:hyperlink>
    </w:p>
    <w:p w:rsidR="008F6FFE"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286405"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Eur Heart J. 2020;ehz961. doi:10.1093/eurheartj/ehz961</w:t>
      </w:r>
    </w:p>
    <w:p w:rsidR="008F6FFE" w:rsidRPr="00286405"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Inflamm-ageing: the role of inflammation in age-dependent cardiovascular disease </w:t>
      </w:r>
    </w:p>
    <w:p w:rsidR="008F6FFE" w:rsidRPr="00BE7BB7"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rPr>
      </w:pPr>
      <w:r w:rsidRPr="00BE7BB7">
        <w:rPr>
          <w:rFonts w:asciiTheme="minorHAnsi" w:hAnsiTheme="minorHAnsi"/>
          <w:color w:val="000000" w:themeColor="text1"/>
          <w:sz w:val="16"/>
          <w:szCs w:val="16"/>
        </w:rPr>
        <w:t xml:space="preserve">Liberale L, Montecucco F, Tardif JC, Libby P, Camici GG. </w:t>
      </w:r>
    </w:p>
    <w:p w:rsidR="008F6FFE" w:rsidRPr="009A3C07" w:rsidRDefault="0052743C" w:rsidP="003B68FD">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196" w:history="1">
        <w:r w:rsidR="008F6FFE" w:rsidRPr="009A3C07">
          <w:rPr>
            <w:rFonts w:asciiTheme="minorHAnsi" w:hAnsiTheme="minorHAnsi"/>
            <w:color w:val="000000" w:themeColor="text1"/>
            <w:sz w:val="16"/>
            <w:szCs w:val="16"/>
          </w:rPr>
          <w:t>https://pubmed.ncbi.nlm.nih.gov/32006431/</w:t>
        </w:r>
      </w:hyperlink>
    </w:p>
    <w:p w:rsidR="008F6FFE" w:rsidRPr="00BE7BB7" w:rsidRDefault="008F6FFE" w:rsidP="003B68FD">
      <w:pPr>
        <w:pStyle w:val="labs-full-docsum"/>
        <w:shd w:val="clear" w:color="auto" w:fill="FFFFFF"/>
        <w:spacing w:before="0" w:beforeAutospacing="0" w:after="0" w:afterAutospacing="0"/>
        <w:rPr>
          <w:rFonts w:asciiTheme="minorHAnsi" w:hAnsiTheme="minorHAnsi"/>
          <w:color w:val="000000" w:themeColor="text1"/>
          <w:sz w:val="16"/>
          <w:szCs w:val="16"/>
        </w:rPr>
      </w:pPr>
    </w:p>
  </w:footnote>
  <w:footnote w:id="192">
    <w:p w:rsidR="008F6FFE" w:rsidRPr="00286405" w:rsidRDefault="008F6FFE" w:rsidP="008255A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EC57FB">
        <w:rPr>
          <w:rFonts w:asciiTheme="minorHAnsi" w:hAnsiTheme="minorHAnsi"/>
          <w:color w:val="000000" w:themeColor="text1"/>
          <w:sz w:val="16"/>
          <w:szCs w:val="16"/>
          <w:vertAlign w:val="superscript"/>
        </w:rPr>
        <w:footnoteRef/>
      </w:r>
      <w:r w:rsidRPr="008255A5">
        <w:rPr>
          <w:rFonts w:asciiTheme="minorHAnsi" w:hAnsiTheme="minorHAnsi"/>
          <w:color w:val="000000" w:themeColor="text1"/>
          <w:sz w:val="16"/>
          <w:szCs w:val="16"/>
          <w:lang w:val="en-US"/>
        </w:rPr>
        <w:t xml:space="preserve"> </w:t>
      </w:r>
      <w:r w:rsidRPr="008255A5">
        <w:rPr>
          <w:rFonts w:asciiTheme="minorHAnsi" w:hAnsiTheme="minorHAnsi"/>
          <w:color w:val="212121"/>
          <w:sz w:val="16"/>
          <w:szCs w:val="16"/>
          <w:shd w:val="clear" w:color="auto" w:fill="FFFFFF"/>
          <w:lang w:val="en-US"/>
        </w:rPr>
        <w:t>T</w:t>
      </w:r>
      <w:r w:rsidRPr="00286405">
        <w:rPr>
          <w:rFonts w:asciiTheme="minorHAnsi" w:hAnsiTheme="minorHAnsi"/>
          <w:color w:val="000000" w:themeColor="text1"/>
          <w:sz w:val="16"/>
          <w:szCs w:val="16"/>
          <w:lang w:val="en-US"/>
        </w:rPr>
        <w:t>rends Cell Biol. 2018;28(6):436‐453. doi:10.1016/j.tcb.2018.02.001</w:t>
      </w:r>
    </w:p>
    <w:p w:rsidR="008F6FFE" w:rsidRPr="00286405" w:rsidRDefault="008F6FFE" w:rsidP="008255A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Hallmarks of Cellular Senescence </w:t>
      </w:r>
    </w:p>
    <w:p w:rsidR="008F6FFE" w:rsidRPr="00286405" w:rsidRDefault="008F6FFE" w:rsidP="008255A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Hernandez-Segura A, Nehme J, Demaria M</w:t>
      </w:r>
    </w:p>
    <w:p w:rsidR="008F6FFE" w:rsidRDefault="0052743C"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197" w:history="1">
        <w:r w:rsidR="008F6FFE" w:rsidRPr="009A3C07">
          <w:rPr>
            <w:rFonts w:asciiTheme="minorHAnsi" w:hAnsiTheme="minorHAnsi"/>
            <w:color w:val="000000" w:themeColor="text1"/>
            <w:sz w:val="16"/>
            <w:szCs w:val="16"/>
            <w:lang w:val="en-US"/>
          </w:rPr>
          <w:t>https://pubmed.ncbi.nlm.nih.gov/29477613/</w:t>
        </w:r>
      </w:hyperlink>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643447"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643447">
        <w:rPr>
          <w:rFonts w:asciiTheme="minorHAnsi" w:hAnsiTheme="minorHAnsi"/>
          <w:color w:val="000000" w:themeColor="text1"/>
          <w:sz w:val="16"/>
          <w:szCs w:val="16"/>
          <w:lang w:val="en-US"/>
        </w:rPr>
        <w:t>An Acad Bras Cienc. 2017;89(1):285‐299. doi:10.1590/0001-3765201720160487</w:t>
      </w:r>
    </w:p>
    <w:p w:rsidR="008F6FFE" w:rsidRPr="00643447"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643447">
        <w:rPr>
          <w:rFonts w:asciiTheme="minorHAnsi" w:hAnsiTheme="minorHAnsi"/>
          <w:color w:val="000000" w:themeColor="text1"/>
          <w:sz w:val="16"/>
          <w:szCs w:val="16"/>
          <w:lang w:val="en-US"/>
        </w:rPr>
        <w:t>Immune System Dysfunction in the Elderly</w:t>
      </w:r>
    </w:p>
    <w:p w:rsidR="008F6FFE" w:rsidRPr="00A078ED"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 xml:space="preserve">Fuentes E, Fuentes M, Alarcón M, Palomo. I. </w:t>
      </w:r>
    </w:p>
    <w:p w:rsidR="008F6FFE" w:rsidRPr="00A078ED"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198" w:history="1">
        <w:r w:rsidR="008F6FFE" w:rsidRPr="00A078ED">
          <w:rPr>
            <w:rFonts w:asciiTheme="minorHAnsi" w:hAnsiTheme="minorHAnsi"/>
            <w:color w:val="000000" w:themeColor="text1"/>
            <w:sz w:val="16"/>
            <w:szCs w:val="16"/>
          </w:rPr>
          <w:t>https://www.scielo.br/pdf/aabc/v89n1/0001-3765-aabc-89-01-00285.pdf</w:t>
        </w:r>
      </w:hyperlink>
    </w:p>
    <w:p w:rsidR="008F6FFE" w:rsidRPr="00A078ED" w:rsidRDefault="008F6FFE" w:rsidP="009A3C07">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Clin Mol Allergy. 2017 Dec 14;15:21. doi: 10.1186/s12948-017-0077-0. </w:t>
      </w: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Immunosenescence in aging: between immune cells depletion and cytokines up-regulation. </w:t>
      </w:r>
    </w:p>
    <w:p w:rsidR="008F6FFE" w:rsidRPr="00A078ED"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 xml:space="preserve">Ventura MT, Casciaro M, Gangemi S, Buquicchio R. </w:t>
      </w:r>
    </w:p>
    <w:p w:rsidR="008F6FFE" w:rsidRPr="00A078ED"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199" w:history="1">
        <w:r w:rsidR="008F6FFE" w:rsidRPr="00A078ED">
          <w:rPr>
            <w:rFonts w:asciiTheme="minorHAnsi" w:hAnsiTheme="minorHAnsi"/>
            <w:color w:val="000000" w:themeColor="text1"/>
            <w:sz w:val="16"/>
            <w:szCs w:val="16"/>
          </w:rPr>
          <w:t>https://www.ncbi.nlm.nih.gov/pmc/articles/PMC5731094/</w:t>
        </w:r>
      </w:hyperlink>
    </w:p>
    <w:p w:rsidR="008F6FFE" w:rsidRPr="00A078ED"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Clin Immunol. 2018 Nov;196:59-63. doi: 10.1016/j.clim.2018.04.002. </w:t>
      </w: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Immune senescence, epigenetics and autoimmunity.</w:t>
      </w: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Ray D, Yung R. </w:t>
      </w:r>
    </w:p>
    <w:p w:rsidR="008F6FFE" w:rsidRPr="009A3C07"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00" w:history="1">
        <w:r w:rsidR="008F6FFE" w:rsidRPr="009A3C07">
          <w:rPr>
            <w:rFonts w:asciiTheme="minorHAnsi" w:hAnsiTheme="minorHAnsi"/>
            <w:color w:val="000000" w:themeColor="text1"/>
            <w:sz w:val="16"/>
            <w:szCs w:val="16"/>
            <w:lang w:val="en-US"/>
          </w:rPr>
          <w:t>https://www.ncbi.nlm.nih.gov/pmc/articles/PMC6548177/</w:t>
        </w:r>
      </w:hyperlink>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Gerontology. 2019;65(5):495‐504. doi:10.1159/000497375 </w:t>
      </w: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Human Inflammaging. </w:t>
      </w: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Fülöp T, Larbi A, Witkowski JM. </w:t>
      </w:r>
    </w:p>
    <w:p w:rsidR="008F6FFE" w:rsidRPr="009A3C07"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01" w:history="1">
        <w:r w:rsidR="008F6FFE" w:rsidRPr="009A3C07">
          <w:rPr>
            <w:rFonts w:asciiTheme="minorHAnsi" w:hAnsiTheme="minorHAnsi"/>
            <w:color w:val="000000" w:themeColor="text1"/>
            <w:sz w:val="16"/>
            <w:szCs w:val="16"/>
            <w:lang w:val="en-US"/>
          </w:rPr>
          <w:t>https://pubmed.ncbi.nlm.nih.gov/31055573/</w:t>
        </w:r>
      </w:hyperlink>
    </w:p>
    <w:p w:rsidR="008F6FFE" w:rsidRPr="009A3C07" w:rsidRDefault="008F6FFE" w:rsidP="009A3C07">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Front Immunol. 2016;7:445. doi:10.3389/fimmu.2016.00445 </w:t>
      </w:r>
    </w:p>
    <w:p w:rsidR="008F6FFE" w:rsidRPr="00EC57FB"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EC57FB">
        <w:rPr>
          <w:rFonts w:asciiTheme="minorHAnsi" w:hAnsiTheme="minorHAnsi"/>
          <w:color w:val="000000" w:themeColor="text1"/>
          <w:sz w:val="16"/>
          <w:szCs w:val="16"/>
          <w:lang w:val="en-US"/>
        </w:rPr>
        <w:t>Convergence of Innate and Adaptive Immunity during Human Aging. </w:t>
      </w:r>
    </w:p>
    <w:p w:rsidR="008F6FFE" w:rsidRPr="00235A16"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de-DE"/>
        </w:rPr>
      </w:pPr>
      <w:r w:rsidRPr="00235A16">
        <w:rPr>
          <w:rFonts w:asciiTheme="minorHAnsi" w:hAnsiTheme="minorHAnsi"/>
          <w:color w:val="000000" w:themeColor="text1"/>
          <w:sz w:val="16"/>
          <w:szCs w:val="16"/>
          <w:lang w:val="de-DE"/>
        </w:rPr>
        <w:t xml:space="preserve">Pereira BI, Akbar AN. </w:t>
      </w:r>
    </w:p>
    <w:p w:rsidR="008F6FFE" w:rsidRPr="00235A16"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lang w:val="de-DE"/>
        </w:rPr>
      </w:pPr>
      <w:hyperlink r:id="rId1202" w:history="1">
        <w:r w:rsidR="008F6FFE" w:rsidRPr="00235A16">
          <w:rPr>
            <w:rFonts w:asciiTheme="minorHAnsi" w:hAnsiTheme="minorHAnsi"/>
            <w:color w:val="000000" w:themeColor="text1"/>
            <w:sz w:val="16"/>
            <w:szCs w:val="16"/>
            <w:lang w:val="de-DE"/>
          </w:rPr>
          <w:t>https://www.ncbi.nlm.nih.gov/pmc/articles/PMC5095488/</w:t>
        </w:r>
      </w:hyperlink>
    </w:p>
    <w:p w:rsidR="008F6FFE" w:rsidRPr="00235A16"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de-DE"/>
        </w:rPr>
      </w:pP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Nat Immunol. 2018;19(1):10‐19. doi:10.1038/s41590-017-0006-x [published correction appears in Nat Immunol. 2018 Oct;19(10):1146]. </w:t>
      </w:r>
    </w:p>
    <w:p w:rsidR="008F6FFE" w:rsidRPr="00286405"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The twilight of immunity: emerging concepts in aging of the immune system</w:t>
      </w:r>
    </w:p>
    <w:p w:rsidR="008F6FFE" w:rsidRPr="00235A16"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de-DE"/>
        </w:rPr>
      </w:pPr>
      <w:r w:rsidRPr="00235A16">
        <w:rPr>
          <w:rFonts w:asciiTheme="minorHAnsi" w:hAnsiTheme="minorHAnsi"/>
          <w:color w:val="000000" w:themeColor="text1"/>
          <w:sz w:val="16"/>
          <w:szCs w:val="16"/>
          <w:lang w:val="de-DE"/>
        </w:rPr>
        <w:t xml:space="preserve">Nikolich-Žugich J. </w:t>
      </w:r>
    </w:p>
    <w:p w:rsidR="008F6FFE" w:rsidRPr="00235A16"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lang w:val="de-DE"/>
        </w:rPr>
      </w:pPr>
      <w:hyperlink r:id="rId1203" w:history="1">
        <w:r w:rsidR="008F6FFE" w:rsidRPr="00235A16">
          <w:rPr>
            <w:rFonts w:asciiTheme="minorHAnsi" w:hAnsiTheme="minorHAnsi"/>
            <w:color w:val="000000" w:themeColor="text1"/>
            <w:sz w:val="16"/>
            <w:szCs w:val="16"/>
            <w:lang w:val="de-DE"/>
          </w:rPr>
          <w:t>https://pubmed.ncbi.nlm.nih.gov/29242543/</w:t>
        </w:r>
      </w:hyperlink>
    </w:p>
    <w:p w:rsidR="008F6FFE" w:rsidRPr="00235A16"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de-DE"/>
        </w:rPr>
      </w:pPr>
    </w:p>
    <w:p w:rsidR="008F6FFE" w:rsidRPr="00EC57FB"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Front Immunol. </w:t>
      </w:r>
      <w:r w:rsidRPr="00EC57FB">
        <w:rPr>
          <w:rFonts w:asciiTheme="minorHAnsi" w:hAnsiTheme="minorHAnsi"/>
          <w:color w:val="000000" w:themeColor="text1"/>
          <w:sz w:val="16"/>
          <w:szCs w:val="16"/>
          <w:lang w:val="en-US"/>
        </w:rPr>
        <w:t>2018;9:586. doi:10.3389/fimmu.2018.00586</w:t>
      </w:r>
    </w:p>
    <w:p w:rsidR="008F6FFE" w:rsidRPr="00EC57FB" w:rsidRDefault="008F6FFE" w:rsidP="00EC57FB">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EC57FB">
        <w:rPr>
          <w:rFonts w:asciiTheme="minorHAnsi" w:hAnsiTheme="minorHAnsi"/>
          <w:color w:val="000000" w:themeColor="text1"/>
          <w:sz w:val="16"/>
          <w:szCs w:val="16"/>
          <w:lang w:val="en-US"/>
        </w:rPr>
        <w:t>Age and Age-Related Diseases: Role of Inflammation Triggers and Cytokines. </w:t>
      </w:r>
    </w:p>
    <w:p w:rsidR="008F6FFE" w:rsidRPr="00235A16"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de-DE"/>
        </w:rPr>
      </w:pPr>
      <w:r w:rsidRPr="00235A16">
        <w:rPr>
          <w:rFonts w:asciiTheme="minorHAnsi" w:hAnsiTheme="minorHAnsi"/>
          <w:color w:val="000000" w:themeColor="text1"/>
          <w:sz w:val="16"/>
          <w:szCs w:val="16"/>
          <w:lang w:val="de-DE"/>
        </w:rPr>
        <w:t xml:space="preserve">Rea IM, Gibson DS, McGilligan V, McNerlan SE, Alexander HD, Ross OA. </w:t>
      </w:r>
    </w:p>
    <w:p w:rsidR="008F6FFE" w:rsidRPr="00235A16"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lang w:val="de-DE"/>
        </w:rPr>
      </w:pPr>
      <w:hyperlink r:id="rId1204" w:history="1">
        <w:r w:rsidR="008F6FFE" w:rsidRPr="00235A16">
          <w:rPr>
            <w:rFonts w:asciiTheme="minorHAnsi" w:hAnsiTheme="minorHAnsi"/>
            <w:color w:val="000000" w:themeColor="text1"/>
            <w:sz w:val="16"/>
            <w:szCs w:val="16"/>
            <w:lang w:val="de-DE"/>
          </w:rPr>
          <w:t>https://www.ncbi.nlm.nih.gov/pmc/articles/PMC5900450/</w:t>
        </w:r>
      </w:hyperlink>
    </w:p>
    <w:p w:rsidR="008F6FFE" w:rsidRPr="00235A16" w:rsidRDefault="008F6FFE" w:rsidP="00E2570C">
      <w:pPr>
        <w:pStyle w:val="labs-full-docsum"/>
        <w:shd w:val="clear" w:color="auto" w:fill="FFFFFF"/>
        <w:spacing w:before="0" w:beforeAutospacing="0" w:after="0" w:afterAutospacing="0"/>
        <w:rPr>
          <w:rFonts w:asciiTheme="minorHAnsi" w:hAnsiTheme="minorHAnsi"/>
          <w:sz w:val="16"/>
          <w:szCs w:val="16"/>
          <w:lang w:val="de-DE"/>
        </w:rPr>
      </w:pPr>
    </w:p>
  </w:footnote>
  <w:footnote w:id="193">
    <w:p w:rsidR="008F6FFE"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76A5">
        <w:rPr>
          <w:rFonts w:asciiTheme="minorHAnsi" w:hAnsiTheme="minorHAnsi"/>
          <w:color w:val="000000" w:themeColor="text1"/>
          <w:sz w:val="16"/>
          <w:szCs w:val="16"/>
          <w:vertAlign w:val="superscript"/>
          <w:lang w:val="en-US"/>
        </w:rPr>
        <w:footnoteRef/>
      </w:r>
      <w:r w:rsidRPr="00F976A5">
        <w:rPr>
          <w:rFonts w:asciiTheme="minorHAnsi" w:hAnsiTheme="minorHAnsi"/>
          <w:color w:val="000000" w:themeColor="text1"/>
          <w:sz w:val="16"/>
          <w:szCs w:val="16"/>
          <w:vertAlign w:val="superscript"/>
          <w:lang w:val="en-US"/>
        </w:rPr>
        <w:t xml:space="preserve"> </w:t>
      </w:r>
      <w:r w:rsidRPr="00F976A5">
        <w:rPr>
          <w:rFonts w:asciiTheme="minorHAnsi" w:hAnsiTheme="minorHAnsi"/>
          <w:color w:val="000000" w:themeColor="text1"/>
          <w:sz w:val="16"/>
          <w:szCs w:val="16"/>
          <w:lang w:val="en-US"/>
        </w:rPr>
        <w:t xml:space="preserve">Arch Immunol Ther Exp (Warsz). 2016;64(2):111‐126. doi:10.1007/s00005-015-0377-3 </w:t>
      </w:r>
    </w:p>
    <w:p w:rsidR="008F6FFE" w:rsidRPr="00F976A5"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76A5">
        <w:rPr>
          <w:rFonts w:asciiTheme="minorHAnsi" w:hAnsiTheme="minorHAnsi"/>
          <w:color w:val="000000" w:themeColor="text1"/>
          <w:sz w:val="16"/>
          <w:szCs w:val="16"/>
          <w:lang w:val="en-US"/>
        </w:rPr>
        <w:t>Inflammaging and Anti-Inflammaging: The Role of Cytokines in Extreme Longevity. </w:t>
      </w:r>
    </w:p>
    <w:p w:rsidR="008F6FFE" w:rsidRPr="00A078ED"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rPr>
      </w:pPr>
      <w:r w:rsidRPr="00286405">
        <w:rPr>
          <w:rFonts w:asciiTheme="minorHAnsi" w:hAnsiTheme="minorHAnsi"/>
          <w:color w:val="000000" w:themeColor="text1"/>
          <w:sz w:val="16"/>
          <w:szCs w:val="16"/>
        </w:rPr>
        <w:t>Minciu</w:t>
      </w:r>
      <w:r w:rsidRPr="00A078ED">
        <w:rPr>
          <w:rFonts w:asciiTheme="minorHAnsi" w:hAnsiTheme="minorHAnsi"/>
          <w:color w:val="000000" w:themeColor="text1"/>
          <w:sz w:val="16"/>
          <w:szCs w:val="16"/>
        </w:rPr>
        <w:t>llo PL, et al.</w:t>
      </w:r>
    </w:p>
    <w:p w:rsidR="008F6FFE" w:rsidRPr="00A078ED"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05" w:history="1">
        <w:r w:rsidR="008F6FFE" w:rsidRPr="00A078ED">
          <w:rPr>
            <w:rFonts w:asciiTheme="minorHAnsi" w:hAnsiTheme="minorHAnsi"/>
            <w:color w:val="000000" w:themeColor="text1"/>
            <w:sz w:val="16"/>
            <w:szCs w:val="16"/>
          </w:rPr>
          <w:t>https://pubmed.ncbi.nlm.nih.gov/26658771/</w:t>
        </w:r>
      </w:hyperlink>
    </w:p>
    <w:p w:rsidR="008F6FFE" w:rsidRPr="00A078ED"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A078ED"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Curr Opin Clin Nutr Metab Care. 2013;16(1):14‐20. doi:10.1097/MCO.0b013e32835ada13</w:t>
      </w:r>
    </w:p>
    <w:p w:rsidR="008F6FFE" w:rsidRPr="00A078ED"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 xml:space="preserve">Inflamm-ageing </w:t>
      </w:r>
    </w:p>
    <w:p w:rsidR="008F6FFE" w:rsidRPr="00A078ED"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Cevenini E, Monti D, Franceschi C </w:t>
      </w:r>
    </w:p>
    <w:p w:rsidR="008F6FFE" w:rsidRPr="00286405"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06" w:history="1">
        <w:r w:rsidR="008F6FFE" w:rsidRPr="00A078ED">
          <w:rPr>
            <w:rFonts w:asciiTheme="minorHAnsi" w:hAnsiTheme="minorHAnsi"/>
            <w:color w:val="000000" w:themeColor="text1"/>
            <w:sz w:val="16"/>
            <w:szCs w:val="16"/>
          </w:rPr>
          <w:t>https://pubmed.ncbi.nlm.nih.gov/23132168/</w:t>
        </w:r>
      </w:hyperlink>
    </w:p>
  </w:footnote>
  <w:footnote w:id="194">
    <w:p w:rsidR="008F6FFE" w:rsidRPr="00235A16" w:rsidRDefault="008F6FFE" w:rsidP="00643447">
      <w:pPr>
        <w:pStyle w:val="labs-full-docsum"/>
        <w:shd w:val="clear" w:color="auto" w:fill="FFFFFF"/>
        <w:spacing w:before="0" w:beforeAutospacing="0" w:after="0" w:afterAutospacing="0"/>
        <w:rPr>
          <w:rFonts w:asciiTheme="minorHAnsi" w:hAnsiTheme="minorHAnsi"/>
          <w:color w:val="000000" w:themeColor="text1"/>
          <w:sz w:val="16"/>
          <w:szCs w:val="16"/>
        </w:rPr>
      </w:pPr>
      <w:r w:rsidRPr="00F976A5">
        <w:rPr>
          <w:rFonts w:asciiTheme="minorHAnsi" w:hAnsiTheme="minorHAnsi"/>
          <w:color w:val="000000" w:themeColor="text1"/>
          <w:sz w:val="16"/>
          <w:szCs w:val="16"/>
          <w:vertAlign w:val="superscript"/>
          <w:lang w:val="en-US"/>
        </w:rPr>
        <w:footnoteRef/>
      </w:r>
      <w:r w:rsidRPr="00235A16">
        <w:rPr>
          <w:rFonts w:asciiTheme="minorHAnsi" w:hAnsiTheme="minorHAnsi"/>
          <w:color w:val="000000" w:themeColor="text1"/>
          <w:sz w:val="16"/>
          <w:szCs w:val="16"/>
          <w:vertAlign w:val="superscript"/>
        </w:rPr>
        <w:t xml:space="preserve"> </w:t>
      </w:r>
      <w:r w:rsidRPr="00235A16">
        <w:rPr>
          <w:rFonts w:asciiTheme="minorHAnsi" w:hAnsiTheme="minorHAnsi"/>
          <w:color w:val="000000" w:themeColor="text1"/>
          <w:sz w:val="16"/>
          <w:szCs w:val="16"/>
        </w:rPr>
        <w:t>Mech Ageing Dev. 2007;128(1):92‐105. doi:10.1016/j.mad.2006.11.016</w:t>
      </w:r>
    </w:p>
    <w:p w:rsidR="008F6FFE" w:rsidRPr="00F976A5" w:rsidRDefault="008F6FFE" w:rsidP="00643447">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76A5">
        <w:rPr>
          <w:rFonts w:asciiTheme="minorHAnsi" w:hAnsiTheme="minorHAnsi"/>
          <w:color w:val="000000" w:themeColor="text1"/>
          <w:sz w:val="16"/>
          <w:szCs w:val="16"/>
          <w:lang w:val="en-US"/>
        </w:rPr>
        <w:t>Inflammaging and anti-inflammaging: a systemic perspective on aging and longevity emerged from studies in humans. </w:t>
      </w:r>
    </w:p>
    <w:p w:rsidR="008F6FFE" w:rsidRPr="00286405" w:rsidRDefault="008F6FFE" w:rsidP="00643447">
      <w:pPr>
        <w:pStyle w:val="labs-full-docsum"/>
        <w:shd w:val="clear" w:color="auto" w:fill="FFFFFF"/>
        <w:spacing w:before="0" w:beforeAutospacing="0" w:after="0" w:afterAutospacing="0"/>
        <w:rPr>
          <w:rFonts w:asciiTheme="minorHAnsi" w:hAnsiTheme="minorHAnsi"/>
          <w:color w:val="000000" w:themeColor="text1"/>
          <w:sz w:val="16"/>
          <w:szCs w:val="16"/>
        </w:rPr>
      </w:pPr>
      <w:r w:rsidRPr="00286405">
        <w:rPr>
          <w:rFonts w:asciiTheme="minorHAnsi" w:hAnsiTheme="minorHAnsi"/>
          <w:color w:val="000000" w:themeColor="text1"/>
          <w:sz w:val="16"/>
          <w:szCs w:val="16"/>
        </w:rPr>
        <w:t>Franceschi C, et al.</w:t>
      </w:r>
    </w:p>
    <w:p w:rsidR="008F6FFE" w:rsidRPr="009A3C07"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07" w:history="1">
        <w:r w:rsidR="008F6FFE" w:rsidRPr="009A3C07">
          <w:rPr>
            <w:rFonts w:asciiTheme="minorHAnsi" w:hAnsiTheme="minorHAnsi"/>
            <w:color w:val="000000" w:themeColor="text1"/>
            <w:sz w:val="16"/>
            <w:szCs w:val="16"/>
          </w:rPr>
          <w:t>https://pubmed.ncbi.nlm.nih.gov/17116321/</w:t>
        </w:r>
      </w:hyperlink>
    </w:p>
    <w:p w:rsidR="008F6FFE" w:rsidRPr="00286405"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rPr>
      </w:pPr>
    </w:p>
  </w:footnote>
  <w:footnote w:id="195">
    <w:p w:rsidR="008F6FFE" w:rsidRPr="00F976A5"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76A5">
        <w:rPr>
          <w:rFonts w:asciiTheme="minorHAnsi" w:hAnsiTheme="minorHAnsi"/>
          <w:color w:val="000000" w:themeColor="text1"/>
          <w:sz w:val="16"/>
          <w:szCs w:val="16"/>
          <w:vertAlign w:val="superscript"/>
          <w:lang w:val="en-US"/>
        </w:rPr>
        <w:footnoteRef/>
      </w:r>
      <w:r w:rsidRPr="00A078ED">
        <w:rPr>
          <w:rFonts w:asciiTheme="minorHAnsi" w:hAnsiTheme="minorHAnsi"/>
          <w:color w:val="000000" w:themeColor="text1"/>
          <w:sz w:val="16"/>
          <w:szCs w:val="16"/>
          <w:vertAlign w:val="superscript"/>
          <w:lang w:val="en-US"/>
        </w:rPr>
        <w:t xml:space="preserve"> </w:t>
      </w:r>
      <w:r w:rsidRPr="00A078ED">
        <w:rPr>
          <w:rFonts w:asciiTheme="minorHAnsi" w:hAnsiTheme="minorHAnsi"/>
          <w:color w:val="000000" w:themeColor="text1"/>
          <w:sz w:val="16"/>
          <w:szCs w:val="16"/>
          <w:lang w:val="en-US"/>
        </w:rPr>
        <w:t xml:space="preserve">Front Immunol. </w:t>
      </w:r>
      <w:r w:rsidRPr="00F976A5">
        <w:rPr>
          <w:rFonts w:asciiTheme="minorHAnsi" w:hAnsiTheme="minorHAnsi"/>
          <w:color w:val="000000" w:themeColor="text1"/>
          <w:sz w:val="16"/>
          <w:szCs w:val="16"/>
          <w:lang w:val="en-US"/>
        </w:rPr>
        <w:t>2017;8:982. doi:10.3389/fimmu.2017.00982</w:t>
      </w:r>
    </w:p>
    <w:p w:rsidR="008F6FFE" w:rsidRPr="00F976A5"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76A5">
        <w:rPr>
          <w:rFonts w:asciiTheme="minorHAnsi" w:hAnsiTheme="minorHAnsi"/>
          <w:color w:val="000000" w:themeColor="text1"/>
          <w:sz w:val="16"/>
          <w:szCs w:val="16"/>
          <w:lang w:val="en-US"/>
        </w:rPr>
        <w:t>Immunobiography and the Heterogeneity of Immune Responses in the Elderly: A Focus on Inflammaging and Trained Immunity. </w:t>
      </w:r>
    </w:p>
    <w:p w:rsidR="008F6FFE" w:rsidRPr="00A078ED"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rPr>
      </w:pPr>
      <w:r w:rsidRPr="00F976A5">
        <w:rPr>
          <w:rFonts w:asciiTheme="minorHAnsi" w:hAnsiTheme="minorHAnsi"/>
          <w:color w:val="000000" w:themeColor="text1"/>
          <w:sz w:val="16"/>
          <w:szCs w:val="16"/>
        </w:rPr>
        <w:t xml:space="preserve">Franceschi C, Salvioli S, Garagnani </w:t>
      </w:r>
      <w:r w:rsidRPr="00A078ED">
        <w:rPr>
          <w:rFonts w:asciiTheme="minorHAnsi" w:hAnsiTheme="minorHAnsi"/>
          <w:color w:val="000000" w:themeColor="text1"/>
          <w:sz w:val="16"/>
          <w:szCs w:val="16"/>
        </w:rPr>
        <w:t>P, de Eguileor M, Monti D, Capri M.</w:t>
      </w:r>
    </w:p>
    <w:p w:rsidR="008F6FFE" w:rsidRPr="00A078ED"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08" w:history="1">
        <w:r w:rsidR="008F6FFE" w:rsidRPr="00A078ED">
          <w:rPr>
            <w:rFonts w:asciiTheme="minorHAnsi" w:hAnsiTheme="minorHAnsi"/>
            <w:color w:val="000000" w:themeColor="text1"/>
            <w:sz w:val="16"/>
            <w:szCs w:val="16"/>
          </w:rPr>
          <w:t>https://www.ncbi.nlm.nih.gov/pmc/articles/PMC5559470/</w:t>
        </w:r>
      </w:hyperlink>
    </w:p>
    <w:p w:rsidR="008F6FFE" w:rsidRPr="00A078ED" w:rsidRDefault="008F6FFE" w:rsidP="009A3C07">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F976A5"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76A5">
        <w:rPr>
          <w:rFonts w:asciiTheme="minorHAnsi" w:hAnsiTheme="minorHAnsi"/>
          <w:color w:val="000000" w:themeColor="text1"/>
          <w:sz w:val="16"/>
          <w:szCs w:val="16"/>
          <w:lang w:val="en-US"/>
        </w:rPr>
        <w:t>Front Immunol. 2018;8:1960. doi:10.3389/fimmu.2017.01960</w:t>
      </w:r>
    </w:p>
    <w:p w:rsidR="008F6FFE" w:rsidRPr="00F976A5"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76A5">
        <w:rPr>
          <w:rFonts w:asciiTheme="minorHAnsi" w:hAnsiTheme="minorHAnsi"/>
          <w:color w:val="000000" w:themeColor="text1"/>
          <w:sz w:val="16"/>
          <w:szCs w:val="16"/>
          <w:lang w:val="en-US"/>
        </w:rPr>
        <w:t>Immunosenescence and Inflamm-Aging As Two Sides of the Same Coin: Friends or Foes? </w:t>
      </w:r>
    </w:p>
    <w:p w:rsidR="008F6FFE" w:rsidRPr="00235A16"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lang w:val="de-DE"/>
        </w:rPr>
      </w:pPr>
      <w:r w:rsidRPr="00235A16">
        <w:rPr>
          <w:rFonts w:asciiTheme="minorHAnsi" w:hAnsiTheme="minorHAnsi"/>
          <w:color w:val="000000" w:themeColor="text1"/>
          <w:sz w:val="16"/>
          <w:szCs w:val="16"/>
          <w:lang w:val="de-DE"/>
        </w:rPr>
        <w:t>Fulop T, et al.</w:t>
      </w:r>
    </w:p>
    <w:p w:rsidR="008F6FFE" w:rsidRPr="00235A16"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lang w:val="de-DE"/>
        </w:rPr>
      </w:pPr>
      <w:hyperlink r:id="rId1209" w:history="1">
        <w:r w:rsidR="008F6FFE" w:rsidRPr="00235A16">
          <w:rPr>
            <w:rFonts w:asciiTheme="minorHAnsi" w:hAnsiTheme="minorHAnsi"/>
            <w:color w:val="000000" w:themeColor="text1"/>
            <w:sz w:val="16"/>
            <w:szCs w:val="16"/>
            <w:lang w:val="de-DE"/>
          </w:rPr>
          <w:t>https://www.ncbi.nlm.nih.gov/pmc/articles/PMC5767595/</w:t>
        </w:r>
      </w:hyperlink>
    </w:p>
    <w:p w:rsidR="008F6FFE" w:rsidRPr="00235A16"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lang w:val="de-DE"/>
        </w:rPr>
      </w:pPr>
    </w:p>
  </w:footnote>
  <w:footnote w:id="196">
    <w:p w:rsidR="008F6FFE"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76A5">
        <w:rPr>
          <w:rFonts w:asciiTheme="minorHAnsi" w:hAnsiTheme="minorHAnsi"/>
          <w:color w:val="000000" w:themeColor="text1"/>
          <w:sz w:val="16"/>
          <w:szCs w:val="16"/>
          <w:vertAlign w:val="superscript"/>
          <w:lang w:val="en-US"/>
        </w:rPr>
        <w:footnoteRef/>
      </w:r>
      <w:r w:rsidRPr="00F976A5">
        <w:rPr>
          <w:rFonts w:asciiTheme="minorHAnsi" w:hAnsiTheme="minorHAnsi"/>
          <w:color w:val="000000" w:themeColor="text1"/>
          <w:sz w:val="16"/>
          <w:szCs w:val="16"/>
          <w:vertAlign w:val="superscript"/>
          <w:lang w:val="en-US"/>
        </w:rPr>
        <w:t xml:space="preserve"> </w:t>
      </w:r>
      <w:r w:rsidRPr="00F976A5">
        <w:rPr>
          <w:rFonts w:asciiTheme="minorHAnsi" w:hAnsiTheme="minorHAnsi"/>
          <w:color w:val="000000" w:themeColor="text1"/>
          <w:sz w:val="16"/>
          <w:szCs w:val="16"/>
          <w:lang w:val="en-US"/>
        </w:rPr>
        <w:t xml:space="preserve">Trends Endocrinol Metab. 2017;28(3):199‐212. doi:10.1016/j.tem.2016.09.005 </w:t>
      </w:r>
    </w:p>
    <w:p w:rsidR="008F6FFE" w:rsidRPr="00286405"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rPr>
      </w:pPr>
      <w:r w:rsidRPr="00286405">
        <w:rPr>
          <w:rFonts w:asciiTheme="minorHAnsi" w:hAnsiTheme="minorHAnsi"/>
          <w:color w:val="000000" w:themeColor="text1"/>
          <w:sz w:val="16"/>
          <w:szCs w:val="16"/>
        </w:rPr>
        <w:t>Inflammaging and 'Garb-aging'</w:t>
      </w:r>
    </w:p>
    <w:p w:rsidR="008F6FFE" w:rsidRPr="00286405"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rPr>
      </w:pPr>
      <w:r w:rsidRPr="00286405">
        <w:rPr>
          <w:rFonts w:asciiTheme="minorHAnsi" w:hAnsiTheme="minorHAnsi"/>
          <w:color w:val="000000" w:themeColor="text1"/>
          <w:sz w:val="16"/>
          <w:szCs w:val="16"/>
        </w:rPr>
        <w:t>Franceschi C, Garagnani P, Vitale G, Capri M, Salvioli S</w:t>
      </w:r>
    </w:p>
    <w:p w:rsidR="008F6FFE" w:rsidRPr="00286405"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10" w:history="1">
        <w:r w:rsidR="008F6FFE" w:rsidRPr="009A3C07">
          <w:rPr>
            <w:rFonts w:asciiTheme="minorHAnsi" w:hAnsiTheme="minorHAnsi"/>
            <w:color w:val="000000" w:themeColor="text1"/>
            <w:sz w:val="16"/>
            <w:szCs w:val="16"/>
          </w:rPr>
          <w:t>https://pubmed.ncbi.nlm.nih.gov/27789101/</w:t>
        </w:r>
      </w:hyperlink>
    </w:p>
  </w:footnote>
  <w:footnote w:id="197">
    <w:p w:rsidR="008F6FFE" w:rsidRPr="00F976A5"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76A5">
        <w:rPr>
          <w:rFonts w:asciiTheme="minorHAnsi" w:hAnsiTheme="minorHAnsi"/>
          <w:color w:val="000000" w:themeColor="text1"/>
          <w:sz w:val="16"/>
          <w:szCs w:val="16"/>
          <w:vertAlign w:val="superscript"/>
          <w:lang w:val="en-US"/>
        </w:rPr>
        <w:footnoteRef/>
      </w:r>
      <w:r w:rsidRPr="00F976A5">
        <w:rPr>
          <w:rFonts w:asciiTheme="minorHAnsi" w:hAnsiTheme="minorHAnsi"/>
          <w:color w:val="000000" w:themeColor="text1"/>
          <w:sz w:val="16"/>
          <w:szCs w:val="16"/>
          <w:vertAlign w:val="superscript"/>
          <w:lang w:val="en-US"/>
        </w:rPr>
        <w:t xml:space="preserve"> </w:t>
      </w:r>
      <w:r w:rsidRPr="00F976A5">
        <w:rPr>
          <w:rFonts w:asciiTheme="minorHAnsi" w:hAnsiTheme="minorHAnsi"/>
          <w:color w:val="000000" w:themeColor="text1"/>
          <w:sz w:val="16"/>
          <w:szCs w:val="16"/>
          <w:lang w:val="en-US"/>
        </w:rPr>
        <w:t xml:space="preserve">Mech Ageing Dev. 2007;128(1):92‐105. doi:10.1016/j.mad.2006.11.016 </w:t>
      </w:r>
    </w:p>
    <w:p w:rsidR="008F6FFE" w:rsidRPr="00F976A5"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76A5">
        <w:rPr>
          <w:rFonts w:asciiTheme="minorHAnsi" w:hAnsiTheme="minorHAnsi"/>
          <w:color w:val="000000" w:themeColor="text1"/>
          <w:sz w:val="16"/>
          <w:szCs w:val="16"/>
          <w:lang w:val="en-US"/>
        </w:rPr>
        <w:t>Inflammaging and anti-inflammaging: a systemic perspective on aging and longevity emerged from studies in humans. </w:t>
      </w:r>
    </w:p>
    <w:p w:rsidR="008F6FFE" w:rsidRPr="009A3C07" w:rsidRDefault="008F6FFE" w:rsidP="00F976A5">
      <w:pPr>
        <w:pStyle w:val="labs-full-docsum"/>
        <w:shd w:val="clear" w:color="auto" w:fill="FFFFFF"/>
        <w:spacing w:before="0" w:beforeAutospacing="0" w:after="0" w:afterAutospacing="0"/>
        <w:rPr>
          <w:rFonts w:asciiTheme="minorHAnsi" w:hAnsiTheme="minorHAnsi"/>
          <w:color w:val="000000" w:themeColor="text1"/>
          <w:sz w:val="16"/>
          <w:szCs w:val="16"/>
        </w:rPr>
      </w:pPr>
      <w:r w:rsidRPr="009A3C07">
        <w:rPr>
          <w:rFonts w:asciiTheme="minorHAnsi" w:hAnsiTheme="minorHAnsi"/>
          <w:color w:val="000000" w:themeColor="text1"/>
          <w:sz w:val="16"/>
          <w:szCs w:val="16"/>
        </w:rPr>
        <w:t xml:space="preserve">Franceschi C, et al. </w:t>
      </w:r>
    </w:p>
    <w:p w:rsidR="008F6FFE" w:rsidRPr="00A078ED"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11" w:history="1">
        <w:r w:rsidR="008F6FFE" w:rsidRPr="00A078ED">
          <w:rPr>
            <w:rFonts w:asciiTheme="minorHAnsi" w:hAnsiTheme="minorHAnsi"/>
            <w:color w:val="000000" w:themeColor="text1"/>
            <w:sz w:val="16"/>
            <w:szCs w:val="16"/>
          </w:rPr>
          <w:t>https://pubmed.ncbi.nlm.nih.gov/17116321/</w:t>
        </w:r>
      </w:hyperlink>
    </w:p>
    <w:p w:rsidR="008F6FFE" w:rsidRPr="009A3C07" w:rsidRDefault="008F6FFE" w:rsidP="00AC1CDF">
      <w:pPr>
        <w:autoSpaceDE w:val="0"/>
        <w:autoSpaceDN w:val="0"/>
        <w:adjustRightInd w:val="0"/>
        <w:rPr>
          <w:rFonts w:asciiTheme="minorHAnsi" w:hAnsiTheme="minorHAnsi" w:cstheme="minorHAnsi"/>
          <w:sz w:val="16"/>
          <w:szCs w:val="16"/>
        </w:rPr>
      </w:pPr>
    </w:p>
  </w:footnote>
  <w:footnote w:id="198">
    <w:p w:rsidR="008F6FFE" w:rsidRPr="00533DE1"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E2570C">
        <w:rPr>
          <w:rFonts w:asciiTheme="minorHAnsi" w:hAnsiTheme="minorHAnsi"/>
          <w:color w:val="000000" w:themeColor="text1"/>
          <w:sz w:val="16"/>
          <w:szCs w:val="16"/>
          <w:vertAlign w:val="superscript"/>
        </w:rPr>
        <w:footnoteRef/>
      </w:r>
      <w:r w:rsidRPr="00131CE6">
        <w:rPr>
          <w:rFonts w:asciiTheme="minorHAnsi" w:hAnsiTheme="minorHAnsi"/>
          <w:color w:val="000000" w:themeColor="text1"/>
          <w:sz w:val="16"/>
          <w:szCs w:val="16"/>
          <w:vertAlign w:val="superscript"/>
          <w:lang w:val="en-US"/>
        </w:rPr>
        <w:t xml:space="preserve"> </w:t>
      </w:r>
      <w:r w:rsidRPr="00533DE1">
        <w:rPr>
          <w:rFonts w:asciiTheme="minorHAnsi" w:hAnsiTheme="minorHAnsi"/>
          <w:color w:val="000000" w:themeColor="text1"/>
          <w:sz w:val="16"/>
          <w:szCs w:val="16"/>
          <w:lang w:val="en-US"/>
        </w:rPr>
        <w:t xml:space="preserve">J Gerontol A Biol Sci Med Sci. 2014;69 Suppl 1:S4‐S9. </w:t>
      </w:r>
    </w:p>
    <w:p w:rsidR="008F6FFE" w:rsidRPr="00533DE1"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533DE1">
        <w:rPr>
          <w:rFonts w:asciiTheme="minorHAnsi" w:hAnsiTheme="minorHAnsi"/>
          <w:color w:val="000000" w:themeColor="text1"/>
          <w:sz w:val="16"/>
          <w:szCs w:val="16"/>
          <w:lang w:val="en-US"/>
        </w:rPr>
        <w:t>Chronic inflammation (inflammaging) and its potential contribution to age-associated diseases. doi:10.1093/gerona/glu057</w:t>
      </w:r>
    </w:p>
    <w:p w:rsidR="008F6FFE" w:rsidRPr="00A078ED"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 xml:space="preserve">Franceschi C, Campisi J. </w:t>
      </w:r>
    </w:p>
    <w:p w:rsidR="008F6FFE" w:rsidRPr="00A078ED"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12" w:history="1">
        <w:r w:rsidR="008F6FFE" w:rsidRPr="00A078ED">
          <w:rPr>
            <w:rFonts w:asciiTheme="minorHAnsi" w:hAnsiTheme="minorHAnsi"/>
            <w:color w:val="000000" w:themeColor="text1"/>
            <w:sz w:val="16"/>
            <w:szCs w:val="16"/>
          </w:rPr>
          <w:t>https://academic.oup.com/biomedgerontology/article/69/Suppl_1/S4/587037</w:t>
        </w:r>
      </w:hyperlink>
    </w:p>
    <w:p w:rsidR="008F6FFE" w:rsidRPr="00A078ED"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533DE1"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533DE1">
        <w:rPr>
          <w:rFonts w:asciiTheme="minorHAnsi" w:hAnsiTheme="minorHAnsi"/>
          <w:color w:val="000000" w:themeColor="text1"/>
          <w:sz w:val="16"/>
          <w:szCs w:val="16"/>
          <w:lang w:val="en-US"/>
        </w:rPr>
        <w:t>Mech Ageing Dev. 2003;124(4):487‐493. doi:10.1016/s0047-6374(03)00025-3</w:t>
      </w:r>
    </w:p>
    <w:p w:rsidR="008F6FFE" w:rsidRPr="00533DE1"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533DE1">
        <w:rPr>
          <w:rFonts w:asciiTheme="minorHAnsi" w:hAnsiTheme="minorHAnsi"/>
          <w:color w:val="000000" w:themeColor="text1"/>
          <w:sz w:val="16"/>
          <w:szCs w:val="16"/>
          <w:lang w:val="en-US"/>
        </w:rPr>
        <w:t>Plasma cytokine profiles in elderly humans. </w:t>
      </w:r>
    </w:p>
    <w:p w:rsidR="008F6FFE" w:rsidRPr="00533DE1"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533DE1">
        <w:rPr>
          <w:rFonts w:asciiTheme="minorHAnsi" w:hAnsiTheme="minorHAnsi"/>
          <w:color w:val="000000" w:themeColor="text1"/>
          <w:sz w:val="16"/>
          <w:szCs w:val="16"/>
          <w:lang w:val="en-US"/>
        </w:rPr>
        <w:t>Forsey RJ, et al.</w:t>
      </w:r>
    </w:p>
    <w:p w:rsidR="008F6FFE" w:rsidRPr="009A3C07"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13" w:history="1">
        <w:r w:rsidR="008F6FFE" w:rsidRPr="009A3C07">
          <w:rPr>
            <w:rFonts w:asciiTheme="minorHAnsi" w:hAnsiTheme="minorHAnsi"/>
            <w:color w:val="000000" w:themeColor="text1"/>
            <w:sz w:val="16"/>
            <w:szCs w:val="16"/>
            <w:lang w:val="en-US"/>
          </w:rPr>
          <w:t>https://pubmed.ncbi.nlm.nih.gov/12714257/</w:t>
        </w:r>
      </w:hyperlink>
    </w:p>
    <w:p w:rsidR="008F6FFE" w:rsidRPr="009A3C07" w:rsidRDefault="008F6FFE" w:rsidP="009A3C07">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533DE1"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533DE1">
        <w:rPr>
          <w:rFonts w:asciiTheme="minorHAnsi" w:hAnsiTheme="minorHAnsi"/>
          <w:color w:val="000000" w:themeColor="text1"/>
          <w:sz w:val="16"/>
          <w:szCs w:val="16"/>
          <w:lang w:val="en-US"/>
        </w:rPr>
        <w:t xml:space="preserve">J Am Geriatr Soc. 1999;47(6):639‐646. doi:10.1111/j.1532-5415.1999.tb01583.x </w:t>
      </w:r>
    </w:p>
    <w:p w:rsidR="008F6FFE" w:rsidRPr="00533DE1"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533DE1">
        <w:rPr>
          <w:rFonts w:asciiTheme="minorHAnsi" w:hAnsiTheme="minorHAnsi"/>
          <w:color w:val="000000" w:themeColor="text1"/>
          <w:sz w:val="16"/>
          <w:szCs w:val="16"/>
          <w:lang w:val="en-US"/>
        </w:rPr>
        <w:t>Serum IL-6 level and the development of disability in older persons. </w:t>
      </w:r>
    </w:p>
    <w:p w:rsidR="008F6FFE" w:rsidRPr="00A078ED"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Ferrucci L, et al.</w:t>
      </w:r>
    </w:p>
    <w:p w:rsidR="008F6FFE" w:rsidRPr="00A078ED"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14" w:history="1">
        <w:r w:rsidR="008F6FFE" w:rsidRPr="00A078ED">
          <w:rPr>
            <w:rFonts w:asciiTheme="minorHAnsi" w:hAnsiTheme="minorHAnsi"/>
            <w:color w:val="000000" w:themeColor="text1"/>
            <w:sz w:val="16"/>
            <w:szCs w:val="16"/>
          </w:rPr>
          <w:t>https://pubmed.ncbi.nlm.nih.gov/10366160/</w:t>
        </w:r>
      </w:hyperlink>
    </w:p>
    <w:p w:rsidR="008F6FFE" w:rsidRPr="00A078ED" w:rsidRDefault="008F6FFE" w:rsidP="009A3C07">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9A3C07"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9A3C07">
        <w:rPr>
          <w:rFonts w:asciiTheme="minorHAnsi" w:hAnsiTheme="minorHAnsi"/>
          <w:color w:val="000000" w:themeColor="text1"/>
          <w:sz w:val="16"/>
          <w:szCs w:val="16"/>
          <w:lang w:val="en-US"/>
        </w:rPr>
        <w:t xml:space="preserve">Life Sci. 1992;51(25):1953‐1956. doi:10.1016/0024-3205(92)90112-3 </w:t>
      </w:r>
    </w:p>
    <w:p w:rsidR="008F6FFE" w:rsidRPr="00533DE1"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533DE1">
        <w:rPr>
          <w:rFonts w:asciiTheme="minorHAnsi" w:hAnsiTheme="minorHAnsi"/>
          <w:color w:val="000000" w:themeColor="text1"/>
          <w:sz w:val="16"/>
          <w:szCs w:val="16"/>
          <w:lang w:val="en-US"/>
        </w:rPr>
        <w:t>Increase of plasma IL-6 concentration with age in healthy subjects. </w:t>
      </w:r>
    </w:p>
    <w:p w:rsidR="008F6FFE" w:rsidRPr="00235A16"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de-DE"/>
        </w:rPr>
      </w:pPr>
      <w:r w:rsidRPr="00235A16">
        <w:rPr>
          <w:rFonts w:asciiTheme="minorHAnsi" w:hAnsiTheme="minorHAnsi"/>
          <w:color w:val="000000" w:themeColor="text1"/>
          <w:sz w:val="16"/>
          <w:szCs w:val="16"/>
          <w:lang w:val="de-DE"/>
        </w:rPr>
        <w:t xml:space="preserve">Wei J, Xu H, Davies JL, Hemmings GP. </w:t>
      </w:r>
    </w:p>
    <w:p w:rsidR="008F6FFE" w:rsidRPr="00235A16" w:rsidRDefault="0052743C" w:rsidP="009A3C07">
      <w:pPr>
        <w:pStyle w:val="labs-full-docsum"/>
        <w:shd w:val="clear" w:color="auto" w:fill="FFFFFF"/>
        <w:spacing w:before="0" w:beforeAutospacing="0" w:after="0" w:afterAutospacing="0"/>
        <w:rPr>
          <w:rFonts w:asciiTheme="minorHAnsi" w:hAnsiTheme="minorHAnsi"/>
          <w:color w:val="000000" w:themeColor="text1"/>
          <w:sz w:val="16"/>
          <w:szCs w:val="16"/>
          <w:lang w:val="de-DE"/>
        </w:rPr>
      </w:pPr>
      <w:hyperlink r:id="rId1215" w:history="1">
        <w:r w:rsidR="008F6FFE" w:rsidRPr="00235A16">
          <w:rPr>
            <w:rFonts w:asciiTheme="minorHAnsi" w:hAnsiTheme="minorHAnsi"/>
            <w:color w:val="000000" w:themeColor="text1"/>
            <w:sz w:val="16"/>
            <w:szCs w:val="16"/>
            <w:lang w:val="de-DE"/>
          </w:rPr>
          <w:t>https://pubmed.ncbi.nlm.nih.gov/1453878/</w:t>
        </w:r>
      </w:hyperlink>
    </w:p>
    <w:p w:rsidR="008F6FFE" w:rsidRPr="00235A16" w:rsidRDefault="008F6FFE" w:rsidP="00533DE1">
      <w:pPr>
        <w:pStyle w:val="labs-full-docsum"/>
        <w:shd w:val="clear" w:color="auto" w:fill="FFFFFF"/>
        <w:spacing w:before="0" w:beforeAutospacing="0" w:after="0" w:afterAutospacing="0"/>
        <w:rPr>
          <w:rFonts w:asciiTheme="minorHAnsi" w:hAnsiTheme="minorHAnsi"/>
          <w:color w:val="000000" w:themeColor="text1"/>
          <w:sz w:val="16"/>
          <w:szCs w:val="16"/>
          <w:lang w:val="de-DE"/>
        </w:rPr>
      </w:pPr>
    </w:p>
    <w:p w:rsidR="008F6FFE" w:rsidRPr="00131CE6"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131CE6">
        <w:rPr>
          <w:rFonts w:asciiTheme="minorHAnsi" w:hAnsiTheme="minorHAnsi"/>
          <w:color w:val="000000" w:themeColor="text1"/>
          <w:sz w:val="16"/>
          <w:szCs w:val="16"/>
          <w:lang w:val="en-US"/>
        </w:rPr>
        <w:t>Ageing Res Rev. 2009;8(1):36‐42. doi:10.1016/j.arr.2008.09.001</w:t>
      </w:r>
    </w:p>
    <w:p w:rsidR="008F6FFE" w:rsidRPr="00286405"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Effect of interleukin-6 polymorphisms on human longevity: a systematic review and meta-analysis. </w:t>
      </w:r>
    </w:p>
    <w:p w:rsidR="008F6FFE" w:rsidRPr="00A078ED"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Di Bona D, et al.</w:t>
      </w:r>
    </w:p>
    <w:p w:rsidR="008F6FFE" w:rsidRPr="00A078ED" w:rsidRDefault="0052743C" w:rsidP="004E278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16" w:history="1">
        <w:r w:rsidR="008F6FFE" w:rsidRPr="00A078ED">
          <w:rPr>
            <w:rFonts w:asciiTheme="minorHAnsi" w:hAnsiTheme="minorHAnsi"/>
            <w:color w:val="000000" w:themeColor="text1"/>
            <w:sz w:val="16"/>
            <w:szCs w:val="16"/>
          </w:rPr>
          <w:t>https://pubmed.ncbi.nlm.nih.gov/18930842/</w:t>
        </w:r>
      </w:hyperlink>
    </w:p>
    <w:p w:rsidR="008F6FFE" w:rsidRPr="00A078ED" w:rsidRDefault="008F6FFE" w:rsidP="004E2787">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286405"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J Nutr Health Aging. 2009;13(4):390‐394. doi:10.1007/s12603-009-0051-8</w:t>
      </w:r>
    </w:p>
    <w:p w:rsidR="008F6FFE" w:rsidRPr="00286405"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Frailty: defining and measuring of a concept. </w:t>
      </w:r>
    </w:p>
    <w:p w:rsidR="008F6FFE" w:rsidRPr="00235A16"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de-DE"/>
        </w:rPr>
      </w:pPr>
      <w:r w:rsidRPr="00235A16">
        <w:rPr>
          <w:rFonts w:asciiTheme="minorHAnsi" w:hAnsiTheme="minorHAnsi"/>
          <w:color w:val="000000" w:themeColor="text1"/>
          <w:sz w:val="16"/>
          <w:szCs w:val="16"/>
          <w:lang w:val="de-DE"/>
        </w:rPr>
        <w:t xml:space="preserve">Pel-Littel RE, Schuurmans MJ, Emmelot-Vonk MH, Verhaar HJ. </w:t>
      </w:r>
    </w:p>
    <w:p w:rsidR="008F6FFE" w:rsidRPr="00235A16" w:rsidRDefault="0052743C" w:rsidP="004E2787">
      <w:pPr>
        <w:pStyle w:val="labs-full-docsum"/>
        <w:shd w:val="clear" w:color="auto" w:fill="FFFFFF"/>
        <w:spacing w:before="0" w:beforeAutospacing="0" w:after="0" w:afterAutospacing="0"/>
        <w:rPr>
          <w:rFonts w:asciiTheme="minorHAnsi" w:hAnsiTheme="minorHAnsi"/>
          <w:color w:val="000000" w:themeColor="text1"/>
          <w:sz w:val="16"/>
          <w:szCs w:val="16"/>
          <w:lang w:val="de-DE"/>
        </w:rPr>
      </w:pPr>
      <w:hyperlink r:id="rId1217" w:history="1">
        <w:r w:rsidR="008F6FFE" w:rsidRPr="00235A16">
          <w:rPr>
            <w:rFonts w:asciiTheme="minorHAnsi" w:hAnsiTheme="minorHAnsi"/>
            <w:color w:val="000000" w:themeColor="text1"/>
            <w:sz w:val="16"/>
            <w:szCs w:val="16"/>
            <w:lang w:val="de-DE"/>
          </w:rPr>
          <w:t>https://pubmed.ncbi.nlm.nih.gov/19300888/</w:t>
        </w:r>
      </w:hyperlink>
    </w:p>
    <w:p w:rsidR="008F6FFE" w:rsidRPr="00235A16"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de-DE"/>
        </w:rPr>
      </w:pPr>
    </w:p>
    <w:p w:rsidR="008F6FFE" w:rsidRPr="00286405"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Biogerontology. 2010;11(5):527‐536. doi:10.1007/s10522-010-9297-0</w:t>
      </w:r>
    </w:p>
    <w:p w:rsidR="008F6FFE" w:rsidRPr="00286405"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Frailty and muscle metabolism dysregulation in the elderly. </w:t>
      </w:r>
    </w:p>
    <w:p w:rsidR="008F6FFE" w:rsidRDefault="008F6FFE" w:rsidP="00E2570C">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Evans WJ, et al</w:t>
      </w:r>
    </w:p>
    <w:p w:rsidR="008F6FFE" w:rsidRPr="004E2787" w:rsidRDefault="0052743C" w:rsidP="004E2787">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18" w:history="1">
        <w:r w:rsidR="008F6FFE" w:rsidRPr="004E2787">
          <w:rPr>
            <w:rFonts w:asciiTheme="minorHAnsi" w:hAnsiTheme="minorHAnsi"/>
            <w:color w:val="000000" w:themeColor="text1"/>
            <w:sz w:val="16"/>
            <w:szCs w:val="16"/>
            <w:lang w:val="en-US"/>
          </w:rPr>
          <w:t>https://pubmed.ncbi.nlm.nih.gov/20683658/</w:t>
        </w:r>
      </w:hyperlink>
    </w:p>
    <w:p w:rsidR="008F6FFE" w:rsidRPr="004E2787" w:rsidRDefault="008F6FFE" w:rsidP="00E2570C">
      <w:pPr>
        <w:pStyle w:val="labs-full-docsum"/>
        <w:shd w:val="clear" w:color="auto" w:fill="FFFFFF"/>
        <w:spacing w:before="0" w:beforeAutospacing="0" w:after="0" w:afterAutospacing="0"/>
        <w:rPr>
          <w:rFonts w:asciiTheme="minorHAnsi" w:hAnsiTheme="minorHAnsi" w:cstheme="minorHAnsi"/>
          <w:sz w:val="16"/>
          <w:szCs w:val="16"/>
          <w:lang w:val="en-US"/>
        </w:rPr>
      </w:pPr>
    </w:p>
  </w:footnote>
  <w:footnote w:id="199">
    <w:p w:rsidR="008F6FFE" w:rsidRPr="00966CD2" w:rsidRDefault="008F6FFE" w:rsidP="00966CD2">
      <w:pPr>
        <w:autoSpaceDE w:val="0"/>
        <w:autoSpaceDN w:val="0"/>
        <w:adjustRightInd w:val="0"/>
        <w:rPr>
          <w:rFonts w:asciiTheme="minorHAnsi" w:eastAsiaTheme="minorHAnsi" w:hAnsiTheme="minorHAnsi"/>
          <w:sz w:val="16"/>
          <w:szCs w:val="16"/>
          <w:lang w:val="en-US" w:eastAsia="en-US"/>
        </w:rPr>
      </w:pPr>
      <w:r w:rsidRPr="00CC466F">
        <w:rPr>
          <w:rStyle w:val="FootnoteReference"/>
          <w:rFonts w:asciiTheme="minorHAnsi" w:hAnsiTheme="minorHAnsi"/>
          <w:sz w:val="16"/>
          <w:szCs w:val="16"/>
        </w:rPr>
        <w:footnoteRef/>
      </w:r>
      <w:r w:rsidRPr="00CC466F">
        <w:rPr>
          <w:rFonts w:asciiTheme="minorHAnsi" w:hAnsiTheme="minorHAnsi"/>
          <w:sz w:val="16"/>
          <w:szCs w:val="16"/>
          <w:lang w:val="en-US"/>
        </w:rPr>
        <w:t xml:space="preserve"> </w:t>
      </w:r>
      <w:r w:rsidRPr="00966CD2">
        <w:rPr>
          <w:rFonts w:asciiTheme="minorHAnsi" w:eastAsiaTheme="minorHAnsi" w:hAnsiTheme="minorHAnsi"/>
          <w:sz w:val="16"/>
          <w:szCs w:val="16"/>
          <w:lang w:val="en-US" w:eastAsia="en-US"/>
        </w:rPr>
        <w:t xml:space="preserve">Exp Gerontol. 2018;105:4‐9. doi:10.1016/j.exger.2017.10.024 </w:t>
      </w:r>
    </w:p>
    <w:p w:rsidR="008F6FFE" w:rsidRPr="00966CD2" w:rsidRDefault="008F6FFE" w:rsidP="00966CD2">
      <w:pPr>
        <w:autoSpaceDE w:val="0"/>
        <w:autoSpaceDN w:val="0"/>
        <w:adjustRightInd w:val="0"/>
        <w:rPr>
          <w:rFonts w:asciiTheme="minorHAnsi" w:eastAsiaTheme="minorHAnsi" w:hAnsiTheme="minorHAnsi"/>
          <w:sz w:val="16"/>
          <w:szCs w:val="16"/>
          <w:lang w:val="en-US" w:eastAsia="en-US"/>
        </w:rPr>
      </w:pPr>
      <w:r w:rsidRPr="00966CD2">
        <w:rPr>
          <w:rFonts w:asciiTheme="minorHAnsi" w:eastAsiaTheme="minorHAnsi" w:hAnsiTheme="minorHAnsi"/>
          <w:sz w:val="16"/>
          <w:szCs w:val="16"/>
          <w:lang w:val="en-US" w:eastAsia="en-US"/>
        </w:rPr>
        <w:t>Age and immunity: What is "immunosenescence"?</w:t>
      </w:r>
    </w:p>
    <w:p w:rsidR="008F6FFE" w:rsidRPr="00966CD2" w:rsidRDefault="008F6FFE" w:rsidP="00966CD2">
      <w:pPr>
        <w:autoSpaceDE w:val="0"/>
        <w:autoSpaceDN w:val="0"/>
        <w:adjustRightInd w:val="0"/>
        <w:rPr>
          <w:rFonts w:asciiTheme="minorHAnsi" w:eastAsiaTheme="minorHAnsi" w:hAnsiTheme="minorHAnsi"/>
          <w:sz w:val="16"/>
          <w:szCs w:val="16"/>
          <w:lang w:val="en-US" w:eastAsia="en-US"/>
        </w:rPr>
      </w:pPr>
      <w:r w:rsidRPr="00966CD2">
        <w:rPr>
          <w:rFonts w:asciiTheme="minorHAnsi" w:eastAsiaTheme="minorHAnsi" w:hAnsiTheme="minorHAnsi"/>
          <w:sz w:val="16"/>
          <w:szCs w:val="16"/>
          <w:lang w:val="en-US" w:eastAsia="en-US"/>
        </w:rPr>
        <w:t xml:space="preserve">Pawelec G. </w:t>
      </w:r>
    </w:p>
    <w:p w:rsidR="008F6FFE" w:rsidRPr="004E2787" w:rsidRDefault="0052743C" w:rsidP="00966CD2">
      <w:pPr>
        <w:autoSpaceDE w:val="0"/>
        <w:autoSpaceDN w:val="0"/>
        <w:adjustRightInd w:val="0"/>
        <w:rPr>
          <w:rFonts w:asciiTheme="minorHAnsi" w:eastAsiaTheme="minorHAnsi" w:hAnsiTheme="minorHAnsi"/>
          <w:sz w:val="16"/>
          <w:szCs w:val="16"/>
          <w:lang w:val="en-US" w:eastAsia="en-US"/>
        </w:rPr>
      </w:pPr>
      <w:hyperlink r:id="rId1219" w:history="1">
        <w:r w:rsidR="008F6FFE" w:rsidRPr="004E2787">
          <w:rPr>
            <w:rFonts w:asciiTheme="minorHAnsi" w:eastAsiaTheme="minorHAnsi" w:hAnsiTheme="minorHAnsi"/>
            <w:sz w:val="16"/>
            <w:szCs w:val="16"/>
            <w:lang w:val="en-US" w:eastAsia="en-US"/>
          </w:rPr>
          <w:t>https://pubmed.ncbi.nlm.nih.gov/29111233/</w:t>
        </w:r>
      </w:hyperlink>
    </w:p>
  </w:footnote>
  <w:footnote w:id="200">
    <w:p w:rsidR="008F6FFE" w:rsidRPr="00966CD2" w:rsidRDefault="008F6FFE" w:rsidP="00966CD2">
      <w:pPr>
        <w:autoSpaceDE w:val="0"/>
        <w:autoSpaceDN w:val="0"/>
        <w:adjustRightInd w:val="0"/>
        <w:rPr>
          <w:rFonts w:asciiTheme="minorHAnsi" w:eastAsiaTheme="minorHAnsi" w:hAnsiTheme="minorHAnsi"/>
          <w:sz w:val="16"/>
          <w:szCs w:val="16"/>
          <w:lang w:val="en-US" w:eastAsia="en-US"/>
        </w:rPr>
      </w:pPr>
      <w:r w:rsidRPr="00966CD2">
        <w:rPr>
          <w:rFonts w:asciiTheme="minorHAnsi" w:eastAsiaTheme="minorHAnsi" w:hAnsiTheme="minorHAnsi"/>
          <w:sz w:val="16"/>
          <w:szCs w:val="16"/>
          <w:vertAlign w:val="superscript"/>
          <w:lang w:val="en-US" w:eastAsia="en-US"/>
        </w:rPr>
        <w:footnoteRef/>
      </w:r>
      <w:r w:rsidRPr="00966CD2">
        <w:rPr>
          <w:rFonts w:asciiTheme="minorHAnsi" w:eastAsiaTheme="minorHAnsi" w:hAnsiTheme="minorHAnsi"/>
          <w:sz w:val="16"/>
          <w:szCs w:val="16"/>
          <w:lang w:val="en-US" w:eastAsia="en-US"/>
        </w:rPr>
        <w:t xml:space="preserve"> Biogerontology. 2016;17(1):147‐157. doi:10.1007/s10522-015-9615-7</w:t>
      </w:r>
    </w:p>
    <w:p w:rsidR="008F6FFE" w:rsidRPr="00966CD2" w:rsidRDefault="008F6FFE" w:rsidP="00966CD2">
      <w:pPr>
        <w:autoSpaceDE w:val="0"/>
        <w:autoSpaceDN w:val="0"/>
        <w:adjustRightInd w:val="0"/>
        <w:rPr>
          <w:rFonts w:asciiTheme="minorHAnsi" w:eastAsiaTheme="minorHAnsi" w:hAnsiTheme="minorHAnsi"/>
          <w:sz w:val="16"/>
          <w:szCs w:val="16"/>
          <w:lang w:val="en-US" w:eastAsia="en-US"/>
        </w:rPr>
      </w:pPr>
      <w:r w:rsidRPr="00966CD2">
        <w:rPr>
          <w:rFonts w:asciiTheme="minorHAnsi" w:eastAsiaTheme="minorHAnsi" w:hAnsiTheme="minorHAnsi"/>
          <w:sz w:val="16"/>
          <w:szCs w:val="16"/>
          <w:lang w:val="en-US" w:eastAsia="en-US"/>
        </w:rPr>
        <w:t>From inflamm-aging to immune-paralysis: a slippery slope during aging for immune-adaptation. </w:t>
      </w:r>
    </w:p>
    <w:p w:rsidR="008F6FFE" w:rsidRPr="00235A16" w:rsidRDefault="008F6FFE" w:rsidP="00966CD2">
      <w:pPr>
        <w:autoSpaceDE w:val="0"/>
        <w:autoSpaceDN w:val="0"/>
        <w:adjustRightInd w:val="0"/>
        <w:rPr>
          <w:rFonts w:asciiTheme="minorHAnsi" w:eastAsiaTheme="minorHAnsi" w:hAnsiTheme="minorHAnsi"/>
          <w:sz w:val="16"/>
          <w:szCs w:val="16"/>
          <w:lang w:val="de-DE" w:eastAsia="en-US"/>
        </w:rPr>
      </w:pPr>
      <w:r w:rsidRPr="00235A16">
        <w:rPr>
          <w:rFonts w:asciiTheme="minorHAnsi" w:eastAsiaTheme="minorHAnsi" w:hAnsiTheme="minorHAnsi"/>
          <w:sz w:val="16"/>
          <w:szCs w:val="16"/>
          <w:lang w:val="de-DE" w:eastAsia="en-US"/>
        </w:rPr>
        <w:t>Fulop T, et al.</w:t>
      </w:r>
    </w:p>
    <w:p w:rsidR="008F6FFE" w:rsidRPr="00235A16" w:rsidRDefault="0052743C" w:rsidP="004E2787">
      <w:pPr>
        <w:autoSpaceDE w:val="0"/>
        <w:autoSpaceDN w:val="0"/>
        <w:adjustRightInd w:val="0"/>
        <w:rPr>
          <w:rFonts w:asciiTheme="minorHAnsi" w:eastAsiaTheme="minorHAnsi" w:hAnsiTheme="minorHAnsi"/>
          <w:sz w:val="16"/>
          <w:szCs w:val="16"/>
          <w:lang w:val="de-DE" w:eastAsia="en-US"/>
        </w:rPr>
      </w:pPr>
      <w:hyperlink r:id="rId1220" w:history="1">
        <w:r w:rsidR="008F6FFE" w:rsidRPr="00235A16">
          <w:rPr>
            <w:rFonts w:asciiTheme="minorHAnsi" w:eastAsiaTheme="minorHAnsi" w:hAnsiTheme="minorHAnsi"/>
            <w:sz w:val="16"/>
            <w:szCs w:val="16"/>
            <w:lang w:val="de-DE" w:eastAsia="en-US"/>
          </w:rPr>
          <w:t>https://pubmed.ncbi.nlm.nih.gov/26472173/</w:t>
        </w:r>
      </w:hyperlink>
    </w:p>
    <w:p w:rsidR="008F6FFE" w:rsidRPr="00235A16" w:rsidRDefault="008F6FFE" w:rsidP="00966CD2">
      <w:pPr>
        <w:autoSpaceDE w:val="0"/>
        <w:autoSpaceDN w:val="0"/>
        <w:adjustRightInd w:val="0"/>
        <w:rPr>
          <w:rFonts w:asciiTheme="minorHAnsi" w:hAnsiTheme="minorHAnsi"/>
          <w:sz w:val="16"/>
          <w:szCs w:val="16"/>
          <w:lang w:val="de-DE"/>
        </w:rPr>
      </w:pPr>
    </w:p>
  </w:footnote>
  <w:footnote w:id="201">
    <w:p w:rsidR="008F6FFE" w:rsidRPr="00966CD2" w:rsidRDefault="008F6FFE" w:rsidP="00966CD2">
      <w:pPr>
        <w:autoSpaceDE w:val="0"/>
        <w:autoSpaceDN w:val="0"/>
        <w:adjustRightInd w:val="0"/>
        <w:rPr>
          <w:rFonts w:asciiTheme="minorHAnsi" w:eastAsiaTheme="minorHAnsi" w:hAnsiTheme="minorHAnsi"/>
          <w:sz w:val="16"/>
          <w:szCs w:val="16"/>
          <w:lang w:val="en-US" w:eastAsia="en-US"/>
        </w:rPr>
      </w:pPr>
      <w:r w:rsidRPr="00CC466F">
        <w:rPr>
          <w:rStyle w:val="FootnoteReference"/>
          <w:rFonts w:asciiTheme="minorHAnsi" w:hAnsiTheme="minorHAnsi"/>
          <w:sz w:val="16"/>
          <w:szCs w:val="16"/>
        </w:rPr>
        <w:footnoteRef/>
      </w:r>
      <w:r w:rsidRPr="00CC466F">
        <w:rPr>
          <w:rFonts w:asciiTheme="minorHAnsi" w:hAnsiTheme="minorHAnsi"/>
          <w:sz w:val="16"/>
          <w:szCs w:val="16"/>
          <w:lang w:val="en-US"/>
        </w:rPr>
        <w:t xml:space="preserve"> </w:t>
      </w:r>
      <w:r w:rsidRPr="00966CD2">
        <w:rPr>
          <w:rFonts w:asciiTheme="minorHAnsi" w:eastAsiaTheme="minorHAnsi" w:hAnsiTheme="minorHAnsi"/>
          <w:sz w:val="16"/>
          <w:szCs w:val="16"/>
          <w:lang w:val="en-US" w:eastAsia="en-US"/>
        </w:rPr>
        <w:t>Antioxid Redox Signal. 2018;29(11):1023‐1040. doi:10.1089/ars.2017.7310</w:t>
      </w:r>
    </w:p>
    <w:p w:rsidR="008F6FFE" w:rsidRPr="00966CD2" w:rsidRDefault="008F6FFE" w:rsidP="00966CD2">
      <w:pPr>
        <w:autoSpaceDE w:val="0"/>
        <w:autoSpaceDN w:val="0"/>
        <w:adjustRightInd w:val="0"/>
        <w:rPr>
          <w:rFonts w:asciiTheme="minorHAnsi" w:eastAsiaTheme="minorHAnsi" w:hAnsiTheme="minorHAnsi"/>
          <w:sz w:val="16"/>
          <w:szCs w:val="16"/>
          <w:lang w:val="en-US" w:eastAsia="en-US"/>
        </w:rPr>
      </w:pPr>
      <w:r w:rsidRPr="00966CD2">
        <w:rPr>
          <w:rFonts w:asciiTheme="minorHAnsi" w:eastAsiaTheme="minorHAnsi" w:hAnsiTheme="minorHAnsi"/>
          <w:sz w:val="16"/>
          <w:szCs w:val="16"/>
          <w:lang w:val="en-US" w:eastAsia="en-US"/>
        </w:rPr>
        <w:t>Epigenetics and Trained Immunity. </w:t>
      </w:r>
    </w:p>
    <w:p w:rsidR="008F6FFE" w:rsidRPr="00966CD2" w:rsidRDefault="008F6FFE" w:rsidP="00966CD2">
      <w:pPr>
        <w:autoSpaceDE w:val="0"/>
        <w:autoSpaceDN w:val="0"/>
        <w:adjustRightInd w:val="0"/>
        <w:rPr>
          <w:rFonts w:asciiTheme="minorHAnsi" w:eastAsiaTheme="minorHAnsi" w:hAnsiTheme="minorHAnsi"/>
          <w:sz w:val="16"/>
          <w:szCs w:val="16"/>
          <w:lang w:val="en-US" w:eastAsia="en-US"/>
        </w:rPr>
      </w:pPr>
      <w:r w:rsidRPr="00966CD2">
        <w:rPr>
          <w:rFonts w:asciiTheme="minorHAnsi" w:eastAsiaTheme="minorHAnsi" w:hAnsiTheme="minorHAnsi"/>
          <w:sz w:val="16"/>
          <w:szCs w:val="16"/>
          <w:lang w:val="en-US" w:eastAsia="en-US"/>
        </w:rPr>
        <w:t>van der Heijden CDCC, Noz MP, Joosten LAB, Netea MG, Riksen NP, Keating ST.</w:t>
      </w:r>
    </w:p>
    <w:p w:rsidR="008F6FFE" w:rsidRPr="004E2787" w:rsidRDefault="0052743C" w:rsidP="004E2787">
      <w:pPr>
        <w:autoSpaceDE w:val="0"/>
        <w:autoSpaceDN w:val="0"/>
        <w:adjustRightInd w:val="0"/>
        <w:rPr>
          <w:rFonts w:asciiTheme="minorHAnsi" w:eastAsiaTheme="minorHAnsi" w:hAnsiTheme="minorHAnsi"/>
          <w:sz w:val="16"/>
          <w:szCs w:val="16"/>
          <w:lang w:val="en-US" w:eastAsia="en-US"/>
        </w:rPr>
      </w:pPr>
      <w:hyperlink r:id="rId1221" w:history="1">
        <w:r w:rsidR="008F6FFE" w:rsidRPr="004E2787">
          <w:rPr>
            <w:rFonts w:asciiTheme="minorHAnsi" w:eastAsiaTheme="minorHAnsi" w:hAnsiTheme="minorHAnsi"/>
            <w:sz w:val="16"/>
            <w:szCs w:val="16"/>
            <w:lang w:val="en-US" w:eastAsia="en-US"/>
          </w:rPr>
          <w:t>https://www.ncbi.nlm.nih.gov/pmc/articles/PMC6121175/</w:t>
        </w:r>
      </w:hyperlink>
    </w:p>
    <w:p w:rsidR="008F6FFE" w:rsidRPr="00966CD2" w:rsidRDefault="008F6FFE" w:rsidP="00966CD2">
      <w:pPr>
        <w:autoSpaceDE w:val="0"/>
        <w:autoSpaceDN w:val="0"/>
        <w:adjustRightInd w:val="0"/>
        <w:rPr>
          <w:rFonts w:asciiTheme="minorHAnsi" w:hAnsiTheme="minorHAnsi"/>
          <w:sz w:val="16"/>
          <w:szCs w:val="16"/>
          <w:lang w:val="en-US"/>
        </w:rPr>
      </w:pPr>
    </w:p>
  </w:footnote>
  <w:footnote w:id="202">
    <w:p w:rsidR="008F6FFE" w:rsidRDefault="008F6FFE" w:rsidP="00CC466F">
      <w:pPr>
        <w:autoSpaceDE w:val="0"/>
        <w:autoSpaceDN w:val="0"/>
        <w:adjustRightInd w:val="0"/>
        <w:rPr>
          <w:rFonts w:asciiTheme="minorHAnsi" w:eastAsiaTheme="minorHAnsi" w:hAnsiTheme="minorHAnsi"/>
          <w:sz w:val="16"/>
          <w:szCs w:val="16"/>
          <w:lang w:val="en-US" w:eastAsia="en-US"/>
        </w:rPr>
      </w:pPr>
      <w:r w:rsidRPr="00CC466F">
        <w:rPr>
          <w:rStyle w:val="FootnoteReference"/>
          <w:rFonts w:asciiTheme="minorHAnsi" w:hAnsiTheme="minorHAnsi"/>
          <w:sz w:val="16"/>
          <w:szCs w:val="16"/>
        </w:rPr>
        <w:footnoteRef/>
      </w:r>
      <w:r w:rsidRPr="00CC466F">
        <w:rPr>
          <w:rFonts w:asciiTheme="minorHAnsi" w:hAnsiTheme="minorHAnsi"/>
          <w:sz w:val="16"/>
          <w:szCs w:val="16"/>
          <w:lang w:val="en-US"/>
        </w:rPr>
        <w:t xml:space="preserve"> </w:t>
      </w:r>
      <w:r w:rsidRPr="00CC466F">
        <w:rPr>
          <w:rFonts w:asciiTheme="minorHAnsi" w:eastAsiaTheme="minorHAnsi" w:hAnsiTheme="minorHAnsi"/>
          <w:sz w:val="16"/>
          <w:szCs w:val="16"/>
          <w:lang w:val="en-US" w:eastAsia="en-US"/>
        </w:rPr>
        <w:t xml:space="preserve">Clin Exp Immunol. 2002;127(1):107‐114. doi:10.1046/j.1365-2249.2002.01736.x </w:t>
      </w:r>
    </w:p>
    <w:p w:rsidR="008F6FFE" w:rsidRPr="00694738" w:rsidRDefault="008F6FFE" w:rsidP="00CC466F">
      <w:pPr>
        <w:autoSpaceDE w:val="0"/>
        <w:autoSpaceDN w:val="0"/>
        <w:adjustRightInd w:val="0"/>
        <w:rPr>
          <w:rFonts w:asciiTheme="minorHAnsi" w:eastAsiaTheme="minorHAnsi" w:hAnsiTheme="minorHAnsi"/>
          <w:sz w:val="16"/>
          <w:szCs w:val="16"/>
          <w:lang w:val="en-US" w:eastAsia="en-US"/>
        </w:rPr>
      </w:pPr>
      <w:r w:rsidRPr="00CC466F">
        <w:rPr>
          <w:rFonts w:asciiTheme="minorHAnsi" w:eastAsiaTheme="minorHAnsi" w:hAnsiTheme="minorHAnsi"/>
          <w:sz w:val="16"/>
          <w:szCs w:val="16"/>
          <w:lang w:val="en-US" w:eastAsia="en-US"/>
        </w:rPr>
        <w:t>Is ageing associated with a shift in the balance between Type 1 and Type 2 cytokines in humans? </w:t>
      </w:r>
    </w:p>
    <w:p w:rsidR="008F6FFE" w:rsidRDefault="008F6FFE" w:rsidP="00CC466F">
      <w:pPr>
        <w:autoSpaceDE w:val="0"/>
        <w:autoSpaceDN w:val="0"/>
        <w:adjustRightInd w:val="0"/>
        <w:rPr>
          <w:rFonts w:asciiTheme="minorHAnsi" w:eastAsiaTheme="minorHAnsi" w:hAnsiTheme="minorHAnsi"/>
          <w:sz w:val="16"/>
          <w:szCs w:val="16"/>
          <w:lang w:val="en-US" w:eastAsia="en-US"/>
        </w:rPr>
      </w:pPr>
      <w:r w:rsidRPr="00CC466F">
        <w:rPr>
          <w:rFonts w:asciiTheme="minorHAnsi" w:eastAsiaTheme="minorHAnsi" w:hAnsiTheme="minorHAnsi"/>
          <w:sz w:val="16"/>
          <w:szCs w:val="16"/>
          <w:lang w:val="en-US" w:eastAsia="en-US"/>
        </w:rPr>
        <w:t>Sandmand M, et al.</w:t>
      </w:r>
    </w:p>
    <w:p w:rsidR="008F6FFE" w:rsidRPr="004E2787" w:rsidRDefault="0052743C" w:rsidP="004E2787">
      <w:pPr>
        <w:autoSpaceDE w:val="0"/>
        <w:autoSpaceDN w:val="0"/>
        <w:adjustRightInd w:val="0"/>
        <w:rPr>
          <w:rFonts w:asciiTheme="minorHAnsi" w:eastAsiaTheme="minorHAnsi" w:hAnsiTheme="minorHAnsi"/>
          <w:sz w:val="16"/>
          <w:szCs w:val="16"/>
          <w:lang w:val="en-US" w:eastAsia="en-US"/>
        </w:rPr>
      </w:pPr>
      <w:hyperlink r:id="rId1222" w:history="1">
        <w:r w:rsidR="008F6FFE" w:rsidRPr="004E2787">
          <w:rPr>
            <w:rFonts w:asciiTheme="minorHAnsi" w:eastAsiaTheme="minorHAnsi" w:hAnsiTheme="minorHAnsi"/>
            <w:sz w:val="16"/>
            <w:szCs w:val="16"/>
            <w:lang w:val="en-US" w:eastAsia="en-US"/>
          </w:rPr>
          <w:t>https://www.ncbi.nlm.nih.gov/pmc/articles/PMC1906284/</w:t>
        </w:r>
      </w:hyperlink>
    </w:p>
    <w:p w:rsidR="008F6FFE" w:rsidRPr="00966CD2" w:rsidRDefault="008F6FFE" w:rsidP="00CC466F">
      <w:pPr>
        <w:autoSpaceDE w:val="0"/>
        <w:autoSpaceDN w:val="0"/>
        <w:adjustRightInd w:val="0"/>
        <w:rPr>
          <w:rFonts w:asciiTheme="minorHAnsi" w:hAnsiTheme="minorHAnsi"/>
          <w:sz w:val="16"/>
          <w:szCs w:val="16"/>
          <w:lang w:val="en-US"/>
        </w:rPr>
      </w:pPr>
    </w:p>
  </w:footnote>
  <w:footnote w:id="203">
    <w:p w:rsidR="008F6FFE" w:rsidRPr="00966CD2" w:rsidRDefault="008F6FFE" w:rsidP="00966CD2">
      <w:pPr>
        <w:autoSpaceDE w:val="0"/>
        <w:autoSpaceDN w:val="0"/>
        <w:adjustRightInd w:val="0"/>
        <w:rPr>
          <w:rFonts w:asciiTheme="minorHAnsi" w:eastAsiaTheme="minorHAnsi" w:hAnsiTheme="minorHAnsi"/>
          <w:sz w:val="16"/>
          <w:szCs w:val="16"/>
          <w:lang w:val="en-US" w:eastAsia="en-US"/>
        </w:rPr>
      </w:pPr>
      <w:r w:rsidRPr="00966CD2">
        <w:rPr>
          <w:rStyle w:val="FootnoteReference"/>
          <w:rFonts w:asciiTheme="minorHAnsi" w:hAnsiTheme="minorHAnsi"/>
          <w:sz w:val="16"/>
          <w:szCs w:val="16"/>
        </w:rPr>
        <w:footnoteRef/>
      </w:r>
      <w:r w:rsidRPr="00D96A72">
        <w:rPr>
          <w:lang w:val="en-US"/>
        </w:rPr>
        <w:t xml:space="preserve"> </w:t>
      </w:r>
      <w:r w:rsidRPr="00966CD2">
        <w:rPr>
          <w:rFonts w:asciiTheme="minorHAnsi" w:eastAsiaTheme="minorHAnsi" w:hAnsiTheme="minorHAnsi"/>
          <w:sz w:val="16"/>
          <w:szCs w:val="16"/>
          <w:lang w:val="en-US" w:eastAsia="en-US"/>
        </w:rPr>
        <w:t xml:space="preserve">Annu Rev Pathol. 2010;5:99‐118. doi:10.1146/annurev-pathol-121808-102144 </w:t>
      </w:r>
    </w:p>
    <w:p w:rsidR="008F6FFE" w:rsidRPr="00966CD2" w:rsidRDefault="008F6FFE" w:rsidP="00966CD2">
      <w:pPr>
        <w:autoSpaceDE w:val="0"/>
        <w:autoSpaceDN w:val="0"/>
        <w:adjustRightInd w:val="0"/>
        <w:rPr>
          <w:rFonts w:asciiTheme="minorHAnsi" w:eastAsiaTheme="minorHAnsi" w:hAnsiTheme="minorHAnsi"/>
          <w:sz w:val="16"/>
          <w:szCs w:val="16"/>
          <w:lang w:val="en-US" w:eastAsia="en-US"/>
        </w:rPr>
      </w:pPr>
      <w:r w:rsidRPr="00966CD2">
        <w:rPr>
          <w:rFonts w:asciiTheme="minorHAnsi" w:eastAsiaTheme="minorHAnsi" w:hAnsiTheme="minorHAnsi"/>
          <w:sz w:val="16"/>
          <w:szCs w:val="16"/>
          <w:lang w:val="en-US" w:eastAsia="en-US"/>
        </w:rPr>
        <w:t>The senescence-associated secretory phenotype: the dark side of tumor suppression</w:t>
      </w:r>
    </w:p>
    <w:p w:rsidR="008F6FFE" w:rsidRPr="00286405" w:rsidRDefault="008F6FFE" w:rsidP="004E2787">
      <w:pPr>
        <w:rPr>
          <w:rFonts w:asciiTheme="minorHAnsi" w:eastAsiaTheme="minorHAnsi" w:hAnsiTheme="minorHAnsi"/>
          <w:sz w:val="16"/>
          <w:szCs w:val="16"/>
          <w:lang w:eastAsia="en-US"/>
        </w:rPr>
      </w:pPr>
      <w:r w:rsidRPr="00286405">
        <w:rPr>
          <w:rFonts w:asciiTheme="minorHAnsi" w:eastAsiaTheme="minorHAnsi" w:hAnsiTheme="minorHAnsi"/>
          <w:sz w:val="16"/>
          <w:szCs w:val="16"/>
          <w:lang w:eastAsia="en-US"/>
        </w:rPr>
        <w:t>Coppé JP, Desprez PY, Krtolica A, Campisi J</w:t>
      </w:r>
    </w:p>
    <w:p w:rsidR="008F6FFE" w:rsidRPr="004E2787" w:rsidRDefault="0052743C" w:rsidP="004E2787">
      <w:pPr>
        <w:rPr>
          <w:rFonts w:asciiTheme="minorHAnsi" w:eastAsiaTheme="minorHAnsi" w:hAnsiTheme="minorHAnsi"/>
          <w:sz w:val="16"/>
          <w:szCs w:val="16"/>
          <w:lang w:eastAsia="en-US"/>
        </w:rPr>
      </w:pPr>
      <w:hyperlink r:id="rId1223" w:history="1">
        <w:r w:rsidR="008F6FFE" w:rsidRPr="004E2787">
          <w:rPr>
            <w:rFonts w:asciiTheme="minorHAnsi" w:eastAsiaTheme="minorHAnsi" w:hAnsiTheme="minorHAnsi"/>
            <w:sz w:val="16"/>
            <w:szCs w:val="16"/>
            <w:lang w:eastAsia="en-US"/>
          </w:rPr>
          <w:t>https://www.ncbi.nlm.nih.gov/pmc/articles/PMC4166495/</w:t>
        </w:r>
      </w:hyperlink>
    </w:p>
  </w:footnote>
  <w:footnote w:id="204">
    <w:p w:rsidR="008F6FFE" w:rsidRPr="00286405" w:rsidRDefault="008F6FFE" w:rsidP="00BE7BB7">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BE7BB7">
        <w:rPr>
          <w:rFonts w:asciiTheme="minorHAnsi" w:hAnsiTheme="minorHAnsi"/>
          <w:color w:val="000000" w:themeColor="text1"/>
          <w:sz w:val="16"/>
          <w:szCs w:val="16"/>
          <w:vertAlign w:val="superscript"/>
        </w:rPr>
        <w:footnoteRef/>
      </w:r>
      <w:r w:rsidRPr="00286405">
        <w:rPr>
          <w:rFonts w:asciiTheme="minorHAnsi" w:hAnsiTheme="minorHAnsi"/>
          <w:color w:val="000000" w:themeColor="text1"/>
          <w:sz w:val="16"/>
          <w:szCs w:val="16"/>
          <w:vertAlign w:val="superscript"/>
          <w:lang w:val="en-US"/>
        </w:rPr>
        <w:t xml:space="preserve"> </w:t>
      </w:r>
      <w:r w:rsidRPr="00286405">
        <w:rPr>
          <w:rFonts w:asciiTheme="minorHAnsi" w:hAnsiTheme="minorHAnsi"/>
          <w:color w:val="000000" w:themeColor="text1"/>
          <w:sz w:val="16"/>
          <w:szCs w:val="16"/>
          <w:lang w:val="en-US"/>
        </w:rPr>
        <w:t>Maturitas. 2015;82(1):50‐55. doi:10.1016/j.maturitas.2015.05.004</w:t>
      </w:r>
    </w:p>
    <w:p w:rsidR="008F6FFE" w:rsidRPr="00A078ED" w:rsidRDefault="008F6FFE" w:rsidP="00BE7BB7">
      <w:pPr>
        <w:pStyle w:val="labs-full-docsum"/>
        <w:shd w:val="clear" w:color="auto" w:fill="FFFFFF"/>
        <w:spacing w:before="0" w:beforeAutospacing="0" w:after="0" w:afterAutospacing="0"/>
        <w:rPr>
          <w:rFonts w:asciiTheme="minorHAnsi" w:hAnsiTheme="minorHAnsi"/>
          <w:color w:val="000000" w:themeColor="text1"/>
          <w:sz w:val="16"/>
          <w:szCs w:val="16"/>
        </w:rPr>
      </w:pPr>
      <w:r w:rsidRPr="00286405">
        <w:rPr>
          <w:rFonts w:asciiTheme="minorHAnsi" w:hAnsiTheme="minorHAnsi"/>
          <w:color w:val="000000" w:themeColor="text1"/>
          <w:sz w:val="16"/>
          <w:szCs w:val="16"/>
          <w:lang w:val="en-US"/>
        </w:rPr>
        <w:t>Immunosenescence: Implications for response to infection and vaccination in older people. </w:t>
      </w:r>
      <w:r w:rsidRPr="00A078ED">
        <w:rPr>
          <w:rFonts w:asciiTheme="minorHAnsi" w:hAnsiTheme="minorHAnsi"/>
          <w:color w:val="000000" w:themeColor="text1"/>
          <w:sz w:val="16"/>
          <w:szCs w:val="16"/>
        </w:rPr>
        <w:t>Pera A, et al.</w:t>
      </w:r>
    </w:p>
    <w:p w:rsidR="008F6FFE" w:rsidRPr="00A078ED" w:rsidRDefault="0052743C" w:rsidP="004E278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24" w:history="1">
        <w:r w:rsidR="008F6FFE" w:rsidRPr="00A078ED">
          <w:rPr>
            <w:rFonts w:asciiTheme="minorHAnsi" w:hAnsiTheme="minorHAnsi"/>
            <w:color w:val="000000" w:themeColor="text1"/>
            <w:sz w:val="16"/>
            <w:szCs w:val="16"/>
          </w:rPr>
          <w:t>https://pubmed.ncbi.nlm.nih.gov/26044074/</w:t>
        </w:r>
      </w:hyperlink>
    </w:p>
    <w:p w:rsidR="008F6FFE" w:rsidRPr="00A078ED" w:rsidRDefault="008F6FFE" w:rsidP="00BE7BB7">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286405" w:rsidRDefault="008F6FFE" w:rsidP="00BE7BB7">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Exp Gerontol. 2019;124:110632. doi:10.1016/j.exger.2019.110632</w:t>
      </w:r>
    </w:p>
    <w:p w:rsidR="008F6FFE" w:rsidRPr="00286405" w:rsidRDefault="008F6FFE" w:rsidP="00BE7BB7">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Immunosenescence: A systems-level overview of immune cell biology and strategies for improving vaccine responses. </w:t>
      </w:r>
    </w:p>
    <w:p w:rsidR="008F6FFE" w:rsidRPr="00286405" w:rsidRDefault="008F6FFE" w:rsidP="00BE7BB7">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Crooke SN, Ovsyannikova IG, Poland GA, Kennedy RB.</w:t>
      </w:r>
    </w:p>
    <w:p w:rsidR="008F6FFE" w:rsidRPr="004E2787" w:rsidRDefault="0052743C" w:rsidP="004E2787">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25" w:history="1">
        <w:r w:rsidR="008F6FFE" w:rsidRPr="004E2787">
          <w:rPr>
            <w:rFonts w:asciiTheme="minorHAnsi" w:hAnsiTheme="minorHAnsi"/>
            <w:color w:val="000000" w:themeColor="text1"/>
            <w:sz w:val="16"/>
            <w:szCs w:val="16"/>
            <w:lang w:val="en-US"/>
          </w:rPr>
          <w:t>https://pubmed.ncbi.nlm.nih.gov/31201918/</w:t>
        </w:r>
      </w:hyperlink>
    </w:p>
    <w:p w:rsidR="008F6FFE" w:rsidRPr="00286405" w:rsidRDefault="008F6FFE" w:rsidP="00BE7BB7">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286405" w:rsidRDefault="008F6FFE" w:rsidP="00BE7BB7">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Sci China Life Sci. 2013;56(5):399‐405. doi:10.1007/s11427-013-4478-0</w:t>
      </w:r>
    </w:p>
    <w:p w:rsidR="008F6FFE" w:rsidRPr="00286405" w:rsidRDefault="008F6FFE" w:rsidP="00BE7BB7">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Immunosenescence and age-related viral diseases. </w:t>
      </w:r>
    </w:p>
    <w:p w:rsidR="008F6FFE" w:rsidRPr="00A078ED" w:rsidRDefault="008F6FFE" w:rsidP="00BE7BB7">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Ma Y, Fang M.</w:t>
      </w:r>
    </w:p>
    <w:p w:rsidR="008F6FFE" w:rsidRPr="00A078ED" w:rsidRDefault="0052743C" w:rsidP="00CC4795">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26" w:history="1">
        <w:r w:rsidR="008F6FFE" w:rsidRPr="00A078ED">
          <w:rPr>
            <w:rFonts w:asciiTheme="minorHAnsi" w:hAnsiTheme="minorHAnsi"/>
            <w:color w:val="000000" w:themeColor="text1"/>
            <w:sz w:val="16"/>
            <w:szCs w:val="16"/>
          </w:rPr>
          <w:t>https://www.ncbi.nlm.nih.gov/pmc/articles/PMC7089158/</w:t>
        </w:r>
      </w:hyperlink>
    </w:p>
    <w:p w:rsidR="008F6FFE" w:rsidRPr="00110FC0" w:rsidRDefault="008F6FFE" w:rsidP="00CC4795">
      <w:pPr>
        <w:pStyle w:val="labs-full-docsum"/>
        <w:shd w:val="clear" w:color="auto" w:fill="FFFFFF"/>
        <w:spacing w:before="0" w:beforeAutospacing="0" w:after="0" w:afterAutospacing="0"/>
        <w:rPr>
          <w:rFonts w:asciiTheme="minorHAnsi" w:hAnsiTheme="minorHAnsi"/>
          <w:color w:val="000000" w:themeColor="text1"/>
          <w:sz w:val="16"/>
          <w:szCs w:val="16"/>
          <w:vertAlign w:val="superscript"/>
        </w:rPr>
      </w:pPr>
    </w:p>
  </w:footnote>
  <w:footnote w:id="205">
    <w:p w:rsidR="008F6FFE" w:rsidRPr="00110FC0" w:rsidRDefault="008F6FFE" w:rsidP="00F9498B">
      <w:pPr>
        <w:pStyle w:val="labs-full-docsum"/>
        <w:shd w:val="clear" w:color="auto" w:fill="FFFFFF"/>
        <w:spacing w:before="0" w:beforeAutospacing="0" w:after="0" w:afterAutospacing="0"/>
        <w:rPr>
          <w:rFonts w:asciiTheme="minorHAnsi" w:hAnsiTheme="minorHAnsi"/>
          <w:color w:val="000000" w:themeColor="text1"/>
          <w:sz w:val="16"/>
          <w:szCs w:val="16"/>
        </w:rPr>
      </w:pPr>
      <w:r w:rsidRPr="00F9498B">
        <w:rPr>
          <w:rFonts w:asciiTheme="minorHAnsi" w:hAnsiTheme="minorHAnsi"/>
          <w:color w:val="000000" w:themeColor="text1"/>
          <w:sz w:val="16"/>
          <w:szCs w:val="16"/>
          <w:vertAlign w:val="superscript"/>
          <w:lang w:val="en-US"/>
        </w:rPr>
        <w:footnoteRef/>
      </w:r>
      <w:r w:rsidRPr="00110FC0">
        <w:rPr>
          <w:rFonts w:asciiTheme="minorHAnsi" w:hAnsiTheme="minorHAnsi"/>
          <w:color w:val="000000" w:themeColor="text1"/>
          <w:sz w:val="16"/>
          <w:szCs w:val="16"/>
          <w:vertAlign w:val="superscript"/>
        </w:rPr>
        <w:t xml:space="preserve"> </w:t>
      </w:r>
      <w:hyperlink r:id="rId1227" w:history="1">
        <w:r w:rsidRPr="00110FC0">
          <w:rPr>
            <w:rFonts w:asciiTheme="minorHAnsi" w:hAnsiTheme="minorHAnsi"/>
            <w:color w:val="000000" w:themeColor="text1"/>
            <w:sz w:val="16"/>
            <w:szCs w:val="16"/>
          </w:rPr>
          <w:t>https://www.euro.who.int/en/health-topics/communicable-diseases/influenza/vaccination/seasonal-vaccination-policies-and-coverage-in-the-european-region</w:t>
        </w:r>
      </w:hyperlink>
    </w:p>
    <w:p w:rsidR="008F6FFE" w:rsidRPr="00F9498B" w:rsidRDefault="008F6FFE">
      <w:pPr>
        <w:pStyle w:val="FootnoteText"/>
        <w:rPr>
          <w:rFonts w:asciiTheme="minorHAnsi" w:hAnsiTheme="minorHAnsi"/>
          <w:sz w:val="16"/>
          <w:szCs w:val="16"/>
        </w:rPr>
      </w:pPr>
    </w:p>
  </w:footnote>
  <w:footnote w:id="206">
    <w:p w:rsidR="008F6FFE"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47411">
        <w:rPr>
          <w:rFonts w:asciiTheme="minorHAnsi" w:hAnsiTheme="minorHAnsi"/>
          <w:color w:val="000000" w:themeColor="text1"/>
          <w:sz w:val="16"/>
          <w:szCs w:val="16"/>
          <w:vertAlign w:val="superscript"/>
          <w:lang w:val="en-US"/>
        </w:rPr>
        <w:footnoteRef/>
      </w:r>
      <w:r w:rsidRPr="00047411">
        <w:rPr>
          <w:rFonts w:asciiTheme="minorHAnsi" w:hAnsiTheme="minorHAnsi"/>
          <w:color w:val="000000" w:themeColor="text1"/>
          <w:sz w:val="16"/>
          <w:szCs w:val="16"/>
          <w:lang w:val="en-US"/>
        </w:rPr>
        <w:t xml:space="preserve"> Jiang N, He J, et al. </w:t>
      </w:r>
    </w:p>
    <w:p w:rsidR="008F6FFE" w:rsidRPr="00047411"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47411">
        <w:rPr>
          <w:rFonts w:asciiTheme="minorHAnsi" w:hAnsiTheme="minorHAnsi"/>
          <w:color w:val="000000" w:themeColor="text1"/>
          <w:sz w:val="16"/>
          <w:szCs w:val="16"/>
          <w:lang w:val="en-US"/>
        </w:rPr>
        <w:t>Lineage structure of the human antibody repertoire in response to influenza vaccination [published correction appears in Sci Transl Med. 2013 Jul 10;5(193):193er8]. Sci Transl Med. 2013;5(171):171ra19. doi:10.1126/scitranslmed.3004794</w:t>
      </w:r>
    </w:p>
    <w:p w:rsidR="008F6FFE" w:rsidRPr="004E2787" w:rsidRDefault="0052743C" w:rsidP="004E2787">
      <w:pPr>
        <w:rPr>
          <w:rFonts w:asciiTheme="minorHAnsi" w:hAnsiTheme="minorHAnsi"/>
          <w:color w:val="000000" w:themeColor="text1"/>
          <w:sz w:val="16"/>
          <w:szCs w:val="16"/>
          <w:lang w:val="en-US"/>
        </w:rPr>
      </w:pPr>
      <w:hyperlink r:id="rId1228" w:history="1">
        <w:r w:rsidR="008F6FFE" w:rsidRPr="004E2787">
          <w:rPr>
            <w:rFonts w:asciiTheme="minorHAnsi" w:hAnsiTheme="minorHAnsi"/>
            <w:color w:val="000000" w:themeColor="text1"/>
            <w:sz w:val="16"/>
            <w:szCs w:val="16"/>
            <w:lang w:val="en-US"/>
          </w:rPr>
          <w:t>https://www.ncbi.nlm.nih.gov/pmc/articles/PMC3699344/</w:t>
        </w:r>
      </w:hyperlink>
    </w:p>
    <w:p w:rsidR="008F6FFE" w:rsidRPr="00047411"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47411">
        <w:rPr>
          <w:rFonts w:asciiTheme="minorHAnsi" w:hAnsiTheme="minorHAnsi"/>
          <w:color w:val="000000" w:themeColor="text1"/>
          <w:sz w:val="16"/>
          <w:szCs w:val="16"/>
          <w:lang w:val="en-US"/>
        </w:rPr>
        <w:t xml:space="preserve">Treanor JJ, et al. </w:t>
      </w:r>
    </w:p>
    <w:p w:rsidR="008F6FFE"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47411">
        <w:rPr>
          <w:rFonts w:asciiTheme="minorHAnsi" w:hAnsiTheme="minorHAnsi"/>
          <w:color w:val="000000" w:themeColor="text1"/>
          <w:sz w:val="16"/>
          <w:szCs w:val="16"/>
          <w:lang w:val="en-US"/>
        </w:rPr>
        <w:t>Effectiveness of seasonal influenza vaccines in the United States during a season with circulation of all three vaccine strains. </w:t>
      </w:r>
    </w:p>
    <w:p w:rsidR="008F6FFE" w:rsidRPr="00047411"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47411">
        <w:rPr>
          <w:rFonts w:asciiTheme="minorHAnsi" w:hAnsiTheme="minorHAnsi"/>
          <w:color w:val="000000" w:themeColor="text1"/>
          <w:sz w:val="16"/>
          <w:szCs w:val="16"/>
          <w:lang w:val="en-US"/>
        </w:rPr>
        <w:t>Clin Infect Dis. 2012;55(7):951‐959. doi:10.1093/cid/cis574</w:t>
      </w:r>
    </w:p>
    <w:p w:rsidR="008F6FFE" w:rsidRDefault="0052743C" w:rsidP="004E2787">
      <w:pPr>
        <w:rPr>
          <w:rFonts w:asciiTheme="minorHAnsi" w:hAnsiTheme="minorHAnsi"/>
          <w:color w:val="000000" w:themeColor="text1"/>
          <w:sz w:val="16"/>
          <w:szCs w:val="16"/>
          <w:lang w:val="en-US"/>
        </w:rPr>
      </w:pPr>
      <w:hyperlink r:id="rId1229" w:history="1">
        <w:r w:rsidR="008F6FFE" w:rsidRPr="004E2787">
          <w:rPr>
            <w:rFonts w:asciiTheme="minorHAnsi" w:hAnsiTheme="minorHAnsi"/>
            <w:color w:val="000000" w:themeColor="text1"/>
            <w:sz w:val="16"/>
            <w:szCs w:val="16"/>
            <w:lang w:val="en-US"/>
          </w:rPr>
          <w:t>https://www.ncbi.nlm.nih.gov/pmc/articles/PMC3657521/</w:t>
        </w:r>
      </w:hyperlink>
    </w:p>
    <w:p w:rsidR="008F6FFE" w:rsidRPr="00047411" w:rsidRDefault="008F6FFE" w:rsidP="004E2787">
      <w:pPr>
        <w:rPr>
          <w:lang w:val="en-US"/>
        </w:rPr>
      </w:pPr>
    </w:p>
  </w:footnote>
  <w:footnote w:id="207">
    <w:p w:rsidR="008F6FFE" w:rsidRPr="00593C39"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rPr>
      </w:pPr>
      <w:r w:rsidRPr="00047411">
        <w:rPr>
          <w:rStyle w:val="FootnoteReference"/>
          <w:rFonts w:asciiTheme="minorHAnsi" w:hAnsiTheme="minorHAnsi" w:cstheme="minorHAnsi"/>
          <w:sz w:val="15"/>
          <w:szCs w:val="15"/>
        </w:rPr>
        <w:footnoteRef/>
      </w:r>
      <w:r w:rsidRPr="00047411">
        <w:rPr>
          <w:rFonts w:asciiTheme="minorHAnsi" w:hAnsiTheme="minorHAnsi" w:cstheme="minorHAnsi"/>
          <w:sz w:val="15"/>
          <w:szCs w:val="15"/>
        </w:rPr>
        <w:t xml:space="preserve"> </w:t>
      </w:r>
      <w:r w:rsidRPr="004E2787">
        <w:rPr>
          <w:rFonts w:asciiTheme="minorHAnsi" w:hAnsiTheme="minorHAnsi"/>
          <w:color w:val="C00000"/>
          <w:sz w:val="16"/>
          <w:szCs w:val="16"/>
        </w:rPr>
        <w:t>Riferimento bibliografia in apice tra parentesi tonde</w:t>
      </w:r>
    </w:p>
    <w:p w:rsidR="008F6FFE" w:rsidRPr="00235A16" w:rsidRDefault="008F6FFE" w:rsidP="00047411">
      <w:pPr>
        <w:pStyle w:val="labs-full-docsum"/>
        <w:shd w:val="clear" w:color="auto" w:fill="FFFFFF"/>
        <w:spacing w:before="0" w:beforeAutospacing="0" w:after="0" w:afterAutospacing="0"/>
        <w:rPr>
          <w:rFonts w:asciiTheme="minorHAnsi" w:hAnsiTheme="minorHAnsi" w:cstheme="minorHAnsi"/>
          <w:color w:val="000000" w:themeColor="text1"/>
          <w:sz w:val="16"/>
          <w:szCs w:val="16"/>
          <w:lang w:val="de-DE"/>
        </w:rPr>
      </w:pPr>
      <w:r w:rsidRPr="00235A16">
        <w:rPr>
          <w:rFonts w:asciiTheme="minorHAnsi" w:hAnsiTheme="minorHAnsi" w:cstheme="minorHAnsi"/>
          <w:color w:val="000000" w:themeColor="text1"/>
          <w:sz w:val="16"/>
          <w:szCs w:val="16"/>
          <w:lang w:val="de-DE"/>
        </w:rPr>
        <w:t xml:space="preserve">Oh SJ, Lee JK, Shin OS. </w:t>
      </w:r>
    </w:p>
    <w:p w:rsidR="008F6FFE" w:rsidRPr="004E2787" w:rsidRDefault="008F6FFE" w:rsidP="00047411">
      <w:pPr>
        <w:pStyle w:val="labs-full-docsum"/>
        <w:shd w:val="clear" w:color="auto" w:fill="FFFFFF"/>
        <w:spacing w:before="0" w:beforeAutospacing="0" w:after="0" w:afterAutospacing="0"/>
        <w:rPr>
          <w:rFonts w:asciiTheme="minorHAnsi" w:hAnsiTheme="minorHAnsi" w:cstheme="minorHAnsi"/>
          <w:color w:val="000000" w:themeColor="text1"/>
          <w:sz w:val="16"/>
          <w:szCs w:val="16"/>
          <w:lang w:val="en-US"/>
        </w:rPr>
      </w:pPr>
      <w:r w:rsidRPr="004E2787">
        <w:rPr>
          <w:rFonts w:asciiTheme="minorHAnsi" w:hAnsiTheme="minorHAnsi" w:cstheme="minorHAnsi"/>
          <w:color w:val="000000" w:themeColor="text1"/>
          <w:sz w:val="16"/>
          <w:szCs w:val="16"/>
          <w:lang w:val="en-US"/>
        </w:rPr>
        <w:t>Aging and the Immune System: the Impact of Immunosenescence on Viral Infection, Immunity and Vaccine Immunogenicity. </w:t>
      </w:r>
    </w:p>
    <w:p w:rsidR="008F6FFE" w:rsidRPr="004E2787" w:rsidRDefault="008F6FFE" w:rsidP="00047411">
      <w:pPr>
        <w:pStyle w:val="labs-full-docsum"/>
        <w:shd w:val="clear" w:color="auto" w:fill="FFFFFF"/>
        <w:spacing w:before="0" w:beforeAutospacing="0" w:after="0" w:afterAutospacing="0"/>
        <w:rPr>
          <w:rFonts w:asciiTheme="minorHAnsi" w:hAnsiTheme="minorHAnsi" w:cstheme="minorHAnsi"/>
          <w:color w:val="000000" w:themeColor="text1"/>
          <w:sz w:val="16"/>
          <w:szCs w:val="16"/>
        </w:rPr>
      </w:pPr>
      <w:r w:rsidRPr="004E2787">
        <w:rPr>
          <w:rFonts w:asciiTheme="minorHAnsi" w:hAnsiTheme="minorHAnsi" w:cstheme="minorHAnsi"/>
          <w:color w:val="000000" w:themeColor="text1"/>
          <w:sz w:val="16"/>
          <w:szCs w:val="16"/>
        </w:rPr>
        <w:t>Immune Netw. 2019;19(6):e37. doi:10.4110/in.2019.19.e37</w:t>
      </w:r>
    </w:p>
    <w:p w:rsidR="008F6FFE" w:rsidRPr="004E2787" w:rsidRDefault="0052743C" w:rsidP="00047411">
      <w:pPr>
        <w:pStyle w:val="labs-full-docsum"/>
        <w:shd w:val="clear" w:color="auto" w:fill="FFFFFF"/>
        <w:spacing w:before="0" w:beforeAutospacing="0" w:after="0" w:afterAutospacing="0"/>
        <w:rPr>
          <w:rFonts w:asciiTheme="minorHAnsi" w:hAnsiTheme="minorHAnsi" w:cstheme="minorHAnsi"/>
          <w:color w:val="000000" w:themeColor="text1"/>
          <w:sz w:val="16"/>
          <w:szCs w:val="16"/>
        </w:rPr>
      </w:pPr>
      <w:hyperlink r:id="rId1230" w:history="1">
        <w:r w:rsidR="008F6FFE" w:rsidRPr="004E2787">
          <w:rPr>
            <w:rFonts w:asciiTheme="minorHAnsi" w:hAnsiTheme="minorHAnsi" w:cstheme="minorHAnsi"/>
            <w:color w:val="000000" w:themeColor="text1"/>
            <w:sz w:val="16"/>
            <w:szCs w:val="16"/>
          </w:rPr>
          <w:t>https://www.ncbi.nlm.nih.gov/pmc/articles/PMC6943173/</w:t>
        </w:r>
      </w:hyperlink>
    </w:p>
    <w:p w:rsidR="008F6FFE" w:rsidRPr="006442E5"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rPr>
      </w:pPr>
    </w:p>
  </w:footnote>
  <w:footnote w:id="208">
    <w:p w:rsidR="008F6FFE" w:rsidRPr="006442E5"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rPr>
      </w:pPr>
      <w:r w:rsidRPr="00047411">
        <w:rPr>
          <w:rFonts w:asciiTheme="minorHAnsi" w:hAnsiTheme="minorHAnsi"/>
          <w:color w:val="000000" w:themeColor="text1"/>
          <w:sz w:val="16"/>
          <w:szCs w:val="16"/>
          <w:vertAlign w:val="superscript"/>
          <w:lang w:val="en-US"/>
        </w:rPr>
        <w:footnoteRef/>
      </w:r>
      <w:r w:rsidRPr="006442E5">
        <w:rPr>
          <w:rFonts w:asciiTheme="minorHAnsi" w:hAnsiTheme="minorHAnsi"/>
          <w:color w:val="000000" w:themeColor="text1"/>
          <w:sz w:val="16"/>
          <w:szCs w:val="16"/>
        </w:rPr>
        <w:t xml:space="preserve"> Latz E, Duewell P. </w:t>
      </w:r>
    </w:p>
    <w:p w:rsidR="008F6FFE" w:rsidRPr="00A078ED"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NLRP3 inflammasome activation in inflammaging. </w:t>
      </w:r>
    </w:p>
    <w:p w:rsidR="008F6FFE" w:rsidRPr="006442E5"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 xml:space="preserve">Semin Immunol. </w:t>
      </w:r>
      <w:r w:rsidRPr="006442E5">
        <w:rPr>
          <w:rFonts w:asciiTheme="minorHAnsi" w:hAnsiTheme="minorHAnsi"/>
          <w:color w:val="000000" w:themeColor="text1"/>
          <w:sz w:val="16"/>
          <w:szCs w:val="16"/>
        </w:rPr>
        <w:t>2018;40:61‐73. doi:10.1016/j.smim.2018.09.001</w:t>
      </w:r>
    </w:p>
    <w:p w:rsidR="008F6FFE" w:rsidRPr="00A078ED" w:rsidRDefault="0052743C" w:rsidP="004E2787">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31" w:history="1">
        <w:r w:rsidR="008F6FFE" w:rsidRPr="00A078ED">
          <w:rPr>
            <w:rFonts w:asciiTheme="minorHAnsi" w:hAnsiTheme="minorHAnsi"/>
            <w:color w:val="000000" w:themeColor="text1"/>
            <w:sz w:val="16"/>
            <w:szCs w:val="16"/>
          </w:rPr>
          <w:t>https://pubmed.ncbi.nlm.nih.gov/30268598/</w:t>
        </w:r>
      </w:hyperlink>
    </w:p>
    <w:p w:rsidR="008F6FFE" w:rsidRPr="00A078ED"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A078ED"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 xml:space="preserve">Mastrocola R, Aragno M, Alloatti G, Collino M, Penna C, Pagliaro P. </w:t>
      </w:r>
    </w:p>
    <w:p w:rsidR="008F6FFE" w:rsidRPr="00047411"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47411">
        <w:rPr>
          <w:rFonts w:asciiTheme="minorHAnsi" w:hAnsiTheme="minorHAnsi"/>
          <w:color w:val="000000" w:themeColor="text1"/>
          <w:sz w:val="16"/>
          <w:szCs w:val="16"/>
          <w:lang w:val="en-US"/>
        </w:rPr>
        <w:t>Metaflammation: Tissue-Specific Alterations of the NLRP3 Inflammasome Platform in Metabolic Syndrome. </w:t>
      </w:r>
    </w:p>
    <w:p w:rsidR="008F6FFE" w:rsidRPr="00047411" w:rsidRDefault="008F6FFE" w:rsidP="00047411">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047411">
        <w:rPr>
          <w:rFonts w:asciiTheme="minorHAnsi" w:hAnsiTheme="minorHAnsi"/>
          <w:color w:val="000000" w:themeColor="text1"/>
          <w:sz w:val="16"/>
          <w:szCs w:val="16"/>
          <w:lang w:val="en-US"/>
        </w:rPr>
        <w:t>Curr Med Chem. 2018;25(11):1294‐1310. doi:10.2174/0929867324666170407123522</w:t>
      </w:r>
    </w:p>
    <w:p w:rsidR="008F6FFE" w:rsidRPr="00C844BC" w:rsidRDefault="0052743C" w:rsidP="004E2787">
      <w:pPr>
        <w:pStyle w:val="labs-full-docsum"/>
        <w:shd w:val="clear" w:color="auto" w:fill="FFFFFF"/>
        <w:spacing w:before="0" w:beforeAutospacing="0" w:after="0" w:afterAutospacing="0"/>
        <w:rPr>
          <w:lang w:val="en-US"/>
        </w:rPr>
      </w:pPr>
      <w:hyperlink r:id="rId1232" w:history="1">
        <w:r w:rsidR="008F6FFE" w:rsidRPr="004E2787">
          <w:rPr>
            <w:rFonts w:asciiTheme="minorHAnsi" w:hAnsiTheme="minorHAnsi"/>
            <w:color w:val="000000" w:themeColor="text1"/>
            <w:sz w:val="16"/>
            <w:szCs w:val="16"/>
            <w:lang w:val="en-US"/>
          </w:rPr>
          <w:t>https://pubmed.ncbi.nlm.nih.gov/28403789/</w:t>
        </w:r>
      </w:hyperlink>
    </w:p>
  </w:footnote>
  <w:footnote w:id="209">
    <w:p w:rsidR="008F6FFE" w:rsidRPr="00235A16" w:rsidRDefault="008F6FFE" w:rsidP="006442E5">
      <w:pPr>
        <w:rPr>
          <w:rFonts w:asciiTheme="minorHAnsi" w:eastAsiaTheme="majorEastAsia" w:hAnsiTheme="minorHAnsi" w:cstheme="minorHAnsi"/>
          <w:sz w:val="16"/>
          <w:szCs w:val="16"/>
          <w:lang w:val="de-DE"/>
        </w:rPr>
      </w:pPr>
      <w:r w:rsidRPr="006442E5">
        <w:rPr>
          <w:rFonts w:asciiTheme="minorHAnsi" w:eastAsiaTheme="majorEastAsia" w:hAnsiTheme="minorHAnsi" w:cstheme="minorHAnsi"/>
          <w:sz w:val="16"/>
          <w:szCs w:val="16"/>
          <w:vertAlign w:val="superscript"/>
        </w:rPr>
        <w:footnoteRef/>
      </w:r>
      <w:r w:rsidRPr="00235A16">
        <w:rPr>
          <w:rFonts w:asciiTheme="minorHAnsi" w:eastAsiaTheme="majorEastAsia" w:hAnsiTheme="minorHAnsi" w:cstheme="minorHAnsi"/>
          <w:sz w:val="16"/>
          <w:szCs w:val="16"/>
          <w:vertAlign w:val="superscript"/>
          <w:lang w:val="de-DE"/>
        </w:rPr>
        <w:t xml:space="preserve"> </w:t>
      </w:r>
      <w:r w:rsidRPr="00235A16">
        <w:rPr>
          <w:rFonts w:asciiTheme="minorHAnsi" w:eastAsiaTheme="majorEastAsia" w:hAnsiTheme="minorHAnsi" w:cstheme="minorHAnsi"/>
          <w:sz w:val="16"/>
          <w:szCs w:val="16"/>
          <w:lang w:val="de-DE"/>
        </w:rPr>
        <w:t xml:space="preserve">van den Berg SPH, et al. </w:t>
      </w:r>
    </w:p>
    <w:p w:rsidR="008F6FFE" w:rsidRPr="006442E5" w:rsidRDefault="008F6FFE" w:rsidP="006442E5">
      <w:pPr>
        <w:rPr>
          <w:rFonts w:asciiTheme="minorHAnsi" w:eastAsiaTheme="majorEastAsia" w:hAnsiTheme="minorHAnsi" w:cstheme="minorHAnsi"/>
          <w:sz w:val="16"/>
          <w:szCs w:val="16"/>
          <w:lang w:val="en-US"/>
        </w:rPr>
      </w:pPr>
      <w:r w:rsidRPr="006442E5">
        <w:rPr>
          <w:rFonts w:asciiTheme="minorHAnsi" w:eastAsiaTheme="majorEastAsia" w:hAnsiTheme="minorHAnsi" w:cstheme="minorHAnsi"/>
          <w:sz w:val="16"/>
          <w:szCs w:val="16"/>
          <w:lang w:val="en-US"/>
        </w:rPr>
        <w:t>The hallmarks of CMV-specific CD8 T-cell differentiation. </w:t>
      </w:r>
    </w:p>
    <w:p w:rsidR="008F6FFE" w:rsidRPr="006442E5" w:rsidRDefault="008F6FFE" w:rsidP="006442E5">
      <w:pPr>
        <w:rPr>
          <w:rFonts w:asciiTheme="minorHAnsi" w:eastAsiaTheme="majorEastAsia" w:hAnsiTheme="minorHAnsi" w:cstheme="minorHAnsi"/>
          <w:sz w:val="16"/>
          <w:szCs w:val="16"/>
          <w:lang w:val="en-US"/>
        </w:rPr>
      </w:pPr>
      <w:r w:rsidRPr="006442E5">
        <w:rPr>
          <w:rFonts w:asciiTheme="minorHAnsi" w:eastAsiaTheme="majorEastAsia" w:hAnsiTheme="minorHAnsi" w:cstheme="minorHAnsi"/>
          <w:sz w:val="16"/>
          <w:szCs w:val="16"/>
          <w:lang w:val="en-US"/>
        </w:rPr>
        <w:t>Med Microbiol Immunol. 2019;208(3-4):365‐373. doi:10.1007/s00430-019-00608-7</w:t>
      </w:r>
    </w:p>
    <w:p w:rsidR="008F6FFE" w:rsidRPr="00643CE4" w:rsidRDefault="0052743C" w:rsidP="004E2787">
      <w:pPr>
        <w:rPr>
          <w:rFonts w:asciiTheme="minorHAnsi" w:hAnsiTheme="minorHAnsi"/>
          <w:color w:val="000000" w:themeColor="text1"/>
          <w:sz w:val="16"/>
          <w:szCs w:val="16"/>
          <w:lang w:val="en-US"/>
        </w:rPr>
      </w:pPr>
      <w:hyperlink r:id="rId1233" w:history="1">
        <w:r w:rsidR="008F6FFE" w:rsidRPr="00643CE4">
          <w:rPr>
            <w:rFonts w:asciiTheme="minorHAnsi" w:hAnsiTheme="minorHAnsi"/>
            <w:color w:val="000000" w:themeColor="text1"/>
            <w:sz w:val="16"/>
            <w:szCs w:val="16"/>
            <w:lang w:val="en-US"/>
          </w:rPr>
          <w:t>https://www.ncbi.nlm.nih.gov/pmc/articles/PMC6647465/</w:t>
        </w:r>
      </w:hyperlink>
    </w:p>
    <w:p w:rsidR="008F6FFE" w:rsidRPr="004E2787" w:rsidRDefault="008F6FFE">
      <w:pPr>
        <w:pStyle w:val="FootnoteText"/>
        <w:rPr>
          <w:rFonts w:asciiTheme="minorHAnsi" w:hAnsiTheme="minorHAnsi" w:cstheme="minorHAnsi"/>
          <w:sz w:val="16"/>
          <w:szCs w:val="16"/>
          <w:lang w:val="en-US"/>
        </w:rPr>
      </w:pPr>
    </w:p>
  </w:footnote>
  <w:footnote w:id="210">
    <w:p w:rsidR="008F6FFE" w:rsidRPr="00B648DA" w:rsidRDefault="008F6FFE" w:rsidP="00F9574E">
      <w:pPr>
        <w:pStyle w:val="labs-full-docsum"/>
        <w:shd w:val="clear" w:color="auto" w:fill="FFFFFF"/>
        <w:spacing w:before="0" w:beforeAutospacing="0" w:after="0" w:afterAutospacing="0"/>
        <w:rPr>
          <w:rFonts w:asciiTheme="minorHAnsi" w:hAnsiTheme="minorHAnsi"/>
          <w:color w:val="000000" w:themeColor="text1"/>
          <w:sz w:val="16"/>
          <w:szCs w:val="16"/>
        </w:rPr>
      </w:pPr>
      <w:r w:rsidRPr="00BE7BB7">
        <w:rPr>
          <w:rFonts w:asciiTheme="minorHAnsi" w:hAnsiTheme="minorHAnsi"/>
          <w:color w:val="000000" w:themeColor="text1"/>
          <w:sz w:val="16"/>
          <w:szCs w:val="16"/>
          <w:vertAlign w:val="superscript"/>
        </w:rPr>
        <w:footnoteRef/>
      </w:r>
      <w:r w:rsidRPr="00B648DA">
        <w:rPr>
          <w:rFonts w:asciiTheme="minorHAnsi" w:hAnsiTheme="minorHAnsi"/>
          <w:color w:val="000000" w:themeColor="text1"/>
          <w:sz w:val="16"/>
          <w:szCs w:val="16"/>
        </w:rPr>
        <w:t xml:space="preserve"> Riferimento per la </w:t>
      </w:r>
      <w:r>
        <w:rPr>
          <w:rFonts w:asciiTheme="minorHAnsi" w:hAnsiTheme="minorHAnsi"/>
          <w:color w:val="000000" w:themeColor="text1"/>
          <w:sz w:val="16"/>
          <w:szCs w:val="16"/>
        </w:rPr>
        <w:t>bibliografia in apice tra parentesi quadre</w:t>
      </w:r>
    </w:p>
    <w:p w:rsidR="008F6FFE" w:rsidRDefault="008F6FFE" w:rsidP="00F9574E">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37295">
        <w:rPr>
          <w:rFonts w:asciiTheme="minorHAnsi" w:hAnsiTheme="minorHAnsi"/>
          <w:color w:val="000000" w:themeColor="text1"/>
          <w:sz w:val="16"/>
          <w:szCs w:val="16"/>
          <w:lang w:val="en-US"/>
        </w:rPr>
        <w:t xml:space="preserve">Nat Rev Endocrinol. </w:t>
      </w:r>
      <w:r w:rsidRPr="00F9574E">
        <w:rPr>
          <w:rFonts w:asciiTheme="minorHAnsi" w:hAnsiTheme="minorHAnsi"/>
          <w:color w:val="000000" w:themeColor="text1"/>
          <w:sz w:val="16"/>
          <w:szCs w:val="16"/>
          <w:lang w:val="en-US"/>
        </w:rPr>
        <w:t xml:space="preserve">2018;14(10):576‐590. doi:10.1038/s41574-018-0059-4 </w:t>
      </w:r>
    </w:p>
    <w:p w:rsidR="008F6FFE" w:rsidRPr="00F9574E" w:rsidRDefault="008F6FFE" w:rsidP="00F9574E">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9574E">
        <w:rPr>
          <w:rFonts w:asciiTheme="minorHAnsi" w:hAnsiTheme="minorHAnsi"/>
          <w:color w:val="000000" w:themeColor="text1"/>
          <w:sz w:val="16"/>
          <w:szCs w:val="16"/>
          <w:lang w:val="en-US"/>
        </w:rPr>
        <w:t>Inflammaging: a new immune-metabolic viewpoint for age-related diseases. </w:t>
      </w:r>
    </w:p>
    <w:p w:rsidR="008F6FFE" w:rsidRDefault="008F6FFE" w:rsidP="00F9574E">
      <w:pPr>
        <w:pStyle w:val="labs-full-docsum"/>
        <w:shd w:val="clear" w:color="auto" w:fill="FFFFFF"/>
        <w:spacing w:before="0" w:beforeAutospacing="0" w:after="0" w:afterAutospacing="0"/>
        <w:rPr>
          <w:rFonts w:asciiTheme="minorHAnsi" w:hAnsiTheme="minorHAnsi"/>
          <w:color w:val="000000" w:themeColor="text1"/>
          <w:sz w:val="16"/>
          <w:szCs w:val="16"/>
        </w:rPr>
      </w:pPr>
      <w:r w:rsidRPr="0030438F">
        <w:rPr>
          <w:rFonts w:asciiTheme="minorHAnsi" w:hAnsiTheme="minorHAnsi"/>
          <w:color w:val="000000" w:themeColor="text1"/>
          <w:sz w:val="16"/>
          <w:szCs w:val="16"/>
        </w:rPr>
        <w:t xml:space="preserve">Franceschi C, Garagnani P, Parini P, Giuliani C, Santoro A. </w:t>
      </w:r>
    </w:p>
    <w:p w:rsidR="008F6FFE" w:rsidRPr="0030438F" w:rsidRDefault="0052743C" w:rsidP="00F9574E">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34" w:history="1">
        <w:r w:rsidR="008F6FFE" w:rsidRPr="0030438F">
          <w:rPr>
            <w:rFonts w:asciiTheme="minorHAnsi" w:hAnsiTheme="minorHAnsi"/>
            <w:color w:val="000000" w:themeColor="text1"/>
            <w:sz w:val="16"/>
            <w:szCs w:val="16"/>
          </w:rPr>
          <w:t>https://cris.unibo.it/retrieve/handle/11585/736269/581072/Franceschi_NRE_2018%20Post_Print.pdf</w:t>
        </w:r>
      </w:hyperlink>
    </w:p>
    <w:p w:rsidR="008F6FFE" w:rsidRPr="0030438F" w:rsidRDefault="008F6FFE" w:rsidP="00F9574E">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286405" w:rsidRDefault="008F6FFE" w:rsidP="00F9574E">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Immunol Invest. 2018;47(8):801‐811. doi:10.1080/08820139.2018.1537570</w:t>
      </w:r>
    </w:p>
    <w:p w:rsidR="008F6FFE" w:rsidRPr="00286405" w:rsidRDefault="008F6FFE" w:rsidP="00F9574E">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The Impact of the Microbiome on Immunosenescence.</w:t>
      </w:r>
    </w:p>
    <w:p w:rsidR="008F6FFE" w:rsidRPr="00286405" w:rsidRDefault="008F6FFE" w:rsidP="00F9574E">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86405">
        <w:rPr>
          <w:rFonts w:asciiTheme="minorHAnsi" w:hAnsiTheme="minorHAnsi"/>
          <w:color w:val="000000" w:themeColor="text1"/>
          <w:sz w:val="16"/>
          <w:szCs w:val="16"/>
          <w:lang w:val="en-US"/>
        </w:rPr>
        <w:t xml:space="preserve"> Amsterdam D, Ostrov BE. </w:t>
      </w:r>
    </w:p>
    <w:p w:rsidR="008F6FFE" w:rsidRPr="00F8347C" w:rsidRDefault="0052743C" w:rsidP="00F8347C">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35" w:history="1">
        <w:r w:rsidR="008F6FFE" w:rsidRPr="00F8347C">
          <w:rPr>
            <w:rFonts w:asciiTheme="minorHAnsi" w:hAnsiTheme="minorHAnsi"/>
            <w:color w:val="000000" w:themeColor="text1"/>
            <w:sz w:val="16"/>
            <w:szCs w:val="16"/>
            <w:lang w:val="en-US"/>
          </w:rPr>
          <w:t>https://pubmed.ncbi.nlm.nih.gov/31282802/</w:t>
        </w:r>
      </w:hyperlink>
    </w:p>
    <w:p w:rsidR="008F6FFE" w:rsidRPr="00286405" w:rsidRDefault="008F6FFE" w:rsidP="00F9574E">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footnote>
  <w:footnote w:id="211">
    <w:p w:rsidR="008F6FFE" w:rsidRPr="009B36BF" w:rsidRDefault="008F6FFE" w:rsidP="009B36BF">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9B36BF">
        <w:rPr>
          <w:rFonts w:asciiTheme="minorHAnsi" w:hAnsiTheme="minorHAnsi"/>
          <w:color w:val="000000" w:themeColor="text1"/>
          <w:sz w:val="16"/>
          <w:szCs w:val="16"/>
          <w:vertAlign w:val="superscript"/>
          <w:lang w:val="en-US"/>
        </w:rPr>
        <w:footnoteRef/>
      </w:r>
      <w:r w:rsidRPr="009B36BF">
        <w:rPr>
          <w:rFonts w:asciiTheme="minorHAnsi" w:hAnsiTheme="minorHAnsi"/>
          <w:color w:val="000000" w:themeColor="text1"/>
          <w:sz w:val="16"/>
          <w:szCs w:val="16"/>
          <w:vertAlign w:val="superscript"/>
          <w:lang w:val="en-US"/>
        </w:rPr>
        <w:t xml:space="preserve"> </w:t>
      </w:r>
      <w:r w:rsidRPr="009B36BF">
        <w:rPr>
          <w:rFonts w:asciiTheme="minorHAnsi" w:hAnsiTheme="minorHAnsi"/>
          <w:color w:val="000000" w:themeColor="text1"/>
          <w:sz w:val="16"/>
          <w:szCs w:val="16"/>
          <w:lang w:val="en-US"/>
        </w:rPr>
        <w:t>Coronavirus Resource Center, Johns Hopkins University. https://coronavirus.jhu.edu/. 2020</w:t>
      </w:r>
    </w:p>
    <w:p w:rsidR="008F6FFE" w:rsidRPr="009B36BF" w:rsidRDefault="008F6FFE" w:rsidP="009B36BF">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footnote>
  <w:footnote w:id="212">
    <w:p w:rsidR="008F6FFE" w:rsidRPr="0094354A" w:rsidRDefault="008F6FFE">
      <w:pPr>
        <w:pStyle w:val="FootnoteText"/>
        <w:rPr>
          <w:rFonts w:asciiTheme="minorHAnsi" w:hAnsiTheme="minorHAnsi"/>
          <w:color w:val="000000" w:themeColor="text1"/>
          <w:sz w:val="16"/>
          <w:szCs w:val="16"/>
          <w:lang w:val="en-US"/>
        </w:rPr>
      </w:pPr>
      <w:r w:rsidRPr="0094354A">
        <w:rPr>
          <w:rStyle w:val="FootnoteReference"/>
          <w:rFonts w:asciiTheme="minorHAnsi" w:hAnsiTheme="minorHAnsi"/>
          <w:color w:val="000000" w:themeColor="text1"/>
          <w:sz w:val="16"/>
          <w:szCs w:val="16"/>
        </w:rPr>
        <w:footnoteRef/>
      </w:r>
      <w:r w:rsidRPr="0094354A">
        <w:rPr>
          <w:rFonts w:asciiTheme="minorHAnsi" w:hAnsiTheme="minorHAnsi"/>
          <w:color w:val="000000" w:themeColor="text1"/>
          <w:sz w:val="16"/>
          <w:szCs w:val="16"/>
          <w:lang w:val="en-US"/>
        </w:rPr>
        <w:t xml:space="preserve"> </w:t>
      </w:r>
      <w:hyperlink r:id="rId1236" w:history="1">
        <w:r w:rsidRPr="0094354A">
          <w:rPr>
            <w:rStyle w:val="Hyperlink"/>
            <w:rFonts w:asciiTheme="minorHAnsi" w:hAnsiTheme="minorHAnsi"/>
            <w:color w:val="000000" w:themeColor="text1"/>
            <w:sz w:val="16"/>
            <w:szCs w:val="16"/>
            <w:u w:val="none"/>
            <w:lang w:val="en-US"/>
          </w:rPr>
          <w:t>https://www.epicentro.iss.it/coronavirus/bollettino/Report-COVID-2019_11_giugno.pdf</w:t>
        </w:r>
      </w:hyperlink>
    </w:p>
    <w:p w:rsidR="008F6FFE" w:rsidRPr="0094354A" w:rsidRDefault="008F6FFE">
      <w:pPr>
        <w:pStyle w:val="FootnoteText"/>
        <w:rPr>
          <w:rFonts w:asciiTheme="minorHAnsi" w:hAnsiTheme="minorHAnsi"/>
          <w:sz w:val="16"/>
          <w:szCs w:val="16"/>
          <w:lang w:val="en-US"/>
        </w:rPr>
      </w:pPr>
    </w:p>
  </w:footnote>
  <w:footnote w:id="213">
    <w:p w:rsidR="008F6FFE" w:rsidRDefault="008F6FFE" w:rsidP="00643CE4">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9B36BF">
        <w:rPr>
          <w:rFonts w:asciiTheme="minorHAnsi" w:hAnsiTheme="minorHAnsi"/>
          <w:color w:val="000000" w:themeColor="text1"/>
          <w:sz w:val="16"/>
          <w:szCs w:val="16"/>
          <w:vertAlign w:val="superscript"/>
          <w:lang w:val="en-US"/>
        </w:rPr>
        <w:footnoteRef/>
      </w:r>
      <w:r w:rsidRPr="009B36BF">
        <w:rPr>
          <w:rFonts w:asciiTheme="minorHAnsi" w:hAnsiTheme="minorHAnsi"/>
          <w:color w:val="000000" w:themeColor="text1"/>
          <w:sz w:val="16"/>
          <w:szCs w:val="16"/>
          <w:lang w:val="en-US"/>
        </w:rPr>
        <w:t xml:space="preserve"> Shim E, Tariq A, Choi W, Lee Y, Chowell G. </w:t>
      </w:r>
    </w:p>
    <w:p w:rsidR="008F6FFE" w:rsidRDefault="008F6FFE" w:rsidP="00643CE4">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9B36BF">
        <w:rPr>
          <w:rFonts w:asciiTheme="minorHAnsi" w:hAnsiTheme="minorHAnsi"/>
          <w:color w:val="000000" w:themeColor="text1"/>
          <w:sz w:val="16"/>
          <w:szCs w:val="16"/>
          <w:lang w:val="en-US"/>
        </w:rPr>
        <w:t>Transmission potential and severity of COVID-19 in South Korea. </w:t>
      </w:r>
    </w:p>
    <w:p w:rsidR="008F6FFE" w:rsidRPr="009B36BF" w:rsidRDefault="008F6FFE" w:rsidP="00643CE4">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9B36BF">
        <w:rPr>
          <w:rFonts w:asciiTheme="minorHAnsi" w:hAnsiTheme="minorHAnsi"/>
          <w:color w:val="000000" w:themeColor="text1"/>
          <w:sz w:val="16"/>
          <w:szCs w:val="16"/>
          <w:lang w:val="en-US"/>
        </w:rPr>
        <w:t>Int J Infect Dis. 2020;93:339‐344. doi:10.1016/j.ijid.2020.03.031</w:t>
      </w:r>
    </w:p>
    <w:p w:rsidR="008F6FFE" w:rsidRPr="00F8347C" w:rsidRDefault="0052743C" w:rsidP="00643CE4">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37" w:history="1">
        <w:r w:rsidR="008F6FFE" w:rsidRPr="00F8347C">
          <w:rPr>
            <w:rFonts w:asciiTheme="minorHAnsi" w:hAnsiTheme="minorHAnsi"/>
            <w:color w:val="000000" w:themeColor="text1"/>
            <w:sz w:val="16"/>
            <w:szCs w:val="16"/>
            <w:lang w:val="en-US"/>
          </w:rPr>
          <w:t>https://www.ncbi.nlm.nih.gov/pmc/articles/PMC7118661/</w:t>
        </w:r>
      </w:hyperlink>
    </w:p>
    <w:p w:rsidR="008F6FFE" w:rsidRPr="009B36BF" w:rsidRDefault="008F6FFE" w:rsidP="00643CE4">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footnote>
  <w:footnote w:id="214">
    <w:p w:rsidR="008F6FFE" w:rsidRDefault="008F6FFE" w:rsidP="009B36BF">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9B36BF">
        <w:rPr>
          <w:rFonts w:asciiTheme="minorHAnsi" w:hAnsiTheme="minorHAnsi" w:cstheme="minorHAnsi"/>
          <w:color w:val="000000" w:themeColor="text1"/>
          <w:sz w:val="16"/>
          <w:szCs w:val="16"/>
          <w:vertAlign w:val="superscript"/>
          <w:lang w:val="en-US"/>
        </w:rPr>
        <w:footnoteRef/>
      </w:r>
      <w:r w:rsidRPr="009B36BF">
        <w:rPr>
          <w:rFonts w:asciiTheme="minorHAnsi" w:hAnsiTheme="minorHAnsi"/>
          <w:color w:val="000000" w:themeColor="text1"/>
          <w:sz w:val="16"/>
          <w:szCs w:val="16"/>
          <w:lang w:val="en-US"/>
        </w:rPr>
        <w:t xml:space="preserve"> Verity R, et al. </w:t>
      </w:r>
    </w:p>
    <w:p w:rsidR="008F6FFE" w:rsidRDefault="008F6FFE" w:rsidP="009B36BF">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9B36BF">
        <w:rPr>
          <w:rFonts w:asciiTheme="minorHAnsi" w:hAnsiTheme="minorHAnsi"/>
          <w:color w:val="000000" w:themeColor="text1"/>
          <w:sz w:val="16"/>
          <w:szCs w:val="16"/>
          <w:lang w:val="en-US"/>
        </w:rPr>
        <w:t>Estimates of the severity of coronavirus disease 2019: a model-based analysis [published correction appears in Lancet Infect Dis. 2020 Apr 15] [published correction appears in Lancet Infect Dis. 2020 May 4]. </w:t>
      </w:r>
    </w:p>
    <w:p w:rsidR="008F6FFE" w:rsidRPr="009B36BF" w:rsidRDefault="008F6FFE" w:rsidP="009B36BF">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9B36BF">
        <w:rPr>
          <w:rFonts w:asciiTheme="minorHAnsi" w:hAnsiTheme="minorHAnsi"/>
          <w:color w:val="000000" w:themeColor="text1"/>
          <w:sz w:val="16"/>
          <w:szCs w:val="16"/>
          <w:lang w:val="en-US"/>
        </w:rPr>
        <w:t>Lancet Infect Dis. 2020;20(6):669‐677. doi:10.1016/S1473-3099(20)30243-7</w:t>
      </w:r>
    </w:p>
    <w:p w:rsidR="008F6FFE" w:rsidRPr="00F8347C" w:rsidRDefault="0052743C" w:rsidP="00F8347C">
      <w:pPr>
        <w:rPr>
          <w:rFonts w:asciiTheme="minorHAnsi" w:hAnsiTheme="minorHAnsi"/>
          <w:color w:val="000000" w:themeColor="text1"/>
          <w:sz w:val="16"/>
          <w:szCs w:val="16"/>
          <w:lang w:val="en-US"/>
        </w:rPr>
      </w:pPr>
      <w:hyperlink r:id="rId1238" w:history="1">
        <w:r w:rsidR="008F6FFE" w:rsidRPr="00F8347C">
          <w:rPr>
            <w:rFonts w:asciiTheme="minorHAnsi" w:hAnsiTheme="minorHAnsi"/>
            <w:color w:val="000000" w:themeColor="text1"/>
            <w:sz w:val="16"/>
            <w:szCs w:val="16"/>
            <w:lang w:val="en-US"/>
          </w:rPr>
          <w:t>https://www.ncbi.nlm.nih.gov/pmc/articles/PMC7158570/</w:t>
        </w:r>
      </w:hyperlink>
    </w:p>
    <w:p w:rsidR="008F6FFE" w:rsidRPr="00F8347C" w:rsidRDefault="008F6FFE" w:rsidP="005C01E5">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A078ED" w:rsidRDefault="008F6FFE" w:rsidP="005C01E5">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 xml:space="preserve">J Gerontol A Biol Sci Med Sci. 2020;glaa094. doi:10.1093/gerona/glaa094 </w:t>
      </w:r>
    </w:p>
    <w:p w:rsidR="008F6FFE" w:rsidRPr="00D33383" w:rsidRDefault="008F6FFE" w:rsidP="005C01E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D33383">
        <w:rPr>
          <w:rFonts w:asciiTheme="minorHAnsi" w:hAnsiTheme="minorHAnsi"/>
          <w:color w:val="000000" w:themeColor="text1"/>
          <w:sz w:val="16"/>
          <w:szCs w:val="16"/>
          <w:lang w:val="en-US"/>
        </w:rPr>
        <w:t xml:space="preserve">A geroscience perspective on COVID-19 mortality </w:t>
      </w:r>
    </w:p>
    <w:p w:rsidR="008F6FFE" w:rsidRPr="00F8347C" w:rsidRDefault="008F6FFE" w:rsidP="005C01E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F8347C">
        <w:rPr>
          <w:rFonts w:asciiTheme="minorHAnsi" w:hAnsiTheme="minorHAnsi"/>
          <w:color w:val="000000" w:themeColor="text1"/>
          <w:sz w:val="16"/>
          <w:szCs w:val="16"/>
          <w:lang w:val="en-US"/>
        </w:rPr>
        <w:t>Promislow DEL</w:t>
      </w:r>
    </w:p>
    <w:p w:rsidR="008F6FFE" w:rsidRPr="00F8347C" w:rsidRDefault="0052743C" w:rsidP="00F8347C">
      <w:pPr>
        <w:rPr>
          <w:rFonts w:asciiTheme="minorHAnsi" w:hAnsiTheme="minorHAnsi"/>
          <w:color w:val="000000" w:themeColor="text1"/>
          <w:sz w:val="16"/>
          <w:szCs w:val="16"/>
          <w:lang w:val="en-US"/>
        </w:rPr>
      </w:pPr>
      <w:hyperlink r:id="rId1239" w:history="1">
        <w:r w:rsidR="008F6FFE" w:rsidRPr="00F8347C">
          <w:rPr>
            <w:rFonts w:asciiTheme="minorHAnsi" w:hAnsiTheme="minorHAnsi"/>
            <w:color w:val="000000" w:themeColor="text1"/>
            <w:sz w:val="16"/>
            <w:szCs w:val="16"/>
            <w:lang w:val="en-US"/>
          </w:rPr>
          <w:t>https://www.ncbi.nlm.nih.gov/pmc/articles/PMC7184466/pdf/glaa094.pdf</w:t>
        </w:r>
      </w:hyperlink>
    </w:p>
    <w:p w:rsidR="008F6FFE" w:rsidRPr="00F8347C" w:rsidRDefault="008F6FFE" w:rsidP="005C01E5">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A078ED" w:rsidRDefault="008F6FFE" w:rsidP="005C01E5">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Geriatrics (Basel). 2020;5(2):E24. doi:10.3390/geriatrics5020024</w:t>
      </w:r>
    </w:p>
    <w:p w:rsidR="008F6FFE" w:rsidRPr="00A078ED" w:rsidRDefault="008F6FFE" w:rsidP="005C01E5">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COVID-19: A Geriatric Emergency. </w:t>
      </w:r>
    </w:p>
    <w:p w:rsidR="008F6FFE" w:rsidRPr="00A078ED" w:rsidRDefault="008F6FFE" w:rsidP="005C01E5">
      <w:pPr>
        <w:pStyle w:val="labs-full-docsum"/>
        <w:shd w:val="clear" w:color="auto" w:fill="FFFFFF"/>
        <w:spacing w:before="0" w:beforeAutospacing="0" w:after="0" w:afterAutospacing="0"/>
        <w:rPr>
          <w:rFonts w:asciiTheme="minorHAnsi" w:hAnsiTheme="minorHAnsi"/>
          <w:color w:val="000000" w:themeColor="text1"/>
          <w:sz w:val="16"/>
          <w:szCs w:val="16"/>
        </w:rPr>
      </w:pPr>
      <w:r w:rsidRPr="00A078ED">
        <w:rPr>
          <w:rFonts w:asciiTheme="minorHAnsi" w:hAnsiTheme="minorHAnsi"/>
          <w:color w:val="000000" w:themeColor="text1"/>
          <w:sz w:val="16"/>
          <w:szCs w:val="16"/>
        </w:rPr>
        <w:t xml:space="preserve">Boccardi V, Ruggiero C, Mecocci P. </w:t>
      </w:r>
    </w:p>
    <w:p w:rsidR="008F6FFE" w:rsidRPr="00A078ED" w:rsidRDefault="0052743C" w:rsidP="00F8347C">
      <w:pPr>
        <w:rPr>
          <w:rFonts w:asciiTheme="minorHAnsi" w:hAnsiTheme="minorHAnsi"/>
          <w:color w:val="000000" w:themeColor="text1"/>
          <w:sz w:val="16"/>
          <w:szCs w:val="16"/>
        </w:rPr>
      </w:pPr>
      <w:hyperlink r:id="rId1240" w:history="1">
        <w:r w:rsidR="008F6FFE" w:rsidRPr="00A078ED">
          <w:rPr>
            <w:rFonts w:asciiTheme="minorHAnsi" w:hAnsiTheme="minorHAnsi"/>
            <w:color w:val="000000" w:themeColor="text1"/>
            <w:sz w:val="16"/>
            <w:szCs w:val="16"/>
          </w:rPr>
          <w:t>https://www.mdpi.com/2308-3417/5/2/24/htm</w:t>
        </w:r>
      </w:hyperlink>
    </w:p>
    <w:p w:rsidR="008F6FFE" w:rsidRPr="00A078ED" w:rsidRDefault="008F6FFE">
      <w:pPr>
        <w:pStyle w:val="FootnoteText"/>
        <w:rPr>
          <w:rFonts w:asciiTheme="minorHAnsi" w:hAnsiTheme="minorHAnsi" w:cs="Times New Roman"/>
          <w:color w:val="000000" w:themeColor="text1"/>
          <w:sz w:val="16"/>
          <w:szCs w:val="16"/>
        </w:rPr>
      </w:pPr>
    </w:p>
    <w:p w:rsidR="008F6FFE" w:rsidRPr="00A078ED" w:rsidRDefault="0052743C" w:rsidP="00F8347C">
      <w:pPr>
        <w:rPr>
          <w:rFonts w:asciiTheme="minorHAnsi" w:hAnsiTheme="minorHAnsi"/>
          <w:color w:val="000000" w:themeColor="text1"/>
          <w:sz w:val="16"/>
          <w:szCs w:val="16"/>
        </w:rPr>
      </w:pPr>
      <w:hyperlink r:id="rId1241" w:history="1">
        <w:r w:rsidR="008F6FFE" w:rsidRPr="00A078ED">
          <w:rPr>
            <w:rFonts w:asciiTheme="minorHAnsi" w:hAnsiTheme="minorHAnsi"/>
            <w:color w:val="000000" w:themeColor="text1"/>
            <w:sz w:val="16"/>
            <w:szCs w:val="16"/>
          </w:rPr>
          <w:t>https://www.epicentro.iss.it/coronavirus/bollettino/Infografica_15giugno%20ITA.pdf</w:t>
        </w:r>
      </w:hyperlink>
    </w:p>
    <w:p w:rsidR="008F6FFE" w:rsidRPr="009B36BF" w:rsidRDefault="008F6FFE">
      <w:pPr>
        <w:pStyle w:val="FootnoteText"/>
        <w:rPr>
          <w:rFonts w:asciiTheme="minorHAnsi" w:hAnsiTheme="minorHAnsi" w:cstheme="minorHAnsi"/>
          <w:sz w:val="16"/>
          <w:szCs w:val="16"/>
        </w:rPr>
      </w:pPr>
    </w:p>
  </w:footnote>
  <w:footnote w:id="215">
    <w:p w:rsidR="008F6FFE" w:rsidRPr="00CC4795" w:rsidRDefault="008F6FFE" w:rsidP="00CC479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CC4795">
        <w:rPr>
          <w:rFonts w:asciiTheme="minorHAnsi" w:hAnsiTheme="minorHAnsi"/>
          <w:color w:val="000000" w:themeColor="text1"/>
          <w:sz w:val="16"/>
          <w:szCs w:val="16"/>
          <w:vertAlign w:val="superscript"/>
          <w:lang w:val="en-US"/>
        </w:rPr>
        <w:footnoteRef/>
      </w:r>
      <w:r w:rsidRPr="00CC4795">
        <w:rPr>
          <w:rFonts w:asciiTheme="minorHAnsi" w:hAnsiTheme="minorHAnsi"/>
          <w:color w:val="000000" w:themeColor="text1"/>
          <w:sz w:val="16"/>
          <w:szCs w:val="16"/>
          <w:lang w:val="en-US"/>
        </w:rPr>
        <w:t xml:space="preserve"> NPJ Aging Mech Dis. 2016;2:16018. doi:10.1038/npjamd.2016.18</w:t>
      </w:r>
    </w:p>
    <w:p w:rsidR="008F6FFE" w:rsidRPr="00CC4795" w:rsidRDefault="008F6FFE" w:rsidP="00CC479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CC4795">
        <w:rPr>
          <w:rFonts w:asciiTheme="minorHAnsi" w:hAnsiTheme="minorHAnsi"/>
          <w:color w:val="000000" w:themeColor="text1"/>
          <w:sz w:val="16"/>
          <w:szCs w:val="16"/>
          <w:lang w:val="en-US"/>
        </w:rPr>
        <w:t>Macrophages in age-related chronic inflammatory diseases. </w:t>
      </w:r>
    </w:p>
    <w:p w:rsidR="008F6FFE" w:rsidRPr="00CC4795" w:rsidRDefault="008F6FFE" w:rsidP="00CC4795">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CC4795">
        <w:rPr>
          <w:rFonts w:asciiTheme="minorHAnsi" w:hAnsiTheme="minorHAnsi"/>
          <w:color w:val="000000" w:themeColor="text1"/>
          <w:sz w:val="16"/>
          <w:szCs w:val="16"/>
          <w:lang w:val="en-US"/>
        </w:rPr>
        <w:t>Oishi Y, Manabe I.</w:t>
      </w:r>
    </w:p>
    <w:p w:rsidR="008F6FFE" w:rsidRPr="00F8347C" w:rsidRDefault="0052743C" w:rsidP="00F8347C">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42" w:history="1">
        <w:r w:rsidR="008F6FFE" w:rsidRPr="00F8347C">
          <w:rPr>
            <w:rFonts w:asciiTheme="minorHAnsi" w:hAnsiTheme="minorHAnsi"/>
            <w:color w:val="000000" w:themeColor="text1"/>
            <w:sz w:val="16"/>
            <w:szCs w:val="16"/>
            <w:lang w:val="en-US"/>
          </w:rPr>
          <w:t>https://www.ncbi.nlm.nih.gov/pmc/articles/PMC5515003/</w:t>
        </w:r>
      </w:hyperlink>
    </w:p>
  </w:footnote>
  <w:footnote w:id="216">
    <w:p w:rsidR="008F6FFE" w:rsidRPr="002319A9" w:rsidRDefault="008F6FFE" w:rsidP="002319A9">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319A9">
        <w:rPr>
          <w:rFonts w:asciiTheme="minorHAnsi" w:hAnsiTheme="minorHAnsi"/>
          <w:color w:val="000000" w:themeColor="text1"/>
          <w:sz w:val="16"/>
          <w:szCs w:val="16"/>
          <w:vertAlign w:val="superscript"/>
          <w:lang w:val="en-US"/>
        </w:rPr>
        <w:footnoteRef/>
      </w:r>
      <w:r w:rsidRPr="002319A9">
        <w:rPr>
          <w:rFonts w:asciiTheme="minorHAnsi" w:hAnsiTheme="minorHAnsi"/>
          <w:color w:val="000000" w:themeColor="text1"/>
          <w:sz w:val="16"/>
          <w:szCs w:val="16"/>
          <w:vertAlign w:val="superscript"/>
          <w:lang w:val="en-US"/>
        </w:rPr>
        <w:t xml:space="preserve"> </w:t>
      </w:r>
      <w:r w:rsidRPr="002319A9">
        <w:rPr>
          <w:rFonts w:asciiTheme="minorHAnsi" w:hAnsiTheme="minorHAnsi"/>
          <w:color w:val="000000" w:themeColor="text1"/>
          <w:sz w:val="16"/>
          <w:szCs w:val="16"/>
          <w:lang w:val="en-US"/>
        </w:rPr>
        <w:t xml:space="preserve">CMAJ. 2020;cmaj.200869. doi:10.1503/cmaj.200869 </w:t>
      </w:r>
    </w:p>
    <w:p w:rsidR="008F6FFE" w:rsidRPr="002319A9" w:rsidRDefault="008F6FFE" w:rsidP="002319A9">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2319A9">
        <w:rPr>
          <w:rFonts w:asciiTheme="minorHAnsi" w:hAnsiTheme="minorHAnsi"/>
          <w:color w:val="000000" w:themeColor="text1"/>
          <w:sz w:val="16"/>
          <w:szCs w:val="16"/>
          <w:lang w:val="en-US"/>
        </w:rPr>
        <w:t xml:space="preserve">Anosmia and dysgeusia associated with SARS-CoV-2 infection: an age-matched case-control study </w:t>
      </w:r>
    </w:p>
    <w:p w:rsidR="008F6FFE" w:rsidRPr="00DD34F4" w:rsidRDefault="008F6FFE" w:rsidP="002319A9">
      <w:pPr>
        <w:pStyle w:val="labs-full-docsum"/>
        <w:shd w:val="clear" w:color="auto" w:fill="FFFFFF"/>
        <w:spacing w:before="0" w:beforeAutospacing="0" w:after="0" w:afterAutospacing="0"/>
        <w:rPr>
          <w:rFonts w:asciiTheme="minorHAnsi" w:hAnsiTheme="minorHAnsi"/>
          <w:color w:val="000000" w:themeColor="text1"/>
          <w:sz w:val="16"/>
          <w:szCs w:val="16"/>
        </w:rPr>
      </w:pPr>
      <w:r w:rsidRPr="00DD34F4">
        <w:rPr>
          <w:rFonts w:asciiTheme="minorHAnsi" w:hAnsiTheme="minorHAnsi"/>
          <w:color w:val="000000" w:themeColor="text1"/>
          <w:sz w:val="16"/>
          <w:szCs w:val="16"/>
        </w:rPr>
        <w:t xml:space="preserve">Carignan A, et al. </w:t>
      </w:r>
    </w:p>
    <w:p w:rsidR="008F6FFE" w:rsidRPr="00A078ED" w:rsidRDefault="0052743C" w:rsidP="00CB502B">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43" w:history="1">
        <w:r w:rsidR="008F6FFE" w:rsidRPr="00A078ED">
          <w:rPr>
            <w:rFonts w:asciiTheme="minorHAnsi" w:hAnsiTheme="minorHAnsi"/>
            <w:color w:val="000000" w:themeColor="text1"/>
            <w:sz w:val="16"/>
            <w:szCs w:val="16"/>
          </w:rPr>
          <w:t>https://www.cmaj.ca/content/cmaj/early/2020/05/27/cmaj.200869.full.pdf</w:t>
        </w:r>
      </w:hyperlink>
    </w:p>
  </w:footnote>
  <w:footnote w:id="217">
    <w:p w:rsidR="008F6FFE" w:rsidRPr="00F37295"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rPr>
      </w:pPr>
      <w:r w:rsidRPr="00863B73">
        <w:rPr>
          <w:rFonts w:asciiTheme="minorHAnsi" w:hAnsiTheme="minorHAnsi"/>
          <w:color w:val="000000" w:themeColor="text1"/>
          <w:sz w:val="16"/>
          <w:szCs w:val="16"/>
          <w:vertAlign w:val="superscript"/>
          <w:lang w:val="en-US"/>
        </w:rPr>
        <w:footnoteRef/>
      </w:r>
      <w:r w:rsidRPr="00F37295">
        <w:rPr>
          <w:rFonts w:asciiTheme="minorHAnsi" w:hAnsiTheme="minorHAnsi"/>
          <w:color w:val="000000" w:themeColor="text1"/>
          <w:sz w:val="16"/>
          <w:szCs w:val="16"/>
        </w:rPr>
        <w:t xml:space="preserve"> Bishehsari F, Levi F, Turek FW, Keshavarzian A. </w:t>
      </w: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Circadian Rhythms in Gastrointestinal Health and Diseases. </w:t>
      </w:r>
    </w:p>
    <w:p w:rsidR="008F6FFE" w:rsidRPr="00F37295"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rPr>
      </w:pPr>
      <w:r w:rsidRPr="00F37295">
        <w:rPr>
          <w:rFonts w:asciiTheme="minorHAnsi" w:hAnsiTheme="minorHAnsi"/>
          <w:color w:val="000000" w:themeColor="text1"/>
          <w:sz w:val="16"/>
          <w:szCs w:val="16"/>
        </w:rPr>
        <w:t>Gastroenterology. 2016;151(3):e1‐e5. doi:10.1053/j.gastro.2016.07.036</w:t>
      </w:r>
    </w:p>
    <w:p w:rsidR="008F6FFE" w:rsidRPr="00F37295" w:rsidRDefault="0052743C" w:rsidP="00863B73">
      <w:pPr>
        <w:pStyle w:val="labs-full-docsum"/>
        <w:shd w:val="clear" w:color="auto" w:fill="FFFFFF"/>
        <w:spacing w:before="0" w:beforeAutospacing="0" w:after="0" w:afterAutospacing="0"/>
        <w:rPr>
          <w:rFonts w:asciiTheme="minorHAnsi" w:hAnsiTheme="minorHAnsi"/>
          <w:color w:val="000000" w:themeColor="text1"/>
          <w:sz w:val="16"/>
          <w:szCs w:val="16"/>
        </w:rPr>
      </w:pPr>
      <w:hyperlink r:id="rId1244" w:history="1">
        <w:r w:rsidR="008F6FFE" w:rsidRPr="00F37295">
          <w:rPr>
            <w:rFonts w:asciiTheme="minorHAnsi" w:hAnsiTheme="minorHAnsi"/>
            <w:color w:val="000000" w:themeColor="text1"/>
            <w:sz w:val="16"/>
            <w:szCs w:val="16"/>
          </w:rPr>
          <w:t>https://www.gastrojournal.org/article/S0016-5085(16)34832-6/pdf</w:t>
        </w:r>
      </w:hyperlink>
    </w:p>
    <w:p w:rsidR="008F6FFE" w:rsidRPr="00F37295"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rPr>
      </w:pPr>
    </w:p>
    <w:p w:rsidR="008F6FFE" w:rsidRPr="00F37295"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rPr>
      </w:pPr>
      <w:r w:rsidRPr="00F37295">
        <w:rPr>
          <w:rFonts w:asciiTheme="minorHAnsi" w:hAnsiTheme="minorHAnsi"/>
          <w:color w:val="000000" w:themeColor="text1"/>
          <w:sz w:val="16"/>
          <w:szCs w:val="16"/>
        </w:rPr>
        <w:t xml:space="preserve">Asher G, Sassone-Corsi P. </w:t>
      </w: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Time for food: the intimate interplay between nutrition, metabolism, and the circadian clock. </w:t>
      </w: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Cell. 2015;161(1):84‐92. doi:10.1016/j.cell.2015.03.015</w:t>
      </w:r>
    </w:p>
    <w:p w:rsidR="008F6FFE" w:rsidRPr="00863B73" w:rsidRDefault="0052743C"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45" w:history="1">
        <w:r w:rsidR="008F6FFE" w:rsidRPr="00863B73">
          <w:rPr>
            <w:rFonts w:asciiTheme="minorHAnsi" w:hAnsiTheme="minorHAnsi"/>
            <w:color w:val="000000" w:themeColor="text1"/>
            <w:sz w:val="16"/>
            <w:szCs w:val="16"/>
            <w:lang w:val="en-US"/>
          </w:rPr>
          <w:t>https://www.sciencedirect.com/science/article/pii/S0092867415003025</w:t>
        </w:r>
      </w:hyperlink>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 xml:space="preserve">Leone V, et al. </w:t>
      </w: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Effects of diurnal variation of gut microbes and high-fat feeding on host circadian clock function and metabolism. </w:t>
      </w: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Cell Host Microbe. 2015;17(5):681‐689. doi:10.1016/j.chom.2015.03.006</w:t>
      </w:r>
    </w:p>
    <w:p w:rsidR="008F6FFE" w:rsidRPr="00863B73" w:rsidRDefault="0052743C"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46" w:history="1">
        <w:r w:rsidR="008F6FFE" w:rsidRPr="00863B73">
          <w:rPr>
            <w:rFonts w:asciiTheme="minorHAnsi" w:hAnsiTheme="minorHAnsi"/>
            <w:color w:val="000000" w:themeColor="text1"/>
            <w:sz w:val="16"/>
            <w:szCs w:val="16"/>
            <w:lang w:val="en-US"/>
          </w:rPr>
          <w:t>https://www.sciencedirect.com/science/article/pii/S1931312815001237</w:t>
        </w:r>
      </w:hyperlink>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Voigt-Zuwala, Robin &amp; Forsyth, Christopher &amp; Green, S.J. &amp; Engen, Phillip &amp; Keshavarzian, A (2016). Circadian Rhythm and the Gut Microbiome. 10.1016/bs.irn.2016.07.002.</w:t>
      </w:r>
    </w:p>
    <w:p w:rsidR="008F6FFE" w:rsidRPr="00863B73" w:rsidRDefault="0052743C"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47" w:history="1">
        <w:r w:rsidR="008F6FFE" w:rsidRPr="00863B73">
          <w:rPr>
            <w:rFonts w:asciiTheme="minorHAnsi" w:hAnsiTheme="minorHAnsi"/>
            <w:color w:val="000000" w:themeColor="text1"/>
            <w:sz w:val="16"/>
            <w:szCs w:val="16"/>
            <w:lang w:val="en-US"/>
          </w:rPr>
          <w:t>https://www.researchgate.net/publication/308007124_Circadian_Rhythm_and_the_Gut_Microbiome</w:t>
        </w:r>
      </w:hyperlink>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 xml:space="preserve">Asher G, Schibler U. </w:t>
      </w: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Crosstalk between components of circadian and metabolic cycles in mammals. </w:t>
      </w: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Cell Metab. 2011;13(2):125‐137. doi:10.1016/j.cmet.2011.01.006</w:t>
      </w:r>
    </w:p>
    <w:p w:rsidR="008F6FFE" w:rsidRPr="00863B73" w:rsidRDefault="0052743C"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48" w:history="1">
        <w:r w:rsidR="008F6FFE" w:rsidRPr="00863B73">
          <w:rPr>
            <w:rFonts w:asciiTheme="minorHAnsi" w:hAnsiTheme="minorHAnsi"/>
            <w:color w:val="000000" w:themeColor="text1"/>
            <w:sz w:val="16"/>
            <w:szCs w:val="16"/>
            <w:lang w:val="en-US"/>
          </w:rPr>
          <w:t>https://www.sciencedirect.com/science/article/pii/S1550413111000076</w:t>
        </w:r>
      </w:hyperlink>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 xml:space="preserve">Mukherji A, Kobiita A, Ye T, Chambon P. </w:t>
      </w: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Homeostasis in intestinal epithelium is orchestrated by the circadian clock and microbiota cues transduced by TLRs. </w:t>
      </w:r>
    </w:p>
    <w:p w:rsidR="008F6FFE" w:rsidRPr="00863B73" w:rsidRDefault="008F6FFE"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r w:rsidRPr="00863B73">
        <w:rPr>
          <w:rFonts w:asciiTheme="minorHAnsi" w:hAnsiTheme="minorHAnsi"/>
          <w:color w:val="000000" w:themeColor="text1"/>
          <w:sz w:val="16"/>
          <w:szCs w:val="16"/>
          <w:lang w:val="en-US"/>
        </w:rPr>
        <w:t>Cell. 2013;153(4):812‐827. doi:10.1016/j.cell.2013.04.020</w:t>
      </w:r>
    </w:p>
    <w:p w:rsidR="008F6FFE" w:rsidRDefault="0052743C" w:rsidP="00863B73">
      <w:pPr>
        <w:pStyle w:val="labs-full-docsum"/>
        <w:shd w:val="clear" w:color="auto" w:fill="FFFFFF"/>
        <w:spacing w:before="0" w:beforeAutospacing="0" w:after="0" w:afterAutospacing="0"/>
        <w:rPr>
          <w:rFonts w:asciiTheme="minorHAnsi" w:hAnsiTheme="minorHAnsi"/>
          <w:color w:val="000000" w:themeColor="text1"/>
          <w:sz w:val="16"/>
          <w:szCs w:val="16"/>
          <w:lang w:val="en-US"/>
        </w:rPr>
      </w:pPr>
      <w:hyperlink r:id="rId1249" w:history="1">
        <w:r w:rsidR="008F6FFE" w:rsidRPr="00863B73">
          <w:rPr>
            <w:rFonts w:asciiTheme="minorHAnsi" w:hAnsiTheme="minorHAnsi"/>
            <w:color w:val="000000" w:themeColor="text1"/>
            <w:sz w:val="16"/>
            <w:szCs w:val="16"/>
            <w:lang w:val="en-US"/>
          </w:rPr>
          <w:t>https://www.sciencedirect.com/science/article/pii/S0092867413004625</w:t>
        </w:r>
      </w:hyperlink>
    </w:p>
    <w:p w:rsidR="008F6FFE" w:rsidRPr="00863B73" w:rsidRDefault="008F6FFE">
      <w:pPr>
        <w:pStyle w:val="FootnoteText"/>
        <w:rPr>
          <w:lang w:val="en-US"/>
        </w:rPr>
      </w:pPr>
    </w:p>
  </w:footnote>
  <w:footnote w:id="218">
    <w:p w:rsidR="008F6FFE" w:rsidRPr="006F6F0B" w:rsidRDefault="008F6FFE" w:rsidP="006F6F0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6F6F0B">
        <w:rPr>
          <w:rStyle w:val="FootnoteReference"/>
          <w:rFonts w:asciiTheme="minorHAnsi" w:hAnsiTheme="minorHAnsi" w:cstheme="minorHAnsi"/>
          <w:color w:val="000000" w:themeColor="text1"/>
          <w:sz w:val="16"/>
          <w:szCs w:val="16"/>
        </w:rPr>
        <w:footnoteRef/>
      </w:r>
      <w:r w:rsidRPr="006F6F0B">
        <w:rPr>
          <w:rFonts w:asciiTheme="minorHAnsi" w:hAnsiTheme="minorHAnsi" w:cstheme="minorHAnsi"/>
          <w:color w:val="000000" w:themeColor="text1"/>
          <w:sz w:val="16"/>
          <w:szCs w:val="16"/>
          <w:lang w:val="en-US"/>
        </w:rPr>
        <w:t xml:space="preserve"> </w:t>
      </w:r>
      <w:r w:rsidRPr="006F6F0B">
        <w:rPr>
          <w:rFonts w:asciiTheme="minorHAnsi" w:hAnsiTheme="minorHAnsi" w:cstheme="minorHAnsi"/>
          <w:color w:val="000000" w:themeColor="text1"/>
          <w:sz w:val="16"/>
          <w:szCs w:val="16"/>
          <w:shd w:val="clear" w:color="auto" w:fill="FFFFFF"/>
          <w:lang w:val="en-US"/>
        </w:rPr>
        <w:t xml:space="preserve">Nagpal R, Mainali R, Ahmadi S, et al. </w:t>
      </w:r>
    </w:p>
    <w:p w:rsidR="008F6FFE" w:rsidRPr="006F6F0B" w:rsidRDefault="008F6FFE" w:rsidP="006F6F0B">
      <w:pPr>
        <w:rPr>
          <w:rFonts w:asciiTheme="minorHAnsi" w:hAnsiTheme="minorHAnsi" w:cstheme="minorHAnsi"/>
          <w:color w:val="000000" w:themeColor="text1"/>
          <w:sz w:val="16"/>
          <w:szCs w:val="16"/>
          <w:shd w:val="clear" w:color="auto" w:fill="FFFFFF"/>
          <w:lang w:val="en-US"/>
        </w:rPr>
      </w:pPr>
      <w:r w:rsidRPr="006F6F0B">
        <w:rPr>
          <w:rFonts w:asciiTheme="minorHAnsi" w:hAnsiTheme="minorHAnsi" w:cstheme="minorHAnsi"/>
          <w:color w:val="000000" w:themeColor="text1"/>
          <w:sz w:val="16"/>
          <w:szCs w:val="16"/>
          <w:shd w:val="clear" w:color="auto" w:fill="FFFFFF"/>
          <w:lang w:val="en-US"/>
        </w:rPr>
        <w:t>Gut microbiome and aging: Physiological and mechanistic insights. </w:t>
      </w:r>
    </w:p>
    <w:p w:rsidR="008F6FFE" w:rsidRPr="006F6F0B" w:rsidRDefault="008F6FFE" w:rsidP="006F6F0B">
      <w:pPr>
        <w:rPr>
          <w:rFonts w:asciiTheme="minorHAnsi" w:hAnsiTheme="minorHAnsi" w:cstheme="minorHAnsi"/>
          <w:color w:val="000000" w:themeColor="text1"/>
          <w:sz w:val="16"/>
          <w:szCs w:val="16"/>
          <w:shd w:val="clear" w:color="auto" w:fill="FFFFFF"/>
          <w:lang w:val="en-US"/>
        </w:rPr>
      </w:pPr>
      <w:r w:rsidRPr="006F6F0B">
        <w:rPr>
          <w:rFonts w:asciiTheme="minorHAnsi" w:hAnsiTheme="minorHAnsi" w:cstheme="minorHAnsi"/>
          <w:color w:val="000000" w:themeColor="text1"/>
          <w:sz w:val="16"/>
          <w:szCs w:val="16"/>
          <w:lang w:val="en-US"/>
        </w:rPr>
        <w:t>Nutr Healthy Aging</w:t>
      </w:r>
      <w:r w:rsidRPr="006F6F0B">
        <w:rPr>
          <w:rFonts w:asciiTheme="minorHAnsi" w:hAnsiTheme="minorHAnsi" w:cstheme="minorHAnsi"/>
          <w:color w:val="000000" w:themeColor="text1"/>
          <w:sz w:val="16"/>
          <w:szCs w:val="16"/>
          <w:shd w:val="clear" w:color="auto" w:fill="FFFFFF"/>
          <w:lang w:val="en-US"/>
        </w:rPr>
        <w:t>. 2018;4(4):267‐285. Published 2018 Jun 15. doi:10.3233/NHA-170030</w:t>
      </w:r>
    </w:p>
    <w:p w:rsidR="008F6FFE" w:rsidRPr="006F6F0B" w:rsidRDefault="0052743C" w:rsidP="006F6F0B">
      <w:pPr>
        <w:jc w:val="both"/>
        <w:rPr>
          <w:rFonts w:asciiTheme="minorHAnsi" w:hAnsiTheme="minorHAnsi" w:cstheme="minorHAnsi"/>
          <w:color w:val="000000" w:themeColor="text1"/>
          <w:sz w:val="16"/>
          <w:szCs w:val="16"/>
          <w:lang w:val="en-US"/>
        </w:rPr>
      </w:pPr>
      <w:hyperlink r:id="rId1250" w:history="1">
        <w:r w:rsidR="008F6FFE" w:rsidRPr="006F6F0B">
          <w:rPr>
            <w:rStyle w:val="Hyperlink"/>
            <w:rFonts w:asciiTheme="minorHAnsi" w:eastAsiaTheme="majorEastAsia" w:hAnsiTheme="minorHAnsi" w:cstheme="minorHAnsi"/>
            <w:color w:val="000000" w:themeColor="text1"/>
            <w:sz w:val="16"/>
            <w:szCs w:val="16"/>
            <w:u w:val="none"/>
            <w:lang w:val="en-US"/>
          </w:rPr>
          <w:t>https://www.ncbi.nlm.nih.gov/pmc/articles/PMC6004897/</w:t>
        </w:r>
      </w:hyperlink>
    </w:p>
  </w:footnote>
  <w:footnote w:id="219">
    <w:p w:rsidR="008F6FFE" w:rsidRPr="00F37295"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r w:rsidRPr="002B202F">
        <w:rPr>
          <w:rFonts w:asciiTheme="minorHAnsi" w:hAnsiTheme="minorHAnsi" w:cstheme="minorHAnsi"/>
          <w:color w:val="000000" w:themeColor="text1"/>
          <w:sz w:val="16"/>
          <w:szCs w:val="16"/>
          <w:shd w:val="clear" w:color="auto" w:fill="FFFFFF"/>
          <w:vertAlign w:val="superscript"/>
          <w:lang w:val="en-US"/>
        </w:rPr>
        <w:footnoteRef/>
      </w:r>
      <w:r w:rsidRPr="00F37295">
        <w:rPr>
          <w:rFonts w:asciiTheme="minorHAnsi" w:hAnsiTheme="minorHAnsi" w:cstheme="minorHAnsi"/>
          <w:color w:val="000000" w:themeColor="text1"/>
          <w:sz w:val="16"/>
          <w:szCs w:val="16"/>
          <w:shd w:val="clear" w:color="auto" w:fill="FFFFFF"/>
        </w:rPr>
        <w:t xml:space="preserve"> Franceschi C, Garagnani P, Parini P, Giuliani C, Santoro A. </w:t>
      </w:r>
    </w:p>
    <w:p w:rsidR="008F6FFE" w:rsidRPr="002B202F"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Fonts w:asciiTheme="minorHAnsi" w:hAnsiTheme="minorHAnsi" w:cstheme="minorHAnsi"/>
          <w:color w:val="000000" w:themeColor="text1"/>
          <w:sz w:val="16"/>
          <w:szCs w:val="16"/>
          <w:shd w:val="clear" w:color="auto" w:fill="FFFFFF"/>
          <w:lang w:val="en-US"/>
        </w:rPr>
        <w:t>Inflammaging: a new immune-metabolic viewpoint for age-related diseases. </w:t>
      </w:r>
    </w:p>
    <w:p w:rsidR="008F6FFE" w:rsidRPr="002B202F"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Fonts w:asciiTheme="minorHAnsi" w:hAnsiTheme="minorHAnsi" w:cstheme="minorHAnsi"/>
          <w:color w:val="000000" w:themeColor="text1"/>
          <w:sz w:val="16"/>
          <w:szCs w:val="16"/>
          <w:shd w:val="clear" w:color="auto" w:fill="FFFFFF"/>
          <w:lang w:val="en-US"/>
        </w:rPr>
        <w:t>Nat Rev Endocrinol. 2018;14(10):576‐590. doi:10.1038/s41574-018-0059-4</w:t>
      </w:r>
    </w:p>
    <w:p w:rsidR="008F6FFE" w:rsidRPr="00F8347C" w:rsidRDefault="0052743C" w:rsidP="00F8347C">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51" w:history="1">
        <w:r w:rsidR="008F6FFE" w:rsidRPr="00F8347C">
          <w:rPr>
            <w:rFonts w:asciiTheme="minorHAnsi" w:hAnsiTheme="minorHAnsi" w:cstheme="minorHAnsi"/>
            <w:color w:val="000000" w:themeColor="text1"/>
            <w:sz w:val="16"/>
            <w:szCs w:val="16"/>
            <w:shd w:val="clear" w:color="auto" w:fill="FFFFFF"/>
            <w:lang w:val="en-US"/>
          </w:rPr>
          <w:t>https://pubmed.ncbi.nlm.nih.gov/30046148/</w:t>
        </w:r>
      </w:hyperlink>
    </w:p>
    <w:p w:rsidR="008F6FFE" w:rsidRPr="002B202F"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20">
    <w:p w:rsidR="008F6FFE" w:rsidRPr="002B202F"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Fonts w:asciiTheme="minorHAnsi" w:hAnsiTheme="minorHAnsi" w:cstheme="minorHAnsi"/>
          <w:color w:val="000000" w:themeColor="text1"/>
          <w:sz w:val="16"/>
          <w:szCs w:val="16"/>
          <w:shd w:val="clear" w:color="auto" w:fill="FFFFFF"/>
          <w:vertAlign w:val="superscript"/>
          <w:lang w:val="en-US"/>
        </w:rPr>
        <w:footnoteRef/>
      </w:r>
      <w:r w:rsidRPr="002B202F">
        <w:rPr>
          <w:rFonts w:asciiTheme="minorHAnsi" w:hAnsiTheme="minorHAnsi" w:cstheme="minorHAnsi"/>
          <w:color w:val="000000" w:themeColor="text1"/>
          <w:sz w:val="16"/>
          <w:szCs w:val="16"/>
          <w:shd w:val="clear" w:color="auto" w:fill="FFFFFF"/>
          <w:vertAlign w:val="superscript"/>
          <w:lang w:val="en-US"/>
        </w:rPr>
        <w:t xml:space="preserve"> </w:t>
      </w:r>
      <w:r w:rsidRPr="002B202F">
        <w:rPr>
          <w:rFonts w:asciiTheme="minorHAnsi" w:hAnsiTheme="minorHAnsi" w:cstheme="minorHAnsi"/>
          <w:color w:val="000000" w:themeColor="text1"/>
          <w:sz w:val="16"/>
          <w:szCs w:val="16"/>
          <w:shd w:val="clear" w:color="auto" w:fill="FFFFFF"/>
          <w:lang w:val="en-US"/>
        </w:rPr>
        <w:t xml:space="preserve">Prattichizzo F, et al. </w:t>
      </w:r>
    </w:p>
    <w:p w:rsidR="008F6FFE" w:rsidRPr="002B202F"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Fonts w:asciiTheme="minorHAnsi" w:hAnsiTheme="minorHAnsi" w:cstheme="minorHAnsi"/>
          <w:color w:val="000000" w:themeColor="text1"/>
          <w:sz w:val="16"/>
          <w:szCs w:val="16"/>
          <w:shd w:val="clear" w:color="auto" w:fill="FFFFFF"/>
          <w:lang w:val="en-US"/>
        </w:rPr>
        <w:t>Inflammageing and metaflammation: The yin and yang of type 2 diabetes. </w:t>
      </w:r>
    </w:p>
    <w:p w:rsidR="008F6FFE" w:rsidRPr="002B202F"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Fonts w:asciiTheme="minorHAnsi" w:hAnsiTheme="minorHAnsi" w:cstheme="minorHAnsi"/>
          <w:color w:val="000000" w:themeColor="text1"/>
          <w:sz w:val="16"/>
          <w:szCs w:val="16"/>
          <w:shd w:val="clear" w:color="auto" w:fill="FFFFFF"/>
          <w:lang w:val="en-US"/>
        </w:rPr>
        <w:t>Ageing Res Rev. 2018;41:1‐17. doi:10.1016/j.arr.2017.10.003</w:t>
      </w:r>
    </w:p>
    <w:p w:rsidR="008F6FFE" w:rsidRPr="002B202F" w:rsidRDefault="0052743C"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52" w:history="1">
        <w:r w:rsidR="008F6FFE" w:rsidRPr="00F8347C">
          <w:rPr>
            <w:rFonts w:asciiTheme="minorHAnsi" w:hAnsiTheme="minorHAnsi" w:cstheme="minorHAnsi"/>
            <w:color w:val="000000" w:themeColor="text1"/>
            <w:sz w:val="16"/>
            <w:szCs w:val="16"/>
            <w:shd w:val="clear" w:color="auto" w:fill="FFFFFF"/>
            <w:lang w:val="en-US"/>
          </w:rPr>
          <w:t>https://pubmed.ncbi.nlm.nih.gov/29081381/</w:t>
        </w:r>
      </w:hyperlink>
    </w:p>
  </w:footnote>
  <w:footnote w:id="221">
    <w:p w:rsidR="008F6FFE" w:rsidRPr="002B202F"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Fonts w:asciiTheme="minorHAnsi" w:hAnsiTheme="minorHAnsi" w:cstheme="minorHAnsi"/>
          <w:color w:val="000000" w:themeColor="text1"/>
          <w:sz w:val="16"/>
          <w:szCs w:val="16"/>
          <w:shd w:val="clear" w:color="auto" w:fill="FFFFFF"/>
          <w:vertAlign w:val="superscript"/>
          <w:lang w:val="en-US"/>
        </w:rPr>
        <w:footnoteRef/>
      </w:r>
      <w:r w:rsidRPr="002B202F">
        <w:rPr>
          <w:rFonts w:asciiTheme="minorHAnsi" w:hAnsiTheme="minorHAnsi" w:cstheme="minorHAnsi"/>
          <w:color w:val="000000" w:themeColor="text1"/>
          <w:sz w:val="16"/>
          <w:szCs w:val="16"/>
          <w:shd w:val="clear" w:color="auto" w:fill="FFFFFF"/>
          <w:vertAlign w:val="superscript"/>
          <w:lang w:val="en-US"/>
        </w:rPr>
        <w:t xml:space="preserve"> </w:t>
      </w:r>
      <w:r w:rsidRPr="002B202F">
        <w:rPr>
          <w:rFonts w:asciiTheme="minorHAnsi" w:hAnsiTheme="minorHAnsi" w:cstheme="minorHAnsi"/>
          <w:color w:val="000000" w:themeColor="text1"/>
          <w:sz w:val="16"/>
          <w:szCs w:val="16"/>
          <w:shd w:val="clear" w:color="auto" w:fill="FFFFFF"/>
          <w:lang w:val="en-US"/>
        </w:rPr>
        <w:t xml:space="preserve">Dhar D, Mohanty A. </w:t>
      </w:r>
    </w:p>
    <w:p w:rsidR="008F6FFE" w:rsidRPr="002B202F"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Fonts w:asciiTheme="minorHAnsi" w:hAnsiTheme="minorHAnsi" w:cstheme="minorHAnsi"/>
          <w:color w:val="000000" w:themeColor="text1"/>
          <w:sz w:val="16"/>
          <w:szCs w:val="16"/>
          <w:shd w:val="clear" w:color="auto" w:fill="FFFFFF"/>
          <w:lang w:val="en-US"/>
        </w:rPr>
        <w:t>Gut microbiota and Covid-19- possible link and implications. </w:t>
      </w:r>
    </w:p>
    <w:p w:rsidR="008F6FFE" w:rsidRPr="002B202F"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Fonts w:asciiTheme="minorHAnsi" w:hAnsiTheme="minorHAnsi" w:cstheme="minorHAnsi"/>
          <w:color w:val="000000" w:themeColor="text1"/>
          <w:sz w:val="16"/>
          <w:szCs w:val="16"/>
          <w:shd w:val="clear" w:color="auto" w:fill="FFFFFF"/>
          <w:lang w:val="en-US"/>
        </w:rPr>
        <w:t>Virus Res. 2020;285:198018. doi:10.1016/j.virusres.2020.198018</w:t>
      </w:r>
    </w:p>
    <w:p w:rsidR="008F6FFE" w:rsidRPr="00F8347C" w:rsidRDefault="0052743C" w:rsidP="001029CA">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53" w:history="1">
        <w:r w:rsidR="008F6FFE" w:rsidRPr="00F8347C">
          <w:rPr>
            <w:rFonts w:asciiTheme="minorHAnsi" w:hAnsiTheme="minorHAnsi" w:cstheme="minorHAnsi"/>
            <w:color w:val="000000" w:themeColor="text1"/>
            <w:sz w:val="16"/>
            <w:szCs w:val="16"/>
            <w:shd w:val="clear" w:color="auto" w:fill="FFFFFF"/>
            <w:lang w:val="en-US"/>
          </w:rPr>
          <w:t>https://www.ncbi.nlm.nih.gov/pmc/articles/PMC7217790/</w:t>
        </w:r>
      </w:hyperlink>
    </w:p>
    <w:p w:rsidR="008F6FFE" w:rsidRPr="002B202F" w:rsidRDefault="008F6FFE" w:rsidP="002B202F">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22">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Style w:val="FootnoteReference"/>
          <w:rFonts w:asciiTheme="minorHAnsi" w:hAnsiTheme="minorHAnsi" w:cstheme="minorHAnsi"/>
          <w:sz w:val="16"/>
          <w:szCs w:val="16"/>
        </w:rPr>
        <w:footnoteRef/>
      </w:r>
      <w:r>
        <w:rPr>
          <w:rFonts w:ascii="Helvetica Neue" w:hAnsi="Helvetica Neue"/>
          <w:color w:val="212121"/>
          <w:shd w:val="clear" w:color="auto" w:fill="FFFFFF"/>
          <w:lang w:val="en-US"/>
        </w:rPr>
        <w:t xml:space="preserve"> </w:t>
      </w:r>
      <w:r w:rsidRPr="003B271B">
        <w:rPr>
          <w:rFonts w:asciiTheme="minorHAnsi" w:hAnsiTheme="minorHAnsi" w:cstheme="minorHAnsi"/>
          <w:color w:val="000000" w:themeColor="text1"/>
          <w:sz w:val="16"/>
          <w:szCs w:val="16"/>
          <w:shd w:val="clear" w:color="auto" w:fill="FFFFFF"/>
          <w:lang w:val="en-US"/>
        </w:rPr>
        <w:t xml:space="preserve">Negi S, Das DK, Pahari S, Nadeem S, Agrewala JN.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Potential Role of Gut Microbiota in Induction and Regulation of Innate Immune Memory.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Front Immunol. 2019;10:2441. doi:10.3389/fimmu.2019.02441</w:t>
      </w:r>
    </w:p>
    <w:p w:rsidR="008F6FFE" w:rsidRPr="001029CA" w:rsidRDefault="008F6FFE" w:rsidP="001029CA">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1029CA">
        <w:rPr>
          <w:rFonts w:asciiTheme="minorHAnsi" w:hAnsiTheme="minorHAnsi" w:cstheme="minorHAnsi"/>
          <w:color w:val="000000" w:themeColor="text1"/>
          <w:sz w:val="16"/>
          <w:szCs w:val="16"/>
          <w:shd w:val="clear" w:color="auto" w:fill="FFFFFF"/>
          <w:lang w:val="en-US"/>
        </w:rPr>
        <w:t xml:space="preserve"> </w:t>
      </w:r>
      <w:hyperlink r:id="rId1254" w:history="1">
        <w:r w:rsidRPr="001029CA">
          <w:rPr>
            <w:rFonts w:asciiTheme="minorHAnsi" w:hAnsiTheme="minorHAnsi" w:cstheme="minorHAnsi"/>
            <w:color w:val="000000" w:themeColor="text1"/>
            <w:sz w:val="16"/>
            <w:szCs w:val="16"/>
            <w:shd w:val="clear" w:color="auto" w:fill="FFFFFF"/>
            <w:lang w:val="en-US"/>
          </w:rPr>
          <w:t>https://www.ncbi.nlm.nih.gov/pmc/articles/PMC6842962/</w:t>
        </w:r>
      </w:hyperlink>
    </w:p>
    <w:p w:rsidR="008F6FFE" w:rsidRPr="002B202F"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vertAlign w:val="superscript"/>
          <w:lang w:val="en-US"/>
        </w:rPr>
      </w:pPr>
    </w:p>
  </w:footnote>
  <w:footnote w:id="223">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Round JL, O'Connell RM, Mazmanian SK.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Coordination of tolerogenic immune responses by the commensal microbiota.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J Autoimmun. 2010;34(3):J220‐J225. doi:10.1016/j.jaut.2009.11.007</w:t>
      </w:r>
    </w:p>
    <w:p w:rsidR="008F6FFE" w:rsidRPr="00F8347C" w:rsidRDefault="0052743C" w:rsidP="001029CA">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55" w:history="1">
        <w:r w:rsidR="008F6FFE" w:rsidRPr="00F8347C">
          <w:rPr>
            <w:rFonts w:asciiTheme="minorHAnsi" w:hAnsiTheme="minorHAnsi" w:cstheme="minorHAnsi"/>
            <w:color w:val="000000" w:themeColor="text1"/>
            <w:sz w:val="16"/>
            <w:szCs w:val="16"/>
            <w:shd w:val="clear" w:color="auto" w:fill="FFFFFF"/>
            <w:lang w:val="en-US"/>
          </w:rPr>
          <w:t>https://www.ncbi.nlm.nih.gov/pmc/articles/PMC3155383/</w:t>
        </w:r>
      </w:hyperlink>
    </w:p>
    <w:p w:rsidR="008F6FFE" w:rsidRPr="00E573D1"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24">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187C57">
        <w:rPr>
          <w:rFonts w:asciiTheme="minorHAnsi" w:hAnsiTheme="minorHAnsi" w:cstheme="minorHAnsi"/>
          <w:color w:val="000000" w:themeColor="text1"/>
          <w:sz w:val="16"/>
          <w:szCs w:val="16"/>
          <w:shd w:val="clear" w:color="auto" w:fill="FFFFFF"/>
          <w:vertAlign w:val="superscript"/>
          <w:lang w:val="en-US"/>
        </w:rPr>
        <w:footnoteRef/>
      </w:r>
      <w:r w:rsidRPr="00187C57">
        <w:rPr>
          <w:rFonts w:asciiTheme="minorHAnsi" w:hAnsiTheme="minorHAnsi" w:cstheme="minorHAnsi"/>
          <w:color w:val="000000" w:themeColor="text1"/>
          <w:sz w:val="16"/>
          <w:szCs w:val="16"/>
          <w:shd w:val="clear" w:color="auto" w:fill="FFFFFF"/>
          <w:vertAlign w:val="superscript"/>
          <w:lang w:val="en-US"/>
        </w:rPr>
        <w:t xml:space="preserve"> </w:t>
      </w:r>
      <w:r w:rsidRPr="003B271B">
        <w:rPr>
          <w:rFonts w:asciiTheme="minorHAnsi" w:hAnsiTheme="minorHAnsi" w:cstheme="minorHAnsi"/>
          <w:color w:val="000000" w:themeColor="text1"/>
          <w:sz w:val="16"/>
          <w:szCs w:val="16"/>
          <w:shd w:val="clear" w:color="auto" w:fill="FFFFFF"/>
          <w:lang w:val="en-US"/>
        </w:rPr>
        <w:t xml:space="preserve">Kim S, Jazwinski SM.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The Gut Microbiota and Healthy Aging: A Mini-Review. </w:t>
      </w:r>
    </w:p>
    <w:p w:rsidR="008F6FFE" w:rsidRPr="00A078ED" w:rsidRDefault="008F6FFE"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r w:rsidRPr="00A078ED">
        <w:rPr>
          <w:rFonts w:asciiTheme="minorHAnsi" w:hAnsiTheme="minorHAnsi" w:cstheme="minorHAnsi"/>
          <w:color w:val="000000" w:themeColor="text1"/>
          <w:sz w:val="16"/>
          <w:szCs w:val="16"/>
          <w:shd w:val="clear" w:color="auto" w:fill="FFFFFF"/>
        </w:rPr>
        <w:t>Gerontology. 2018;64(6):513‐520. doi:10.1159/000490615</w:t>
      </w:r>
    </w:p>
    <w:p w:rsidR="008F6FFE" w:rsidRPr="00A078ED"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hyperlink r:id="rId1256" w:history="1">
        <w:r w:rsidR="008F6FFE" w:rsidRPr="00A078ED">
          <w:rPr>
            <w:rFonts w:asciiTheme="minorHAnsi" w:hAnsiTheme="minorHAnsi" w:cstheme="minorHAnsi"/>
            <w:color w:val="000000" w:themeColor="text1"/>
            <w:sz w:val="16"/>
            <w:szCs w:val="16"/>
            <w:shd w:val="clear" w:color="auto" w:fill="FFFFFF"/>
          </w:rPr>
          <w:t>https://www.ncbi.nlm.nih.gov/pmc/articles/PMC6191326/</w:t>
        </w:r>
      </w:hyperlink>
    </w:p>
    <w:p w:rsidR="008F6FFE" w:rsidRPr="00F8347C" w:rsidRDefault="008F6FFE" w:rsidP="00F8347C">
      <w:pPr>
        <w:rPr>
          <w:rFonts w:asciiTheme="minorHAnsi" w:hAnsiTheme="minorHAnsi" w:cstheme="minorHAnsi"/>
          <w:sz w:val="16"/>
          <w:szCs w:val="16"/>
        </w:rPr>
      </w:pPr>
    </w:p>
    <w:p w:rsidR="008F6FFE" w:rsidRPr="00A078ED"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A078ED">
        <w:rPr>
          <w:rFonts w:asciiTheme="minorHAnsi" w:hAnsiTheme="minorHAnsi" w:cstheme="minorHAnsi"/>
          <w:color w:val="000000" w:themeColor="text1"/>
          <w:sz w:val="16"/>
          <w:szCs w:val="16"/>
          <w:shd w:val="clear" w:color="auto" w:fill="FFFFFF"/>
          <w:lang w:val="en-US"/>
        </w:rPr>
        <w:t xml:space="preserve">Nagpal R, et al.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bookmarkStart w:id="77" w:name="OLE_LINK1"/>
      <w:bookmarkStart w:id="78" w:name="OLE_LINK2"/>
      <w:r w:rsidRPr="003B271B">
        <w:rPr>
          <w:rFonts w:asciiTheme="minorHAnsi" w:hAnsiTheme="minorHAnsi" w:cstheme="minorHAnsi"/>
          <w:color w:val="000000" w:themeColor="text1"/>
          <w:sz w:val="16"/>
          <w:szCs w:val="16"/>
          <w:shd w:val="clear" w:color="auto" w:fill="FFFFFF"/>
          <w:lang w:val="en-US"/>
        </w:rPr>
        <w:t>Gut microbiome and aging: Physiological and mechanistic insights. </w:t>
      </w:r>
    </w:p>
    <w:bookmarkEnd w:id="77"/>
    <w:bookmarkEnd w:id="78"/>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Nutr Healthy Aging. 2018;4(4):267‐285. doi:10.3233/NHA-170030</w:t>
      </w:r>
    </w:p>
    <w:p w:rsidR="008F6FFE" w:rsidRPr="00E573D1"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57" w:history="1">
        <w:r w:rsidR="008F6FFE" w:rsidRPr="00E573D1">
          <w:rPr>
            <w:rFonts w:asciiTheme="minorHAnsi" w:hAnsiTheme="minorHAnsi" w:cstheme="minorHAnsi"/>
            <w:color w:val="000000" w:themeColor="text1"/>
            <w:sz w:val="16"/>
            <w:szCs w:val="16"/>
            <w:shd w:val="clear" w:color="auto" w:fill="FFFFFF"/>
            <w:lang w:val="en-US"/>
          </w:rPr>
          <w:t>https://www.ncbi.nlm.nih.gov/pmc/articles/PMC6004897/</w:t>
        </w:r>
      </w:hyperlink>
    </w:p>
    <w:p w:rsidR="008F6FFE" w:rsidRPr="002B202F"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vertAlign w:val="superscript"/>
          <w:lang w:val="en-US"/>
        </w:rPr>
      </w:pPr>
    </w:p>
  </w:footnote>
  <w:footnote w:id="225">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2B202F">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Araos R, Andreatos N, Ugalde J, Mitchell S, Mylonakis E, D'Agata EMC.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Fecal Microbiome Among Nursing Home Residents with Advanced Dementia and Clostridium difficile.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Dig Dis Sci. 2018;63(6):1525‐1531. doi:10.1007/s10620-018-5030-7</w:t>
      </w:r>
    </w:p>
    <w:p w:rsidR="008F6FFE" w:rsidRPr="00E573D1"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58" w:history="1">
        <w:r w:rsidR="008F6FFE" w:rsidRPr="00E573D1">
          <w:rPr>
            <w:rFonts w:asciiTheme="minorHAnsi" w:hAnsiTheme="minorHAnsi" w:cstheme="minorHAnsi"/>
            <w:color w:val="000000" w:themeColor="text1"/>
            <w:sz w:val="16"/>
            <w:szCs w:val="16"/>
            <w:shd w:val="clear" w:color="auto" w:fill="FFFFFF"/>
            <w:lang w:val="en-US"/>
          </w:rPr>
          <w:t>https://www.ncbi.nlm.nih.gov/pmc/articles/PMC6434537/</w:t>
        </w:r>
      </w:hyperlink>
    </w:p>
    <w:p w:rsidR="008F6FFE" w:rsidRPr="002B202F"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vertAlign w:val="superscript"/>
          <w:lang w:val="en-US"/>
        </w:rPr>
      </w:pPr>
    </w:p>
  </w:footnote>
  <w:footnote w:id="226">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2B202F">
        <w:rPr>
          <w:rFonts w:asciiTheme="minorHAnsi" w:hAnsiTheme="minorHAnsi" w:cstheme="minorHAnsi"/>
          <w:color w:val="000000" w:themeColor="text1"/>
          <w:sz w:val="16"/>
          <w:szCs w:val="16"/>
          <w:shd w:val="clear" w:color="auto" w:fill="FFFFFF"/>
          <w:vertAlign w:val="superscript"/>
          <w:lang w:val="en-US"/>
        </w:rPr>
        <w:footnoteRef/>
      </w:r>
      <w:r w:rsidRPr="00235A16">
        <w:rPr>
          <w:rFonts w:asciiTheme="minorHAnsi" w:hAnsiTheme="minorHAnsi" w:cstheme="minorHAnsi"/>
          <w:color w:val="000000" w:themeColor="text1"/>
          <w:sz w:val="16"/>
          <w:szCs w:val="16"/>
          <w:shd w:val="clear" w:color="auto" w:fill="FFFFFF"/>
          <w:lang w:val="de-DE"/>
        </w:rPr>
        <w:t xml:space="preserve"> Zuo T, Zhang F, et al.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Alterations in Gut Microbiota of Patients With COVID-19 During Time of Hospitalization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Gastroenterology. 2020;S0016-5085(20)34701-6. doi:10.1053/j.gastro.2020.05.048</w:t>
      </w:r>
    </w:p>
    <w:p w:rsidR="008F6FFE"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59" w:history="1">
        <w:r w:rsidR="008F6FFE" w:rsidRPr="00E573D1">
          <w:rPr>
            <w:rFonts w:asciiTheme="minorHAnsi" w:hAnsiTheme="minorHAnsi" w:cstheme="minorHAnsi"/>
            <w:color w:val="000000" w:themeColor="text1"/>
            <w:sz w:val="16"/>
            <w:szCs w:val="16"/>
            <w:shd w:val="clear" w:color="auto" w:fill="FFFFFF"/>
            <w:lang w:val="en-US"/>
          </w:rPr>
          <w:t>https://www.ncbi.nlm.nih.gov/pmc/articles/PMC7237927/</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27">
    <w:p w:rsidR="008F6FFE" w:rsidRPr="00235A16" w:rsidRDefault="008F6FFE" w:rsidP="00D321D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D321D7">
        <w:rPr>
          <w:rStyle w:val="FootnoteReference"/>
          <w:rFonts w:asciiTheme="majorHAnsi" w:hAnsiTheme="majorHAnsi" w:cstheme="majorHAnsi"/>
          <w:sz w:val="16"/>
          <w:szCs w:val="16"/>
        </w:rPr>
        <w:footnoteRef/>
      </w:r>
      <w:r w:rsidRPr="00235A16">
        <w:rPr>
          <w:rFonts w:asciiTheme="majorHAnsi" w:hAnsiTheme="majorHAnsi" w:cstheme="majorHAnsi"/>
          <w:sz w:val="16"/>
          <w:szCs w:val="16"/>
          <w:lang w:val="de-DE"/>
        </w:rPr>
        <w:t xml:space="preserve"> </w:t>
      </w:r>
      <w:r w:rsidRPr="00235A16">
        <w:rPr>
          <w:rFonts w:asciiTheme="minorHAnsi" w:hAnsiTheme="minorHAnsi" w:cstheme="minorHAnsi"/>
          <w:color w:val="000000" w:themeColor="text1"/>
          <w:sz w:val="16"/>
          <w:szCs w:val="16"/>
          <w:shd w:val="clear" w:color="auto" w:fill="FFFFFF"/>
          <w:lang w:val="de-DE"/>
        </w:rPr>
        <w:t xml:space="preserve">Zhou F., Yu T., Du R. </w:t>
      </w:r>
    </w:p>
    <w:p w:rsidR="008F6FFE" w:rsidRDefault="008F6FFE" w:rsidP="00D321D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D321D7">
        <w:rPr>
          <w:rFonts w:asciiTheme="minorHAnsi" w:hAnsiTheme="minorHAnsi" w:cstheme="minorHAnsi"/>
          <w:color w:val="000000" w:themeColor="text1"/>
          <w:sz w:val="16"/>
          <w:szCs w:val="16"/>
          <w:shd w:val="clear" w:color="auto" w:fill="FFFFFF"/>
          <w:lang w:val="en-US"/>
        </w:rPr>
        <w:t>Clinical course and risk factors for mortality of adult in patients with COVID-19 in Wuhan, China: a retrospective cohort study. </w:t>
      </w:r>
    </w:p>
    <w:p w:rsidR="008F6FFE" w:rsidRPr="00D321D7" w:rsidRDefault="008F6FFE" w:rsidP="00D321D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D321D7">
        <w:rPr>
          <w:rFonts w:asciiTheme="minorHAnsi" w:hAnsiTheme="minorHAnsi" w:cstheme="minorHAnsi"/>
          <w:color w:val="000000" w:themeColor="text1"/>
          <w:sz w:val="16"/>
          <w:szCs w:val="16"/>
          <w:shd w:val="clear" w:color="auto" w:fill="FFFFFF"/>
          <w:lang w:val="en-US"/>
        </w:rPr>
        <w:t>Lancet. 2020 doi: 10.1016/S0140-6736(20)30566-3.</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60" w:history="1">
        <w:r w:rsidR="008F6FFE" w:rsidRPr="00CB502B">
          <w:rPr>
            <w:rFonts w:asciiTheme="minorHAnsi" w:hAnsiTheme="minorHAnsi" w:cstheme="minorHAnsi"/>
            <w:color w:val="000000" w:themeColor="text1"/>
            <w:sz w:val="16"/>
            <w:szCs w:val="16"/>
            <w:shd w:val="clear" w:color="auto" w:fill="FFFFFF"/>
            <w:lang w:val="en-US"/>
          </w:rPr>
          <w:t>https://www.ncbi.nlm.nih.gov/pmc/articles/PMC7270627/</w:t>
        </w:r>
      </w:hyperlink>
    </w:p>
    <w:p w:rsidR="008F6FFE" w:rsidRPr="00CB502B"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CB502B"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CB502B">
        <w:rPr>
          <w:rFonts w:asciiTheme="minorHAnsi" w:hAnsiTheme="minorHAnsi" w:cstheme="minorHAnsi"/>
          <w:color w:val="000000" w:themeColor="text1"/>
          <w:sz w:val="16"/>
          <w:szCs w:val="16"/>
          <w:shd w:val="clear" w:color="auto" w:fill="FFFFFF"/>
          <w:lang w:val="en-US"/>
        </w:rPr>
        <w:t>Epidemiology Working Group for NCIP Epidemic Response, Chinese Center for Disease Control and Prevention. </w:t>
      </w:r>
    </w:p>
    <w:p w:rsidR="008F6FFE" w:rsidRPr="00CB502B"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CB502B">
        <w:rPr>
          <w:rFonts w:asciiTheme="minorHAnsi" w:hAnsiTheme="minorHAnsi" w:cstheme="minorHAnsi"/>
          <w:color w:val="000000" w:themeColor="text1"/>
          <w:sz w:val="16"/>
          <w:szCs w:val="16"/>
          <w:shd w:val="clear" w:color="auto" w:fill="FFFFFF"/>
          <w:lang w:val="en-US"/>
        </w:rPr>
        <w:t>Zhonghua Liu Xing Bing Xue Za Zhi. 2020;41(2):145-151. doi:10.3760/cma.j.issn.0254-6450.2020.02.003</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61" w:history="1">
        <w:r w:rsidR="008F6FFE" w:rsidRPr="00A078ED">
          <w:rPr>
            <w:rFonts w:asciiTheme="minorHAnsi" w:hAnsiTheme="minorHAnsi" w:cstheme="minorHAnsi"/>
            <w:color w:val="000000" w:themeColor="text1"/>
            <w:sz w:val="16"/>
            <w:szCs w:val="16"/>
            <w:shd w:val="clear" w:color="auto" w:fill="FFFFFF"/>
            <w:lang w:val="en-US"/>
          </w:rPr>
          <w:t>https://pubmed.ncbi.nlm.nih.gov/32064853/</w:t>
        </w:r>
      </w:hyperlink>
    </w:p>
    <w:p w:rsidR="008F6FFE" w:rsidRPr="00D321D7"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Default="008F6FFE" w:rsidP="00D321D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D321D7">
        <w:rPr>
          <w:rFonts w:asciiTheme="minorHAnsi" w:hAnsiTheme="minorHAnsi" w:cstheme="minorHAnsi"/>
          <w:color w:val="000000" w:themeColor="text1"/>
          <w:sz w:val="16"/>
          <w:szCs w:val="16"/>
          <w:shd w:val="clear" w:color="auto" w:fill="FFFFFF"/>
          <w:lang w:val="en-US"/>
        </w:rPr>
        <w:t xml:space="preserve">Guan W., Liang W., Zhao Y. </w:t>
      </w:r>
    </w:p>
    <w:p w:rsidR="008F6FFE" w:rsidRDefault="008F6FFE" w:rsidP="00D321D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D321D7">
        <w:rPr>
          <w:rFonts w:asciiTheme="minorHAnsi" w:hAnsiTheme="minorHAnsi" w:cstheme="minorHAnsi"/>
          <w:color w:val="000000" w:themeColor="text1"/>
          <w:sz w:val="16"/>
          <w:szCs w:val="16"/>
          <w:shd w:val="clear" w:color="auto" w:fill="FFFFFF"/>
          <w:lang w:val="en-US"/>
        </w:rPr>
        <w:t>Comorbidity and its impact on 1590 patients with Covid-19 in China: a nationwide analysis. </w:t>
      </w:r>
    </w:p>
    <w:p w:rsidR="008F6FFE" w:rsidRPr="00D321D7" w:rsidRDefault="008F6FFE" w:rsidP="00D321D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D321D7">
        <w:rPr>
          <w:rFonts w:asciiTheme="minorHAnsi" w:hAnsiTheme="minorHAnsi" w:cstheme="minorHAnsi"/>
          <w:color w:val="000000" w:themeColor="text1"/>
          <w:sz w:val="16"/>
          <w:szCs w:val="16"/>
          <w:shd w:val="clear" w:color="auto" w:fill="FFFFFF"/>
          <w:lang w:val="en-US"/>
        </w:rPr>
        <w:t>Eur Respir J. 2020 doi: 10.1183/13993003.00547-2020.</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62" w:history="1">
        <w:r w:rsidR="008F6FFE" w:rsidRPr="00CB502B">
          <w:rPr>
            <w:rFonts w:asciiTheme="minorHAnsi" w:hAnsiTheme="minorHAnsi" w:cstheme="minorHAnsi"/>
            <w:color w:val="000000" w:themeColor="text1"/>
            <w:sz w:val="16"/>
            <w:szCs w:val="16"/>
            <w:shd w:val="clear" w:color="auto" w:fill="FFFFFF"/>
            <w:lang w:val="en-US"/>
          </w:rPr>
          <w:t>https://www.ncbi.nlm.nih.gov/pmc/articles/PMC7098485/</w:t>
        </w:r>
      </w:hyperlink>
    </w:p>
    <w:p w:rsidR="008F6FFE" w:rsidRPr="00D321D7" w:rsidRDefault="008F6FFE" w:rsidP="00D321D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28">
    <w:p w:rsidR="008F6FFE" w:rsidRDefault="008F6FFE" w:rsidP="00D321D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CB502B">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w:t>
      </w:r>
      <w:r w:rsidRPr="00D321D7">
        <w:rPr>
          <w:rFonts w:asciiTheme="minorHAnsi" w:hAnsiTheme="minorHAnsi" w:cstheme="minorHAnsi"/>
          <w:color w:val="000000" w:themeColor="text1"/>
          <w:sz w:val="16"/>
          <w:szCs w:val="16"/>
          <w:shd w:val="clear" w:color="auto" w:fill="FFFFFF"/>
          <w:lang w:val="en-US"/>
        </w:rPr>
        <w:t xml:space="preserve">Walter L.A., McGregor A.J. </w:t>
      </w:r>
    </w:p>
    <w:p w:rsidR="008F6FFE" w:rsidRDefault="008F6FFE" w:rsidP="00D321D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D321D7">
        <w:rPr>
          <w:rFonts w:asciiTheme="minorHAnsi" w:hAnsiTheme="minorHAnsi" w:cstheme="minorHAnsi"/>
          <w:color w:val="000000" w:themeColor="text1"/>
          <w:sz w:val="16"/>
          <w:szCs w:val="16"/>
          <w:shd w:val="clear" w:color="auto" w:fill="FFFFFF"/>
          <w:lang w:val="en-US"/>
        </w:rPr>
        <w:t>Sex- and gender-specific observations and implications for COVID-19. </w:t>
      </w:r>
    </w:p>
    <w:p w:rsidR="008F6FFE" w:rsidRPr="00D321D7" w:rsidRDefault="008F6FFE" w:rsidP="00D321D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D321D7">
        <w:rPr>
          <w:rFonts w:asciiTheme="minorHAnsi" w:hAnsiTheme="minorHAnsi" w:cstheme="minorHAnsi"/>
          <w:color w:val="000000" w:themeColor="text1"/>
          <w:sz w:val="16"/>
          <w:szCs w:val="16"/>
          <w:shd w:val="clear" w:color="auto" w:fill="FFFFFF"/>
          <w:lang w:val="en-US"/>
        </w:rPr>
        <w:t>West J Emerg Med. 2020 doi: 10.5811/westjem.2020.4.47536.</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63" w:history="1">
        <w:r w:rsidR="008F6FFE" w:rsidRPr="00CB502B">
          <w:rPr>
            <w:rFonts w:asciiTheme="minorHAnsi" w:hAnsiTheme="minorHAnsi" w:cstheme="minorHAnsi"/>
            <w:color w:val="000000" w:themeColor="text1"/>
            <w:sz w:val="16"/>
            <w:szCs w:val="16"/>
            <w:shd w:val="clear" w:color="auto" w:fill="FFFFFF"/>
            <w:lang w:val="en-US"/>
          </w:rPr>
          <w:t>https://www.ncbi.nlm.nih.gov/pmc/articles/PMC7234726/</w:t>
        </w:r>
      </w:hyperlink>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Pozzilli P, Lenzi A.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Pr>
          <w:rFonts w:asciiTheme="minorHAnsi" w:hAnsiTheme="minorHAnsi" w:cstheme="minorHAnsi"/>
          <w:color w:val="000000" w:themeColor="text1"/>
          <w:sz w:val="16"/>
          <w:szCs w:val="16"/>
          <w:shd w:val="clear" w:color="auto" w:fill="FFFFFF"/>
          <w:lang w:val="en-US"/>
        </w:rPr>
        <w:t>C</w:t>
      </w:r>
      <w:r w:rsidRPr="003B271B">
        <w:rPr>
          <w:rFonts w:asciiTheme="minorHAnsi" w:hAnsiTheme="minorHAnsi" w:cstheme="minorHAnsi"/>
          <w:color w:val="000000" w:themeColor="text1"/>
          <w:sz w:val="16"/>
          <w:szCs w:val="16"/>
          <w:shd w:val="clear" w:color="auto" w:fill="FFFFFF"/>
          <w:lang w:val="en-US"/>
        </w:rPr>
        <w:t>ommentary: Testosterone, a key hormone in the context of COVID-19 pandemic</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Metabolism. 2020;108:154252. doi:10.1016/j.metabol.2020.154252</w:t>
      </w:r>
    </w:p>
    <w:p w:rsidR="008F6FFE" w:rsidRPr="00E573D1"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64" w:history="1">
        <w:r w:rsidR="008F6FFE" w:rsidRPr="00E573D1">
          <w:rPr>
            <w:rFonts w:asciiTheme="minorHAnsi" w:hAnsiTheme="minorHAnsi" w:cstheme="minorHAnsi"/>
            <w:color w:val="000000" w:themeColor="text1"/>
            <w:sz w:val="16"/>
            <w:szCs w:val="16"/>
            <w:shd w:val="clear" w:color="auto" w:fill="FFFFFF"/>
            <w:lang w:val="en-US"/>
          </w:rPr>
          <w:t>https://www.ncbi.nlm.nih.gov/pmc/articles/PMC7185012/</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29">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D321D7">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w:t>
      </w:r>
      <w:hyperlink r:id="rId1265" w:tooltip="Journal of biological regulators and homeostatic agents." w:history="1">
        <w:r w:rsidRPr="003B271B">
          <w:rPr>
            <w:rFonts w:asciiTheme="minorHAnsi" w:hAnsiTheme="minorHAnsi" w:cstheme="minorHAnsi"/>
            <w:color w:val="000000" w:themeColor="text1"/>
            <w:sz w:val="16"/>
            <w:szCs w:val="16"/>
            <w:shd w:val="clear" w:color="auto" w:fill="FFFFFF"/>
            <w:lang w:val="en-US"/>
          </w:rPr>
          <w:t>J Biol Regul Homeost Agents.</w:t>
        </w:r>
      </w:hyperlink>
      <w:r w:rsidRPr="003B271B">
        <w:rPr>
          <w:rFonts w:asciiTheme="minorHAnsi" w:hAnsiTheme="minorHAnsi" w:cstheme="minorHAnsi"/>
          <w:color w:val="000000" w:themeColor="text1"/>
          <w:sz w:val="16"/>
          <w:szCs w:val="16"/>
          <w:shd w:val="clear" w:color="auto" w:fill="FFFFFF"/>
          <w:lang w:val="en-US"/>
        </w:rPr>
        <w:t xml:space="preserve"> 2020 Apr 7;34(2). doi: 10.23812/Editorial-Conti-3.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Coronavirus COV-19/SARS-CoV-2 affects women less than men: clinical response to viral infection.</w:t>
      </w:r>
    </w:p>
    <w:p w:rsidR="008F6FFE" w:rsidRPr="00A078ED"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hyperlink r:id="rId1266" w:history="1">
        <w:r w:rsidR="008F6FFE" w:rsidRPr="00A078ED">
          <w:rPr>
            <w:rFonts w:asciiTheme="minorHAnsi" w:hAnsiTheme="minorHAnsi" w:cstheme="minorHAnsi"/>
            <w:color w:val="000000" w:themeColor="text1"/>
            <w:sz w:val="16"/>
            <w:szCs w:val="16"/>
            <w:shd w:val="clear" w:color="auto" w:fill="FFFFFF"/>
          </w:rPr>
          <w:t>Conti P</w:t>
        </w:r>
      </w:hyperlink>
      <w:r w:rsidR="008F6FFE" w:rsidRPr="00A078ED">
        <w:rPr>
          <w:rFonts w:asciiTheme="minorHAnsi" w:hAnsiTheme="minorHAnsi" w:cstheme="minorHAnsi"/>
          <w:color w:val="000000" w:themeColor="text1"/>
          <w:sz w:val="16"/>
          <w:szCs w:val="16"/>
          <w:shd w:val="clear" w:color="auto" w:fill="FFFFFF"/>
        </w:rPr>
        <w:t>1, </w:t>
      </w:r>
      <w:hyperlink r:id="rId1267" w:history="1">
        <w:r w:rsidR="008F6FFE" w:rsidRPr="00A078ED">
          <w:rPr>
            <w:rFonts w:asciiTheme="minorHAnsi" w:hAnsiTheme="minorHAnsi" w:cstheme="minorHAnsi"/>
            <w:color w:val="000000" w:themeColor="text1"/>
            <w:sz w:val="16"/>
            <w:szCs w:val="16"/>
            <w:shd w:val="clear" w:color="auto" w:fill="FFFFFF"/>
          </w:rPr>
          <w:t>Younes A</w:t>
        </w:r>
      </w:hyperlink>
      <w:r w:rsidR="008F6FFE" w:rsidRPr="00A078ED">
        <w:rPr>
          <w:rFonts w:asciiTheme="minorHAnsi" w:hAnsiTheme="minorHAnsi" w:cstheme="minorHAnsi"/>
          <w:color w:val="000000" w:themeColor="text1"/>
          <w:sz w:val="16"/>
          <w:szCs w:val="16"/>
          <w:shd w:val="clear" w:color="auto" w:fill="FFFFFF"/>
        </w:rPr>
        <w:t>2.</w:t>
      </w:r>
    </w:p>
    <w:p w:rsidR="008F6FFE" w:rsidRPr="00A078ED"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hyperlink r:id="rId1268" w:history="1">
        <w:r w:rsidR="008F6FFE" w:rsidRPr="00A078ED">
          <w:rPr>
            <w:rFonts w:asciiTheme="minorHAnsi" w:hAnsiTheme="minorHAnsi" w:cstheme="minorHAnsi"/>
            <w:color w:val="000000" w:themeColor="text1"/>
            <w:sz w:val="16"/>
            <w:szCs w:val="16"/>
            <w:shd w:val="clear" w:color="auto" w:fill="FFFFFF"/>
          </w:rPr>
          <w:t>https://pubmed.ncbi.nlm.nih.gov/32253888/</w:t>
        </w:r>
      </w:hyperlink>
    </w:p>
    <w:p w:rsidR="008F6FFE" w:rsidRPr="00A078ED"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Fish EN.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The X-files in immunity: sex-based differences predispose immune responses.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Nat Rev Immunol. 2008;8(9):737‐744. doi:10.1038/nri2394</w:t>
      </w:r>
    </w:p>
    <w:p w:rsidR="008F6FFE" w:rsidRPr="00E573D1"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69" w:history="1">
        <w:r w:rsidR="008F6FFE" w:rsidRPr="00E573D1">
          <w:rPr>
            <w:rFonts w:asciiTheme="minorHAnsi" w:hAnsiTheme="minorHAnsi" w:cstheme="minorHAnsi"/>
            <w:color w:val="000000" w:themeColor="text1"/>
            <w:sz w:val="16"/>
            <w:szCs w:val="16"/>
            <w:shd w:val="clear" w:color="auto" w:fill="FFFFFF"/>
            <w:lang w:val="en-US"/>
          </w:rPr>
          <w:t>https://www.ncbi.nlm.nih.gov/pmc/articles/PMC7097214/</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30">
    <w:p w:rsidR="008F6FFE" w:rsidRDefault="008F6FFE" w:rsidP="00134D69">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134D69">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Galligan C.L., Fish E.N. (2015) Sex Differences in the Immune Response. In: Klein S., Roberts C. (eds) </w:t>
      </w:r>
    </w:p>
    <w:p w:rsidR="008F6FFE" w:rsidRPr="003B271B" w:rsidRDefault="008F6FFE" w:rsidP="00134D69">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Sex and Gender Differences in Infection and Treatments for Infectious Diseases. Springer, Cham</w:t>
      </w:r>
    </w:p>
    <w:p w:rsidR="008F6FFE" w:rsidRPr="003B271B" w:rsidRDefault="008F6FFE" w:rsidP="00134D69">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31">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D321D7">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Elderman M, de Vos P, Faas M.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Role of Microbiota in Sexually Dimorphic Immunity.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Front Immunol. 2018;9:1018. doi:10.3389/fimmu.2018.01018</w:t>
      </w:r>
    </w:p>
    <w:p w:rsidR="008F6FFE" w:rsidRPr="00E573D1"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70" w:history="1">
        <w:r w:rsidR="008F6FFE" w:rsidRPr="00E573D1">
          <w:rPr>
            <w:rFonts w:asciiTheme="minorHAnsi" w:hAnsiTheme="minorHAnsi" w:cstheme="minorHAnsi"/>
            <w:color w:val="000000" w:themeColor="text1"/>
            <w:sz w:val="16"/>
            <w:szCs w:val="16"/>
            <w:shd w:val="clear" w:color="auto" w:fill="FFFFFF"/>
            <w:lang w:val="en-US"/>
          </w:rPr>
          <w:t>https://www.ncbi.nlm.nih.gov/pmc/articles/PMC5992421/</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32">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D321D7">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Neuman H, Debelius JW, Knight R, Koren O.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Microbial endocrinology: the interplay between the microbiota and the endocrine system.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FEMS Microbiol Rev. 2015;39(4):509‐521. doi:10.1093/femsre/fuu010</w:t>
      </w:r>
    </w:p>
    <w:p w:rsidR="008F6FFE" w:rsidRPr="00E573D1"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71" w:history="1">
        <w:r w:rsidR="008F6FFE" w:rsidRPr="00E573D1">
          <w:rPr>
            <w:rFonts w:asciiTheme="minorHAnsi" w:hAnsiTheme="minorHAnsi" w:cstheme="minorHAnsi"/>
            <w:color w:val="000000" w:themeColor="text1"/>
            <w:sz w:val="16"/>
            <w:szCs w:val="16"/>
            <w:shd w:val="clear" w:color="auto" w:fill="FFFFFF"/>
            <w:lang w:val="en-US"/>
          </w:rPr>
          <w:t>https://academic.oup.com/femsre/article/39/4/509/2467625</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33">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134D69">
        <w:rPr>
          <w:rFonts w:asciiTheme="minorHAnsi" w:hAnsiTheme="minorHAnsi" w:cstheme="minorHAnsi"/>
          <w:color w:val="000000" w:themeColor="text1"/>
          <w:sz w:val="16"/>
          <w:szCs w:val="16"/>
          <w:shd w:val="clear" w:color="auto" w:fill="FFFFFF"/>
          <w:vertAlign w:val="superscript"/>
          <w:lang w:val="en-US"/>
        </w:rPr>
        <w:footnoteRef/>
      </w:r>
      <w:r w:rsidRPr="00235A16">
        <w:rPr>
          <w:rFonts w:asciiTheme="minorHAnsi" w:hAnsiTheme="minorHAnsi" w:cstheme="minorHAnsi"/>
          <w:color w:val="000000" w:themeColor="text1"/>
          <w:sz w:val="16"/>
          <w:szCs w:val="16"/>
          <w:shd w:val="clear" w:color="auto" w:fill="FFFFFF"/>
          <w:vertAlign w:val="superscript"/>
          <w:lang w:val="de-DE"/>
        </w:rPr>
        <w:t xml:space="preserve">  </w:t>
      </w:r>
      <w:r w:rsidRPr="00235A16">
        <w:rPr>
          <w:rFonts w:asciiTheme="minorHAnsi" w:hAnsiTheme="minorHAnsi" w:cstheme="minorHAnsi"/>
          <w:color w:val="000000" w:themeColor="text1"/>
          <w:sz w:val="16"/>
          <w:szCs w:val="16"/>
          <w:shd w:val="clear" w:color="auto" w:fill="FFFFFF"/>
          <w:lang w:val="de-DE"/>
        </w:rPr>
        <w:t xml:space="preserve">Vemuri R, Sylvia KE, Klein SL, et al. </w:t>
      </w:r>
    </w:p>
    <w:p w:rsidR="008F6FFE" w:rsidRDefault="008F6FFE" w:rsidP="00134D69">
      <w:pPr>
        <w:pStyle w:val="labs-full-docsum"/>
        <w:shd w:val="clear" w:color="auto" w:fill="FFFFFF"/>
        <w:spacing w:before="0" w:beforeAutospacing="0" w:after="0" w:afterAutospacing="0"/>
        <w:jc w:val="both"/>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The microgenderome revealed: sex differences in bidirectional interactions between the microbiota, hormones, immunity and disease susceptibility.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Semin Immunopathol. 2019;41(2):265‐275. doi:10.1007/s00281-018-0716-7</w:t>
      </w:r>
    </w:p>
    <w:p w:rsidR="008F6FFE" w:rsidRPr="00E573D1"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72" w:history="1">
        <w:r w:rsidR="008F6FFE" w:rsidRPr="00E573D1">
          <w:rPr>
            <w:rFonts w:asciiTheme="minorHAnsi" w:hAnsiTheme="minorHAnsi" w:cstheme="minorHAnsi"/>
            <w:color w:val="000000" w:themeColor="text1"/>
            <w:sz w:val="16"/>
            <w:szCs w:val="16"/>
            <w:shd w:val="clear" w:color="auto" w:fill="FFFFFF"/>
            <w:lang w:val="en-US"/>
          </w:rPr>
          <w:t>https://www.ncbi.nlm.nih.gov/pmc/articles/PMC6500089/</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Ma ZS, Li W.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How and Why Men and Women Differ in Their Microbiomes: Medical Ecology and Network Analyses of the Microgenderome. A</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dv Sci (Weinh). 2019;6(23):1902054. doi:10.1002/advs.201902054</w:t>
      </w:r>
    </w:p>
    <w:p w:rsidR="008F6FFE" w:rsidRPr="00E573D1"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73" w:history="1">
        <w:r w:rsidR="008F6FFE" w:rsidRPr="00E573D1">
          <w:rPr>
            <w:rFonts w:asciiTheme="minorHAnsi" w:hAnsiTheme="minorHAnsi" w:cstheme="minorHAnsi"/>
            <w:color w:val="000000" w:themeColor="text1"/>
            <w:sz w:val="16"/>
            <w:szCs w:val="16"/>
            <w:shd w:val="clear" w:color="auto" w:fill="FFFFFF"/>
            <w:lang w:val="en-US"/>
          </w:rPr>
          <w:t>https://www.ncbi.nlm.nih.gov/pmc/articles/PMC6891928/</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A078ED"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r w:rsidRPr="00A078ED">
        <w:rPr>
          <w:rFonts w:asciiTheme="minorHAnsi" w:hAnsiTheme="minorHAnsi" w:cstheme="minorHAnsi"/>
          <w:color w:val="000000" w:themeColor="text1"/>
          <w:sz w:val="16"/>
          <w:szCs w:val="16"/>
          <w:shd w:val="clear" w:color="auto" w:fill="FFFFFF"/>
        </w:rPr>
        <w:t xml:space="preserve">Rizzetto L, Fava F, Tuohy KM, Selmi C.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Connecting the immune system, systemic chronic inflammation and the gut microbiome: The role of sex. </w:t>
      </w:r>
    </w:p>
    <w:p w:rsidR="008F6FFE" w:rsidRPr="00A078ED"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r w:rsidRPr="00A078ED">
        <w:rPr>
          <w:rFonts w:asciiTheme="minorHAnsi" w:hAnsiTheme="minorHAnsi" w:cstheme="minorHAnsi"/>
          <w:color w:val="000000" w:themeColor="text1"/>
          <w:sz w:val="16"/>
          <w:szCs w:val="16"/>
          <w:shd w:val="clear" w:color="auto" w:fill="FFFFFF"/>
        </w:rPr>
        <w:t>J Autoimmun. 2018;92:12‐34. doi:10.1016/j.jaut.2018.05.008</w:t>
      </w:r>
    </w:p>
    <w:p w:rsidR="008F6FFE" w:rsidRPr="00A078ED"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hyperlink r:id="rId1274" w:history="1">
        <w:r w:rsidR="008F6FFE" w:rsidRPr="00A078ED">
          <w:rPr>
            <w:rFonts w:asciiTheme="minorHAnsi" w:hAnsiTheme="minorHAnsi" w:cstheme="minorHAnsi"/>
            <w:color w:val="000000" w:themeColor="text1"/>
            <w:sz w:val="16"/>
            <w:szCs w:val="16"/>
            <w:shd w:val="clear" w:color="auto" w:fill="FFFFFF"/>
          </w:rPr>
          <w:t>https://pubmed.ncbi.nlm.nih.gov/29861127/</w:t>
        </w:r>
      </w:hyperlink>
    </w:p>
    <w:p w:rsidR="008F6FFE" w:rsidRPr="00A078ED"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p>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235A16">
        <w:rPr>
          <w:rFonts w:asciiTheme="minorHAnsi" w:hAnsiTheme="minorHAnsi" w:cstheme="minorHAnsi"/>
          <w:color w:val="000000" w:themeColor="text1"/>
          <w:sz w:val="16"/>
          <w:szCs w:val="16"/>
          <w:shd w:val="clear" w:color="auto" w:fill="FFFFFF"/>
          <w:lang w:val="de-DE"/>
        </w:rPr>
        <w:t xml:space="preserve">Kisiela M, Skarka A, Ebert B, Maser E.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Hydroxysteroid dehydrogenases (HSDs) in bacteria: a bioinformatic perspective.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J Steroid Biochem Mol Biol. 2012;129(1-2):31‐46. doi:10.1016/j.jsbmb.2011.08.002</w:t>
      </w:r>
    </w:p>
    <w:p w:rsidR="008F6FFE" w:rsidRPr="00E573D1"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75" w:history="1">
        <w:r w:rsidR="008F6FFE" w:rsidRPr="00E573D1">
          <w:rPr>
            <w:rFonts w:asciiTheme="minorHAnsi" w:hAnsiTheme="minorHAnsi" w:cstheme="minorHAnsi"/>
            <w:color w:val="000000" w:themeColor="text1"/>
            <w:sz w:val="16"/>
            <w:szCs w:val="16"/>
            <w:shd w:val="clear" w:color="auto" w:fill="FFFFFF"/>
            <w:lang w:val="en-US"/>
          </w:rPr>
          <w:t>https://pubmed.ncbi.nlm.nih.gov/21884790/</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34">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134D69">
        <w:rPr>
          <w:rFonts w:asciiTheme="minorHAnsi" w:hAnsiTheme="minorHAnsi" w:cstheme="minorHAnsi"/>
          <w:color w:val="000000" w:themeColor="text1"/>
          <w:sz w:val="16"/>
          <w:szCs w:val="16"/>
          <w:shd w:val="clear" w:color="auto" w:fill="FFFFFF"/>
          <w:vertAlign w:val="superscript"/>
          <w:lang w:val="en-US"/>
        </w:rPr>
        <w:footnoteRef/>
      </w:r>
      <w:r w:rsidRPr="00134D69">
        <w:rPr>
          <w:rFonts w:asciiTheme="minorHAnsi" w:hAnsiTheme="minorHAnsi" w:cstheme="minorHAnsi"/>
          <w:color w:val="000000" w:themeColor="text1"/>
          <w:sz w:val="16"/>
          <w:szCs w:val="16"/>
          <w:shd w:val="clear" w:color="auto" w:fill="FFFFFF"/>
          <w:vertAlign w:val="superscript"/>
          <w:lang w:val="en-US"/>
        </w:rPr>
        <w:t xml:space="preserve"> </w:t>
      </w:r>
      <w:r w:rsidRPr="003B271B">
        <w:rPr>
          <w:rFonts w:asciiTheme="minorHAnsi" w:hAnsiTheme="minorHAnsi" w:cstheme="minorHAnsi"/>
          <w:color w:val="000000" w:themeColor="text1"/>
          <w:sz w:val="16"/>
          <w:szCs w:val="16"/>
          <w:shd w:val="clear" w:color="auto" w:fill="FFFFFF"/>
          <w:lang w:val="en-US"/>
        </w:rPr>
        <w:t xml:space="preserve">Kim YS, Unno T, Kim BY, Park MS.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Sex Differences in Gut Microbiota.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World J Mens Health. 2020;38(1):48‐60. doi:10.5534/wjmh.190009</w:t>
      </w:r>
    </w:p>
    <w:p w:rsidR="008F6FFE" w:rsidRPr="003B271B"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76" w:history="1">
        <w:r w:rsidR="008F6FFE" w:rsidRPr="00E573D1">
          <w:rPr>
            <w:rFonts w:asciiTheme="minorHAnsi" w:hAnsiTheme="minorHAnsi" w:cstheme="minorHAnsi"/>
            <w:color w:val="000000" w:themeColor="text1"/>
            <w:sz w:val="16"/>
            <w:szCs w:val="16"/>
            <w:shd w:val="clear" w:color="auto" w:fill="FFFFFF"/>
            <w:lang w:val="en-US"/>
          </w:rPr>
          <w:t>https://www.ncbi.nlm.nih.gov/pmc/articles/PMC6920072/</w:t>
        </w:r>
      </w:hyperlink>
    </w:p>
  </w:footnote>
  <w:footnote w:id="235">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134D69">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EXPRESSION OF SARS-COV-2 RECEPTOR</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 </w:t>
      </w:r>
      <w:hyperlink r:id="rId1277" w:history="1">
        <w:r w:rsidRPr="003B271B">
          <w:rPr>
            <w:rFonts w:asciiTheme="minorHAnsi" w:hAnsiTheme="minorHAnsi" w:cstheme="minorHAnsi"/>
            <w:color w:val="000000" w:themeColor="text1"/>
            <w:sz w:val="16"/>
            <w:szCs w:val="16"/>
            <w:shd w:val="clear" w:color="auto" w:fill="FFFFFF"/>
            <w:lang w:val="en-US"/>
          </w:rPr>
          <w:t>https://nebion.com/resources/covid-19/</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78" w:history="1">
        <w:r w:rsidR="008F6FFE" w:rsidRPr="003B271B">
          <w:rPr>
            <w:rFonts w:asciiTheme="minorHAnsi" w:hAnsiTheme="minorHAnsi" w:cstheme="minorHAnsi"/>
            <w:color w:val="000000" w:themeColor="text1"/>
            <w:sz w:val="16"/>
            <w:szCs w:val="16"/>
            <w:shd w:val="clear" w:color="auto" w:fill="FFFFFF"/>
            <w:lang w:val="en-US"/>
          </w:rPr>
          <w:t>https://www.proteinatlas.org/ENSG00000130234-ACE2/tissue</w:t>
        </w:r>
      </w:hyperlink>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79" w:history="1">
        <w:r w:rsidR="008F6FFE" w:rsidRPr="003B271B">
          <w:rPr>
            <w:rFonts w:asciiTheme="minorHAnsi" w:hAnsiTheme="minorHAnsi" w:cstheme="minorHAnsi"/>
            <w:color w:val="000000" w:themeColor="text1"/>
            <w:sz w:val="16"/>
            <w:szCs w:val="16"/>
            <w:shd w:val="clear" w:color="auto" w:fill="FFFFFF"/>
            <w:lang w:val="en-US"/>
          </w:rPr>
          <w:t>https://www.proteinatlas.org/ENSG00000184012-TMPRSS2/tissue</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80" w:tooltip="International journal of oral science." w:history="1">
        <w:r w:rsidR="008F6FFE" w:rsidRPr="003B271B">
          <w:rPr>
            <w:rFonts w:asciiTheme="minorHAnsi" w:hAnsiTheme="minorHAnsi" w:cstheme="minorHAnsi"/>
            <w:color w:val="000000" w:themeColor="text1"/>
            <w:sz w:val="16"/>
            <w:szCs w:val="16"/>
            <w:shd w:val="clear" w:color="auto" w:fill="FFFFFF"/>
            <w:lang w:val="en-US"/>
          </w:rPr>
          <w:t>Int J Oral Sci.</w:t>
        </w:r>
      </w:hyperlink>
      <w:r w:rsidR="008F6FFE" w:rsidRPr="003B271B">
        <w:rPr>
          <w:rFonts w:asciiTheme="minorHAnsi" w:hAnsiTheme="minorHAnsi" w:cstheme="minorHAnsi"/>
          <w:color w:val="000000" w:themeColor="text1"/>
          <w:sz w:val="16"/>
          <w:szCs w:val="16"/>
          <w:shd w:val="clear" w:color="auto" w:fill="FFFFFF"/>
          <w:lang w:val="en-US"/>
        </w:rPr>
        <w:t> 2020 Feb 24;12(1):8. doi: 10.1038/s41368-020-0074-x.</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High expression of ACE2 receptor of 2019-nCoV on the epithelial cells of oral mucosa.</w:t>
      </w:r>
    </w:p>
    <w:p w:rsidR="008F6FFE" w:rsidRPr="00235A16"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281" w:history="1">
        <w:r w:rsidR="008F6FFE" w:rsidRPr="00235A16">
          <w:rPr>
            <w:rFonts w:asciiTheme="minorHAnsi" w:hAnsiTheme="minorHAnsi" w:cstheme="minorHAnsi"/>
            <w:color w:val="000000" w:themeColor="text1"/>
            <w:sz w:val="16"/>
            <w:szCs w:val="16"/>
            <w:shd w:val="clear" w:color="auto" w:fill="FFFFFF"/>
            <w:lang w:val="de-DE"/>
          </w:rPr>
          <w:t>Xu H</w:t>
        </w:r>
      </w:hyperlink>
      <w:r w:rsidR="008F6FFE" w:rsidRPr="00235A16">
        <w:rPr>
          <w:rFonts w:asciiTheme="minorHAnsi" w:hAnsiTheme="minorHAnsi" w:cstheme="minorHAnsi"/>
          <w:color w:val="000000" w:themeColor="text1"/>
          <w:sz w:val="16"/>
          <w:szCs w:val="16"/>
          <w:shd w:val="clear" w:color="auto" w:fill="FFFFFF"/>
          <w:lang w:val="de-DE"/>
        </w:rPr>
        <w:t>1, </w:t>
      </w:r>
      <w:hyperlink r:id="rId1282" w:history="1">
        <w:r w:rsidR="008F6FFE" w:rsidRPr="00235A16">
          <w:rPr>
            <w:rFonts w:asciiTheme="minorHAnsi" w:hAnsiTheme="minorHAnsi" w:cstheme="minorHAnsi"/>
            <w:color w:val="000000" w:themeColor="text1"/>
            <w:sz w:val="16"/>
            <w:szCs w:val="16"/>
            <w:shd w:val="clear" w:color="auto" w:fill="FFFFFF"/>
            <w:lang w:val="de-DE"/>
          </w:rPr>
          <w:t>Zhong L</w:t>
        </w:r>
      </w:hyperlink>
      <w:r w:rsidR="008F6FFE" w:rsidRPr="00235A16">
        <w:rPr>
          <w:rFonts w:asciiTheme="minorHAnsi" w:hAnsiTheme="minorHAnsi" w:cstheme="minorHAnsi"/>
          <w:color w:val="000000" w:themeColor="text1"/>
          <w:sz w:val="16"/>
          <w:szCs w:val="16"/>
          <w:shd w:val="clear" w:color="auto" w:fill="FFFFFF"/>
          <w:lang w:val="de-DE"/>
        </w:rPr>
        <w:t>1, </w:t>
      </w:r>
      <w:hyperlink r:id="rId1283" w:history="1">
        <w:r w:rsidR="008F6FFE" w:rsidRPr="00235A16">
          <w:rPr>
            <w:rFonts w:asciiTheme="minorHAnsi" w:hAnsiTheme="minorHAnsi" w:cstheme="minorHAnsi"/>
            <w:color w:val="000000" w:themeColor="text1"/>
            <w:sz w:val="16"/>
            <w:szCs w:val="16"/>
            <w:shd w:val="clear" w:color="auto" w:fill="FFFFFF"/>
            <w:lang w:val="de-DE"/>
          </w:rPr>
          <w:t>Deng J</w:t>
        </w:r>
      </w:hyperlink>
      <w:r w:rsidR="008F6FFE" w:rsidRPr="00235A16">
        <w:rPr>
          <w:rFonts w:asciiTheme="minorHAnsi" w:hAnsiTheme="minorHAnsi" w:cstheme="minorHAnsi"/>
          <w:color w:val="000000" w:themeColor="text1"/>
          <w:sz w:val="16"/>
          <w:szCs w:val="16"/>
          <w:shd w:val="clear" w:color="auto" w:fill="FFFFFF"/>
          <w:lang w:val="de-DE"/>
        </w:rPr>
        <w:t>1, </w:t>
      </w:r>
      <w:hyperlink r:id="rId1284" w:history="1">
        <w:r w:rsidR="008F6FFE" w:rsidRPr="00235A16">
          <w:rPr>
            <w:rFonts w:asciiTheme="minorHAnsi" w:hAnsiTheme="minorHAnsi" w:cstheme="minorHAnsi"/>
            <w:color w:val="000000" w:themeColor="text1"/>
            <w:sz w:val="16"/>
            <w:szCs w:val="16"/>
            <w:shd w:val="clear" w:color="auto" w:fill="FFFFFF"/>
            <w:lang w:val="de-DE"/>
          </w:rPr>
          <w:t>Peng J</w:t>
        </w:r>
      </w:hyperlink>
      <w:r w:rsidR="008F6FFE" w:rsidRPr="00235A16">
        <w:rPr>
          <w:rFonts w:asciiTheme="minorHAnsi" w:hAnsiTheme="minorHAnsi" w:cstheme="minorHAnsi"/>
          <w:color w:val="000000" w:themeColor="text1"/>
          <w:sz w:val="16"/>
          <w:szCs w:val="16"/>
          <w:shd w:val="clear" w:color="auto" w:fill="FFFFFF"/>
          <w:lang w:val="de-DE"/>
        </w:rPr>
        <w:t>1, </w:t>
      </w:r>
      <w:hyperlink r:id="rId1285" w:history="1">
        <w:r w:rsidR="008F6FFE" w:rsidRPr="00235A16">
          <w:rPr>
            <w:rFonts w:asciiTheme="minorHAnsi" w:hAnsiTheme="minorHAnsi" w:cstheme="minorHAnsi"/>
            <w:color w:val="000000" w:themeColor="text1"/>
            <w:sz w:val="16"/>
            <w:szCs w:val="16"/>
            <w:shd w:val="clear" w:color="auto" w:fill="FFFFFF"/>
            <w:lang w:val="de-DE"/>
          </w:rPr>
          <w:t>Dan H</w:t>
        </w:r>
      </w:hyperlink>
      <w:r w:rsidR="008F6FFE" w:rsidRPr="00235A16">
        <w:rPr>
          <w:rFonts w:asciiTheme="minorHAnsi" w:hAnsiTheme="minorHAnsi" w:cstheme="minorHAnsi"/>
          <w:color w:val="000000" w:themeColor="text1"/>
          <w:sz w:val="16"/>
          <w:szCs w:val="16"/>
          <w:shd w:val="clear" w:color="auto" w:fill="FFFFFF"/>
          <w:lang w:val="de-DE"/>
        </w:rPr>
        <w:t>1, </w:t>
      </w:r>
      <w:hyperlink r:id="rId1286" w:history="1">
        <w:r w:rsidR="008F6FFE" w:rsidRPr="00235A16">
          <w:rPr>
            <w:rFonts w:asciiTheme="minorHAnsi" w:hAnsiTheme="minorHAnsi" w:cstheme="minorHAnsi"/>
            <w:color w:val="000000" w:themeColor="text1"/>
            <w:sz w:val="16"/>
            <w:szCs w:val="16"/>
            <w:shd w:val="clear" w:color="auto" w:fill="FFFFFF"/>
            <w:lang w:val="de-DE"/>
          </w:rPr>
          <w:t>Zeng X</w:t>
        </w:r>
      </w:hyperlink>
      <w:r w:rsidR="008F6FFE" w:rsidRPr="00235A16">
        <w:rPr>
          <w:rFonts w:asciiTheme="minorHAnsi" w:hAnsiTheme="minorHAnsi" w:cstheme="minorHAnsi"/>
          <w:color w:val="000000" w:themeColor="text1"/>
          <w:sz w:val="16"/>
          <w:szCs w:val="16"/>
          <w:shd w:val="clear" w:color="auto" w:fill="FFFFFF"/>
          <w:lang w:val="de-DE"/>
        </w:rPr>
        <w:t>1, </w:t>
      </w:r>
      <w:hyperlink r:id="rId1287" w:history="1">
        <w:r w:rsidR="008F6FFE" w:rsidRPr="00235A16">
          <w:rPr>
            <w:rFonts w:asciiTheme="minorHAnsi" w:hAnsiTheme="minorHAnsi" w:cstheme="minorHAnsi"/>
            <w:color w:val="000000" w:themeColor="text1"/>
            <w:sz w:val="16"/>
            <w:szCs w:val="16"/>
            <w:shd w:val="clear" w:color="auto" w:fill="FFFFFF"/>
            <w:lang w:val="de-DE"/>
          </w:rPr>
          <w:t>Li T</w:t>
        </w:r>
      </w:hyperlink>
      <w:r w:rsidR="008F6FFE" w:rsidRPr="00235A16">
        <w:rPr>
          <w:rFonts w:asciiTheme="minorHAnsi" w:hAnsiTheme="minorHAnsi" w:cstheme="minorHAnsi"/>
          <w:color w:val="000000" w:themeColor="text1"/>
          <w:sz w:val="16"/>
          <w:szCs w:val="16"/>
          <w:shd w:val="clear" w:color="auto" w:fill="FFFFFF"/>
          <w:lang w:val="de-DE"/>
        </w:rPr>
        <w:t>2, </w:t>
      </w:r>
      <w:hyperlink r:id="rId1288" w:history="1">
        <w:r w:rsidR="008F6FFE" w:rsidRPr="00235A16">
          <w:rPr>
            <w:rFonts w:asciiTheme="minorHAnsi" w:hAnsiTheme="minorHAnsi" w:cstheme="minorHAnsi"/>
            <w:color w:val="000000" w:themeColor="text1"/>
            <w:sz w:val="16"/>
            <w:szCs w:val="16"/>
            <w:shd w:val="clear" w:color="auto" w:fill="FFFFFF"/>
            <w:lang w:val="de-DE"/>
          </w:rPr>
          <w:t>Chen Q</w:t>
        </w:r>
      </w:hyperlink>
      <w:r w:rsidR="008F6FFE" w:rsidRPr="00235A16">
        <w:rPr>
          <w:rFonts w:asciiTheme="minorHAnsi" w:hAnsiTheme="minorHAnsi" w:cstheme="minorHAnsi"/>
          <w:color w:val="000000" w:themeColor="text1"/>
          <w:sz w:val="16"/>
          <w:szCs w:val="16"/>
          <w:shd w:val="clear" w:color="auto" w:fill="FFFFFF"/>
          <w:lang w:val="de-DE"/>
        </w:rPr>
        <w:t>1.</w:t>
      </w:r>
    </w:p>
    <w:p w:rsidR="008F6FFE" w:rsidRPr="00235A16"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289" w:history="1">
        <w:r w:rsidR="008F6FFE" w:rsidRPr="00235A16">
          <w:rPr>
            <w:rFonts w:asciiTheme="minorHAnsi" w:hAnsiTheme="minorHAnsi" w:cstheme="minorHAnsi"/>
            <w:color w:val="000000" w:themeColor="text1"/>
            <w:sz w:val="16"/>
            <w:szCs w:val="16"/>
            <w:shd w:val="clear" w:color="auto" w:fill="FFFFFF"/>
            <w:lang w:val="de-DE"/>
          </w:rPr>
          <w:t>https://www.ncbi.nlm.nih.gov/pmc/articles/PMC7039956/</w:t>
        </w:r>
      </w:hyperlink>
    </w:p>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290" w:tooltip="Cancer discovery." w:history="1">
        <w:r w:rsidR="008F6FFE" w:rsidRPr="003B271B">
          <w:rPr>
            <w:rFonts w:asciiTheme="minorHAnsi" w:hAnsiTheme="minorHAnsi" w:cstheme="minorHAnsi"/>
            <w:color w:val="000000" w:themeColor="text1"/>
            <w:sz w:val="16"/>
            <w:szCs w:val="16"/>
            <w:shd w:val="clear" w:color="auto" w:fill="FFFFFF"/>
            <w:lang w:val="en-US"/>
          </w:rPr>
          <w:t>Cancer Discov.</w:t>
        </w:r>
      </w:hyperlink>
      <w:r w:rsidR="008F6FFE" w:rsidRPr="003B271B">
        <w:rPr>
          <w:rFonts w:asciiTheme="minorHAnsi" w:hAnsiTheme="minorHAnsi" w:cstheme="minorHAnsi"/>
          <w:color w:val="000000" w:themeColor="text1"/>
          <w:sz w:val="16"/>
          <w:szCs w:val="16"/>
          <w:shd w:val="clear" w:color="auto" w:fill="FFFFFF"/>
          <w:lang w:val="en-US"/>
        </w:rPr>
        <w:t xml:space="preserve"> 2020 Apr 10. pii: CD-20-0451. doi: 10.1158/2159-8290.CD-20-0451.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TMPRSS2 and COVID-19: Serendipity or opportunity for intervention?</w:t>
      </w:r>
    </w:p>
    <w:p w:rsidR="008F6FFE" w:rsidRPr="00235A16"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291" w:history="1">
        <w:r w:rsidR="008F6FFE" w:rsidRPr="00235A16">
          <w:rPr>
            <w:rFonts w:asciiTheme="minorHAnsi" w:hAnsiTheme="minorHAnsi" w:cstheme="minorHAnsi"/>
            <w:color w:val="000000" w:themeColor="text1"/>
            <w:sz w:val="16"/>
            <w:szCs w:val="16"/>
            <w:shd w:val="clear" w:color="auto" w:fill="FFFFFF"/>
            <w:lang w:val="de-DE"/>
          </w:rPr>
          <w:t>Stopsack KH</w:t>
        </w:r>
      </w:hyperlink>
      <w:r w:rsidR="008F6FFE" w:rsidRPr="00235A16">
        <w:rPr>
          <w:rFonts w:asciiTheme="minorHAnsi" w:hAnsiTheme="minorHAnsi" w:cstheme="minorHAnsi"/>
          <w:color w:val="000000" w:themeColor="text1"/>
          <w:sz w:val="16"/>
          <w:szCs w:val="16"/>
          <w:shd w:val="clear" w:color="auto" w:fill="FFFFFF"/>
          <w:lang w:val="de-DE"/>
        </w:rPr>
        <w:t>1, </w:t>
      </w:r>
      <w:hyperlink r:id="rId1292" w:history="1">
        <w:r w:rsidR="008F6FFE" w:rsidRPr="00235A16">
          <w:rPr>
            <w:rFonts w:asciiTheme="minorHAnsi" w:hAnsiTheme="minorHAnsi" w:cstheme="minorHAnsi"/>
            <w:color w:val="000000" w:themeColor="text1"/>
            <w:sz w:val="16"/>
            <w:szCs w:val="16"/>
            <w:shd w:val="clear" w:color="auto" w:fill="FFFFFF"/>
            <w:lang w:val="de-DE"/>
          </w:rPr>
          <w:t>Mucci LA</w:t>
        </w:r>
      </w:hyperlink>
      <w:r w:rsidR="008F6FFE" w:rsidRPr="00235A16">
        <w:rPr>
          <w:rFonts w:asciiTheme="minorHAnsi" w:hAnsiTheme="minorHAnsi" w:cstheme="minorHAnsi"/>
          <w:color w:val="000000" w:themeColor="text1"/>
          <w:sz w:val="16"/>
          <w:szCs w:val="16"/>
          <w:shd w:val="clear" w:color="auto" w:fill="FFFFFF"/>
          <w:lang w:val="de-DE"/>
        </w:rPr>
        <w:t>2, </w:t>
      </w:r>
      <w:hyperlink r:id="rId1293" w:history="1">
        <w:r w:rsidR="008F6FFE" w:rsidRPr="00235A16">
          <w:rPr>
            <w:rFonts w:asciiTheme="minorHAnsi" w:hAnsiTheme="minorHAnsi" w:cstheme="minorHAnsi"/>
            <w:color w:val="000000" w:themeColor="text1"/>
            <w:sz w:val="16"/>
            <w:szCs w:val="16"/>
            <w:shd w:val="clear" w:color="auto" w:fill="FFFFFF"/>
            <w:lang w:val="de-DE"/>
          </w:rPr>
          <w:t>Antonarakis ES</w:t>
        </w:r>
      </w:hyperlink>
      <w:r w:rsidR="008F6FFE" w:rsidRPr="00235A16">
        <w:rPr>
          <w:rFonts w:asciiTheme="minorHAnsi" w:hAnsiTheme="minorHAnsi" w:cstheme="minorHAnsi"/>
          <w:color w:val="000000" w:themeColor="text1"/>
          <w:sz w:val="16"/>
          <w:szCs w:val="16"/>
          <w:shd w:val="clear" w:color="auto" w:fill="FFFFFF"/>
          <w:lang w:val="de-DE"/>
        </w:rPr>
        <w:t>3, </w:t>
      </w:r>
      <w:hyperlink r:id="rId1294" w:history="1">
        <w:r w:rsidR="008F6FFE" w:rsidRPr="00235A16">
          <w:rPr>
            <w:rFonts w:asciiTheme="minorHAnsi" w:hAnsiTheme="minorHAnsi" w:cstheme="minorHAnsi"/>
            <w:color w:val="000000" w:themeColor="text1"/>
            <w:sz w:val="16"/>
            <w:szCs w:val="16"/>
            <w:shd w:val="clear" w:color="auto" w:fill="FFFFFF"/>
            <w:lang w:val="de-DE"/>
          </w:rPr>
          <w:t>Nelson PS</w:t>
        </w:r>
      </w:hyperlink>
      <w:r w:rsidR="008F6FFE" w:rsidRPr="00235A16">
        <w:rPr>
          <w:rFonts w:asciiTheme="minorHAnsi" w:hAnsiTheme="minorHAnsi" w:cstheme="minorHAnsi"/>
          <w:color w:val="000000" w:themeColor="text1"/>
          <w:sz w:val="16"/>
          <w:szCs w:val="16"/>
          <w:shd w:val="clear" w:color="auto" w:fill="FFFFFF"/>
          <w:lang w:val="de-DE"/>
        </w:rPr>
        <w:t>4, </w:t>
      </w:r>
      <w:hyperlink r:id="rId1295" w:history="1">
        <w:r w:rsidR="008F6FFE" w:rsidRPr="00235A16">
          <w:rPr>
            <w:rFonts w:asciiTheme="minorHAnsi" w:hAnsiTheme="minorHAnsi" w:cstheme="minorHAnsi"/>
            <w:color w:val="000000" w:themeColor="text1"/>
            <w:sz w:val="16"/>
            <w:szCs w:val="16"/>
            <w:shd w:val="clear" w:color="auto" w:fill="FFFFFF"/>
            <w:lang w:val="de-DE"/>
          </w:rPr>
          <w:t>Kantoff PW</w:t>
        </w:r>
      </w:hyperlink>
    </w:p>
    <w:p w:rsidR="008F6FFE" w:rsidRPr="00235A16" w:rsidRDefault="0052743C"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296" w:history="1">
        <w:r w:rsidR="008F6FFE" w:rsidRPr="00235A16">
          <w:rPr>
            <w:rFonts w:asciiTheme="minorHAnsi" w:hAnsiTheme="minorHAnsi" w:cstheme="minorHAnsi"/>
            <w:color w:val="000000" w:themeColor="text1"/>
            <w:sz w:val="16"/>
            <w:szCs w:val="16"/>
            <w:shd w:val="clear" w:color="auto" w:fill="FFFFFF"/>
            <w:lang w:val="de-DE"/>
          </w:rPr>
          <w:t>https://cancerdiscovery.aacrjournals.org/content/10/6/779.full-text.pdf</w:t>
        </w:r>
      </w:hyperlink>
    </w:p>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p>
  </w:footnote>
  <w:footnote w:id="236">
    <w:p w:rsidR="008F6FFE" w:rsidRPr="00F37295"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r w:rsidRPr="00134D69">
        <w:rPr>
          <w:rFonts w:asciiTheme="minorHAnsi" w:hAnsiTheme="minorHAnsi" w:cstheme="minorHAnsi"/>
          <w:color w:val="000000" w:themeColor="text1"/>
          <w:sz w:val="16"/>
          <w:szCs w:val="16"/>
          <w:shd w:val="clear" w:color="auto" w:fill="FFFFFF"/>
          <w:vertAlign w:val="superscript"/>
          <w:lang w:val="en-US"/>
        </w:rPr>
        <w:footnoteRef/>
      </w:r>
      <w:r w:rsidRPr="00F37295">
        <w:rPr>
          <w:rFonts w:asciiTheme="minorHAnsi" w:hAnsiTheme="minorHAnsi" w:cstheme="minorHAnsi"/>
          <w:color w:val="000000" w:themeColor="text1"/>
          <w:sz w:val="16"/>
          <w:szCs w:val="16"/>
          <w:shd w:val="clear" w:color="auto" w:fill="FFFFFF"/>
        </w:rPr>
        <w:t xml:space="preserve"> Differenze di genere in COVID-19: possibili meccanismi</w:t>
      </w:r>
    </w:p>
    <w:p w:rsidR="008F6FFE" w:rsidRPr="00F37295"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hyperlink r:id="rId1297" w:history="1">
        <w:r w:rsidR="008F6FFE" w:rsidRPr="00F37295">
          <w:rPr>
            <w:rFonts w:asciiTheme="minorHAnsi" w:hAnsiTheme="minorHAnsi" w:cstheme="minorHAnsi"/>
            <w:color w:val="000000" w:themeColor="text1"/>
            <w:sz w:val="16"/>
            <w:szCs w:val="16"/>
            <w:shd w:val="clear" w:color="auto" w:fill="FFFFFF"/>
          </w:rPr>
          <w:t>https://www.epicentro.iss.it/coronavirus/sars-cov-2-differenze-genere</w:t>
        </w:r>
      </w:hyperlink>
    </w:p>
    <w:p w:rsidR="008F6FFE" w:rsidRPr="00F37295"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Ital J Gender-Specific Med 2020; 6(2): 49-50 DOI </w:t>
      </w:r>
      <w:hyperlink r:id="rId1298" w:history="1">
        <w:r w:rsidRPr="003B271B">
          <w:rPr>
            <w:rFonts w:asciiTheme="minorHAnsi" w:hAnsiTheme="minorHAnsi" w:cstheme="minorHAnsi"/>
            <w:color w:val="000000" w:themeColor="text1"/>
            <w:sz w:val="16"/>
            <w:szCs w:val="16"/>
            <w:shd w:val="clear" w:color="auto" w:fill="FFFFFF"/>
            <w:lang w:val="en-US"/>
          </w:rPr>
          <w:t>10.1723/3351.33219</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Gender differences in COVID-19: some open questions </w:t>
      </w:r>
    </w:p>
    <w:p w:rsidR="008F6FFE" w:rsidRPr="00F37295"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r w:rsidRPr="00F37295">
        <w:rPr>
          <w:rFonts w:asciiTheme="minorHAnsi" w:hAnsiTheme="minorHAnsi" w:cstheme="minorHAnsi"/>
          <w:color w:val="000000" w:themeColor="text1"/>
          <w:sz w:val="16"/>
          <w:szCs w:val="16"/>
          <w:shd w:val="clear" w:color="auto" w:fill="FFFFFF"/>
        </w:rPr>
        <w:t>Anna Ruggieri, Maria Cristina Gagliardi</w:t>
      </w:r>
    </w:p>
    <w:p w:rsidR="008F6FFE" w:rsidRPr="00F37295"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hyperlink r:id="rId1299" w:history="1">
        <w:r w:rsidR="008F6FFE" w:rsidRPr="00F37295">
          <w:rPr>
            <w:rFonts w:asciiTheme="minorHAnsi" w:hAnsiTheme="minorHAnsi" w:cstheme="minorHAnsi"/>
            <w:color w:val="000000" w:themeColor="text1"/>
            <w:sz w:val="16"/>
            <w:szCs w:val="16"/>
            <w:shd w:val="clear" w:color="auto" w:fill="FFFFFF"/>
          </w:rPr>
          <w:t>https://www.gendermedjournal.it/articoli.php?archivio=yes&amp;vol_id=3351&amp;id=33219</w:t>
        </w:r>
      </w:hyperlink>
    </w:p>
    <w:p w:rsidR="008F6FFE" w:rsidRPr="00E573D1" w:rsidRDefault="008F6FFE" w:rsidP="003B271B">
      <w:pPr>
        <w:pStyle w:val="labs-full-docsum"/>
        <w:shd w:val="clear" w:color="auto" w:fill="FFFFFF"/>
        <w:spacing w:before="0" w:beforeAutospacing="0" w:after="0" w:afterAutospacing="0"/>
        <w:rPr>
          <w:rFonts w:asciiTheme="minorHAnsi" w:hAnsiTheme="minorHAnsi" w:cstheme="minorHAnsi"/>
          <w:sz w:val="16"/>
          <w:szCs w:val="16"/>
          <w:shd w:val="clear" w:color="auto" w:fill="FFFFFF"/>
        </w:rPr>
      </w:pP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Scientific World Journal. 2014;2014:159150. doi:10.1155/2014/159150</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Sex hormones and immune dimorphism.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Bhatia A, Sekhon HK, Kaur G.</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00" w:history="1">
        <w:r w:rsidR="008F6FFE" w:rsidRPr="00CB502B">
          <w:rPr>
            <w:rFonts w:asciiTheme="minorHAnsi" w:hAnsiTheme="minorHAnsi" w:cstheme="minorHAnsi"/>
            <w:color w:val="000000" w:themeColor="text1"/>
            <w:sz w:val="16"/>
            <w:szCs w:val="16"/>
            <w:shd w:val="clear" w:color="auto" w:fill="FFFFFF"/>
            <w:lang w:val="en-US"/>
          </w:rPr>
          <w:t>https://www.ncbi.nlm.nih.gov/pmc/articles/PMC4251360/</w:t>
        </w:r>
      </w:hyperlink>
    </w:p>
    <w:p w:rsidR="008F6FFE" w:rsidRPr="00CB502B"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8F6FFE"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Autoimmun Rev. 2020;102571. doi:10.1016/j.autrev.2020.102571</w:t>
      </w:r>
    </w:p>
    <w:p w:rsidR="008F6FFE"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Transcriptional landscape of SARS-CoV-2 infection dismantles pathogenic pathways activated by the virus, proposes unique sex-specific differences and predicts tailored therapeutic strategies </w:t>
      </w:r>
    </w:p>
    <w:p w:rsidR="008F6FFE" w:rsidRPr="00A078ED" w:rsidRDefault="008F6FFE" w:rsidP="00E573D1">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r w:rsidRPr="00A078ED">
        <w:rPr>
          <w:rFonts w:asciiTheme="minorHAnsi" w:hAnsiTheme="minorHAnsi" w:cstheme="minorHAnsi"/>
          <w:color w:val="000000" w:themeColor="text1"/>
          <w:sz w:val="16"/>
          <w:szCs w:val="16"/>
          <w:shd w:val="clear" w:color="auto" w:fill="FFFFFF"/>
        </w:rPr>
        <w:t xml:space="preserve">Fagone P, et al. </w:t>
      </w:r>
    </w:p>
    <w:p w:rsidR="008F6FFE" w:rsidRPr="00A078ED"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hyperlink r:id="rId1301" w:history="1">
        <w:r w:rsidR="008F6FFE" w:rsidRPr="00A078ED">
          <w:rPr>
            <w:rFonts w:asciiTheme="minorHAnsi" w:hAnsiTheme="minorHAnsi" w:cstheme="minorHAnsi"/>
            <w:color w:val="000000" w:themeColor="text1"/>
            <w:sz w:val="16"/>
            <w:szCs w:val="16"/>
            <w:shd w:val="clear" w:color="auto" w:fill="FFFFFF"/>
          </w:rPr>
          <w:t>https://www.ncbi.nlm.nih.gov/pmc/articles/PMC7252184/</w:t>
        </w:r>
      </w:hyperlink>
    </w:p>
    <w:p w:rsidR="008F6FFE" w:rsidRPr="00A078ED"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02" w:tooltip="Frontiers in immunology." w:history="1">
        <w:r w:rsidR="008F6FFE" w:rsidRPr="003B271B">
          <w:rPr>
            <w:rFonts w:asciiTheme="minorHAnsi" w:hAnsiTheme="minorHAnsi" w:cstheme="minorHAnsi"/>
            <w:color w:val="000000" w:themeColor="text1"/>
            <w:sz w:val="16"/>
            <w:szCs w:val="16"/>
            <w:shd w:val="clear" w:color="auto" w:fill="FFFFFF"/>
            <w:lang w:val="en-US"/>
          </w:rPr>
          <w:t>Front Immunol.</w:t>
        </w:r>
      </w:hyperlink>
      <w:r w:rsidR="008F6FFE" w:rsidRPr="003B271B">
        <w:rPr>
          <w:rFonts w:asciiTheme="minorHAnsi" w:hAnsiTheme="minorHAnsi" w:cstheme="minorHAnsi"/>
          <w:color w:val="000000" w:themeColor="text1"/>
          <w:sz w:val="16"/>
          <w:szCs w:val="16"/>
          <w:shd w:val="clear" w:color="auto" w:fill="FFFFFF"/>
          <w:lang w:val="en-US"/>
        </w:rPr>
        <w:t xml:space="preserve"> 2018 Jul 20;9:1653. doi: 10.3389/fimmu.2018.01653.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Sex Hormones Regulate Innate Immune Cells and Promote Sex Differences in Respiratory Virus Infection.</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03" w:history="1">
        <w:r w:rsidR="008F6FFE" w:rsidRPr="003B271B">
          <w:rPr>
            <w:rFonts w:asciiTheme="minorHAnsi" w:hAnsiTheme="minorHAnsi" w:cstheme="minorHAnsi"/>
            <w:color w:val="000000" w:themeColor="text1"/>
            <w:sz w:val="16"/>
            <w:szCs w:val="16"/>
            <w:shd w:val="clear" w:color="auto" w:fill="FFFFFF"/>
            <w:lang w:val="en-US"/>
          </w:rPr>
          <w:t>Kadel S</w:t>
        </w:r>
      </w:hyperlink>
      <w:r w:rsidR="008F6FFE" w:rsidRPr="003B271B">
        <w:rPr>
          <w:rFonts w:asciiTheme="minorHAnsi" w:hAnsiTheme="minorHAnsi" w:cstheme="minorHAnsi"/>
          <w:color w:val="000000" w:themeColor="text1"/>
          <w:sz w:val="16"/>
          <w:szCs w:val="16"/>
          <w:shd w:val="clear" w:color="auto" w:fill="FFFFFF"/>
          <w:lang w:val="en-US"/>
        </w:rPr>
        <w:t>1,2, </w:t>
      </w:r>
      <w:hyperlink r:id="rId1304" w:history="1">
        <w:r w:rsidR="008F6FFE" w:rsidRPr="003B271B">
          <w:rPr>
            <w:rFonts w:asciiTheme="minorHAnsi" w:hAnsiTheme="minorHAnsi" w:cstheme="minorHAnsi"/>
            <w:color w:val="000000" w:themeColor="text1"/>
            <w:sz w:val="16"/>
            <w:szCs w:val="16"/>
            <w:shd w:val="clear" w:color="auto" w:fill="FFFFFF"/>
            <w:lang w:val="en-US"/>
          </w:rPr>
          <w:t>Kovats S</w:t>
        </w:r>
      </w:hyperlink>
      <w:r w:rsidR="008F6FFE" w:rsidRPr="003B271B">
        <w:rPr>
          <w:rFonts w:asciiTheme="minorHAnsi" w:hAnsiTheme="minorHAnsi" w:cstheme="minorHAnsi"/>
          <w:color w:val="000000" w:themeColor="text1"/>
          <w:sz w:val="16"/>
          <w:szCs w:val="16"/>
          <w:shd w:val="clear" w:color="auto" w:fill="FFFFFF"/>
          <w:lang w:val="en-US"/>
        </w:rPr>
        <w:t>1,2.</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05" w:history="1">
        <w:r w:rsidR="008F6FFE" w:rsidRPr="00CB502B">
          <w:rPr>
            <w:rFonts w:asciiTheme="minorHAnsi" w:hAnsiTheme="minorHAnsi" w:cstheme="minorHAnsi"/>
            <w:color w:val="000000" w:themeColor="text1"/>
            <w:sz w:val="16"/>
            <w:szCs w:val="16"/>
            <w:shd w:val="clear" w:color="auto" w:fill="FFFFFF"/>
            <w:lang w:val="en-US"/>
          </w:rPr>
          <w:t>https://www.ncbi.nlm.nih.gov/pmc/articles/PMC6062604/</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06" w:tooltip="PLoS pathogens." w:history="1">
        <w:r w:rsidR="008F6FFE" w:rsidRPr="003B271B">
          <w:rPr>
            <w:rFonts w:asciiTheme="minorHAnsi" w:hAnsiTheme="minorHAnsi" w:cstheme="minorHAnsi"/>
            <w:color w:val="000000" w:themeColor="text1"/>
            <w:sz w:val="16"/>
            <w:szCs w:val="16"/>
            <w:shd w:val="clear" w:color="auto" w:fill="FFFFFF"/>
            <w:lang w:val="en-US"/>
          </w:rPr>
          <w:t>PLoS Pathog.</w:t>
        </w:r>
      </w:hyperlink>
      <w:r w:rsidR="008F6FFE" w:rsidRPr="003B271B">
        <w:rPr>
          <w:rFonts w:asciiTheme="minorHAnsi" w:hAnsiTheme="minorHAnsi" w:cstheme="minorHAnsi"/>
          <w:color w:val="000000" w:themeColor="text1"/>
          <w:sz w:val="16"/>
          <w:szCs w:val="16"/>
          <w:shd w:val="clear" w:color="auto" w:fill="FFFFFF"/>
          <w:lang w:val="en-US"/>
        </w:rPr>
        <w:t xml:space="preserve"> 2016 Feb 18;12(2): e1005374. doi: 10.1371/journal.ppat.1005374.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SeXX Matters in Infectious Disease Pathogenesis.</w:t>
      </w:r>
    </w:p>
    <w:p w:rsidR="008F6FFE" w:rsidRPr="00235A16"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307" w:history="1">
        <w:r w:rsidR="008F6FFE" w:rsidRPr="00235A16">
          <w:rPr>
            <w:rFonts w:asciiTheme="minorHAnsi" w:hAnsiTheme="minorHAnsi" w:cstheme="minorHAnsi"/>
            <w:color w:val="000000" w:themeColor="text1"/>
            <w:sz w:val="16"/>
            <w:szCs w:val="16"/>
            <w:shd w:val="clear" w:color="auto" w:fill="FFFFFF"/>
            <w:lang w:val="de-DE"/>
          </w:rPr>
          <w:t>vom Steeg LG</w:t>
        </w:r>
      </w:hyperlink>
      <w:r w:rsidR="008F6FFE" w:rsidRPr="00235A16">
        <w:rPr>
          <w:rFonts w:asciiTheme="minorHAnsi" w:hAnsiTheme="minorHAnsi" w:cstheme="minorHAnsi"/>
          <w:color w:val="000000" w:themeColor="text1"/>
          <w:sz w:val="16"/>
          <w:szCs w:val="16"/>
          <w:shd w:val="clear" w:color="auto" w:fill="FFFFFF"/>
          <w:lang w:val="de-DE"/>
        </w:rPr>
        <w:t>1, </w:t>
      </w:r>
      <w:hyperlink r:id="rId1308" w:history="1">
        <w:r w:rsidR="008F6FFE" w:rsidRPr="00235A16">
          <w:rPr>
            <w:rFonts w:asciiTheme="minorHAnsi" w:hAnsiTheme="minorHAnsi" w:cstheme="minorHAnsi"/>
            <w:color w:val="000000" w:themeColor="text1"/>
            <w:sz w:val="16"/>
            <w:szCs w:val="16"/>
            <w:shd w:val="clear" w:color="auto" w:fill="FFFFFF"/>
            <w:lang w:val="de-DE"/>
          </w:rPr>
          <w:t>Klein SL</w:t>
        </w:r>
      </w:hyperlink>
      <w:r w:rsidR="008F6FFE" w:rsidRPr="00235A16">
        <w:rPr>
          <w:rFonts w:asciiTheme="minorHAnsi" w:hAnsiTheme="minorHAnsi" w:cstheme="minorHAnsi"/>
          <w:color w:val="000000" w:themeColor="text1"/>
          <w:sz w:val="16"/>
          <w:szCs w:val="16"/>
          <w:shd w:val="clear" w:color="auto" w:fill="FFFFFF"/>
          <w:lang w:val="de-DE"/>
        </w:rPr>
        <w:t>1.</w:t>
      </w:r>
    </w:p>
    <w:p w:rsidR="008F6FFE" w:rsidRPr="00235A1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309" w:history="1">
        <w:r w:rsidR="008F6FFE" w:rsidRPr="00235A16">
          <w:rPr>
            <w:rFonts w:asciiTheme="minorHAnsi" w:hAnsiTheme="minorHAnsi" w:cstheme="minorHAnsi"/>
            <w:color w:val="000000" w:themeColor="text1"/>
            <w:sz w:val="16"/>
            <w:szCs w:val="16"/>
            <w:shd w:val="clear" w:color="auto" w:fill="FFFFFF"/>
            <w:lang w:val="de-DE"/>
          </w:rPr>
          <w:t>https://www.ncbi.nlm.nih.gov/pmc/articles/PMC4759457/</w:t>
        </w:r>
      </w:hyperlink>
    </w:p>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10" w:tooltip="The Journal of allergy and clinical immunology." w:history="1">
        <w:r w:rsidR="008F6FFE" w:rsidRPr="003B271B">
          <w:rPr>
            <w:rFonts w:asciiTheme="minorHAnsi" w:hAnsiTheme="minorHAnsi" w:cstheme="minorHAnsi"/>
            <w:color w:val="000000" w:themeColor="text1"/>
            <w:sz w:val="16"/>
            <w:szCs w:val="16"/>
            <w:shd w:val="clear" w:color="auto" w:fill="FFFFFF"/>
            <w:lang w:val="en-US"/>
          </w:rPr>
          <w:t>J Allergy Clin Immunol.</w:t>
        </w:r>
      </w:hyperlink>
      <w:r w:rsidR="008F6FFE" w:rsidRPr="003B271B">
        <w:rPr>
          <w:rFonts w:asciiTheme="minorHAnsi" w:hAnsiTheme="minorHAnsi" w:cstheme="minorHAnsi"/>
          <w:color w:val="000000" w:themeColor="text1"/>
          <w:sz w:val="16"/>
          <w:szCs w:val="16"/>
          <w:shd w:val="clear" w:color="auto" w:fill="FFFFFF"/>
          <w:lang w:val="en-US"/>
        </w:rPr>
        <w:t> 2013 Dec;132(6):1263-76; quiz 1277. doi: 10.1016/j.jaci.2013.06.006. Epub 2013 Aug 1.</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Viral infection of the lung: host response and sequelae.</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11" w:history="1">
        <w:r w:rsidR="008F6FFE" w:rsidRPr="003B271B">
          <w:rPr>
            <w:rFonts w:asciiTheme="minorHAnsi" w:hAnsiTheme="minorHAnsi" w:cstheme="minorHAnsi"/>
            <w:color w:val="000000" w:themeColor="text1"/>
            <w:sz w:val="16"/>
            <w:szCs w:val="16"/>
            <w:shd w:val="clear" w:color="auto" w:fill="FFFFFF"/>
            <w:lang w:val="en-US"/>
          </w:rPr>
          <w:t>Yoo JK</w:t>
        </w:r>
      </w:hyperlink>
      <w:r w:rsidR="008F6FFE" w:rsidRPr="003B271B">
        <w:rPr>
          <w:rFonts w:asciiTheme="minorHAnsi" w:hAnsiTheme="minorHAnsi" w:cstheme="minorHAnsi"/>
          <w:color w:val="000000" w:themeColor="text1"/>
          <w:sz w:val="16"/>
          <w:szCs w:val="16"/>
          <w:shd w:val="clear" w:color="auto" w:fill="FFFFFF"/>
          <w:lang w:val="en-US"/>
        </w:rPr>
        <w:t>1, </w:t>
      </w:r>
      <w:hyperlink r:id="rId1312" w:history="1">
        <w:r w:rsidR="008F6FFE" w:rsidRPr="003B271B">
          <w:rPr>
            <w:rFonts w:asciiTheme="minorHAnsi" w:hAnsiTheme="minorHAnsi" w:cstheme="minorHAnsi"/>
            <w:color w:val="000000" w:themeColor="text1"/>
            <w:sz w:val="16"/>
            <w:szCs w:val="16"/>
            <w:shd w:val="clear" w:color="auto" w:fill="FFFFFF"/>
            <w:lang w:val="en-US"/>
          </w:rPr>
          <w:t>Kim TS</w:t>
        </w:r>
      </w:hyperlink>
      <w:r w:rsidR="008F6FFE" w:rsidRPr="003B271B">
        <w:rPr>
          <w:rFonts w:asciiTheme="minorHAnsi" w:hAnsiTheme="minorHAnsi" w:cstheme="minorHAnsi"/>
          <w:color w:val="000000" w:themeColor="text1"/>
          <w:sz w:val="16"/>
          <w:szCs w:val="16"/>
          <w:shd w:val="clear" w:color="auto" w:fill="FFFFFF"/>
          <w:lang w:val="en-US"/>
        </w:rPr>
        <w:t>, </w:t>
      </w:r>
      <w:hyperlink r:id="rId1313" w:history="1">
        <w:r w:rsidR="008F6FFE" w:rsidRPr="003B271B">
          <w:rPr>
            <w:rFonts w:asciiTheme="minorHAnsi" w:hAnsiTheme="minorHAnsi" w:cstheme="minorHAnsi"/>
            <w:color w:val="000000" w:themeColor="text1"/>
            <w:sz w:val="16"/>
            <w:szCs w:val="16"/>
            <w:shd w:val="clear" w:color="auto" w:fill="FFFFFF"/>
            <w:lang w:val="en-US"/>
          </w:rPr>
          <w:t>Hufford MM</w:t>
        </w:r>
      </w:hyperlink>
      <w:r w:rsidR="008F6FFE" w:rsidRPr="003B271B">
        <w:rPr>
          <w:rFonts w:asciiTheme="minorHAnsi" w:hAnsiTheme="minorHAnsi" w:cstheme="minorHAnsi"/>
          <w:color w:val="000000" w:themeColor="text1"/>
          <w:sz w:val="16"/>
          <w:szCs w:val="16"/>
          <w:shd w:val="clear" w:color="auto" w:fill="FFFFFF"/>
          <w:lang w:val="en-US"/>
        </w:rPr>
        <w:t>, </w:t>
      </w:r>
      <w:hyperlink r:id="rId1314" w:history="1">
        <w:r w:rsidR="008F6FFE" w:rsidRPr="003B271B">
          <w:rPr>
            <w:rFonts w:asciiTheme="minorHAnsi" w:hAnsiTheme="minorHAnsi" w:cstheme="minorHAnsi"/>
            <w:color w:val="000000" w:themeColor="text1"/>
            <w:sz w:val="16"/>
            <w:szCs w:val="16"/>
            <w:shd w:val="clear" w:color="auto" w:fill="FFFFFF"/>
            <w:lang w:val="en-US"/>
          </w:rPr>
          <w:t>Braciale TJ</w:t>
        </w:r>
      </w:hyperlink>
      <w:r w:rsidR="008F6FFE" w:rsidRPr="003B271B">
        <w:rPr>
          <w:rFonts w:asciiTheme="minorHAnsi" w:hAnsiTheme="minorHAnsi" w:cstheme="minorHAnsi"/>
          <w:color w:val="000000" w:themeColor="text1"/>
          <w:sz w:val="16"/>
          <w:szCs w:val="16"/>
          <w:shd w:val="clear" w:color="auto" w:fill="FFFFFF"/>
          <w:lang w:val="en-US"/>
        </w:rPr>
        <w:t>.</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15" w:history="1">
        <w:r w:rsidR="008F6FFE" w:rsidRPr="00CB502B">
          <w:rPr>
            <w:rFonts w:asciiTheme="minorHAnsi" w:hAnsiTheme="minorHAnsi" w:cstheme="minorHAnsi"/>
            <w:color w:val="000000" w:themeColor="text1"/>
            <w:sz w:val="16"/>
            <w:szCs w:val="16"/>
            <w:shd w:val="clear" w:color="auto" w:fill="FFFFFF"/>
            <w:lang w:val="en-US"/>
          </w:rPr>
          <w:t>https://www.ncbi.nlm.nih.gov/pmc/articles/PMC3844062/</w:t>
        </w:r>
      </w:hyperlink>
    </w:p>
    <w:p w:rsidR="008F6FFE" w:rsidRPr="00CB502B"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16" w:tooltip="Seminars in immunopathology." w:history="1">
        <w:r w:rsidR="008F6FFE" w:rsidRPr="003B271B">
          <w:rPr>
            <w:rFonts w:asciiTheme="minorHAnsi" w:hAnsiTheme="minorHAnsi" w:cstheme="minorHAnsi"/>
            <w:color w:val="000000" w:themeColor="text1"/>
            <w:sz w:val="16"/>
            <w:szCs w:val="16"/>
            <w:shd w:val="clear" w:color="auto" w:fill="FFFFFF"/>
            <w:lang w:val="en-US"/>
          </w:rPr>
          <w:t>Semin Immunopathol.</w:t>
        </w:r>
      </w:hyperlink>
      <w:r w:rsidR="008F6FFE" w:rsidRPr="003B271B">
        <w:rPr>
          <w:rFonts w:asciiTheme="minorHAnsi" w:hAnsiTheme="minorHAnsi" w:cstheme="minorHAnsi"/>
          <w:color w:val="000000" w:themeColor="text1"/>
          <w:sz w:val="16"/>
          <w:szCs w:val="16"/>
          <w:shd w:val="clear" w:color="auto" w:fill="FFFFFF"/>
          <w:lang w:val="en-US"/>
        </w:rPr>
        <w:t xml:space="preserve"> 2016 Jul;38(4):471-82. doi: 10.1007/s00281-016-0558-0.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The host immune response in respiratory virus infection: balancing virus clearance and immunopathology.</w:t>
      </w:r>
    </w:p>
    <w:p w:rsidR="008F6FFE" w:rsidRPr="00CB502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hyperlink r:id="rId1317" w:history="1">
        <w:r w:rsidR="008F6FFE" w:rsidRPr="00CB502B">
          <w:rPr>
            <w:rFonts w:asciiTheme="minorHAnsi" w:hAnsiTheme="minorHAnsi" w:cstheme="minorHAnsi"/>
            <w:color w:val="000000" w:themeColor="text1"/>
            <w:sz w:val="16"/>
            <w:szCs w:val="16"/>
            <w:shd w:val="clear" w:color="auto" w:fill="FFFFFF"/>
          </w:rPr>
          <w:t>Newton AH</w:t>
        </w:r>
      </w:hyperlink>
      <w:r w:rsidR="008F6FFE" w:rsidRPr="00CB502B">
        <w:rPr>
          <w:rFonts w:asciiTheme="minorHAnsi" w:hAnsiTheme="minorHAnsi" w:cstheme="minorHAnsi"/>
          <w:color w:val="000000" w:themeColor="text1"/>
          <w:sz w:val="16"/>
          <w:szCs w:val="16"/>
          <w:shd w:val="clear" w:color="auto" w:fill="FFFFFF"/>
        </w:rPr>
        <w:t>1,2, </w:t>
      </w:r>
      <w:hyperlink r:id="rId1318" w:history="1">
        <w:r w:rsidR="008F6FFE" w:rsidRPr="00CB502B">
          <w:rPr>
            <w:rFonts w:asciiTheme="minorHAnsi" w:hAnsiTheme="minorHAnsi" w:cstheme="minorHAnsi"/>
            <w:color w:val="000000" w:themeColor="text1"/>
            <w:sz w:val="16"/>
            <w:szCs w:val="16"/>
            <w:shd w:val="clear" w:color="auto" w:fill="FFFFFF"/>
          </w:rPr>
          <w:t>Cardani A</w:t>
        </w:r>
      </w:hyperlink>
      <w:r w:rsidR="008F6FFE" w:rsidRPr="00CB502B">
        <w:rPr>
          <w:rFonts w:asciiTheme="minorHAnsi" w:hAnsiTheme="minorHAnsi" w:cstheme="minorHAnsi"/>
          <w:color w:val="000000" w:themeColor="text1"/>
          <w:sz w:val="16"/>
          <w:szCs w:val="16"/>
          <w:shd w:val="clear" w:color="auto" w:fill="FFFFFF"/>
        </w:rPr>
        <w:t>1,3, </w:t>
      </w:r>
      <w:hyperlink r:id="rId1319" w:history="1">
        <w:r w:rsidR="008F6FFE" w:rsidRPr="00CB502B">
          <w:rPr>
            <w:rFonts w:asciiTheme="minorHAnsi" w:hAnsiTheme="minorHAnsi" w:cstheme="minorHAnsi"/>
            <w:color w:val="000000" w:themeColor="text1"/>
            <w:sz w:val="16"/>
            <w:szCs w:val="16"/>
            <w:shd w:val="clear" w:color="auto" w:fill="FFFFFF"/>
          </w:rPr>
          <w:t>Braciale TJ</w:t>
        </w:r>
      </w:hyperlink>
    </w:p>
    <w:p w:rsidR="008F6FFE" w:rsidRPr="00A078ED"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hyperlink r:id="rId1320" w:history="1">
        <w:r w:rsidR="008F6FFE" w:rsidRPr="00A078ED">
          <w:rPr>
            <w:rFonts w:asciiTheme="minorHAnsi" w:hAnsiTheme="minorHAnsi" w:cstheme="minorHAnsi"/>
            <w:color w:val="000000" w:themeColor="text1"/>
            <w:sz w:val="16"/>
            <w:szCs w:val="16"/>
            <w:shd w:val="clear" w:color="auto" w:fill="FFFFFF"/>
          </w:rPr>
          <w:t>https://www.ncbi.nlm.nih.gov/pmc/articles/PMC4896975/</w:t>
        </w:r>
      </w:hyperlink>
    </w:p>
    <w:p w:rsidR="008F6FFE" w:rsidRPr="00A078ED"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21" w:tooltip="Journal of immunology (Baltimore, Md. : 1950)." w:history="1">
        <w:r w:rsidR="008F6FFE" w:rsidRPr="003B271B">
          <w:rPr>
            <w:rFonts w:asciiTheme="minorHAnsi" w:hAnsiTheme="minorHAnsi" w:cstheme="minorHAnsi"/>
            <w:color w:val="000000" w:themeColor="text1"/>
            <w:sz w:val="16"/>
            <w:szCs w:val="16"/>
            <w:shd w:val="clear" w:color="auto" w:fill="FFFFFF"/>
            <w:lang w:val="en-US"/>
          </w:rPr>
          <w:t>J Immunol.</w:t>
        </w:r>
      </w:hyperlink>
      <w:r w:rsidR="008F6FFE" w:rsidRPr="003B271B">
        <w:rPr>
          <w:rFonts w:asciiTheme="minorHAnsi" w:hAnsiTheme="minorHAnsi" w:cstheme="minorHAnsi"/>
          <w:color w:val="000000" w:themeColor="text1"/>
          <w:sz w:val="16"/>
          <w:szCs w:val="16"/>
          <w:shd w:val="clear" w:color="auto" w:fill="FFFFFF"/>
          <w:lang w:val="en-US"/>
        </w:rPr>
        <w:t xml:space="preserve"> 2017 May 15;198(10):4046-4053. doi: 10.4049/jimmunol.1601896.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Sex-Based Differences in Susceptibility to Severe Acute Respiratory Syndrome Coronavirus Infection.</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22" w:history="1">
        <w:r w:rsidR="008F6FFE" w:rsidRPr="003B271B">
          <w:rPr>
            <w:rFonts w:asciiTheme="minorHAnsi" w:hAnsiTheme="minorHAnsi" w:cstheme="minorHAnsi"/>
            <w:color w:val="000000" w:themeColor="text1"/>
            <w:sz w:val="16"/>
            <w:szCs w:val="16"/>
            <w:shd w:val="clear" w:color="auto" w:fill="FFFFFF"/>
            <w:lang w:val="en-US"/>
          </w:rPr>
          <w:t>Channappanavar R</w:t>
        </w:r>
      </w:hyperlink>
      <w:r w:rsidR="008F6FFE" w:rsidRPr="003B271B">
        <w:rPr>
          <w:rFonts w:asciiTheme="minorHAnsi" w:hAnsiTheme="minorHAnsi" w:cstheme="minorHAnsi"/>
          <w:color w:val="000000" w:themeColor="text1"/>
          <w:sz w:val="16"/>
          <w:szCs w:val="16"/>
          <w:shd w:val="clear" w:color="auto" w:fill="FFFFFF"/>
          <w:lang w:val="en-US"/>
        </w:rPr>
        <w:t>1, </w:t>
      </w:r>
      <w:hyperlink r:id="rId1323" w:history="1">
        <w:r w:rsidR="008F6FFE" w:rsidRPr="003B271B">
          <w:rPr>
            <w:rFonts w:asciiTheme="minorHAnsi" w:hAnsiTheme="minorHAnsi" w:cstheme="minorHAnsi"/>
            <w:color w:val="000000" w:themeColor="text1"/>
            <w:sz w:val="16"/>
            <w:szCs w:val="16"/>
            <w:shd w:val="clear" w:color="auto" w:fill="FFFFFF"/>
            <w:lang w:val="en-US"/>
          </w:rPr>
          <w:t>Fett C</w:t>
        </w:r>
      </w:hyperlink>
      <w:r w:rsidR="008F6FFE" w:rsidRPr="003B271B">
        <w:rPr>
          <w:rFonts w:asciiTheme="minorHAnsi" w:hAnsiTheme="minorHAnsi" w:cstheme="minorHAnsi"/>
          <w:color w:val="000000" w:themeColor="text1"/>
          <w:sz w:val="16"/>
          <w:szCs w:val="16"/>
          <w:shd w:val="clear" w:color="auto" w:fill="FFFFFF"/>
          <w:lang w:val="en-US"/>
        </w:rPr>
        <w:t>1, </w:t>
      </w:r>
      <w:hyperlink r:id="rId1324" w:history="1">
        <w:r w:rsidR="008F6FFE" w:rsidRPr="003B271B">
          <w:rPr>
            <w:rFonts w:asciiTheme="minorHAnsi" w:hAnsiTheme="minorHAnsi" w:cstheme="minorHAnsi"/>
            <w:color w:val="000000" w:themeColor="text1"/>
            <w:sz w:val="16"/>
            <w:szCs w:val="16"/>
            <w:shd w:val="clear" w:color="auto" w:fill="FFFFFF"/>
            <w:lang w:val="en-US"/>
          </w:rPr>
          <w:t>Mack M</w:t>
        </w:r>
      </w:hyperlink>
      <w:r w:rsidR="008F6FFE" w:rsidRPr="003B271B">
        <w:rPr>
          <w:rFonts w:asciiTheme="minorHAnsi" w:hAnsiTheme="minorHAnsi" w:cstheme="minorHAnsi"/>
          <w:color w:val="000000" w:themeColor="text1"/>
          <w:sz w:val="16"/>
          <w:szCs w:val="16"/>
          <w:shd w:val="clear" w:color="auto" w:fill="FFFFFF"/>
          <w:lang w:val="en-US"/>
        </w:rPr>
        <w:t>2, </w:t>
      </w:r>
      <w:hyperlink r:id="rId1325" w:history="1">
        <w:r w:rsidR="008F6FFE" w:rsidRPr="003B271B">
          <w:rPr>
            <w:rFonts w:asciiTheme="minorHAnsi" w:hAnsiTheme="minorHAnsi" w:cstheme="minorHAnsi"/>
            <w:color w:val="000000" w:themeColor="text1"/>
            <w:sz w:val="16"/>
            <w:szCs w:val="16"/>
            <w:shd w:val="clear" w:color="auto" w:fill="FFFFFF"/>
            <w:lang w:val="en-US"/>
          </w:rPr>
          <w:t>Ten Eyck PP</w:t>
        </w:r>
      </w:hyperlink>
      <w:r w:rsidR="008F6FFE" w:rsidRPr="003B271B">
        <w:rPr>
          <w:rFonts w:asciiTheme="minorHAnsi" w:hAnsiTheme="minorHAnsi" w:cstheme="minorHAnsi"/>
          <w:color w:val="000000" w:themeColor="text1"/>
          <w:sz w:val="16"/>
          <w:szCs w:val="16"/>
          <w:shd w:val="clear" w:color="auto" w:fill="FFFFFF"/>
          <w:lang w:val="en-US"/>
        </w:rPr>
        <w:t>3, </w:t>
      </w:r>
      <w:hyperlink r:id="rId1326" w:history="1">
        <w:r w:rsidR="008F6FFE" w:rsidRPr="003B271B">
          <w:rPr>
            <w:rFonts w:asciiTheme="minorHAnsi" w:hAnsiTheme="minorHAnsi" w:cstheme="minorHAnsi"/>
            <w:color w:val="000000" w:themeColor="text1"/>
            <w:sz w:val="16"/>
            <w:szCs w:val="16"/>
            <w:shd w:val="clear" w:color="auto" w:fill="FFFFFF"/>
            <w:lang w:val="en-US"/>
          </w:rPr>
          <w:t>Meyerholz DK</w:t>
        </w:r>
      </w:hyperlink>
      <w:r w:rsidR="008F6FFE" w:rsidRPr="003B271B">
        <w:rPr>
          <w:rFonts w:asciiTheme="minorHAnsi" w:hAnsiTheme="minorHAnsi" w:cstheme="minorHAnsi"/>
          <w:color w:val="000000" w:themeColor="text1"/>
          <w:sz w:val="16"/>
          <w:szCs w:val="16"/>
          <w:shd w:val="clear" w:color="auto" w:fill="FFFFFF"/>
          <w:lang w:val="en-US"/>
        </w:rPr>
        <w:t>4, </w:t>
      </w:r>
      <w:hyperlink r:id="rId1327" w:history="1">
        <w:r w:rsidR="008F6FFE" w:rsidRPr="003B271B">
          <w:rPr>
            <w:rFonts w:asciiTheme="minorHAnsi" w:hAnsiTheme="minorHAnsi" w:cstheme="minorHAnsi"/>
            <w:color w:val="000000" w:themeColor="text1"/>
            <w:sz w:val="16"/>
            <w:szCs w:val="16"/>
            <w:shd w:val="clear" w:color="auto" w:fill="FFFFFF"/>
            <w:lang w:val="en-US"/>
          </w:rPr>
          <w:t>Perlman S</w:t>
        </w:r>
      </w:hyperlink>
      <w:r w:rsidR="008F6FFE" w:rsidRPr="003B271B">
        <w:rPr>
          <w:rFonts w:asciiTheme="minorHAnsi" w:hAnsiTheme="minorHAnsi" w:cstheme="minorHAnsi"/>
          <w:color w:val="000000" w:themeColor="text1"/>
          <w:sz w:val="16"/>
          <w:szCs w:val="16"/>
          <w:shd w:val="clear" w:color="auto" w:fill="FFFFFF"/>
          <w:lang w:val="en-US"/>
        </w:rPr>
        <w:t>5.</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28" w:history="1">
        <w:r w:rsidR="008F6FFE" w:rsidRPr="00CB502B">
          <w:rPr>
            <w:rFonts w:asciiTheme="minorHAnsi" w:hAnsiTheme="minorHAnsi" w:cstheme="minorHAnsi"/>
            <w:color w:val="000000" w:themeColor="text1"/>
            <w:sz w:val="16"/>
            <w:szCs w:val="16"/>
            <w:shd w:val="clear" w:color="auto" w:fill="FFFFFF"/>
            <w:lang w:val="en-US"/>
          </w:rPr>
          <w:t>https://www.ncbi.nlm.nih.gov/pmc/articles/PMC5450662/</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37">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134D69">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w:t>
      </w:r>
      <w:hyperlink r:id="rId1329" w:tooltip="Journal of the American Academy of Dermatology." w:history="1">
        <w:r w:rsidRPr="003B271B">
          <w:rPr>
            <w:rFonts w:asciiTheme="minorHAnsi" w:hAnsiTheme="minorHAnsi" w:cstheme="minorHAnsi"/>
            <w:color w:val="000000" w:themeColor="text1"/>
            <w:sz w:val="16"/>
            <w:szCs w:val="16"/>
            <w:shd w:val="clear" w:color="auto" w:fill="FFFFFF"/>
            <w:lang w:val="en-US"/>
          </w:rPr>
          <w:t>J Am Acad Dermatol.</w:t>
        </w:r>
      </w:hyperlink>
      <w:r w:rsidRPr="003B271B">
        <w:rPr>
          <w:rFonts w:asciiTheme="minorHAnsi" w:hAnsiTheme="minorHAnsi" w:cstheme="minorHAnsi"/>
          <w:color w:val="000000" w:themeColor="text1"/>
          <w:sz w:val="16"/>
          <w:szCs w:val="16"/>
          <w:shd w:val="clear" w:color="auto" w:fill="FFFFFF"/>
          <w:lang w:val="en-US"/>
        </w:rPr>
        <w:t xml:space="preserve"> 2020 Apr 10. pii: S0190-9622(20)30608-3. </w:t>
      </w:r>
    </w:p>
    <w:p w:rsidR="008F6FFE" w:rsidRPr="00CB502B"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CB502B">
        <w:rPr>
          <w:rFonts w:asciiTheme="minorHAnsi" w:hAnsiTheme="minorHAnsi" w:cstheme="minorHAnsi"/>
          <w:color w:val="000000" w:themeColor="text1"/>
          <w:sz w:val="16"/>
          <w:szCs w:val="16"/>
          <w:shd w:val="clear" w:color="auto" w:fill="FFFFFF"/>
          <w:lang w:val="en-US"/>
        </w:rPr>
        <w:t>Severe acute respiratory syndrome coronavirus 2 (SARS-CoV-2) infection is likely to be androgen mediated</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30" w:history="1">
        <w:r w:rsidR="008F6FFE" w:rsidRPr="003B271B">
          <w:rPr>
            <w:rFonts w:asciiTheme="minorHAnsi" w:hAnsiTheme="minorHAnsi" w:cstheme="minorHAnsi"/>
            <w:color w:val="000000" w:themeColor="text1"/>
            <w:sz w:val="16"/>
            <w:szCs w:val="16"/>
            <w:shd w:val="clear" w:color="auto" w:fill="FFFFFF"/>
            <w:lang w:val="en-US"/>
          </w:rPr>
          <w:t>Wambier CG</w:t>
        </w:r>
      </w:hyperlink>
      <w:r w:rsidR="008F6FFE" w:rsidRPr="003B271B">
        <w:rPr>
          <w:rFonts w:asciiTheme="minorHAnsi" w:hAnsiTheme="minorHAnsi" w:cstheme="minorHAnsi"/>
          <w:color w:val="000000" w:themeColor="text1"/>
          <w:sz w:val="16"/>
          <w:szCs w:val="16"/>
          <w:shd w:val="clear" w:color="auto" w:fill="FFFFFF"/>
          <w:lang w:val="en-US"/>
        </w:rPr>
        <w:t>1, </w:t>
      </w:r>
      <w:hyperlink r:id="rId1331" w:history="1">
        <w:r w:rsidR="008F6FFE" w:rsidRPr="003B271B">
          <w:rPr>
            <w:rFonts w:asciiTheme="minorHAnsi" w:hAnsiTheme="minorHAnsi" w:cstheme="minorHAnsi"/>
            <w:color w:val="000000" w:themeColor="text1"/>
            <w:sz w:val="16"/>
            <w:szCs w:val="16"/>
            <w:shd w:val="clear" w:color="auto" w:fill="FFFFFF"/>
            <w:lang w:val="en-US"/>
          </w:rPr>
          <w:t>Goren A</w:t>
        </w:r>
      </w:hyperlink>
      <w:r w:rsidR="008F6FFE" w:rsidRPr="003B271B">
        <w:rPr>
          <w:rFonts w:asciiTheme="minorHAnsi" w:hAnsiTheme="minorHAnsi" w:cstheme="minorHAnsi"/>
          <w:color w:val="000000" w:themeColor="text1"/>
          <w:sz w:val="16"/>
          <w:szCs w:val="16"/>
          <w:shd w:val="clear" w:color="auto" w:fill="FFFFFF"/>
          <w:lang w:val="en-US"/>
        </w:rPr>
        <w:t>2.</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32" w:history="1">
        <w:r w:rsidR="008F6FFE" w:rsidRPr="00CB502B">
          <w:rPr>
            <w:rFonts w:asciiTheme="minorHAnsi" w:hAnsiTheme="minorHAnsi" w:cstheme="minorHAnsi"/>
            <w:color w:val="000000" w:themeColor="text1"/>
            <w:sz w:val="16"/>
            <w:szCs w:val="16"/>
            <w:shd w:val="clear" w:color="auto" w:fill="FFFFFF"/>
            <w:lang w:val="en-US"/>
          </w:rPr>
          <w:t>https://www.ncbi.nlm.nih.gov/pmc/articles/PMC7151476/</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33" w:tooltip="Journal of cosmetic dermatology." w:history="1">
        <w:r w:rsidR="008F6FFE" w:rsidRPr="003B271B">
          <w:rPr>
            <w:rFonts w:asciiTheme="minorHAnsi" w:hAnsiTheme="minorHAnsi" w:cstheme="minorHAnsi"/>
            <w:color w:val="000000" w:themeColor="text1"/>
            <w:sz w:val="16"/>
            <w:szCs w:val="16"/>
            <w:shd w:val="clear" w:color="auto" w:fill="FFFFFF"/>
            <w:lang w:val="en-US"/>
          </w:rPr>
          <w:t>J Cosmet Dermatol.</w:t>
        </w:r>
      </w:hyperlink>
      <w:r w:rsidR="008F6FFE" w:rsidRPr="003B271B">
        <w:rPr>
          <w:rFonts w:asciiTheme="minorHAnsi" w:hAnsiTheme="minorHAnsi" w:cstheme="minorHAnsi"/>
          <w:color w:val="000000" w:themeColor="text1"/>
          <w:sz w:val="16"/>
          <w:szCs w:val="16"/>
          <w:shd w:val="clear" w:color="auto" w:fill="FFFFFF"/>
          <w:lang w:val="en-US"/>
        </w:rPr>
        <w:t xml:space="preserve"> 2020 Apr 16. doi: 10.1111/jocd.13443.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A preliminary observation: male pattern hair loss among hospitalized COVID-19 patients in Spain - A potential clue to the role of androgens in COVID-19 severity.</w:t>
      </w:r>
    </w:p>
    <w:p w:rsidR="008F6FFE"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34" w:history="1">
        <w:r w:rsidR="008F6FFE" w:rsidRPr="003B271B">
          <w:rPr>
            <w:rFonts w:asciiTheme="minorHAnsi" w:hAnsiTheme="minorHAnsi" w:cstheme="minorHAnsi"/>
            <w:color w:val="000000" w:themeColor="text1"/>
            <w:sz w:val="16"/>
            <w:szCs w:val="16"/>
            <w:shd w:val="clear" w:color="auto" w:fill="FFFFFF"/>
            <w:lang w:val="en-US"/>
          </w:rPr>
          <w:t>Goren A</w:t>
        </w:r>
      </w:hyperlink>
      <w:r w:rsidR="008F6FFE" w:rsidRPr="003B271B">
        <w:rPr>
          <w:rFonts w:asciiTheme="minorHAnsi" w:hAnsiTheme="minorHAnsi" w:cstheme="minorHAnsi"/>
          <w:color w:val="000000" w:themeColor="text1"/>
          <w:sz w:val="16"/>
          <w:szCs w:val="16"/>
          <w:shd w:val="clear" w:color="auto" w:fill="FFFFFF"/>
          <w:lang w:val="en-US"/>
        </w:rPr>
        <w:t xml:space="preserve"> et al</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35" w:history="1">
        <w:r w:rsidR="008F6FFE" w:rsidRPr="004A6426">
          <w:rPr>
            <w:rFonts w:asciiTheme="minorHAnsi" w:hAnsiTheme="minorHAnsi" w:cstheme="minorHAnsi"/>
            <w:color w:val="000000" w:themeColor="text1"/>
            <w:sz w:val="16"/>
            <w:szCs w:val="16"/>
            <w:shd w:val="clear" w:color="auto" w:fill="FFFFFF"/>
            <w:lang w:val="en-US"/>
          </w:rPr>
          <w:t>https://onlinelibrary.wiley.com/doi/epdf/10.1111/jocd.13443</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38">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134D69">
        <w:rPr>
          <w:rFonts w:asciiTheme="minorHAnsi" w:hAnsiTheme="minorHAnsi" w:cstheme="minorHAnsi"/>
          <w:color w:val="000000" w:themeColor="text1"/>
          <w:sz w:val="16"/>
          <w:szCs w:val="16"/>
          <w:shd w:val="clear" w:color="auto" w:fill="FFFFFF"/>
          <w:vertAlign w:val="superscript"/>
          <w:lang w:val="en-US"/>
        </w:rPr>
        <w:footnoteRef/>
      </w:r>
      <w:r w:rsidRPr="00134D69">
        <w:rPr>
          <w:rFonts w:asciiTheme="minorHAnsi" w:hAnsiTheme="minorHAnsi" w:cstheme="minorHAnsi"/>
          <w:color w:val="000000" w:themeColor="text1"/>
          <w:sz w:val="16"/>
          <w:szCs w:val="16"/>
          <w:shd w:val="clear" w:color="auto" w:fill="FFFFFF"/>
          <w:vertAlign w:val="superscript"/>
          <w:lang w:val="en-US"/>
        </w:rPr>
        <w:t xml:space="preserve"> </w:t>
      </w:r>
      <w:r w:rsidRPr="003B271B">
        <w:rPr>
          <w:rFonts w:asciiTheme="minorHAnsi" w:hAnsiTheme="minorHAnsi" w:cstheme="minorHAnsi"/>
          <w:color w:val="000000" w:themeColor="text1"/>
          <w:sz w:val="16"/>
          <w:szCs w:val="16"/>
          <w:shd w:val="clear" w:color="auto" w:fill="FFFFFF"/>
          <w:lang w:val="en-US"/>
        </w:rPr>
        <w:t>medRxiv 2020.03.21.20037267 doi.org/10.1101/2020.03.21.20037267</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Effect of SARS-CoV-2 infection upon male gonadal function: A single center-based study</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Ling Ma, Wen Xie, Danyang Li, Lei Shi, Yanhong Mao, Yao Xiong, Yuanzhen Zhang, Ming Zhang</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36" w:history="1">
        <w:r w:rsidR="008F6FFE" w:rsidRPr="00134D69">
          <w:rPr>
            <w:rFonts w:asciiTheme="minorHAnsi" w:hAnsiTheme="minorHAnsi" w:cstheme="minorHAnsi"/>
            <w:color w:val="000000" w:themeColor="text1"/>
            <w:sz w:val="16"/>
            <w:szCs w:val="16"/>
            <w:shd w:val="clear" w:color="auto" w:fill="FFFFFF"/>
            <w:lang w:val="en-US"/>
          </w:rPr>
          <w:t>https://www.medrxiv.org/content/10.1101/2020.03.21.20037267v1.full.pdf</w:t>
        </w:r>
      </w:hyperlink>
    </w:p>
  </w:footnote>
  <w:footnote w:id="239">
    <w:p w:rsidR="008F6FFE" w:rsidRPr="003B271B" w:rsidRDefault="008F6FFE" w:rsidP="004A6426">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134D69">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Ann Epidemiol. 2020;10.1016/j.annepidem.2020.05.003. doi:10.1016/j.annepidem.2020.05.003</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Assessing Differential Impacts of COVID-19 on Black Communities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Millett GA, Jones AT, Benkeser D, et al.</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37" w:history="1">
        <w:r w:rsidR="008F6FFE" w:rsidRPr="004A6426">
          <w:rPr>
            <w:rFonts w:asciiTheme="minorHAnsi" w:hAnsiTheme="minorHAnsi" w:cstheme="minorHAnsi"/>
            <w:color w:val="000000" w:themeColor="text1"/>
            <w:sz w:val="16"/>
            <w:szCs w:val="16"/>
            <w:shd w:val="clear" w:color="auto" w:fill="FFFFFF"/>
            <w:lang w:val="en-US"/>
          </w:rPr>
          <w:t>https://www.ncbi.nlm.nih.gov/pmc/articles/PMC7224670/</w:t>
        </w:r>
      </w:hyperlink>
    </w:p>
    <w:p w:rsidR="008F6FFE" w:rsidRPr="004A6426"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F37295" w:rsidRDefault="008F6FFE" w:rsidP="004A6426">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F37295">
        <w:rPr>
          <w:rFonts w:asciiTheme="minorHAnsi" w:hAnsiTheme="minorHAnsi" w:cstheme="minorHAnsi"/>
          <w:color w:val="000000" w:themeColor="text1"/>
          <w:sz w:val="16"/>
          <w:szCs w:val="16"/>
          <w:shd w:val="clear" w:color="auto" w:fill="FFFFFF"/>
          <w:lang w:val="en-US"/>
        </w:rPr>
        <w:t>JAMA. 2020;323(19):1891–1892. doi:10.1001/jama.2020.6548</w:t>
      </w:r>
    </w:p>
    <w:p w:rsidR="008F6FFE" w:rsidRDefault="008F6FFE" w:rsidP="004A6426">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COVID-19 and African Americans. </w:t>
      </w:r>
    </w:p>
    <w:p w:rsidR="008F6FFE" w:rsidRDefault="008F6FFE" w:rsidP="004A6426">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Yancy CW. </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38" w:history="1">
        <w:r w:rsidR="008F6FFE" w:rsidRPr="004A6426">
          <w:rPr>
            <w:rFonts w:asciiTheme="minorHAnsi" w:hAnsiTheme="minorHAnsi" w:cstheme="minorHAnsi"/>
            <w:color w:val="000000" w:themeColor="text1"/>
            <w:sz w:val="16"/>
            <w:szCs w:val="16"/>
            <w:shd w:val="clear" w:color="auto" w:fill="FFFFFF"/>
            <w:lang w:val="en-US"/>
          </w:rPr>
          <w:t>https://jamanetwork.com/journals/jama/fullarticle/2764789</w:t>
        </w:r>
      </w:hyperlink>
    </w:p>
    <w:p w:rsidR="008F6FFE" w:rsidRPr="00F37295"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CB502B"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CB502B">
        <w:rPr>
          <w:rFonts w:asciiTheme="minorHAnsi" w:hAnsiTheme="minorHAnsi" w:cstheme="minorHAnsi"/>
          <w:color w:val="000000" w:themeColor="text1"/>
          <w:sz w:val="16"/>
          <w:szCs w:val="16"/>
          <w:shd w:val="clear" w:color="auto" w:fill="FFFFFF"/>
          <w:lang w:val="en-US"/>
        </w:rPr>
        <w:t xml:space="preserve">Bennett CL, Price DK, Kim S, et al. </w:t>
      </w:r>
    </w:p>
    <w:p w:rsidR="008F6FFE" w:rsidRPr="00CB502B"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CB502B">
        <w:rPr>
          <w:rFonts w:asciiTheme="minorHAnsi" w:hAnsiTheme="minorHAnsi" w:cstheme="minorHAnsi"/>
          <w:color w:val="000000" w:themeColor="text1"/>
          <w:sz w:val="16"/>
          <w:szCs w:val="16"/>
          <w:shd w:val="clear" w:color="auto" w:fill="FFFFFF"/>
          <w:lang w:val="en-US"/>
        </w:rPr>
        <w:t>Racial variation in CAG repeat lengths within the androgen receptor gene among prostate cancer patients of lower socioeconomic status. </w:t>
      </w:r>
    </w:p>
    <w:p w:rsidR="008F6FFE" w:rsidRPr="00CB502B"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CB502B">
        <w:rPr>
          <w:rFonts w:asciiTheme="minorHAnsi" w:hAnsiTheme="minorHAnsi" w:cstheme="minorHAnsi"/>
          <w:color w:val="000000" w:themeColor="text1"/>
          <w:sz w:val="16"/>
          <w:szCs w:val="16"/>
          <w:shd w:val="clear" w:color="auto" w:fill="FFFFFF"/>
          <w:lang w:val="en-US"/>
        </w:rPr>
        <w:t>J Clin Oncol. 2002;20(17):3599-3604. doi:10.1200/JCO.2002.11.085</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39" w:history="1">
        <w:r w:rsidR="008F6FFE" w:rsidRPr="00CB502B">
          <w:rPr>
            <w:rFonts w:asciiTheme="minorHAnsi" w:hAnsiTheme="minorHAnsi" w:cstheme="minorHAnsi"/>
            <w:color w:val="000000" w:themeColor="text1"/>
            <w:sz w:val="16"/>
            <w:szCs w:val="16"/>
            <w:shd w:val="clear" w:color="auto" w:fill="FFFFFF"/>
            <w:lang w:val="en-US"/>
          </w:rPr>
          <w:t>https://pubmed.ncbi.nlm.nih.gov/12202660/</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40">
    <w:p w:rsidR="008F6FFE" w:rsidRDefault="008F6FFE" w:rsidP="00134D69">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134D69">
        <w:rPr>
          <w:rFonts w:asciiTheme="minorHAnsi" w:hAnsiTheme="minorHAnsi" w:cstheme="minorHAnsi"/>
          <w:color w:val="000000" w:themeColor="text1"/>
          <w:sz w:val="16"/>
          <w:szCs w:val="16"/>
          <w:shd w:val="clear" w:color="auto" w:fill="FFFFFF"/>
          <w:vertAlign w:val="superscript"/>
          <w:lang w:val="en-US"/>
        </w:rPr>
        <w:footnoteRef/>
      </w:r>
      <w:r w:rsidRPr="00134D69">
        <w:rPr>
          <w:rFonts w:asciiTheme="minorHAnsi" w:hAnsiTheme="minorHAnsi" w:cstheme="minorHAnsi"/>
          <w:color w:val="000000" w:themeColor="text1"/>
          <w:sz w:val="16"/>
          <w:szCs w:val="16"/>
          <w:shd w:val="clear" w:color="auto" w:fill="FFFFFF"/>
          <w:vertAlign w:val="superscript"/>
          <w:lang w:val="en-US"/>
        </w:rPr>
        <w:t xml:space="preserve"> </w:t>
      </w:r>
      <w:r>
        <w:rPr>
          <w:rFonts w:asciiTheme="minorHAnsi" w:hAnsiTheme="minorHAnsi" w:cstheme="minorHAnsi"/>
          <w:color w:val="000000" w:themeColor="text1"/>
          <w:sz w:val="16"/>
          <w:szCs w:val="16"/>
          <w:shd w:val="clear" w:color="auto" w:fill="FFFFFF"/>
          <w:lang w:val="en-US"/>
        </w:rPr>
        <w:t xml:space="preserve"> </w:t>
      </w:r>
      <w:r w:rsidRPr="003B271B">
        <w:rPr>
          <w:rFonts w:asciiTheme="minorHAnsi" w:hAnsiTheme="minorHAnsi" w:cstheme="minorHAnsi"/>
          <w:color w:val="000000" w:themeColor="text1"/>
          <w:sz w:val="16"/>
          <w:szCs w:val="16"/>
          <w:shd w:val="clear" w:color="auto" w:fill="FFFFFF"/>
          <w:lang w:val="en-US"/>
        </w:rPr>
        <w:t xml:space="preserve">Wambier, Carlos &amp; Goren, Andy &amp; Ossimetha, Angelina &amp; Nau, Gerard &amp; Qureshi, Abrar. </w:t>
      </w:r>
    </w:p>
    <w:p w:rsidR="008F6FFE" w:rsidRDefault="008F6FFE" w:rsidP="00134D69">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(2020). Androgen-driven COVID-19 pandemic theory. 10.13140/RG.2.2.21254.11848.</w:t>
      </w:r>
    </w:p>
    <w:p w:rsidR="008F6FFE" w:rsidRPr="003B271B" w:rsidRDefault="008F6FFE" w:rsidP="00134D69">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134D69">
        <w:rPr>
          <w:rFonts w:asciiTheme="minorHAnsi" w:hAnsiTheme="minorHAnsi" w:cstheme="minorHAnsi"/>
          <w:color w:val="000000" w:themeColor="text1"/>
          <w:sz w:val="16"/>
          <w:szCs w:val="16"/>
          <w:shd w:val="clear" w:color="auto" w:fill="FFFFFF"/>
          <w:lang w:val="en-US"/>
        </w:rPr>
        <w:t>https://www.researchgate.net/publication/340548509_Androgen-driven_COVID-19_pandemic_theory</w:t>
      </w:r>
    </w:p>
  </w:footnote>
  <w:footnote w:id="241">
    <w:p w:rsidR="008F6FFE" w:rsidRPr="006F0CC0" w:rsidRDefault="008F6FFE" w:rsidP="00E061C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E061C7">
        <w:rPr>
          <w:rFonts w:asciiTheme="minorHAnsi" w:hAnsiTheme="minorHAnsi" w:cstheme="minorHAnsi"/>
          <w:color w:val="000000" w:themeColor="text1"/>
          <w:sz w:val="16"/>
          <w:szCs w:val="16"/>
          <w:shd w:val="clear" w:color="auto" w:fill="FFFFFF"/>
          <w:vertAlign w:val="superscript"/>
          <w:lang w:val="en-US"/>
        </w:rPr>
        <w:footnoteRef/>
      </w:r>
      <w:r w:rsidRPr="00E061C7">
        <w:rPr>
          <w:rFonts w:asciiTheme="minorHAnsi" w:hAnsiTheme="minorHAnsi" w:cstheme="minorHAnsi"/>
          <w:color w:val="000000" w:themeColor="text1"/>
          <w:sz w:val="16"/>
          <w:szCs w:val="16"/>
          <w:shd w:val="clear" w:color="auto" w:fill="FFFFFF"/>
          <w:lang w:val="en-US"/>
        </w:rPr>
        <w:t xml:space="preserve"> Committee to Review Adverse Effects of Vaccines; Institute of Medicine; Stratton K, Ford A, Rusch E, et al., editors. Adverse Effects of Vaccines: Evidence and Causality. Washington (DC): National Academies Press (US); 2011 Aug 25. 3, Evaluating Biological Mechanisms of Adverse </w:t>
      </w:r>
      <w:r w:rsidRPr="006F0CC0">
        <w:rPr>
          <w:rFonts w:asciiTheme="minorHAnsi" w:hAnsiTheme="minorHAnsi" w:cstheme="minorHAnsi"/>
          <w:color w:val="000000" w:themeColor="text1"/>
          <w:sz w:val="16"/>
          <w:szCs w:val="16"/>
          <w:shd w:val="clear" w:color="auto" w:fill="FFFFFF"/>
          <w:lang w:val="en-US"/>
        </w:rPr>
        <w:t xml:space="preserve">Events. Available from: </w:t>
      </w:r>
      <w:hyperlink r:id="rId1340" w:history="1">
        <w:r w:rsidRPr="00A078ED">
          <w:rPr>
            <w:rFonts w:asciiTheme="minorHAnsi" w:hAnsiTheme="minorHAnsi" w:cstheme="minorHAnsi"/>
            <w:color w:val="000000" w:themeColor="text1"/>
            <w:sz w:val="16"/>
            <w:szCs w:val="16"/>
            <w:lang w:val="en-US"/>
          </w:rPr>
          <w:t>https://www.ncbi.nlm.nih.gov/books/NBK190017/</w:t>
        </w:r>
      </w:hyperlink>
    </w:p>
    <w:p w:rsidR="008F6FFE" w:rsidRDefault="008F6FFE" w:rsidP="00E061C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E061C7" w:rsidRDefault="008F6FFE" w:rsidP="00E061C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E061C7">
        <w:rPr>
          <w:rFonts w:asciiTheme="minorHAnsi" w:hAnsiTheme="minorHAnsi" w:cstheme="minorHAnsi"/>
          <w:color w:val="000000" w:themeColor="text1"/>
          <w:sz w:val="16"/>
          <w:szCs w:val="16"/>
          <w:shd w:val="clear" w:color="auto" w:fill="FFFFFF"/>
          <w:lang w:val="en-US"/>
        </w:rPr>
        <w:t xml:space="preserve">Smatti MK, Cyprian FS, Nasrallah GK, Al Thani AA, Almishal RO, Yassine HM. </w:t>
      </w:r>
    </w:p>
    <w:p w:rsidR="008F6FFE" w:rsidRPr="00E061C7" w:rsidRDefault="008F6FFE" w:rsidP="00E061C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E061C7">
        <w:rPr>
          <w:rFonts w:asciiTheme="minorHAnsi" w:hAnsiTheme="minorHAnsi" w:cstheme="minorHAnsi"/>
          <w:color w:val="000000" w:themeColor="text1"/>
          <w:sz w:val="16"/>
          <w:szCs w:val="16"/>
          <w:shd w:val="clear" w:color="auto" w:fill="FFFFFF"/>
          <w:lang w:val="en-US"/>
        </w:rPr>
        <w:t>Viruses and Autoimmunity: A Review on the Potential Interaction and Molecular Mechanisms. </w:t>
      </w:r>
    </w:p>
    <w:p w:rsidR="008F6FFE" w:rsidRPr="00E061C7" w:rsidRDefault="008F6FFE" w:rsidP="00E061C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E061C7">
        <w:rPr>
          <w:rFonts w:asciiTheme="minorHAnsi" w:hAnsiTheme="minorHAnsi" w:cstheme="minorHAnsi"/>
          <w:color w:val="000000" w:themeColor="text1"/>
          <w:sz w:val="16"/>
          <w:szCs w:val="16"/>
          <w:shd w:val="clear" w:color="auto" w:fill="FFFFFF"/>
          <w:lang w:val="en-US"/>
        </w:rPr>
        <w:t>Viruses. 2019;11(8):762. doi:10.3390/v11080762</w:t>
      </w:r>
    </w:p>
    <w:p w:rsidR="008F6FFE" w:rsidRPr="004A6426" w:rsidRDefault="0052743C" w:rsidP="004A6426">
      <w:pPr>
        <w:rPr>
          <w:rFonts w:asciiTheme="minorHAnsi" w:hAnsiTheme="minorHAnsi" w:cstheme="minorHAnsi"/>
          <w:color w:val="000000" w:themeColor="text1"/>
          <w:sz w:val="16"/>
          <w:szCs w:val="16"/>
          <w:shd w:val="clear" w:color="auto" w:fill="FFFFFF"/>
          <w:lang w:val="en-US"/>
        </w:rPr>
      </w:pPr>
      <w:hyperlink r:id="rId1341" w:history="1">
        <w:r w:rsidR="008F6FFE" w:rsidRPr="004A6426">
          <w:rPr>
            <w:rFonts w:asciiTheme="minorHAnsi" w:hAnsiTheme="minorHAnsi" w:cstheme="minorHAnsi"/>
            <w:color w:val="000000" w:themeColor="text1"/>
            <w:sz w:val="16"/>
            <w:szCs w:val="16"/>
            <w:shd w:val="clear" w:color="auto" w:fill="FFFFFF"/>
            <w:lang w:val="en-US"/>
          </w:rPr>
          <w:t>https://www.ncbi.nlm.nih.gov/pmc/articles/PMC6723519/</w:t>
        </w:r>
      </w:hyperlink>
    </w:p>
    <w:p w:rsidR="008F6FFE" w:rsidRPr="00E061C7" w:rsidRDefault="008F6FFE">
      <w:pPr>
        <w:pStyle w:val="FootnoteText"/>
        <w:rPr>
          <w:lang w:val="en-US"/>
        </w:rPr>
      </w:pPr>
    </w:p>
  </w:footnote>
  <w:footnote w:id="242">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E061C7">
        <w:rPr>
          <w:rFonts w:asciiTheme="minorHAnsi" w:hAnsiTheme="minorHAnsi" w:cstheme="minorHAnsi"/>
          <w:color w:val="000000" w:themeColor="text1"/>
          <w:sz w:val="16"/>
          <w:szCs w:val="16"/>
          <w:shd w:val="clear" w:color="auto" w:fill="FFFFFF"/>
          <w:vertAlign w:val="superscript"/>
          <w:lang w:val="en-US"/>
        </w:rPr>
        <w:footnoteRef/>
      </w:r>
      <w:r w:rsidRPr="00E061C7">
        <w:rPr>
          <w:rFonts w:asciiTheme="minorHAnsi" w:hAnsiTheme="minorHAnsi" w:cstheme="minorHAnsi"/>
          <w:color w:val="000000" w:themeColor="text1"/>
          <w:sz w:val="16"/>
          <w:szCs w:val="16"/>
          <w:shd w:val="clear" w:color="auto" w:fill="FFFFFF"/>
          <w:vertAlign w:val="superscript"/>
          <w:lang w:val="en-US"/>
        </w:rPr>
        <w:t xml:space="preserve"> </w:t>
      </w:r>
      <w:r w:rsidRPr="003B271B">
        <w:rPr>
          <w:rFonts w:asciiTheme="minorHAnsi" w:hAnsiTheme="minorHAnsi" w:cstheme="minorHAnsi"/>
          <w:color w:val="000000" w:themeColor="text1"/>
          <w:sz w:val="16"/>
          <w:szCs w:val="16"/>
          <w:shd w:val="clear" w:color="auto" w:fill="FFFFFF"/>
          <w:lang w:val="en-US"/>
        </w:rPr>
        <w:t xml:space="preserve">Autoimmun Rev. 2020 Mar 24:102524. doi: 10.1016/j.autrev.2020.102524.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Could Sars-coronavirus-2 trigger autoimmune and/or autoinflammatory mechanisms in genetically predisposed subjects?</w:t>
      </w:r>
    </w:p>
    <w:p w:rsidR="008F6FFE" w:rsidRPr="00F37295"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r w:rsidRPr="00F37295">
        <w:rPr>
          <w:rFonts w:asciiTheme="minorHAnsi" w:hAnsiTheme="minorHAnsi" w:cstheme="minorHAnsi"/>
          <w:color w:val="000000" w:themeColor="text1"/>
          <w:sz w:val="16"/>
          <w:szCs w:val="16"/>
          <w:shd w:val="clear" w:color="auto" w:fill="FFFFFF"/>
        </w:rPr>
        <w:t>Caso F1, Costa L2, Ruscitti P3, Navarini L4, Del Puente A2, Giacomelli R3, Scarpa R2.</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hyperlink r:id="rId1342" w:history="1">
        <w:r w:rsidR="008F6FFE" w:rsidRPr="004A6426">
          <w:rPr>
            <w:rFonts w:asciiTheme="minorHAnsi" w:hAnsiTheme="minorHAnsi" w:cstheme="minorHAnsi"/>
            <w:color w:val="000000" w:themeColor="text1"/>
            <w:sz w:val="16"/>
            <w:szCs w:val="16"/>
            <w:shd w:val="clear" w:color="auto" w:fill="FFFFFF"/>
          </w:rPr>
          <w:t>https://www.ncbi.nlm.nih.gov/pmc/articles/PMC7271072/</w:t>
        </w:r>
      </w:hyperlink>
    </w:p>
    <w:p w:rsidR="008F6FFE" w:rsidRPr="00F37295"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rPr>
      </w:pPr>
    </w:p>
    <w:p w:rsidR="008F6FFE" w:rsidRPr="00A078ED"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A078ED">
        <w:rPr>
          <w:rFonts w:asciiTheme="minorHAnsi" w:hAnsiTheme="minorHAnsi" w:cstheme="minorHAnsi"/>
          <w:color w:val="000000" w:themeColor="text1"/>
          <w:sz w:val="16"/>
          <w:szCs w:val="16"/>
          <w:shd w:val="clear" w:color="auto" w:fill="FFFFFF"/>
          <w:lang w:val="en-US"/>
        </w:rPr>
        <w:t xml:space="preserve">Shoenfeld Y. </w:t>
      </w:r>
    </w:p>
    <w:p w:rsidR="008F6FFE" w:rsidRPr="00A078ED"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A078ED">
        <w:rPr>
          <w:rFonts w:asciiTheme="minorHAnsi" w:hAnsiTheme="minorHAnsi" w:cstheme="minorHAnsi"/>
          <w:color w:val="000000" w:themeColor="text1"/>
          <w:sz w:val="16"/>
          <w:szCs w:val="16"/>
          <w:shd w:val="clear" w:color="auto" w:fill="FFFFFF"/>
          <w:lang w:val="en-US"/>
        </w:rPr>
        <w:t>Corona (COVID-19) time musings: Our involvement in COVID-19 pathogenesis, diagnosis, treatment and vaccine planning. </w:t>
      </w:r>
    </w:p>
    <w:p w:rsidR="008F6FFE" w:rsidRPr="00A078ED"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A078ED">
        <w:rPr>
          <w:rFonts w:asciiTheme="minorHAnsi" w:hAnsiTheme="minorHAnsi" w:cstheme="minorHAnsi"/>
          <w:color w:val="000000" w:themeColor="text1"/>
          <w:sz w:val="16"/>
          <w:szCs w:val="16"/>
          <w:shd w:val="clear" w:color="auto" w:fill="FFFFFF"/>
          <w:lang w:val="en-US"/>
        </w:rPr>
        <w:t>Autoimmun Rev. 2020;19(6):102538. doi:10.1016/j.autrev.2020.102538</w:t>
      </w:r>
    </w:p>
    <w:p w:rsidR="008F6FFE" w:rsidRPr="00A078ED" w:rsidRDefault="0052743C" w:rsidP="00CB502B">
      <w:pPr>
        <w:pStyle w:val="labs-full-docsum"/>
        <w:shd w:val="clear" w:color="auto" w:fill="FFFFFF"/>
        <w:spacing w:before="0" w:beforeAutospacing="0" w:after="0" w:afterAutospacing="0"/>
        <w:rPr>
          <w:lang w:val="en-US"/>
        </w:rPr>
      </w:pPr>
      <w:hyperlink r:id="rId1343" w:history="1">
        <w:r w:rsidR="008F6FFE" w:rsidRPr="00A078ED">
          <w:rPr>
            <w:rFonts w:asciiTheme="minorHAnsi" w:hAnsiTheme="minorHAnsi" w:cstheme="minorHAnsi"/>
            <w:color w:val="000000" w:themeColor="text1"/>
            <w:sz w:val="16"/>
            <w:szCs w:val="16"/>
            <w:shd w:val="clear" w:color="auto" w:fill="FFFFFF"/>
            <w:lang w:val="en-US"/>
          </w:rPr>
          <w:t>https://www.ncbi.nlm.nih.gov/pmc/articles/PMC7131471/</w:t>
        </w:r>
      </w:hyperlink>
    </w:p>
    <w:p w:rsidR="008F6FFE" w:rsidRPr="004A6426" w:rsidRDefault="008F6FFE" w:rsidP="004A6426">
      <w:pPr>
        <w:rPr>
          <w:rFonts w:asciiTheme="minorHAnsi" w:hAnsiTheme="minorHAnsi" w:cstheme="minorHAnsi"/>
          <w:sz w:val="16"/>
          <w:szCs w:val="16"/>
          <w:lang w:val="en-US"/>
        </w:rPr>
      </w:pP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Clin Exp Immunol. 2005 Sep;141(3):500-8.</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Antibody to severe acute respiratory syndrome (SARS)-associated coronavirus spike protein domain 2 cross-reacts with lung epithelial cells and causes cytotoxicity.</w:t>
      </w:r>
    </w:p>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235A16">
        <w:rPr>
          <w:rFonts w:asciiTheme="minorHAnsi" w:hAnsiTheme="minorHAnsi" w:cstheme="minorHAnsi"/>
          <w:color w:val="000000" w:themeColor="text1"/>
          <w:sz w:val="16"/>
          <w:szCs w:val="16"/>
          <w:shd w:val="clear" w:color="auto" w:fill="FFFFFF"/>
          <w:lang w:val="de-DE"/>
        </w:rPr>
        <w:t>Lin YS et al</w:t>
      </w:r>
    </w:p>
    <w:p w:rsidR="008F6FFE" w:rsidRPr="00235A1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344" w:history="1">
        <w:r w:rsidR="008F6FFE" w:rsidRPr="00235A16">
          <w:rPr>
            <w:rFonts w:asciiTheme="minorHAnsi" w:hAnsiTheme="minorHAnsi" w:cstheme="minorHAnsi"/>
            <w:color w:val="000000" w:themeColor="text1"/>
            <w:sz w:val="16"/>
            <w:szCs w:val="16"/>
            <w:shd w:val="clear" w:color="auto" w:fill="FFFFFF"/>
            <w:lang w:val="de-DE"/>
          </w:rPr>
          <w:t>https://www.ncbi.nlm.nih.gov/pmc/articles/PMC1809466/</w:t>
        </w:r>
      </w:hyperlink>
    </w:p>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p>
    <w:p w:rsidR="008F6FFE" w:rsidRPr="00235A16" w:rsidRDefault="008F6FFE" w:rsidP="00E061C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235A16">
        <w:rPr>
          <w:rFonts w:asciiTheme="minorHAnsi" w:hAnsiTheme="minorHAnsi" w:cstheme="minorHAnsi"/>
          <w:color w:val="000000" w:themeColor="text1"/>
          <w:sz w:val="16"/>
          <w:szCs w:val="16"/>
          <w:shd w:val="clear" w:color="auto" w:fill="FFFFFF"/>
          <w:lang w:val="de-DE"/>
        </w:rPr>
        <w:t>Yonggang Zhou, et al</w:t>
      </w:r>
    </w:p>
    <w:p w:rsidR="008F6FFE" w:rsidRPr="00E061C7" w:rsidRDefault="008F6FFE" w:rsidP="00E061C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E061C7">
        <w:rPr>
          <w:rFonts w:asciiTheme="minorHAnsi" w:hAnsiTheme="minorHAnsi" w:cstheme="minorHAnsi"/>
          <w:color w:val="000000" w:themeColor="text1"/>
          <w:sz w:val="16"/>
          <w:szCs w:val="16"/>
          <w:shd w:val="clear" w:color="auto" w:fill="FFFFFF"/>
          <w:lang w:val="en-US"/>
        </w:rPr>
        <w:t>Pathogenic T cells and inflammatory monocytes incite inflammatory storm in severe COVID-19 patients, </w:t>
      </w:r>
    </w:p>
    <w:p w:rsidR="008F6FFE" w:rsidRPr="00E061C7" w:rsidRDefault="008F6FFE" w:rsidP="00E061C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E061C7">
        <w:rPr>
          <w:rFonts w:asciiTheme="minorHAnsi" w:hAnsiTheme="minorHAnsi" w:cstheme="minorHAnsi"/>
          <w:color w:val="000000" w:themeColor="text1"/>
          <w:sz w:val="16"/>
          <w:szCs w:val="16"/>
          <w:shd w:val="clear" w:color="auto" w:fill="FFFFFF"/>
          <w:lang w:val="en-US"/>
        </w:rPr>
        <w:t>National Science Review, , nwaa041, </w:t>
      </w:r>
      <w:hyperlink r:id="rId1345" w:history="1">
        <w:r w:rsidRPr="00E061C7">
          <w:rPr>
            <w:rFonts w:asciiTheme="minorHAnsi" w:hAnsiTheme="minorHAnsi" w:cstheme="minorHAnsi"/>
            <w:color w:val="000000" w:themeColor="text1"/>
            <w:sz w:val="16"/>
            <w:szCs w:val="16"/>
            <w:shd w:val="clear" w:color="auto" w:fill="FFFFFF"/>
            <w:lang w:val="en-US"/>
          </w:rPr>
          <w:t>https://doi.org/10.1093/nsr/nwaa041</w:t>
        </w:r>
      </w:hyperlink>
    </w:p>
    <w:p w:rsidR="008F6FFE" w:rsidRPr="003B271B" w:rsidRDefault="008F6FFE" w:rsidP="00E061C7">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https://academic.oup.com/nsr/advance-article/doi/10.1093/nsr/nwaa041/5804736</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46" w:history="1">
        <w:r w:rsidR="008F6FFE" w:rsidRPr="003B271B">
          <w:rPr>
            <w:rFonts w:asciiTheme="minorHAnsi" w:hAnsiTheme="minorHAnsi" w:cstheme="minorHAnsi"/>
            <w:color w:val="000000" w:themeColor="text1"/>
            <w:sz w:val="16"/>
            <w:szCs w:val="16"/>
            <w:shd w:val="clear" w:color="auto" w:fill="FFFFFF"/>
            <w:lang w:val="en-US"/>
          </w:rPr>
          <w:t>J Transl Autoimmun</w:t>
        </w:r>
      </w:hyperlink>
      <w:r w:rsidR="008F6FFE" w:rsidRPr="003B271B">
        <w:rPr>
          <w:rFonts w:asciiTheme="minorHAnsi" w:hAnsiTheme="minorHAnsi" w:cstheme="minorHAnsi"/>
          <w:color w:val="000000" w:themeColor="text1"/>
          <w:sz w:val="16"/>
          <w:szCs w:val="16"/>
          <w:shd w:val="clear" w:color="auto" w:fill="FFFFFF"/>
          <w:lang w:val="en-US"/>
        </w:rPr>
        <w:t>. 2020; 3: 100051.</w:t>
      </w:r>
      <w:hyperlink r:id="rId1347" w:tgtFrame="pmc_ext" w:history="1">
        <w:r w:rsidR="008F6FFE" w:rsidRPr="003B271B">
          <w:rPr>
            <w:rFonts w:asciiTheme="minorHAnsi" w:hAnsiTheme="minorHAnsi" w:cstheme="minorHAnsi"/>
            <w:color w:val="000000" w:themeColor="text1"/>
            <w:sz w:val="16"/>
            <w:szCs w:val="16"/>
            <w:shd w:val="clear" w:color="auto" w:fill="FFFFFF"/>
            <w:lang w:val="en-US"/>
          </w:rPr>
          <w:t>10.1016/j.jtauto.2020.100051</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Pathogenic priming likely contributes to serious and critical illness and mortality in COVID-19 via autoimmunity</w:t>
      </w:r>
    </w:p>
    <w:p w:rsidR="008F6FFE" w:rsidRPr="00235A16"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348" w:history="1">
        <w:r w:rsidR="008F6FFE" w:rsidRPr="00235A16">
          <w:rPr>
            <w:rFonts w:asciiTheme="minorHAnsi" w:hAnsiTheme="minorHAnsi" w:cstheme="minorHAnsi"/>
            <w:color w:val="000000" w:themeColor="text1"/>
            <w:sz w:val="16"/>
            <w:szCs w:val="16"/>
            <w:shd w:val="clear" w:color="auto" w:fill="FFFFFF"/>
            <w:lang w:val="de-DE"/>
          </w:rPr>
          <w:t>James Lyons-Weiler</w:t>
        </w:r>
      </w:hyperlink>
      <w:r w:rsidR="008F6FFE" w:rsidRPr="00235A16">
        <w:rPr>
          <w:rFonts w:asciiTheme="minorHAnsi" w:hAnsiTheme="minorHAnsi" w:cstheme="minorHAnsi"/>
          <w:color w:val="000000" w:themeColor="text1"/>
          <w:sz w:val="16"/>
          <w:szCs w:val="16"/>
          <w:shd w:val="clear" w:color="auto" w:fill="FFFFFF"/>
          <w:lang w:val="de-DE"/>
        </w:rPr>
        <w:t xml:space="preserve"> </w:t>
      </w:r>
    </w:p>
    <w:p w:rsidR="008F6FFE" w:rsidRPr="00235A1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349" w:history="1">
        <w:r w:rsidR="008F6FFE" w:rsidRPr="00235A16">
          <w:rPr>
            <w:rFonts w:asciiTheme="minorHAnsi" w:hAnsiTheme="minorHAnsi" w:cstheme="minorHAnsi"/>
            <w:color w:val="000000" w:themeColor="text1"/>
            <w:sz w:val="16"/>
            <w:szCs w:val="16"/>
            <w:shd w:val="clear" w:color="auto" w:fill="FFFFFF"/>
            <w:lang w:val="de-DE"/>
          </w:rPr>
          <w:t>https://www.ncbi.nlm.nih.gov/pmc/articles/PMC7142689/</w:t>
        </w:r>
      </w:hyperlink>
    </w:p>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50" w:tooltip="Journal of biomedicine &amp; biotechnology." w:history="1">
        <w:r w:rsidR="008F6FFE" w:rsidRPr="003B271B">
          <w:rPr>
            <w:rFonts w:asciiTheme="minorHAnsi" w:hAnsiTheme="minorHAnsi" w:cstheme="minorHAnsi"/>
            <w:color w:val="000000" w:themeColor="text1"/>
            <w:sz w:val="16"/>
            <w:szCs w:val="16"/>
            <w:shd w:val="clear" w:color="auto" w:fill="FFFFFF"/>
            <w:lang w:val="en-US"/>
          </w:rPr>
          <w:t>J Biomed Biotechnol.</w:t>
        </w:r>
      </w:hyperlink>
      <w:r w:rsidR="008F6FFE" w:rsidRPr="003B271B">
        <w:rPr>
          <w:rFonts w:asciiTheme="minorHAnsi" w:hAnsiTheme="minorHAnsi" w:cstheme="minorHAnsi"/>
          <w:color w:val="000000" w:themeColor="text1"/>
          <w:sz w:val="16"/>
          <w:szCs w:val="16"/>
          <w:shd w:val="clear" w:color="auto" w:fill="FFFFFF"/>
          <w:lang w:val="en-US"/>
        </w:rPr>
        <w:t xml:space="preserve"> 2008;2008:326464.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Peptide mimicrying between SARS coronavirus spike protein and human proteins reacts with SARS patient serum.</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51" w:history="1">
        <w:r w:rsidR="008F6FFE" w:rsidRPr="003B271B">
          <w:rPr>
            <w:rFonts w:asciiTheme="minorHAnsi" w:hAnsiTheme="minorHAnsi" w:cstheme="minorHAnsi"/>
            <w:color w:val="000000" w:themeColor="text1"/>
            <w:sz w:val="16"/>
            <w:szCs w:val="16"/>
            <w:shd w:val="clear" w:color="auto" w:fill="FFFFFF"/>
            <w:lang w:val="en-US"/>
          </w:rPr>
          <w:t>Hwa KY</w:t>
        </w:r>
      </w:hyperlink>
      <w:r w:rsidR="008F6FFE" w:rsidRPr="003B271B">
        <w:rPr>
          <w:rFonts w:asciiTheme="minorHAnsi" w:hAnsiTheme="minorHAnsi" w:cstheme="minorHAnsi"/>
          <w:color w:val="000000" w:themeColor="text1"/>
          <w:sz w:val="16"/>
          <w:szCs w:val="16"/>
          <w:shd w:val="clear" w:color="auto" w:fill="FFFFFF"/>
          <w:lang w:val="en-US"/>
        </w:rPr>
        <w:t>1, </w:t>
      </w:r>
      <w:hyperlink r:id="rId1352" w:history="1">
        <w:r w:rsidR="008F6FFE" w:rsidRPr="003B271B">
          <w:rPr>
            <w:rFonts w:asciiTheme="minorHAnsi" w:hAnsiTheme="minorHAnsi" w:cstheme="minorHAnsi"/>
            <w:color w:val="000000" w:themeColor="text1"/>
            <w:sz w:val="16"/>
            <w:szCs w:val="16"/>
            <w:shd w:val="clear" w:color="auto" w:fill="FFFFFF"/>
            <w:lang w:val="en-US"/>
          </w:rPr>
          <w:t>Lin WM</w:t>
        </w:r>
      </w:hyperlink>
      <w:r w:rsidR="008F6FFE" w:rsidRPr="003B271B">
        <w:rPr>
          <w:rFonts w:asciiTheme="minorHAnsi" w:hAnsiTheme="minorHAnsi" w:cstheme="minorHAnsi"/>
          <w:color w:val="000000" w:themeColor="text1"/>
          <w:sz w:val="16"/>
          <w:szCs w:val="16"/>
          <w:shd w:val="clear" w:color="auto" w:fill="FFFFFF"/>
          <w:lang w:val="en-US"/>
        </w:rPr>
        <w:t>, </w:t>
      </w:r>
      <w:hyperlink r:id="rId1353" w:history="1">
        <w:r w:rsidR="008F6FFE" w:rsidRPr="003B271B">
          <w:rPr>
            <w:rFonts w:asciiTheme="minorHAnsi" w:hAnsiTheme="minorHAnsi" w:cstheme="minorHAnsi"/>
            <w:color w:val="000000" w:themeColor="text1"/>
            <w:sz w:val="16"/>
            <w:szCs w:val="16"/>
            <w:shd w:val="clear" w:color="auto" w:fill="FFFFFF"/>
            <w:lang w:val="en-US"/>
          </w:rPr>
          <w:t>Hou YI</w:t>
        </w:r>
      </w:hyperlink>
      <w:r w:rsidR="008F6FFE" w:rsidRPr="003B271B">
        <w:rPr>
          <w:rFonts w:asciiTheme="minorHAnsi" w:hAnsiTheme="minorHAnsi" w:cstheme="minorHAnsi"/>
          <w:color w:val="000000" w:themeColor="text1"/>
          <w:sz w:val="16"/>
          <w:szCs w:val="16"/>
          <w:shd w:val="clear" w:color="auto" w:fill="FFFFFF"/>
          <w:lang w:val="en-US"/>
        </w:rPr>
        <w:t>, </w:t>
      </w:r>
      <w:hyperlink r:id="rId1354" w:history="1">
        <w:r w:rsidR="008F6FFE" w:rsidRPr="003B271B">
          <w:rPr>
            <w:rFonts w:asciiTheme="minorHAnsi" w:hAnsiTheme="minorHAnsi" w:cstheme="minorHAnsi"/>
            <w:color w:val="000000" w:themeColor="text1"/>
            <w:sz w:val="16"/>
            <w:szCs w:val="16"/>
            <w:shd w:val="clear" w:color="auto" w:fill="FFFFFF"/>
            <w:lang w:val="en-US"/>
          </w:rPr>
          <w:t>Yeh TM</w:t>
        </w:r>
      </w:hyperlink>
      <w:r w:rsidR="008F6FFE" w:rsidRPr="003B271B">
        <w:rPr>
          <w:rFonts w:asciiTheme="minorHAnsi" w:hAnsiTheme="minorHAnsi" w:cstheme="minorHAnsi"/>
          <w:color w:val="000000" w:themeColor="text1"/>
          <w:sz w:val="16"/>
          <w:szCs w:val="16"/>
          <w:shd w:val="clear" w:color="auto" w:fill="FFFFFF"/>
          <w:lang w:val="en-US"/>
        </w:rPr>
        <w:t>.</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55" w:history="1">
        <w:r w:rsidR="008F6FFE" w:rsidRPr="004A6426">
          <w:rPr>
            <w:rFonts w:asciiTheme="minorHAnsi" w:hAnsiTheme="minorHAnsi" w:cstheme="minorHAnsi"/>
            <w:color w:val="000000" w:themeColor="text1"/>
            <w:sz w:val="16"/>
            <w:szCs w:val="16"/>
            <w:shd w:val="clear" w:color="auto" w:fill="FFFFFF"/>
            <w:lang w:val="en-US"/>
          </w:rPr>
          <w:t>https://www.ncbi.nlm.nih.gov/pmc/articles/PMC2254527/</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43">
    <w:p w:rsidR="008F6FFE" w:rsidRPr="00BD21C9" w:rsidRDefault="008F6FFE" w:rsidP="00BD21C9">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BD21C9">
        <w:rPr>
          <w:rFonts w:asciiTheme="minorHAnsi" w:hAnsiTheme="minorHAnsi" w:cstheme="minorHAnsi"/>
          <w:color w:val="000000" w:themeColor="text1"/>
          <w:sz w:val="16"/>
          <w:szCs w:val="16"/>
          <w:shd w:val="clear" w:color="auto" w:fill="FFFFFF"/>
          <w:vertAlign w:val="superscript"/>
          <w:lang w:val="en-US"/>
        </w:rPr>
        <w:footnoteRef/>
      </w:r>
      <w:r w:rsidRPr="00BD21C9">
        <w:rPr>
          <w:rFonts w:asciiTheme="minorHAnsi" w:hAnsiTheme="minorHAnsi" w:cstheme="minorHAnsi"/>
          <w:color w:val="000000" w:themeColor="text1"/>
          <w:sz w:val="16"/>
          <w:szCs w:val="16"/>
          <w:shd w:val="clear" w:color="auto" w:fill="FFFFFF"/>
          <w:vertAlign w:val="superscript"/>
          <w:lang w:val="en-US"/>
        </w:rPr>
        <w:t xml:space="preserve"> </w:t>
      </w:r>
      <w:r w:rsidRPr="00BD21C9">
        <w:rPr>
          <w:rFonts w:asciiTheme="minorHAnsi" w:hAnsiTheme="minorHAnsi" w:cstheme="minorHAnsi"/>
          <w:color w:val="000000" w:themeColor="text1"/>
          <w:sz w:val="16"/>
          <w:szCs w:val="16"/>
          <w:shd w:val="clear" w:color="auto" w:fill="FFFFFF"/>
          <w:lang w:val="en-US"/>
        </w:rPr>
        <w:t>Zhou Y, et al.</w:t>
      </w:r>
    </w:p>
    <w:p w:rsidR="008F6FFE" w:rsidRPr="00BD21C9" w:rsidRDefault="008F6FFE" w:rsidP="00BD21C9">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BD21C9">
        <w:rPr>
          <w:rFonts w:asciiTheme="minorHAnsi" w:hAnsiTheme="minorHAnsi" w:cstheme="minorHAnsi"/>
          <w:color w:val="000000" w:themeColor="text1"/>
          <w:sz w:val="16"/>
          <w:szCs w:val="16"/>
          <w:shd w:val="clear" w:color="auto" w:fill="FFFFFF"/>
          <w:lang w:val="en-US"/>
        </w:rPr>
        <w:t xml:space="preserve">Clinical and Autoimmune Characteristics of Severe and Critical Cases of COVID-19 </w:t>
      </w:r>
    </w:p>
    <w:p w:rsidR="008F6FFE" w:rsidRPr="00BD21C9" w:rsidRDefault="008F6FFE" w:rsidP="00BD21C9">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BD21C9">
        <w:rPr>
          <w:rFonts w:asciiTheme="minorHAnsi" w:hAnsiTheme="minorHAnsi" w:cstheme="minorHAnsi"/>
          <w:color w:val="000000" w:themeColor="text1"/>
          <w:sz w:val="16"/>
          <w:szCs w:val="16"/>
          <w:shd w:val="clear" w:color="auto" w:fill="FFFFFF"/>
          <w:lang w:val="en-US"/>
        </w:rPr>
        <w:t>Clin Transl Sci. 2020;10.1111/cts.12805. doi:10.1111/cts.12805</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56" w:history="1">
        <w:r w:rsidR="008F6FFE" w:rsidRPr="004A6426">
          <w:rPr>
            <w:rFonts w:asciiTheme="minorHAnsi" w:hAnsiTheme="minorHAnsi" w:cstheme="minorHAnsi"/>
            <w:color w:val="000000" w:themeColor="text1"/>
            <w:sz w:val="16"/>
            <w:szCs w:val="16"/>
            <w:shd w:val="clear" w:color="auto" w:fill="FFFFFF"/>
            <w:lang w:val="en-US"/>
          </w:rPr>
          <w:t>https://www.ncbi.nlm.nih.gov/pmc/articles/PMC7264560/</w:t>
        </w:r>
      </w:hyperlink>
    </w:p>
    <w:p w:rsidR="008F6FFE" w:rsidRPr="006C3BCB" w:rsidRDefault="008F6FFE">
      <w:pPr>
        <w:pStyle w:val="FootnoteText"/>
        <w:rPr>
          <w:rFonts w:asciiTheme="minorHAnsi" w:hAnsiTheme="minorHAnsi" w:cstheme="minorHAnsi"/>
          <w:sz w:val="16"/>
          <w:szCs w:val="16"/>
          <w:vertAlign w:val="superscript"/>
          <w:lang w:val="en-US"/>
        </w:rPr>
      </w:pPr>
    </w:p>
  </w:footnote>
  <w:footnote w:id="244">
    <w:p w:rsidR="008F6FFE" w:rsidRPr="00235A16" w:rsidRDefault="008F6FFE" w:rsidP="006C3BC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6C3BCB">
        <w:rPr>
          <w:rFonts w:asciiTheme="minorHAnsi" w:hAnsiTheme="minorHAnsi" w:cstheme="minorHAnsi"/>
          <w:color w:val="000000" w:themeColor="text1"/>
          <w:sz w:val="16"/>
          <w:szCs w:val="16"/>
          <w:shd w:val="clear" w:color="auto" w:fill="FFFFFF"/>
          <w:vertAlign w:val="superscript"/>
          <w:lang w:val="en-US"/>
        </w:rPr>
        <w:footnoteRef/>
      </w:r>
      <w:r w:rsidRPr="00235A16">
        <w:rPr>
          <w:rFonts w:asciiTheme="minorHAnsi" w:hAnsiTheme="minorHAnsi" w:cstheme="minorHAnsi"/>
          <w:color w:val="000000" w:themeColor="text1"/>
          <w:sz w:val="16"/>
          <w:szCs w:val="16"/>
          <w:shd w:val="clear" w:color="auto" w:fill="FFFFFF"/>
          <w:lang w:val="de-DE"/>
        </w:rPr>
        <w:t xml:space="preserve"> Gao ZW, Wang X, Lin F, Dong K. </w:t>
      </w:r>
    </w:p>
    <w:p w:rsidR="008F6FFE" w:rsidRDefault="008F6FFE" w:rsidP="006C3BC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6C3BCB">
        <w:rPr>
          <w:rFonts w:asciiTheme="minorHAnsi" w:hAnsiTheme="minorHAnsi" w:cstheme="minorHAnsi"/>
          <w:color w:val="000000" w:themeColor="text1"/>
          <w:sz w:val="16"/>
          <w:szCs w:val="16"/>
          <w:shd w:val="clear" w:color="auto" w:fill="FFFFFF"/>
          <w:lang w:val="en-US"/>
        </w:rPr>
        <w:t>The correlation between SARS-CoV-2 infection and rheumatic disease. </w:t>
      </w:r>
    </w:p>
    <w:p w:rsidR="008F6FFE" w:rsidRPr="006C3BCB" w:rsidRDefault="008F6FFE" w:rsidP="006C3BC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6C3BCB">
        <w:rPr>
          <w:rFonts w:asciiTheme="minorHAnsi" w:hAnsiTheme="minorHAnsi" w:cstheme="minorHAnsi"/>
          <w:color w:val="000000" w:themeColor="text1"/>
          <w:sz w:val="16"/>
          <w:szCs w:val="16"/>
          <w:shd w:val="clear" w:color="auto" w:fill="FFFFFF"/>
          <w:lang w:val="en-US"/>
        </w:rPr>
        <w:t>Autoimmun Rev. 2020;19(7):102557. doi:10.1016/j.autrev.2020.102557</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57" w:history="1">
        <w:r w:rsidR="008F6FFE" w:rsidRPr="004A6426">
          <w:rPr>
            <w:rFonts w:asciiTheme="minorHAnsi" w:hAnsiTheme="minorHAnsi" w:cstheme="minorHAnsi"/>
            <w:color w:val="000000" w:themeColor="text1"/>
            <w:sz w:val="16"/>
            <w:szCs w:val="16"/>
            <w:shd w:val="clear" w:color="auto" w:fill="FFFFFF"/>
            <w:lang w:val="en-US"/>
          </w:rPr>
          <w:t>https://www.ncbi.nlm.nih.gov/pmc/articles/PMC7194066/</w:t>
        </w:r>
      </w:hyperlink>
    </w:p>
    <w:p w:rsidR="008F6FFE" w:rsidRPr="006C3BCB" w:rsidRDefault="008F6FFE" w:rsidP="006C3BC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vertAlign w:val="superscript"/>
          <w:lang w:val="en-US"/>
        </w:rPr>
      </w:pPr>
    </w:p>
  </w:footnote>
  <w:footnote w:id="245">
    <w:p w:rsidR="008F6FFE" w:rsidRDefault="008F6FFE" w:rsidP="006C3BCB">
      <w:pPr>
        <w:pStyle w:val="labs-full-docsum"/>
        <w:shd w:val="clear" w:color="auto" w:fill="FFFFFF"/>
        <w:spacing w:before="0" w:beforeAutospacing="0" w:after="0" w:afterAutospacing="0"/>
        <w:rPr>
          <w:rFonts w:asciiTheme="minorHAnsi" w:hAnsiTheme="minorHAnsi" w:cstheme="minorHAnsi"/>
          <w:i/>
          <w:iCs/>
          <w:color w:val="000000" w:themeColor="text1"/>
          <w:sz w:val="16"/>
          <w:szCs w:val="16"/>
          <w:shd w:val="clear" w:color="auto" w:fill="FFFFFF"/>
          <w:lang w:val="en-US"/>
        </w:rPr>
      </w:pPr>
      <w:r w:rsidRPr="006C3BCB">
        <w:rPr>
          <w:rFonts w:asciiTheme="minorHAnsi" w:hAnsiTheme="minorHAnsi" w:cstheme="minorHAnsi"/>
          <w:color w:val="000000" w:themeColor="text1"/>
          <w:sz w:val="16"/>
          <w:szCs w:val="16"/>
          <w:shd w:val="clear" w:color="auto" w:fill="FFFFFF"/>
          <w:vertAlign w:val="superscript"/>
          <w:lang w:val="en-US"/>
        </w:rPr>
        <w:footnoteRef/>
      </w:r>
      <w:r w:rsidRPr="006C3BCB">
        <w:rPr>
          <w:rFonts w:asciiTheme="minorHAnsi" w:hAnsiTheme="minorHAnsi" w:cstheme="minorHAnsi"/>
          <w:color w:val="000000" w:themeColor="text1"/>
          <w:sz w:val="16"/>
          <w:szCs w:val="16"/>
          <w:shd w:val="clear" w:color="auto" w:fill="FFFFFF"/>
          <w:lang w:val="en-US"/>
        </w:rPr>
        <w:t xml:space="preserve"> F. Caso, et al.</w:t>
      </w:r>
    </w:p>
    <w:p w:rsidR="008F6FFE" w:rsidRPr="006C3BCB" w:rsidRDefault="008F6FFE" w:rsidP="006C3BC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6C3BCB">
        <w:rPr>
          <w:rFonts w:asciiTheme="minorHAnsi" w:hAnsiTheme="minorHAnsi" w:cstheme="minorHAnsi"/>
          <w:color w:val="000000" w:themeColor="text1"/>
          <w:sz w:val="16"/>
          <w:szCs w:val="16"/>
          <w:shd w:val="clear" w:color="auto" w:fill="FFFFFF"/>
          <w:lang w:val="en-US"/>
        </w:rPr>
        <w:t>Could Sars-coronavirus-2 trigger autoimmune and/or autoinflammatory mechanisms in genetically predisposed subjects?</w:t>
      </w:r>
    </w:p>
    <w:p w:rsidR="008F6FFE" w:rsidRDefault="008F6FFE" w:rsidP="006C3BC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6C3BCB">
        <w:rPr>
          <w:rFonts w:asciiTheme="minorHAnsi" w:hAnsiTheme="minorHAnsi" w:cstheme="minorHAnsi"/>
          <w:color w:val="000000" w:themeColor="text1"/>
          <w:sz w:val="16"/>
          <w:szCs w:val="16"/>
          <w:shd w:val="clear" w:color="auto" w:fill="FFFFFF"/>
          <w:lang w:val="en-US"/>
        </w:rPr>
        <w:t>Autoimmun. Rev., 19 (5) (2020), p. 102524, </w:t>
      </w:r>
      <w:hyperlink r:id="rId1358" w:tgtFrame="_blank" w:history="1">
        <w:r w:rsidRPr="006C3BCB">
          <w:rPr>
            <w:rFonts w:asciiTheme="minorHAnsi" w:hAnsiTheme="minorHAnsi" w:cstheme="minorHAnsi"/>
            <w:color w:val="000000" w:themeColor="text1"/>
            <w:sz w:val="16"/>
            <w:szCs w:val="16"/>
            <w:shd w:val="clear" w:color="auto" w:fill="FFFFFF"/>
            <w:lang w:val="en-US"/>
          </w:rPr>
          <w:t>10.1016/j.autrev.2020.102524</w:t>
        </w:r>
      </w:hyperlink>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59" w:history="1">
        <w:r w:rsidR="008F6FFE" w:rsidRPr="004A6426">
          <w:rPr>
            <w:rFonts w:asciiTheme="minorHAnsi" w:hAnsiTheme="minorHAnsi" w:cstheme="minorHAnsi"/>
            <w:color w:val="000000" w:themeColor="text1"/>
            <w:sz w:val="16"/>
            <w:szCs w:val="16"/>
            <w:shd w:val="clear" w:color="auto" w:fill="FFFFFF"/>
            <w:lang w:val="en-US"/>
          </w:rPr>
          <w:t>https://www.ncbi.nlm.nih.gov/pmc/articles/PMC7271072/</w:t>
        </w:r>
      </w:hyperlink>
    </w:p>
    <w:p w:rsidR="008F6FFE" w:rsidRPr="004A6426" w:rsidRDefault="008F6FFE">
      <w:pPr>
        <w:pStyle w:val="FootnoteText"/>
        <w:rPr>
          <w:rFonts w:asciiTheme="minorHAnsi" w:hAnsiTheme="minorHAnsi" w:cstheme="minorHAnsi"/>
          <w:sz w:val="16"/>
          <w:szCs w:val="16"/>
          <w:lang w:val="en-US"/>
        </w:rPr>
      </w:pPr>
    </w:p>
  </w:footnote>
  <w:footnote w:id="246">
    <w:p w:rsidR="008F6FFE" w:rsidRDefault="008F6FFE" w:rsidP="006C3BC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71435C">
        <w:rPr>
          <w:rFonts w:asciiTheme="minorHAnsi" w:hAnsiTheme="minorHAnsi" w:cstheme="minorHAnsi"/>
          <w:color w:val="000000" w:themeColor="text1"/>
          <w:sz w:val="16"/>
          <w:szCs w:val="16"/>
          <w:shd w:val="clear" w:color="auto" w:fill="FFFFFF"/>
          <w:vertAlign w:val="superscript"/>
          <w:lang w:val="en-US"/>
        </w:rPr>
        <w:footnoteRef/>
      </w:r>
      <w:r w:rsidRPr="0071435C">
        <w:rPr>
          <w:rFonts w:asciiTheme="minorHAnsi" w:hAnsiTheme="minorHAnsi" w:cstheme="minorHAnsi"/>
          <w:color w:val="000000" w:themeColor="text1"/>
          <w:sz w:val="16"/>
          <w:szCs w:val="16"/>
          <w:shd w:val="clear" w:color="auto" w:fill="FFFFFF"/>
          <w:lang w:val="en-US"/>
        </w:rPr>
        <w:t xml:space="preserve"> Misra DP, Agarwal V, Gasparyan AY, Zimba O. </w:t>
      </w:r>
    </w:p>
    <w:p w:rsidR="008F6FFE" w:rsidRDefault="008F6FFE" w:rsidP="006C3BC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71435C">
        <w:rPr>
          <w:rFonts w:asciiTheme="minorHAnsi" w:hAnsiTheme="minorHAnsi" w:cstheme="minorHAnsi"/>
          <w:color w:val="000000" w:themeColor="text1"/>
          <w:sz w:val="16"/>
          <w:szCs w:val="16"/>
          <w:shd w:val="clear" w:color="auto" w:fill="FFFFFF"/>
          <w:lang w:val="en-US"/>
        </w:rPr>
        <w:t xml:space="preserve">Rheumatologists' perspective on coronavirus disease 19 (COVID-19) and potential therapeutic targets </w:t>
      </w:r>
    </w:p>
    <w:p w:rsidR="008F6FFE" w:rsidRPr="0071435C" w:rsidRDefault="008F6FFE" w:rsidP="006C3BC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71435C">
        <w:rPr>
          <w:rFonts w:asciiTheme="minorHAnsi" w:hAnsiTheme="minorHAnsi" w:cstheme="minorHAnsi"/>
          <w:color w:val="000000" w:themeColor="text1"/>
          <w:sz w:val="16"/>
          <w:szCs w:val="16"/>
          <w:shd w:val="clear" w:color="auto" w:fill="FFFFFF"/>
          <w:lang w:val="en-US"/>
        </w:rPr>
        <w:t>Clin Rheumatol. 2020;1‐8. doi:10.1007/s10067-020-05073-9</w:t>
      </w:r>
    </w:p>
    <w:p w:rsidR="008F6FFE" w:rsidRPr="0071435C" w:rsidRDefault="0052743C" w:rsidP="00CB502B">
      <w:pPr>
        <w:pStyle w:val="labs-full-docsum"/>
        <w:shd w:val="clear" w:color="auto" w:fill="FFFFFF"/>
        <w:spacing w:before="0" w:beforeAutospacing="0" w:after="0" w:afterAutospacing="0"/>
        <w:rPr>
          <w:rFonts w:asciiTheme="minorHAnsi" w:hAnsiTheme="minorHAnsi" w:cstheme="minorHAnsi"/>
          <w:sz w:val="16"/>
          <w:szCs w:val="16"/>
          <w:lang w:val="en-US"/>
        </w:rPr>
      </w:pPr>
      <w:hyperlink r:id="rId1360" w:history="1">
        <w:r w:rsidR="008F6FFE" w:rsidRPr="004A6426">
          <w:rPr>
            <w:rFonts w:asciiTheme="minorHAnsi" w:hAnsiTheme="minorHAnsi" w:cstheme="minorHAnsi"/>
            <w:color w:val="000000" w:themeColor="text1"/>
            <w:sz w:val="16"/>
            <w:szCs w:val="16"/>
            <w:shd w:val="clear" w:color="auto" w:fill="FFFFFF"/>
            <w:lang w:val="en-US"/>
          </w:rPr>
          <w:t>https://www.ncbi.nlm.nih.gov/pmc/articles/PMC7145936/</w:t>
        </w:r>
      </w:hyperlink>
    </w:p>
  </w:footnote>
  <w:footnote w:id="247">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71435C">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w:t>
      </w:r>
      <w:hyperlink r:id="rId1361" w:tooltip="Lancet (London, England)." w:history="1">
        <w:r w:rsidRPr="003B271B">
          <w:rPr>
            <w:rFonts w:asciiTheme="minorHAnsi" w:hAnsiTheme="minorHAnsi" w:cstheme="minorHAnsi"/>
            <w:color w:val="000000" w:themeColor="text1"/>
            <w:sz w:val="16"/>
            <w:szCs w:val="16"/>
            <w:shd w:val="clear" w:color="auto" w:fill="FFFFFF"/>
            <w:lang w:val="en-US"/>
          </w:rPr>
          <w:t>Lancet.</w:t>
        </w:r>
      </w:hyperlink>
      <w:r w:rsidRPr="003B271B">
        <w:rPr>
          <w:rFonts w:asciiTheme="minorHAnsi" w:hAnsiTheme="minorHAnsi" w:cstheme="minorHAnsi"/>
          <w:color w:val="000000" w:themeColor="text1"/>
          <w:sz w:val="16"/>
          <w:szCs w:val="16"/>
          <w:shd w:val="clear" w:color="auto" w:fill="FFFFFF"/>
          <w:lang w:val="en-US"/>
        </w:rPr>
        <w:t> 2003 Jun 14;361(9374):2081.</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Severe acute respiratory syndrome coronavirus and viral mimicry.</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62" w:history="1">
        <w:r w:rsidR="008F6FFE" w:rsidRPr="003B271B">
          <w:rPr>
            <w:rFonts w:asciiTheme="minorHAnsi" w:hAnsiTheme="minorHAnsi" w:cstheme="minorHAnsi"/>
            <w:color w:val="000000" w:themeColor="text1"/>
            <w:sz w:val="16"/>
            <w:szCs w:val="16"/>
            <w:shd w:val="clear" w:color="auto" w:fill="FFFFFF"/>
            <w:lang w:val="en-US"/>
          </w:rPr>
          <w:t>Chew FT</w:t>
        </w:r>
      </w:hyperlink>
      <w:r w:rsidR="008F6FFE" w:rsidRPr="003B271B">
        <w:rPr>
          <w:rFonts w:asciiTheme="minorHAnsi" w:hAnsiTheme="minorHAnsi" w:cstheme="minorHAnsi"/>
          <w:color w:val="000000" w:themeColor="text1"/>
          <w:sz w:val="16"/>
          <w:szCs w:val="16"/>
          <w:shd w:val="clear" w:color="auto" w:fill="FFFFFF"/>
          <w:lang w:val="en-US"/>
        </w:rPr>
        <w:t>, </w:t>
      </w:r>
      <w:hyperlink r:id="rId1363" w:history="1">
        <w:r w:rsidR="008F6FFE" w:rsidRPr="003B271B">
          <w:rPr>
            <w:rFonts w:asciiTheme="minorHAnsi" w:hAnsiTheme="minorHAnsi" w:cstheme="minorHAnsi"/>
            <w:color w:val="000000" w:themeColor="text1"/>
            <w:sz w:val="16"/>
            <w:szCs w:val="16"/>
            <w:shd w:val="clear" w:color="auto" w:fill="FFFFFF"/>
            <w:lang w:val="en-US"/>
          </w:rPr>
          <w:t>Ong SY</w:t>
        </w:r>
      </w:hyperlink>
      <w:r w:rsidR="008F6FFE" w:rsidRPr="003B271B">
        <w:rPr>
          <w:rFonts w:asciiTheme="minorHAnsi" w:hAnsiTheme="minorHAnsi" w:cstheme="minorHAnsi"/>
          <w:color w:val="000000" w:themeColor="text1"/>
          <w:sz w:val="16"/>
          <w:szCs w:val="16"/>
          <w:shd w:val="clear" w:color="auto" w:fill="FFFFFF"/>
          <w:lang w:val="en-US"/>
        </w:rPr>
        <w:t>, </w:t>
      </w:r>
      <w:hyperlink r:id="rId1364" w:history="1">
        <w:r w:rsidR="008F6FFE" w:rsidRPr="003B271B">
          <w:rPr>
            <w:rFonts w:asciiTheme="minorHAnsi" w:hAnsiTheme="minorHAnsi" w:cstheme="minorHAnsi"/>
            <w:color w:val="000000" w:themeColor="text1"/>
            <w:sz w:val="16"/>
            <w:szCs w:val="16"/>
            <w:shd w:val="clear" w:color="auto" w:fill="FFFFFF"/>
            <w:lang w:val="en-US"/>
          </w:rPr>
          <w:t>Hew CL</w:t>
        </w:r>
      </w:hyperlink>
      <w:r w:rsidR="008F6FFE" w:rsidRPr="003B271B">
        <w:rPr>
          <w:rFonts w:asciiTheme="minorHAnsi" w:hAnsiTheme="minorHAnsi" w:cstheme="minorHAnsi"/>
          <w:color w:val="000000" w:themeColor="text1"/>
          <w:sz w:val="16"/>
          <w:szCs w:val="16"/>
          <w:shd w:val="clear" w:color="auto" w:fill="FFFFFF"/>
          <w:lang w:val="en-US"/>
        </w:rPr>
        <w:t>.</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65" w:history="1">
        <w:r w:rsidR="008F6FFE" w:rsidRPr="004A6426">
          <w:rPr>
            <w:rFonts w:asciiTheme="minorHAnsi" w:hAnsiTheme="minorHAnsi" w:cstheme="minorHAnsi"/>
            <w:color w:val="000000" w:themeColor="text1"/>
            <w:sz w:val="16"/>
            <w:szCs w:val="16"/>
            <w:shd w:val="clear" w:color="auto" w:fill="FFFFFF"/>
            <w:lang w:val="en-US"/>
          </w:rPr>
          <w:t>https://www.ncbi.nlm.nih.gov/pmc/articles/PMC7135708/</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66" w:tooltip="Annals of neurology." w:history="1">
        <w:r w:rsidR="008F6FFE" w:rsidRPr="003B271B">
          <w:rPr>
            <w:rFonts w:asciiTheme="minorHAnsi" w:hAnsiTheme="minorHAnsi" w:cstheme="minorHAnsi"/>
            <w:color w:val="000000" w:themeColor="text1"/>
            <w:sz w:val="16"/>
            <w:szCs w:val="16"/>
            <w:shd w:val="clear" w:color="auto" w:fill="FFFFFF"/>
            <w:lang w:val="en-US"/>
          </w:rPr>
          <w:t>Ann Neurol.</w:t>
        </w:r>
      </w:hyperlink>
      <w:r w:rsidR="008F6FFE" w:rsidRPr="003B271B">
        <w:rPr>
          <w:rFonts w:asciiTheme="minorHAnsi" w:hAnsiTheme="minorHAnsi" w:cstheme="minorHAnsi"/>
          <w:color w:val="000000" w:themeColor="text1"/>
          <w:sz w:val="16"/>
          <w:szCs w:val="16"/>
          <w:shd w:val="clear" w:color="auto" w:fill="FFFFFF"/>
          <w:lang w:val="en-US"/>
        </w:rPr>
        <w:t> 1996 Feb;39(2):233-40.</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Myelin basic protein and human coronavirus 229E cross-reactive T cells in multiple sclerosis.</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67" w:history="1">
        <w:r w:rsidR="008F6FFE" w:rsidRPr="003B271B">
          <w:rPr>
            <w:rFonts w:asciiTheme="minorHAnsi" w:hAnsiTheme="minorHAnsi" w:cstheme="minorHAnsi"/>
            <w:color w:val="000000" w:themeColor="text1"/>
            <w:sz w:val="16"/>
            <w:szCs w:val="16"/>
            <w:shd w:val="clear" w:color="auto" w:fill="FFFFFF"/>
            <w:lang w:val="en-US"/>
          </w:rPr>
          <w:t>Talbot PJ</w:t>
        </w:r>
      </w:hyperlink>
      <w:r w:rsidR="008F6FFE" w:rsidRPr="003B271B">
        <w:rPr>
          <w:rFonts w:asciiTheme="minorHAnsi" w:hAnsiTheme="minorHAnsi" w:cstheme="minorHAnsi"/>
          <w:color w:val="000000" w:themeColor="text1"/>
          <w:sz w:val="16"/>
          <w:szCs w:val="16"/>
          <w:shd w:val="clear" w:color="auto" w:fill="FFFFFF"/>
          <w:lang w:val="en-US"/>
        </w:rPr>
        <w:t>1, </w:t>
      </w:r>
      <w:hyperlink r:id="rId1368" w:history="1">
        <w:r w:rsidR="008F6FFE" w:rsidRPr="003B271B">
          <w:rPr>
            <w:rFonts w:asciiTheme="minorHAnsi" w:hAnsiTheme="minorHAnsi" w:cstheme="minorHAnsi"/>
            <w:color w:val="000000" w:themeColor="text1"/>
            <w:sz w:val="16"/>
            <w:szCs w:val="16"/>
            <w:shd w:val="clear" w:color="auto" w:fill="FFFFFF"/>
            <w:lang w:val="en-US"/>
          </w:rPr>
          <w:t>Paquette JS</w:t>
        </w:r>
      </w:hyperlink>
      <w:r w:rsidR="008F6FFE" w:rsidRPr="003B271B">
        <w:rPr>
          <w:rFonts w:asciiTheme="minorHAnsi" w:hAnsiTheme="minorHAnsi" w:cstheme="minorHAnsi"/>
          <w:color w:val="000000" w:themeColor="text1"/>
          <w:sz w:val="16"/>
          <w:szCs w:val="16"/>
          <w:shd w:val="clear" w:color="auto" w:fill="FFFFFF"/>
          <w:lang w:val="en-US"/>
        </w:rPr>
        <w:t>, </w:t>
      </w:r>
      <w:hyperlink r:id="rId1369" w:history="1">
        <w:r w:rsidR="008F6FFE" w:rsidRPr="003B271B">
          <w:rPr>
            <w:rFonts w:asciiTheme="minorHAnsi" w:hAnsiTheme="minorHAnsi" w:cstheme="minorHAnsi"/>
            <w:color w:val="000000" w:themeColor="text1"/>
            <w:sz w:val="16"/>
            <w:szCs w:val="16"/>
            <w:shd w:val="clear" w:color="auto" w:fill="FFFFFF"/>
            <w:lang w:val="en-US"/>
          </w:rPr>
          <w:t>Ciurli C</w:t>
        </w:r>
      </w:hyperlink>
      <w:r w:rsidR="008F6FFE" w:rsidRPr="003B271B">
        <w:rPr>
          <w:rFonts w:asciiTheme="minorHAnsi" w:hAnsiTheme="minorHAnsi" w:cstheme="minorHAnsi"/>
          <w:color w:val="000000" w:themeColor="text1"/>
          <w:sz w:val="16"/>
          <w:szCs w:val="16"/>
          <w:shd w:val="clear" w:color="auto" w:fill="FFFFFF"/>
          <w:lang w:val="en-US"/>
        </w:rPr>
        <w:t>, </w:t>
      </w:r>
      <w:hyperlink r:id="rId1370" w:history="1">
        <w:r w:rsidR="008F6FFE" w:rsidRPr="003B271B">
          <w:rPr>
            <w:rFonts w:asciiTheme="minorHAnsi" w:hAnsiTheme="minorHAnsi" w:cstheme="minorHAnsi"/>
            <w:color w:val="000000" w:themeColor="text1"/>
            <w:sz w:val="16"/>
            <w:szCs w:val="16"/>
            <w:shd w:val="clear" w:color="auto" w:fill="FFFFFF"/>
            <w:lang w:val="en-US"/>
          </w:rPr>
          <w:t>Antel JP</w:t>
        </w:r>
      </w:hyperlink>
      <w:r w:rsidR="008F6FFE" w:rsidRPr="003B271B">
        <w:rPr>
          <w:rFonts w:asciiTheme="minorHAnsi" w:hAnsiTheme="minorHAnsi" w:cstheme="minorHAnsi"/>
          <w:color w:val="000000" w:themeColor="text1"/>
          <w:sz w:val="16"/>
          <w:szCs w:val="16"/>
          <w:shd w:val="clear" w:color="auto" w:fill="FFFFFF"/>
          <w:lang w:val="en-US"/>
        </w:rPr>
        <w:t>, </w:t>
      </w:r>
      <w:hyperlink r:id="rId1371" w:history="1">
        <w:r w:rsidR="008F6FFE" w:rsidRPr="003B271B">
          <w:rPr>
            <w:rFonts w:asciiTheme="minorHAnsi" w:hAnsiTheme="minorHAnsi" w:cstheme="minorHAnsi"/>
            <w:color w:val="000000" w:themeColor="text1"/>
            <w:sz w:val="16"/>
            <w:szCs w:val="16"/>
            <w:shd w:val="clear" w:color="auto" w:fill="FFFFFF"/>
            <w:lang w:val="en-US"/>
          </w:rPr>
          <w:t>Ouellet F</w:t>
        </w:r>
      </w:hyperlink>
      <w:r w:rsidR="008F6FFE" w:rsidRPr="003B271B">
        <w:rPr>
          <w:rFonts w:asciiTheme="minorHAnsi" w:hAnsiTheme="minorHAnsi" w:cstheme="minorHAnsi"/>
          <w:color w:val="000000" w:themeColor="text1"/>
          <w:sz w:val="16"/>
          <w:szCs w:val="16"/>
          <w:shd w:val="clear" w:color="auto" w:fill="FFFFFF"/>
          <w:lang w:val="en-US"/>
        </w:rPr>
        <w:t>.</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72" w:history="1">
        <w:r w:rsidR="008F6FFE" w:rsidRPr="004A6426">
          <w:rPr>
            <w:rFonts w:asciiTheme="minorHAnsi" w:hAnsiTheme="minorHAnsi" w:cstheme="minorHAnsi"/>
            <w:color w:val="000000" w:themeColor="text1"/>
            <w:sz w:val="16"/>
            <w:szCs w:val="16"/>
            <w:shd w:val="clear" w:color="auto" w:fill="FFFFFF"/>
            <w:lang w:val="en-US"/>
          </w:rPr>
          <w:t>https://www.ncbi.nlm.nih.gov/pmc/articles/PMC7159680/</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73" w:tooltip="Science (New York, N.Y.)." w:history="1">
        <w:r w:rsidR="008F6FFE" w:rsidRPr="003B271B">
          <w:rPr>
            <w:rFonts w:asciiTheme="minorHAnsi" w:hAnsiTheme="minorHAnsi" w:cstheme="minorHAnsi"/>
            <w:color w:val="000000" w:themeColor="text1"/>
            <w:sz w:val="16"/>
            <w:szCs w:val="16"/>
            <w:shd w:val="clear" w:color="auto" w:fill="FFFFFF"/>
            <w:lang w:val="en-US"/>
          </w:rPr>
          <w:t>Science.</w:t>
        </w:r>
      </w:hyperlink>
      <w:r w:rsidR="008F6FFE" w:rsidRPr="003B271B">
        <w:rPr>
          <w:rFonts w:asciiTheme="minorHAnsi" w:hAnsiTheme="minorHAnsi" w:cstheme="minorHAnsi"/>
          <w:color w:val="000000" w:themeColor="text1"/>
          <w:sz w:val="16"/>
          <w:szCs w:val="16"/>
          <w:shd w:val="clear" w:color="auto" w:fill="FFFFFF"/>
          <w:lang w:val="en-US"/>
        </w:rPr>
        <w:t> 1980 Aug 22;209(4459):933-4.</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Two coronaviruses isolated from central nervous system tissue of two multiple sclerosis patients.</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74" w:history="1">
        <w:r w:rsidR="008F6FFE" w:rsidRPr="003B271B">
          <w:rPr>
            <w:rFonts w:asciiTheme="minorHAnsi" w:hAnsiTheme="minorHAnsi" w:cstheme="minorHAnsi"/>
            <w:color w:val="000000" w:themeColor="text1"/>
            <w:sz w:val="16"/>
            <w:szCs w:val="16"/>
            <w:shd w:val="clear" w:color="auto" w:fill="FFFFFF"/>
            <w:lang w:val="en-US"/>
          </w:rPr>
          <w:t>Burks JS</w:t>
        </w:r>
      </w:hyperlink>
      <w:r w:rsidR="008F6FFE" w:rsidRPr="003B271B">
        <w:rPr>
          <w:rFonts w:asciiTheme="minorHAnsi" w:hAnsiTheme="minorHAnsi" w:cstheme="minorHAnsi"/>
          <w:color w:val="000000" w:themeColor="text1"/>
          <w:sz w:val="16"/>
          <w:szCs w:val="16"/>
          <w:shd w:val="clear" w:color="auto" w:fill="FFFFFF"/>
          <w:lang w:val="en-US"/>
        </w:rPr>
        <w:t>, </w:t>
      </w:r>
      <w:hyperlink r:id="rId1375" w:history="1">
        <w:r w:rsidR="008F6FFE" w:rsidRPr="003B271B">
          <w:rPr>
            <w:rFonts w:asciiTheme="minorHAnsi" w:hAnsiTheme="minorHAnsi" w:cstheme="minorHAnsi"/>
            <w:color w:val="000000" w:themeColor="text1"/>
            <w:sz w:val="16"/>
            <w:szCs w:val="16"/>
            <w:shd w:val="clear" w:color="auto" w:fill="FFFFFF"/>
            <w:lang w:val="en-US"/>
          </w:rPr>
          <w:t>DeVald BL</w:t>
        </w:r>
      </w:hyperlink>
      <w:r w:rsidR="008F6FFE" w:rsidRPr="003B271B">
        <w:rPr>
          <w:rFonts w:asciiTheme="minorHAnsi" w:hAnsiTheme="minorHAnsi" w:cstheme="minorHAnsi"/>
          <w:color w:val="000000" w:themeColor="text1"/>
          <w:sz w:val="16"/>
          <w:szCs w:val="16"/>
          <w:shd w:val="clear" w:color="auto" w:fill="FFFFFF"/>
          <w:lang w:val="en-US"/>
        </w:rPr>
        <w:t>, </w:t>
      </w:r>
      <w:hyperlink r:id="rId1376" w:history="1">
        <w:r w:rsidR="008F6FFE" w:rsidRPr="003B271B">
          <w:rPr>
            <w:rFonts w:asciiTheme="minorHAnsi" w:hAnsiTheme="minorHAnsi" w:cstheme="minorHAnsi"/>
            <w:color w:val="000000" w:themeColor="text1"/>
            <w:sz w:val="16"/>
            <w:szCs w:val="16"/>
            <w:shd w:val="clear" w:color="auto" w:fill="FFFFFF"/>
            <w:lang w:val="en-US"/>
          </w:rPr>
          <w:t>Jankovsky LD</w:t>
        </w:r>
      </w:hyperlink>
      <w:r w:rsidR="008F6FFE" w:rsidRPr="003B271B">
        <w:rPr>
          <w:rFonts w:asciiTheme="minorHAnsi" w:hAnsiTheme="minorHAnsi" w:cstheme="minorHAnsi"/>
          <w:color w:val="000000" w:themeColor="text1"/>
          <w:sz w:val="16"/>
          <w:szCs w:val="16"/>
          <w:shd w:val="clear" w:color="auto" w:fill="FFFFFF"/>
          <w:lang w:val="en-US"/>
        </w:rPr>
        <w:t>, </w:t>
      </w:r>
      <w:hyperlink r:id="rId1377" w:history="1">
        <w:r w:rsidR="008F6FFE" w:rsidRPr="003B271B">
          <w:rPr>
            <w:rFonts w:asciiTheme="minorHAnsi" w:hAnsiTheme="minorHAnsi" w:cstheme="minorHAnsi"/>
            <w:color w:val="000000" w:themeColor="text1"/>
            <w:sz w:val="16"/>
            <w:szCs w:val="16"/>
            <w:shd w:val="clear" w:color="auto" w:fill="FFFFFF"/>
            <w:lang w:val="en-US"/>
          </w:rPr>
          <w:t>Gerdes JC</w:t>
        </w:r>
      </w:hyperlink>
      <w:r w:rsidR="008F6FFE" w:rsidRPr="003B271B">
        <w:rPr>
          <w:rFonts w:asciiTheme="minorHAnsi" w:hAnsiTheme="minorHAnsi" w:cstheme="minorHAnsi"/>
          <w:color w:val="000000" w:themeColor="text1"/>
          <w:sz w:val="16"/>
          <w:szCs w:val="16"/>
          <w:shd w:val="clear" w:color="auto" w:fill="FFFFFF"/>
          <w:lang w:val="en-US"/>
        </w:rPr>
        <w:t>.</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78" w:history="1">
        <w:r w:rsidR="008F6FFE" w:rsidRPr="004A6426">
          <w:rPr>
            <w:rFonts w:asciiTheme="minorHAnsi" w:hAnsiTheme="minorHAnsi" w:cstheme="minorHAnsi"/>
            <w:color w:val="000000" w:themeColor="text1"/>
            <w:sz w:val="16"/>
            <w:szCs w:val="16"/>
            <w:shd w:val="clear" w:color="auto" w:fill="FFFFFF"/>
            <w:lang w:val="en-US"/>
          </w:rPr>
          <w:t>https://pubmed.ncbi.nlm.nih.gov/7403860/</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235A16"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379" w:tooltip="Viruses." w:history="1">
        <w:r w:rsidR="008F6FFE" w:rsidRPr="00235A16">
          <w:rPr>
            <w:rFonts w:asciiTheme="minorHAnsi" w:hAnsiTheme="minorHAnsi" w:cstheme="minorHAnsi"/>
            <w:color w:val="000000" w:themeColor="text1"/>
            <w:sz w:val="16"/>
            <w:szCs w:val="16"/>
            <w:shd w:val="clear" w:color="auto" w:fill="FFFFFF"/>
            <w:lang w:val="de-DE"/>
          </w:rPr>
          <w:t>Viruses.</w:t>
        </w:r>
      </w:hyperlink>
      <w:r w:rsidR="008F6FFE" w:rsidRPr="00235A16">
        <w:rPr>
          <w:rFonts w:asciiTheme="minorHAnsi" w:hAnsiTheme="minorHAnsi" w:cstheme="minorHAnsi"/>
          <w:color w:val="000000" w:themeColor="text1"/>
          <w:sz w:val="16"/>
          <w:szCs w:val="16"/>
          <w:shd w:val="clear" w:color="auto" w:fill="FFFFFF"/>
          <w:lang w:val="de-DE"/>
        </w:rPr>
        <w:t> 2019 Dec 20;12(1). pii: E14. doi: 10.3390/v12010014.</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Human Coronaviruses and Other Respiratory Viruses: Underestimated Opportunistic Pathogens of the Central Nervous System?</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80" w:history="1">
        <w:r w:rsidR="008F6FFE" w:rsidRPr="003B271B">
          <w:rPr>
            <w:rFonts w:asciiTheme="minorHAnsi" w:hAnsiTheme="minorHAnsi" w:cstheme="minorHAnsi"/>
            <w:color w:val="000000" w:themeColor="text1"/>
            <w:sz w:val="16"/>
            <w:szCs w:val="16"/>
            <w:shd w:val="clear" w:color="auto" w:fill="FFFFFF"/>
            <w:lang w:val="en-US"/>
          </w:rPr>
          <w:t>Desforges M</w:t>
        </w:r>
      </w:hyperlink>
      <w:r w:rsidR="008F6FFE" w:rsidRPr="003B271B">
        <w:rPr>
          <w:rFonts w:asciiTheme="minorHAnsi" w:hAnsiTheme="minorHAnsi" w:cstheme="minorHAnsi"/>
          <w:color w:val="000000" w:themeColor="text1"/>
          <w:sz w:val="16"/>
          <w:szCs w:val="16"/>
          <w:shd w:val="clear" w:color="auto" w:fill="FFFFFF"/>
          <w:lang w:val="en-US"/>
        </w:rPr>
        <w:t>1, </w:t>
      </w:r>
      <w:hyperlink r:id="rId1381" w:history="1">
        <w:r w:rsidR="008F6FFE" w:rsidRPr="003B271B">
          <w:rPr>
            <w:rFonts w:asciiTheme="minorHAnsi" w:hAnsiTheme="minorHAnsi" w:cstheme="minorHAnsi"/>
            <w:color w:val="000000" w:themeColor="text1"/>
            <w:sz w:val="16"/>
            <w:szCs w:val="16"/>
            <w:shd w:val="clear" w:color="auto" w:fill="FFFFFF"/>
            <w:lang w:val="en-US"/>
          </w:rPr>
          <w:t>Le Coupanec A</w:t>
        </w:r>
      </w:hyperlink>
      <w:r w:rsidR="008F6FFE" w:rsidRPr="003B271B">
        <w:rPr>
          <w:rFonts w:asciiTheme="minorHAnsi" w:hAnsiTheme="minorHAnsi" w:cstheme="minorHAnsi"/>
          <w:color w:val="000000" w:themeColor="text1"/>
          <w:sz w:val="16"/>
          <w:szCs w:val="16"/>
          <w:shd w:val="clear" w:color="auto" w:fill="FFFFFF"/>
          <w:lang w:val="en-US"/>
        </w:rPr>
        <w:t>1, </w:t>
      </w:r>
      <w:hyperlink r:id="rId1382" w:history="1">
        <w:r w:rsidR="008F6FFE" w:rsidRPr="003B271B">
          <w:rPr>
            <w:rFonts w:asciiTheme="minorHAnsi" w:hAnsiTheme="minorHAnsi" w:cstheme="minorHAnsi"/>
            <w:color w:val="000000" w:themeColor="text1"/>
            <w:sz w:val="16"/>
            <w:szCs w:val="16"/>
            <w:shd w:val="clear" w:color="auto" w:fill="FFFFFF"/>
            <w:lang w:val="en-US"/>
          </w:rPr>
          <w:t>Dubeau P</w:t>
        </w:r>
      </w:hyperlink>
      <w:r w:rsidR="008F6FFE" w:rsidRPr="003B271B">
        <w:rPr>
          <w:rFonts w:asciiTheme="minorHAnsi" w:hAnsiTheme="minorHAnsi" w:cstheme="minorHAnsi"/>
          <w:color w:val="000000" w:themeColor="text1"/>
          <w:sz w:val="16"/>
          <w:szCs w:val="16"/>
          <w:shd w:val="clear" w:color="auto" w:fill="FFFFFF"/>
          <w:lang w:val="en-US"/>
        </w:rPr>
        <w:t>1, </w:t>
      </w:r>
      <w:hyperlink r:id="rId1383" w:history="1">
        <w:r w:rsidR="008F6FFE" w:rsidRPr="003B271B">
          <w:rPr>
            <w:rFonts w:asciiTheme="minorHAnsi" w:hAnsiTheme="minorHAnsi" w:cstheme="minorHAnsi"/>
            <w:color w:val="000000" w:themeColor="text1"/>
            <w:sz w:val="16"/>
            <w:szCs w:val="16"/>
            <w:shd w:val="clear" w:color="auto" w:fill="FFFFFF"/>
            <w:lang w:val="en-US"/>
          </w:rPr>
          <w:t>Bourgouin A</w:t>
        </w:r>
      </w:hyperlink>
      <w:r w:rsidR="008F6FFE" w:rsidRPr="003B271B">
        <w:rPr>
          <w:rFonts w:asciiTheme="minorHAnsi" w:hAnsiTheme="minorHAnsi" w:cstheme="minorHAnsi"/>
          <w:color w:val="000000" w:themeColor="text1"/>
          <w:sz w:val="16"/>
          <w:szCs w:val="16"/>
          <w:shd w:val="clear" w:color="auto" w:fill="FFFFFF"/>
          <w:lang w:val="en-US"/>
        </w:rPr>
        <w:t>1, </w:t>
      </w:r>
      <w:hyperlink r:id="rId1384" w:history="1">
        <w:r w:rsidR="008F6FFE" w:rsidRPr="003B271B">
          <w:rPr>
            <w:rFonts w:asciiTheme="minorHAnsi" w:hAnsiTheme="minorHAnsi" w:cstheme="minorHAnsi"/>
            <w:color w:val="000000" w:themeColor="text1"/>
            <w:sz w:val="16"/>
            <w:szCs w:val="16"/>
            <w:shd w:val="clear" w:color="auto" w:fill="FFFFFF"/>
            <w:lang w:val="en-US"/>
          </w:rPr>
          <w:t>Lajoie L</w:t>
        </w:r>
      </w:hyperlink>
      <w:r w:rsidR="008F6FFE" w:rsidRPr="003B271B">
        <w:rPr>
          <w:rFonts w:asciiTheme="minorHAnsi" w:hAnsiTheme="minorHAnsi" w:cstheme="minorHAnsi"/>
          <w:color w:val="000000" w:themeColor="text1"/>
          <w:sz w:val="16"/>
          <w:szCs w:val="16"/>
          <w:shd w:val="clear" w:color="auto" w:fill="FFFFFF"/>
          <w:lang w:val="en-US"/>
        </w:rPr>
        <w:t>2, </w:t>
      </w:r>
      <w:hyperlink r:id="rId1385" w:history="1">
        <w:r w:rsidR="008F6FFE" w:rsidRPr="003B271B">
          <w:rPr>
            <w:rFonts w:asciiTheme="minorHAnsi" w:hAnsiTheme="minorHAnsi" w:cstheme="minorHAnsi"/>
            <w:color w:val="000000" w:themeColor="text1"/>
            <w:sz w:val="16"/>
            <w:szCs w:val="16"/>
            <w:shd w:val="clear" w:color="auto" w:fill="FFFFFF"/>
            <w:lang w:val="en-US"/>
          </w:rPr>
          <w:t>Dubé M</w:t>
        </w:r>
      </w:hyperlink>
      <w:r w:rsidR="008F6FFE" w:rsidRPr="003B271B">
        <w:rPr>
          <w:rFonts w:asciiTheme="minorHAnsi" w:hAnsiTheme="minorHAnsi" w:cstheme="minorHAnsi"/>
          <w:color w:val="000000" w:themeColor="text1"/>
          <w:sz w:val="16"/>
          <w:szCs w:val="16"/>
          <w:shd w:val="clear" w:color="auto" w:fill="FFFFFF"/>
          <w:lang w:val="en-US"/>
        </w:rPr>
        <w:t>1,3, </w:t>
      </w:r>
      <w:hyperlink r:id="rId1386" w:history="1">
        <w:r w:rsidR="008F6FFE" w:rsidRPr="003B271B">
          <w:rPr>
            <w:rFonts w:asciiTheme="minorHAnsi" w:hAnsiTheme="minorHAnsi" w:cstheme="minorHAnsi"/>
            <w:color w:val="000000" w:themeColor="text1"/>
            <w:sz w:val="16"/>
            <w:szCs w:val="16"/>
            <w:shd w:val="clear" w:color="auto" w:fill="FFFFFF"/>
            <w:lang w:val="en-US"/>
          </w:rPr>
          <w:t>Talbot PJ</w:t>
        </w:r>
      </w:hyperlink>
      <w:r w:rsidR="008F6FFE" w:rsidRPr="003B271B">
        <w:rPr>
          <w:rFonts w:asciiTheme="minorHAnsi" w:hAnsiTheme="minorHAnsi" w:cstheme="minorHAnsi"/>
          <w:color w:val="000000" w:themeColor="text1"/>
          <w:sz w:val="16"/>
          <w:szCs w:val="16"/>
          <w:shd w:val="clear" w:color="auto" w:fill="FFFFFF"/>
          <w:lang w:val="en-US"/>
        </w:rPr>
        <w:t>1.</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87" w:history="1">
        <w:r w:rsidR="008F6FFE" w:rsidRPr="004A6426">
          <w:rPr>
            <w:rFonts w:asciiTheme="minorHAnsi" w:hAnsiTheme="minorHAnsi" w:cstheme="minorHAnsi"/>
            <w:color w:val="000000" w:themeColor="text1"/>
            <w:sz w:val="16"/>
            <w:szCs w:val="16"/>
            <w:shd w:val="clear" w:color="auto" w:fill="FFFFFF"/>
            <w:lang w:val="en-US"/>
          </w:rPr>
          <w:t>https://www.ncbi.nlm.nih.gov/pmc/articles/PMC7020001/</w:t>
        </w:r>
      </w:hyperlink>
    </w:p>
    <w:p w:rsidR="008F6FFE" w:rsidRPr="004A6426" w:rsidRDefault="008F6FFE"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88" w:tooltip="Journal of virology." w:history="1">
        <w:r w:rsidR="008F6FFE" w:rsidRPr="003B271B">
          <w:rPr>
            <w:rFonts w:asciiTheme="minorHAnsi" w:hAnsiTheme="minorHAnsi" w:cstheme="minorHAnsi"/>
            <w:color w:val="000000" w:themeColor="text1"/>
            <w:sz w:val="16"/>
            <w:szCs w:val="16"/>
            <w:shd w:val="clear" w:color="auto" w:fill="FFFFFF"/>
            <w:lang w:val="en-US"/>
          </w:rPr>
          <w:t>J Virol.</w:t>
        </w:r>
      </w:hyperlink>
      <w:r w:rsidR="008F6FFE" w:rsidRPr="003B271B">
        <w:rPr>
          <w:rFonts w:asciiTheme="minorHAnsi" w:hAnsiTheme="minorHAnsi" w:cstheme="minorHAnsi"/>
          <w:color w:val="000000" w:themeColor="text1"/>
          <w:sz w:val="16"/>
          <w:szCs w:val="16"/>
          <w:shd w:val="clear" w:color="auto" w:fill="FFFFFF"/>
          <w:lang w:val="en-US"/>
        </w:rPr>
        <w:t> 2018 Aug 16;92(17). pii: e00404-18. doi: 10.1128/JVI.00404-18. Print 2018 Sep 1.</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Axonal Transport Enables Neuron-to-Neuron Propagation of Human Coronavirus OC43.</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89" w:history="1">
        <w:r w:rsidR="008F6FFE" w:rsidRPr="003B271B">
          <w:rPr>
            <w:rFonts w:asciiTheme="minorHAnsi" w:hAnsiTheme="minorHAnsi" w:cstheme="minorHAnsi"/>
            <w:color w:val="000000" w:themeColor="text1"/>
            <w:sz w:val="16"/>
            <w:szCs w:val="16"/>
            <w:shd w:val="clear" w:color="auto" w:fill="FFFFFF"/>
            <w:lang w:val="en-US"/>
          </w:rPr>
          <w:t>Dubé M</w:t>
        </w:r>
      </w:hyperlink>
      <w:r w:rsidR="008F6FFE" w:rsidRPr="003B271B">
        <w:rPr>
          <w:rFonts w:asciiTheme="minorHAnsi" w:hAnsiTheme="minorHAnsi" w:cstheme="minorHAnsi"/>
          <w:color w:val="000000" w:themeColor="text1"/>
          <w:sz w:val="16"/>
          <w:szCs w:val="16"/>
          <w:shd w:val="clear" w:color="auto" w:fill="FFFFFF"/>
          <w:lang w:val="en-US"/>
        </w:rPr>
        <w:t>#1, </w:t>
      </w:r>
      <w:hyperlink r:id="rId1390" w:history="1">
        <w:r w:rsidR="008F6FFE" w:rsidRPr="003B271B">
          <w:rPr>
            <w:rFonts w:asciiTheme="minorHAnsi" w:hAnsiTheme="minorHAnsi" w:cstheme="minorHAnsi"/>
            <w:color w:val="000000" w:themeColor="text1"/>
            <w:sz w:val="16"/>
            <w:szCs w:val="16"/>
            <w:shd w:val="clear" w:color="auto" w:fill="FFFFFF"/>
            <w:lang w:val="en-US"/>
          </w:rPr>
          <w:t>Le Coupanec A</w:t>
        </w:r>
      </w:hyperlink>
      <w:r w:rsidR="008F6FFE" w:rsidRPr="003B271B">
        <w:rPr>
          <w:rFonts w:asciiTheme="minorHAnsi" w:hAnsiTheme="minorHAnsi" w:cstheme="minorHAnsi"/>
          <w:color w:val="000000" w:themeColor="text1"/>
          <w:sz w:val="16"/>
          <w:szCs w:val="16"/>
          <w:shd w:val="clear" w:color="auto" w:fill="FFFFFF"/>
          <w:lang w:val="en-US"/>
        </w:rPr>
        <w:t>#1, </w:t>
      </w:r>
      <w:hyperlink r:id="rId1391" w:history="1">
        <w:r w:rsidR="008F6FFE" w:rsidRPr="003B271B">
          <w:rPr>
            <w:rFonts w:asciiTheme="minorHAnsi" w:hAnsiTheme="minorHAnsi" w:cstheme="minorHAnsi"/>
            <w:color w:val="000000" w:themeColor="text1"/>
            <w:sz w:val="16"/>
            <w:szCs w:val="16"/>
            <w:shd w:val="clear" w:color="auto" w:fill="FFFFFF"/>
            <w:lang w:val="en-US"/>
          </w:rPr>
          <w:t>Wong AHM</w:t>
        </w:r>
      </w:hyperlink>
      <w:r w:rsidR="008F6FFE" w:rsidRPr="003B271B">
        <w:rPr>
          <w:rFonts w:asciiTheme="minorHAnsi" w:hAnsiTheme="minorHAnsi" w:cstheme="minorHAnsi"/>
          <w:color w:val="000000" w:themeColor="text1"/>
          <w:sz w:val="16"/>
          <w:szCs w:val="16"/>
          <w:shd w:val="clear" w:color="auto" w:fill="FFFFFF"/>
          <w:lang w:val="en-US"/>
        </w:rPr>
        <w:t>2,3, </w:t>
      </w:r>
      <w:hyperlink r:id="rId1392" w:history="1">
        <w:r w:rsidR="008F6FFE" w:rsidRPr="003B271B">
          <w:rPr>
            <w:rFonts w:asciiTheme="minorHAnsi" w:hAnsiTheme="minorHAnsi" w:cstheme="minorHAnsi"/>
            <w:color w:val="000000" w:themeColor="text1"/>
            <w:sz w:val="16"/>
            <w:szCs w:val="16"/>
            <w:shd w:val="clear" w:color="auto" w:fill="FFFFFF"/>
            <w:lang w:val="en-US"/>
          </w:rPr>
          <w:t>Rini JM</w:t>
        </w:r>
      </w:hyperlink>
      <w:r w:rsidR="008F6FFE" w:rsidRPr="003B271B">
        <w:rPr>
          <w:rFonts w:asciiTheme="minorHAnsi" w:hAnsiTheme="minorHAnsi" w:cstheme="minorHAnsi"/>
          <w:color w:val="000000" w:themeColor="text1"/>
          <w:sz w:val="16"/>
          <w:szCs w:val="16"/>
          <w:shd w:val="clear" w:color="auto" w:fill="FFFFFF"/>
          <w:lang w:val="en-US"/>
        </w:rPr>
        <w:t>2,3, </w:t>
      </w:r>
      <w:hyperlink r:id="rId1393" w:history="1">
        <w:r w:rsidR="008F6FFE" w:rsidRPr="003B271B">
          <w:rPr>
            <w:rFonts w:asciiTheme="minorHAnsi" w:hAnsiTheme="minorHAnsi" w:cstheme="minorHAnsi"/>
            <w:color w:val="000000" w:themeColor="text1"/>
            <w:sz w:val="16"/>
            <w:szCs w:val="16"/>
            <w:shd w:val="clear" w:color="auto" w:fill="FFFFFF"/>
            <w:lang w:val="en-US"/>
          </w:rPr>
          <w:t>Desforges M</w:t>
        </w:r>
      </w:hyperlink>
      <w:r w:rsidR="008F6FFE" w:rsidRPr="003B271B">
        <w:rPr>
          <w:rFonts w:asciiTheme="minorHAnsi" w:hAnsiTheme="minorHAnsi" w:cstheme="minorHAnsi"/>
          <w:color w:val="000000" w:themeColor="text1"/>
          <w:sz w:val="16"/>
          <w:szCs w:val="16"/>
          <w:shd w:val="clear" w:color="auto" w:fill="FFFFFF"/>
          <w:lang w:val="en-US"/>
        </w:rPr>
        <w:t>4, </w:t>
      </w:r>
      <w:hyperlink r:id="rId1394" w:history="1">
        <w:r w:rsidR="008F6FFE" w:rsidRPr="003B271B">
          <w:rPr>
            <w:rFonts w:asciiTheme="minorHAnsi" w:hAnsiTheme="minorHAnsi" w:cstheme="minorHAnsi"/>
            <w:color w:val="000000" w:themeColor="text1"/>
            <w:sz w:val="16"/>
            <w:szCs w:val="16"/>
            <w:shd w:val="clear" w:color="auto" w:fill="FFFFFF"/>
            <w:lang w:val="en-US"/>
          </w:rPr>
          <w:t>Talbot PJ</w:t>
        </w:r>
      </w:hyperlink>
      <w:r w:rsidR="008F6FFE" w:rsidRPr="003B271B">
        <w:rPr>
          <w:rFonts w:asciiTheme="minorHAnsi" w:hAnsiTheme="minorHAnsi" w:cstheme="minorHAnsi"/>
          <w:color w:val="000000" w:themeColor="text1"/>
          <w:sz w:val="16"/>
          <w:szCs w:val="16"/>
          <w:shd w:val="clear" w:color="auto" w:fill="FFFFFF"/>
          <w:lang w:val="en-US"/>
        </w:rPr>
        <w:t>4.</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95" w:history="1">
        <w:r w:rsidR="008F6FFE" w:rsidRPr="004A6426">
          <w:rPr>
            <w:rFonts w:asciiTheme="minorHAnsi" w:hAnsiTheme="minorHAnsi" w:cstheme="minorHAnsi"/>
            <w:color w:val="000000" w:themeColor="text1"/>
            <w:sz w:val="16"/>
            <w:szCs w:val="16"/>
            <w:shd w:val="clear" w:color="auto" w:fill="FFFFFF"/>
            <w:lang w:val="en-US"/>
          </w:rPr>
          <w:t>https://www.ncbi.nlm.nih.gov/pmc/articles/PMC6096804/</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96" w:tooltip="Advances in experimental medicine and biology." w:history="1">
        <w:r w:rsidR="008F6FFE" w:rsidRPr="003B271B">
          <w:rPr>
            <w:rFonts w:asciiTheme="minorHAnsi" w:hAnsiTheme="minorHAnsi" w:cstheme="minorHAnsi"/>
            <w:color w:val="000000" w:themeColor="text1"/>
            <w:sz w:val="16"/>
            <w:szCs w:val="16"/>
            <w:shd w:val="clear" w:color="auto" w:fill="FFFFFF"/>
            <w:lang w:val="en-US"/>
          </w:rPr>
          <w:t>Adv Exp Med Biol.</w:t>
        </w:r>
      </w:hyperlink>
      <w:r w:rsidR="008F6FFE" w:rsidRPr="003B271B">
        <w:rPr>
          <w:rFonts w:asciiTheme="minorHAnsi" w:hAnsiTheme="minorHAnsi" w:cstheme="minorHAnsi"/>
          <w:color w:val="000000" w:themeColor="text1"/>
          <w:sz w:val="16"/>
          <w:szCs w:val="16"/>
          <w:shd w:val="clear" w:color="auto" w:fill="FFFFFF"/>
          <w:lang w:val="en-US"/>
        </w:rPr>
        <w:t> 2014;807:75-96. doi: 10.1007/978-81-322-1777-0_6.</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Neuroinvasive and neurotropic human respiratory coronaviruses: potential neurovirulent agents in humans.</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397" w:history="1">
        <w:r w:rsidR="008F6FFE" w:rsidRPr="003B271B">
          <w:rPr>
            <w:rFonts w:asciiTheme="minorHAnsi" w:hAnsiTheme="minorHAnsi" w:cstheme="minorHAnsi"/>
            <w:color w:val="000000" w:themeColor="text1"/>
            <w:sz w:val="16"/>
            <w:szCs w:val="16"/>
            <w:shd w:val="clear" w:color="auto" w:fill="FFFFFF"/>
            <w:lang w:val="en-US"/>
          </w:rPr>
          <w:t>Desforges M</w:t>
        </w:r>
      </w:hyperlink>
      <w:r w:rsidR="008F6FFE" w:rsidRPr="003B271B">
        <w:rPr>
          <w:rFonts w:asciiTheme="minorHAnsi" w:hAnsiTheme="minorHAnsi" w:cstheme="minorHAnsi"/>
          <w:color w:val="000000" w:themeColor="text1"/>
          <w:sz w:val="16"/>
          <w:szCs w:val="16"/>
          <w:shd w:val="clear" w:color="auto" w:fill="FFFFFF"/>
          <w:lang w:val="en-US"/>
        </w:rPr>
        <w:t>1, </w:t>
      </w:r>
      <w:hyperlink r:id="rId1398" w:history="1">
        <w:r w:rsidR="008F6FFE" w:rsidRPr="003B271B">
          <w:rPr>
            <w:rFonts w:asciiTheme="minorHAnsi" w:hAnsiTheme="minorHAnsi" w:cstheme="minorHAnsi"/>
            <w:color w:val="000000" w:themeColor="text1"/>
            <w:sz w:val="16"/>
            <w:szCs w:val="16"/>
            <w:shd w:val="clear" w:color="auto" w:fill="FFFFFF"/>
            <w:lang w:val="en-US"/>
          </w:rPr>
          <w:t>Le Coupanec A</w:t>
        </w:r>
      </w:hyperlink>
      <w:r w:rsidR="008F6FFE" w:rsidRPr="003B271B">
        <w:rPr>
          <w:rFonts w:asciiTheme="minorHAnsi" w:hAnsiTheme="minorHAnsi" w:cstheme="minorHAnsi"/>
          <w:color w:val="000000" w:themeColor="text1"/>
          <w:sz w:val="16"/>
          <w:szCs w:val="16"/>
          <w:shd w:val="clear" w:color="auto" w:fill="FFFFFF"/>
          <w:lang w:val="en-US"/>
        </w:rPr>
        <w:t>, </w:t>
      </w:r>
      <w:hyperlink r:id="rId1399" w:history="1">
        <w:r w:rsidR="008F6FFE" w:rsidRPr="003B271B">
          <w:rPr>
            <w:rFonts w:asciiTheme="minorHAnsi" w:hAnsiTheme="minorHAnsi" w:cstheme="minorHAnsi"/>
            <w:color w:val="000000" w:themeColor="text1"/>
            <w:sz w:val="16"/>
            <w:szCs w:val="16"/>
            <w:shd w:val="clear" w:color="auto" w:fill="FFFFFF"/>
            <w:lang w:val="en-US"/>
          </w:rPr>
          <w:t>Brison E</w:t>
        </w:r>
      </w:hyperlink>
      <w:r w:rsidR="008F6FFE" w:rsidRPr="003B271B">
        <w:rPr>
          <w:rFonts w:asciiTheme="minorHAnsi" w:hAnsiTheme="minorHAnsi" w:cstheme="minorHAnsi"/>
          <w:color w:val="000000" w:themeColor="text1"/>
          <w:sz w:val="16"/>
          <w:szCs w:val="16"/>
          <w:shd w:val="clear" w:color="auto" w:fill="FFFFFF"/>
          <w:lang w:val="en-US"/>
        </w:rPr>
        <w:t>, </w:t>
      </w:r>
      <w:hyperlink r:id="rId1400" w:history="1">
        <w:r w:rsidR="008F6FFE" w:rsidRPr="003B271B">
          <w:rPr>
            <w:rFonts w:asciiTheme="minorHAnsi" w:hAnsiTheme="minorHAnsi" w:cstheme="minorHAnsi"/>
            <w:color w:val="000000" w:themeColor="text1"/>
            <w:sz w:val="16"/>
            <w:szCs w:val="16"/>
            <w:shd w:val="clear" w:color="auto" w:fill="FFFFFF"/>
            <w:lang w:val="en-US"/>
          </w:rPr>
          <w:t>Meessen-Pinard M</w:t>
        </w:r>
      </w:hyperlink>
      <w:r w:rsidR="008F6FFE" w:rsidRPr="003B271B">
        <w:rPr>
          <w:rFonts w:asciiTheme="minorHAnsi" w:hAnsiTheme="minorHAnsi" w:cstheme="minorHAnsi"/>
          <w:color w:val="000000" w:themeColor="text1"/>
          <w:sz w:val="16"/>
          <w:szCs w:val="16"/>
          <w:shd w:val="clear" w:color="auto" w:fill="FFFFFF"/>
          <w:lang w:val="en-US"/>
        </w:rPr>
        <w:t>, </w:t>
      </w:r>
      <w:hyperlink r:id="rId1401" w:history="1">
        <w:r w:rsidR="008F6FFE" w:rsidRPr="003B271B">
          <w:rPr>
            <w:rFonts w:asciiTheme="minorHAnsi" w:hAnsiTheme="minorHAnsi" w:cstheme="minorHAnsi"/>
            <w:color w:val="000000" w:themeColor="text1"/>
            <w:sz w:val="16"/>
            <w:szCs w:val="16"/>
            <w:shd w:val="clear" w:color="auto" w:fill="FFFFFF"/>
            <w:lang w:val="en-US"/>
          </w:rPr>
          <w:t>Talbot PJ</w:t>
        </w:r>
      </w:hyperlink>
      <w:r w:rsidR="008F6FFE" w:rsidRPr="003B271B">
        <w:rPr>
          <w:rFonts w:asciiTheme="minorHAnsi" w:hAnsiTheme="minorHAnsi" w:cstheme="minorHAnsi"/>
          <w:color w:val="000000" w:themeColor="text1"/>
          <w:sz w:val="16"/>
          <w:szCs w:val="16"/>
          <w:shd w:val="clear" w:color="auto" w:fill="FFFFFF"/>
          <w:lang w:val="en-US"/>
        </w:rPr>
        <w:t>.</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402" w:history="1">
        <w:r w:rsidR="008F6FFE" w:rsidRPr="004A6426">
          <w:rPr>
            <w:rFonts w:asciiTheme="minorHAnsi" w:hAnsiTheme="minorHAnsi" w:cstheme="minorHAnsi"/>
            <w:color w:val="000000" w:themeColor="text1"/>
            <w:sz w:val="16"/>
            <w:szCs w:val="16"/>
            <w:shd w:val="clear" w:color="auto" w:fill="FFFFFF"/>
            <w:lang w:val="en-US"/>
          </w:rPr>
          <w:t>https://www.ncbi.nlm.nih.gov/pmc/articles/PMC7121612/</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403" w:tooltip="Virus research." w:history="1">
        <w:r w:rsidR="008F6FFE" w:rsidRPr="003B271B">
          <w:rPr>
            <w:rFonts w:asciiTheme="minorHAnsi" w:hAnsiTheme="minorHAnsi" w:cstheme="minorHAnsi"/>
            <w:color w:val="000000" w:themeColor="text1"/>
            <w:sz w:val="16"/>
            <w:szCs w:val="16"/>
            <w:shd w:val="clear" w:color="auto" w:fill="FFFFFF"/>
            <w:lang w:val="en-US"/>
          </w:rPr>
          <w:t>Virus Res.</w:t>
        </w:r>
      </w:hyperlink>
      <w:r w:rsidR="008F6FFE" w:rsidRPr="003B271B">
        <w:rPr>
          <w:rFonts w:asciiTheme="minorHAnsi" w:hAnsiTheme="minorHAnsi" w:cstheme="minorHAnsi"/>
          <w:color w:val="000000" w:themeColor="text1"/>
          <w:sz w:val="16"/>
          <w:szCs w:val="16"/>
          <w:shd w:val="clear" w:color="auto" w:fill="FFFFFF"/>
          <w:lang w:val="en-US"/>
        </w:rPr>
        <w:t xml:space="preserve"> 2014 Dec 19;194:145-58. doi: 10.1016/j.virusres.2014.09.011. </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Human coronaviruses: viral and cellular factors involved in neuroinvasiveness and neuropathogenesis.</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404" w:history="1">
        <w:r w:rsidR="008F6FFE" w:rsidRPr="003B271B">
          <w:rPr>
            <w:rFonts w:asciiTheme="minorHAnsi" w:hAnsiTheme="minorHAnsi" w:cstheme="minorHAnsi"/>
            <w:color w:val="000000" w:themeColor="text1"/>
            <w:sz w:val="16"/>
            <w:szCs w:val="16"/>
            <w:shd w:val="clear" w:color="auto" w:fill="FFFFFF"/>
            <w:lang w:val="en-US"/>
          </w:rPr>
          <w:t>Desforges M</w:t>
        </w:r>
      </w:hyperlink>
      <w:r w:rsidR="008F6FFE" w:rsidRPr="003B271B">
        <w:rPr>
          <w:rFonts w:asciiTheme="minorHAnsi" w:hAnsiTheme="minorHAnsi" w:cstheme="minorHAnsi"/>
          <w:color w:val="000000" w:themeColor="text1"/>
          <w:sz w:val="16"/>
          <w:szCs w:val="16"/>
          <w:shd w:val="clear" w:color="auto" w:fill="FFFFFF"/>
          <w:lang w:val="en-US"/>
        </w:rPr>
        <w:t>1, </w:t>
      </w:r>
      <w:hyperlink r:id="rId1405" w:history="1">
        <w:r w:rsidR="008F6FFE" w:rsidRPr="003B271B">
          <w:rPr>
            <w:rFonts w:asciiTheme="minorHAnsi" w:hAnsiTheme="minorHAnsi" w:cstheme="minorHAnsi"/>
            <w:color w:val="000000" w:themeColor="text1"/>
            <w:sz w:val="16"/>
            <w:szCs w:val="16"/>
            <w:shd w:val="clear" w:color="auto" w:fill="FFFFFF"/>
            <w:lang w:val="en-US"/>
          </w:rPr>
          <w:t>Le Coupanec A</w:t>
        </w:r>
      </w:hyperlink>
      <w:r w:rsidR="008F6FFE" w:rsidRPr="003B271B">
        <w:rPr>
          <w:rFonts w:asciiTheme="minorHAnsi" w:hAnsiTheme="minorHAnsi" w:cstheme="minorHAnsi"/>
          <w:color w:val="000000" w:themeColor="text1"/>
          <w:sz w:val="16"/>
          <w:szCs w:val="16"/>
          <w:shd w:val="clear" w:color="auto" w:fill="FFFFFF"/>
          <w:lang w:val="en-US"/>
        </w:rPr>
        <w:t>2, </w:t>
      </w:r>
      <w:hyperlink r:id="rId1406" w:history="1">
        <w:r w:rsidR="008F6FFE" w:rsidRPr="003B271B">
          <w:rPr>
            <w:rFonts w:asciiTheme="minorHAnsi" w:hAnsiTheme="minorHAnsi" w:cstheme="minorHAnsi"/>
            <w:color w:val="000000" w:themeColor="text1"/>
            <w:sz w:val="16"/>
            <w:szCs w:val="16"/>
            <w:shd w:val="clear" w:color="auto" w:fill="FFFFFF"/>
            <w:lang w:val="en-US"/>
          </w:rPr>
          <w:t>Stodola JK</w:t>
        </w:r>
      </w:hyperlink>
      <w:r w:rsidR="008F6FFE" w:rsidRPr="003B271B">
        <w:rPr>
          <w:rFonts w:asciiTheme="minorHAnsi" w:hAnsiTheme="minorHAnsi" w:cstheme="minorHAnsi"/>
          <w:color w:val="000000" w:themeColor="text1"/>
          <w:sz w:val="16"/>
          <w:szCs w:val="16"/>
          <w:shd w:val="clear" w:color="auto" w:fill="FFFFFF"/>
          <w:lang w:val="en-US"/>
        </w:rPr>
        <w:t>2, </w:t>
      </w:r>
      <w:hyperlink r:id="rId1407" w:history="1">
        <w:r w:rsidR="008F6FFE" w:rsidRPr="003B271B">
          <w:rPr>
            <w:rFonts w:asciiTheme="minorHAnsi" w:hAnsiTheme="minorHAnsi" w:cstheme="minorHAnsi"/>
            <w:color w:val="000000" w:themeColor="text1"/>
            <w:sz w:val="16"/>
            <w:szCs w:val="16"/>
            <w:shd w:val="clear" w:color="auto" w:fill="FFFFFF"/>
            <w:lang w:val="en-US"/>
          </w:rPr>
          <w:t>Meessen-Pinard M</w:t>
        </w:r>
      </w:hyperlink>
      <w:r w:rsidR="008F6FFE" w:rsidRPr="003B271B">
        <w:rPr>
          <w:rFonts w:asciiTheme="minorHAnsi" w:hAnsiTheme="minorHAnsi" w:cstheme="minorHAnsi"/>
          <w:color w:val="000000" w:themeColor="text1"/>
          <w:sz w:val="16"/>
          <w:szCs w:val="16"/>
          <w:shd w:val="clear" w:color="auto" w:fill="FFFFFF"/>
          <w:lang w:val="en-US"/>
        </w:rPr>
        <w:t>2, </w:t>
      </w:r>
      <w:hyperlink r:id="rId1408" w:history="1">
        <w:r w:rsidR="008F6FFE" w:rsidRPr="003B271B">
          <w:rPr>
            <w:rFonts w:asciiTheme="minorHAnsi" w:hAnsiTheme="minorHAnsi" w:cstheme="minorHAnsi"/>
            <w:color w:val="000000" w:themeColor="text1"/>
            <w:sz w:val="16"/>
            <w:szCs w:val="16"/>
            <w:shd w:val="clear" w:color="auto" w:fill="FFFFFF"/>
            <w:lang w:val="en-US"/>
          </w:rPr>
          <w:t>Talbot PJ</w:t>
        </w:r>
      </w:hyperlink>
      <w:r w:rsidR="008F6FFE" w:rsidRPr="003B271B">
        <w:rPr>
          <w:rFonts w:asciiTheme="minorHAnsi" w:hAnsiTheme="minorHAnsi" w:cstheme="minorHAnsi"/>
          <w:color w:val="000000" w:themeColor="text1"/>
          <w:sz w:val="16"/>
          <w:szCs w:val="16"/>
          <w:shd w:val="clear" w:color="auto" w:fill="FFFFFF"/>
          <w:lang w:val="en-US"/>
        </w:rPr>
        <w:t>3.</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409" w:history="1">
        <w:r w:rsidR="008F6FFE" w:rsidRPr="004A6426">
          <w:rPr>
            <w:rFonts w:asciiTheme="minorHAnsi" w:hAnsiTheme="minorHAnsi" w:cstheme="minorHAnsi"/>
            <w:color w:val="000000" w:themeColor="text1"/>
            <w:sz w:val="16"/>
            <w:szCs w:val="16"/>
            <w:shd w:val="clear" w:color="auto" w:fill="FFFFFF"/>
            <w:lang w:val="en-US"/>
          </w:rPr>
          <w:t>https://www.ncbi.nlm.nih.gov/pmc/articles/PMC7114389/</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410" w:tooltip="Acta neurologica Taiwanica." w:history="1">
        <w:r w:rsidR="008F6FFE" w:rsidRPr="003B271B">
          <w:rPr>
            <w:rFonts w:asciiTheme="minorHAnsi" w:hAnsiTheme="minorHAnsi" w:cstheme="minorHAnsi"/>
            <w:color w:val="000000" w:themeColor="text1"/>
            <w:sz w:val="16"/>
            <w:szCs w:val="16"/>
            <w:shd w:val="clear" w:color="auto" w:fill="FFFFFF"/>
            <w:lang w:val="en-US"/>
          </w:rPr>
          <w:t>Acta Neurol Taiwan.</w:t>
        </w:r>
      </w:hyperlink>
      <w:r w:rsidR="008F6FFE" w:rsidRPr="003B271B">
        <w:rPr>
          <w:rFonts w:asciiTheme="minorHAnsi" w:hAnsiTheme="minorHAnsi" w:cstheme="minorHAnsi"/>
          <w:color w:val="000000" w:themeColor="text1"/>
          <w:sz w:val="16"/>
          <w:szCs w:val="16"/>
          <w:shd w:val="clear" w:color="auto" w:fill="FFFFFF"/>
          <w:lang w:val="en-US"/>
        </w:rPr>
        <w:t> 2005 Sep;14(3):113-9.</w:t>
      </w: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Neurological manifestations in severe acute respiratory syndrome.</w:t>
      </w: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411" w:history="1">
        <w:r w:rsidR="008F6FFE" w:rsidRPr="003B271B">
          <w:rPr>
            <w:rFonts w:asciiTheme="minorHAnsi" w:hAnsiTheme="minorHAnsi" w:cstheme="minorHAnsi"/>
            <w:color w:val="000000" w:themeColor="text1"/>
            <w:sz w:val="16"/>
            <w:szCs w:val="16"/>
            <w:shd w:val="clear" w:color="auto" w:fill="FFFFFF"/>
            <w:lang w:val="en-US"/>
          </w:rPr>
          <w:t>Tsai LK</w:t>
        </w:r>
      </w:hyperlink>
      <w:r w:rsidR="008F6FFE" w:rsidRPr="003B271B">
        <w:rPr>
          <w:rFonts w:asciiTheme="minorHAnsi" w:hAnsiTheme="minorHAnsi" w:cstheme="minorHAnsi"/>
          <w:color w:val="000000" w:themeColor="text1"/>
          <w:sz w:val="16"/>
          <w:szCs w:val="16"/>
          <w:shd w:val="clear" w:color="auto" w:fill="FFFFFF"/>
          <w:lang w:val="en-US"/>
        </w:rPr>
        <w:t>1, </w:t>
      </w:r>
      <w:hyperlink r:id="rId1412" w:history="1">
        <w:r w:rsidR="008F6FFE" w:rsidRPr="003B271B">
          <w:rPr>
            <w:rFonts w:asciiTheme="minorHAnsi" w:hAnsiTheme="minorHAnsi" w:cstheme="minorHAnsi"/>
            <w:color w:val="000000" w:themeColor="text1"/>
            <w:sz w:val="16"/>
            <w:szCs w:val="16"/>
            <w:shd w:val="clear" w:color="auto" w:fill="FFFFFF"/>
            <w:lang w:val="en-US"/>
          </w:rPr>
          <w:t>Hsieh ST</w:t>
        </w:r>
      </w:hyperlink>
      <w:r w:rsidR="008F6FFE" w:rsidRPr="003B271B">
        <w:rPr>
          <w:rFonts w:asciiTheme="minorHAnsi" w:hAnsiTheme="minorHAnsi" w:cstheme="minorHAnsi"/>
          <w:color w:val="000000" w:themeColor="text1"/>
          <w:sz w:val="16"/>
          <w:szCs w:val="16"/>
          <w:shd w:val="clear" w:color="auto" w:fill="FFFFFF"/>
          <w:lang w:val="en-US"/>
        </w:rPr>
        <w:t>, </w:t>
      </w:r>
      <w:hyperlink r:id="rId1413" w:history="1">
        <w:r w:rsidR="008F6FFE" w:rsidRPr="003B271B">
          <w:rPr>
            <w:rFonts w:asciiTheme="minorHAnsi" w:hAnsiTheme="minorHAnsi" w:cstheme="minorHAnsi"/>
            <w:color w:val="000000" w:themeColor="text1"/>
            <w:sz w:val="16"/>
            <w:szCs w:val="16"/>
            <w:shd w:val="clear" w:color="auto" w:fill="FFFFFF"/>
            <w:lang w:val="en-US"/>
          </w:rPr>
          <w:t>Chang YC</w:t>
        </w:r>
      </w:hyperlink>
      <w:r w:rsidR="008F6FFE" w:rsidRPr="003B271B">
        <w:rPr>
          <w:rFonts w:asciiTheme="minorHAnsi" w:hAnsiTheme="minorHAnsi" w:cstheme="minorHAnsi"/>
          <w:color w:val="000000" w:themeColor="text1"/>
          <w:sz w:val="16"/>
          <w:szCs w:val="16"/>
          <w:shd w:val="clear" w:color="auto" w:fill="FFFFFF"/>
          <w:lang w:val="en-US"/>
        </w:rPr>
        <w:t>.</w:t>
      </w:r>
    </w:p>
    <w:p w:rsidR="008F6FFE" w:rsidRPr="004A642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414" w:history="1">
        <w:r w:rsidR="008F6FFE" w:rsidRPr="004A6426">
          <w:rPr>
            <w:rFonts w:asciiTheme="minorHAnsi" w:hAnsiTheme="minorHAnsi" w:cstheme="minorHAnsi"/>
            <w:color w:val="000000" w:themeColor="text1"/>
            <w:sz w:val="16"/>
            <w:szCs w:val="16"/>
            <w:shd w:val="clear" w:color="auto" w:fill="FFFFFF"/>
            <w:lang w:val="en-US"/>
          </w:rPr>
          <w:t>https://pubmed.ncbi.nlm.nih.gov/16252612/</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 w:id="248">
    <w:p w:rsidR="008F6FFE" w:rsidRPr="003B271B" w:rsidRDefault="008F6FFE" w:rsidP="004A6426">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4A6426">
        <w:rPr>
          <w:rFonts w:asciiTheme="minorHAnsi" w:hAnsiTheme="minorHAnsi" w:cstheme="minorHAnsi"/>
          <w:color w:val="000000" w:themeColor="text1"/>
          <w:sz w:val="16"/>
          <w:szCs w:val="16"/>
          <w:shd w:val="clear" w:color="auto" w:fill="FFFFFF"/>
          <w:vertAlign w:val="superscript"/>
          <w:lang w:val="en-US"/>
        </w:rPr>
        <w:footnoteRef/>
      </w:r>
      <w:r w:rsidRPr="004A6426">
        <w:rPr>
          <w:rFonts w:asciiTheme="minorHAnsi" w:hAnsiTheme="minorHAnsi" w:cstheme="minorHAnsi"/>
          <w:color w:val="000000" w:themeColor="text1"/>
          <w:sz w:val="16"/>
          <w:szCs w:val="16"/>
          <w:shd w:val="clear" w:color="auto" w:fill="FFFFFF"/>
          <w:vertAlign w:val="superscript"/>
          <w:lang w:val="en-US"/>
        </w:rPr>
        <w:t xml:space="preserve"> </w:t>
      </w:r>
      <w:r w:rsidRPr="003B271B">
        <w:rPr>
          <w:rFonts w:asciiTheme="minorHAnsi" w:hAnsiTheme="minorHAnsi" w:cstheme="minorHAnsi"/>
          <w:color w:val="000000" w:themeColor="text1"/>
          <w:sz w:val="16"/>
          <w:szCs w:val="16"/>
          <w:shd w:val="clear" w:color="auto" w:fill="FFFFFF"/>
          <w:lang w:val="en-US"/>
        </w:rPr>
        <w:t>Clin Immunol. 2020;215:108426. doi:10.1016/j.clim.2020.108426</w:t>
      </w:r>
    </w:p>
    <w:p w:rsidR="008F6FFE" w:rsidRDefault="008F6FFE" w:rsidP="00553BD0">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On the molecular determinants of the SARS-CoV-2 attack </w:t>
      </w:r>
    </w:p>
    <w:p w:rsidR="008F6FFE" w:rsidRPr="00235A16" w:rsidRDefault="008F6FFE" w:rsidP="00553BD0">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235A16">
        <w:rPr>
          <w:rFonts w:asciiTheme="minorHAnsi" w:hAnsiTheme="minorHAnsi" w:cstheme="minorHAnsi"/>
          <w:color w:val="000000" w:themeColor="text1"/>
          <w:sz w:val="16"/>
          <w:szCs w:val="16"/>
          <w:shd w:val="clear" w:color="auto" w:fill="FFFFFF"/>
          <w:lang w:val="de-DE"/>
        </w:rPr>
        <w:t>Kanduc D, Shoenfeld Y.</w:t>
      </w:r>
    </w:p>
    <w:p w:rsidR="008F6FFE" w:rsidRPr="00235A1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415" w:history="1">
        <w:r w:rsidR="008F6FFE" w:rsidRPr="00235A16">
          <w:rPr>
            <w:rFonts w:asciiTheme="minorHAnsi" w:hAnsiTheme="minorHAnsi" w:cstheme="minorHAnsi"/>
            <w:color w:val="000000" w:themeColor="text1"/>
            <w:sz w:val="16"/>
            <w:szCs w:val="16"/>
            <w:shd w:val="clear" w:color="auto" w:fill="FFFFFF"/>
            <w:lang w:val="de-DE"/>
          </w:rPr>
          <w:t>https://www.ncbi.nlm.nih.gov/pmc/articles/PMC7165084/</w:t>
        </w:r>
      </w:hyperlink>
    </w:p>
    <w:p w:rsidR="008F6FFE" w:rsidRPr="00235A16" w:rsidRDefault="008F6FFE" w:rsidP="00553BD0">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p>
  </w:footnote>
  <w:footnote w:id="249">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4A6426">
        <w:rPr>
          <w:rFonts w:asciiTheme="minorHAnsi" w:hAnsiTheme="minorHAnsi" w:cstheme="minorHAnsi"/>
          <w:color w:val="000000" w:themeColor="text1"/>
          <w:sz w:val="16"/>
          <w:szCs w:val="16"/>
          <w:shd w:val="clear" w:color="auto" w:fill="FFFFFF"/>
          <w:vertAlign w:val="superscript"/>
          <w:lang w:val="en-US"/>
        </w:rPr>
        <w:footnoteRef/>
      </w:r>
      <w:r w:rsidRPr="00235A16">
        <w:rPr>
          <w:rFonts w:asciiTheme="minorHAnsi" w:hAnsiTheme="minorHAnsi" w:cstheme="minorHAnsi"/>
          <w:color w:val="000000" w:themeColor="text1"/>
          <w:sz w:val="16"/>
          <w:szCs w:val="16"/>
          <w:shd w:val="clear" w:color="auto" w:fill="FFFFFF"/>
          <w:lang w:val="de-DE"/>
        </w:rPr>
        <w:t xml:space="preserve"> J Transl Autoimmun. 2020;3:100051. doi:10.1016/j.jtauto.2020.100051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Pathogenic Priming Likely Contributes to Serious and Critical Illness and Mortality in COVID-19 via Autoimmunity </w:t>
      </w:r>
    </w:p>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235A16">
        <w:rPr>
          <w:rFonts w:asciiTheme="minorHAnsi" w:hAnsiTheme="minorHAnsi" w:cstheme="minorHAnsi"/>
          <w:color w:val="000000" w:themeColor="text1"/>
          <w:sz w:val="16"/>
          <w:szCs w:val="16"/>
          <w:shd w:val="clear" w:color="auto" w:fill="FFFFFF"/>
          <w:lang w:val="de-DE"/>
        </w:rPr>
        <w:t>Lyons-Weiler J.</w:t>
      </w:r>
    </w:p>
    <w:p w:rsidR="008F6FFE" w:rsidRPr="00235A16"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416" w:history="1">
        <w:r w:rsidR="008F6FFE" w:rsidRPr="00235A16">
          <w:rPr>
            <w:rFonts w:asciiTheme="minorHAnsi" w:hAnsiTheme="minorHAnsi" w:cstheme="minorHAnsi"/>
            <w:color w:val="000000" w:themeColor="text1"/>
            <w:sz w:val="16"/>
            <w:szCs w:val="16"/>
            <w:shd w:val="clear" w:color="auto" w:fill="FFFFFF"/>
            <w:lang w:val="de-DE"/>
          </w:rPr>
          <w:t>https://www.ncbi.nlm.nih.gov/pmc/articles/PMC7142689/</w:t>
        </w:r>
      </w:hyperlink>
    </w:p>
    <w:p w:rsidR="008F6FFE" w:rsidRPr="00235A16"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p>
  </w:footnote>
  <w:footnote w:id="250">
    <w:p w:rsidR="008F6FFE" w:rsidRDefault="008F6FFE" w:rsidP="0071435C">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71435C">
        <w:rPr>
          <w:rStyle w:val="FootnoteReference"/>
          <w:rFonts w:asciiTheme="minorHAnsi" w:hAnsiTheme="minorHAnsi" w:cstheme="minorHAnsi"/>
          <w:sz w:val="16"/>
          <w:szCs w:val="16"/>
        </w:rPr>
        <w:footnoteRef/>
      </w:r>
      <w:r w:rsidRPr="0071435C">
        <w:rPr>
          <w:lang w:val="en-US"/>
        </w:rPr>
        <w:t xml:space="preserve"> </w:t>
      </w:r>
      <w:r w:rsidRPr="003B271B">
        <w:rPr>
          <w:rFonts w:asciiTheme="minorHAnsi" w:hAnsiTheme="minorHAnsi" w:cstheme="minorHAnsi"/>
          <w:color w:val="000000" w:themeColor="text1"/>
          <w:sz w:val="16"/>
          <w:szCs w:val="16"/>
          <w:shd w:val="clear" w:color="auto" w:fill="FFFFFF"/>
          <w:lang w:val="en-US"/>
        </w:rPr>
        <w:t xml:space="preserve">Vojdani A, Kharrazianb D. </w:t>
      </w:r>
    </w:p>
    <w:p w:rsidR="008F6FFE" w:rsidRPr="00235A16" w:rsidRDefault="008F6FFE" w:rsidP="0071435C">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3B271B">
        <w:rPr>
          <w:rFonts w:asciiTheme="minorHAnsi" w:hAnsiTheme="minorHAnsi" w:cstheme="minorHAnsi"/>
          <w:color w:val="000000" w:themeColor="text1"/>
          <w:sz w:val="16"/>
          <w:szCs w:val="16"/>
          <w:shd w:val="clear" w:color="auto" w:fill="FFFFFF"/>
          <w:lang w:val="en-US"/>
        </w:rPr>
        <w:t>Potential antigenic cross-reactivity between SARS-CoV-2 and human tissue with a possible link to an increase in autoimmune diseases [published online ahead of print, 2020 May 24]. </w:t>
      </w:r>
      <w:r w:rsidRPr="00235A16">
        <w:rPr>
          <w:rFonts w:asciiTheme="minorHAnsi" w:hAnsiTheme="minorHAnsi" w:cstheme="minorHAnsi"/>
          <w:color w:val="000000" w:themeColor="text1"/>
          <w:sz w:val="16"/>
          <w:szCs w:val="16"/>
          <w:shd w:val="clear" w:color="auto" w:fill="FFFFFF"/>
          <w:lang w:val="de-DE"/>
        </w:rPr>
        <w:t>Clin Immunol. 2020;108480. doi:10.1016/j.clim.2020.108480</w:t>
      </w:r>
    </w:p>
    <w:p w:rsidR="008F6FFE" w:rsidRPr="00235A16" w:rsidRDefault="0052743C" w:rsidP="0071435C">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hyperlink r:id="rId1417" w:history="1">
        <w:r w:rsidR="008F6FFE" w:rsidRPr="00235A16">
          <w:rPr>
            <w:rFonts w:asciiTheme="minorHAnsi" w:hAnsiTheme="minorHAnsi" w:cstheme="minorHAnsi"/>
            <w:color w:val="000000" w:themeColor="text1"/>
            <w:sz w:val="16"/>
            <w:szCs w:val="16"/>
            <w:shd w:val="clear" w:color="auto" w:fill="FFFFFF"/>
            <w:lang w:val="de-DE"/>
          </w:rPr>
          <w:t>https://www.ncbi.nlm.nih.gov/pmc/articles/PMC7246018/</w:t>
        </w:r>
      </w:hyperlink>
    </w:p>
    <w:p w:rsidR="008F6FFE" w:rsidRPr="00235A16" w:rsidRDefault="008F6FFE">
      <w:pPr>
        <w:pStyle w:val="FootnoteText"/>
        <w:rPr>
          <w:rFonts w:asciiTheme="minorHAnsi" w:hAnsiTheme="minorHAnsi" w:cstheme="minorHAnsi"/>
          <w:sz w:val="16"/>
          <w:szCs w:val="16"/>
          <w:lang w:val="de-DE"/>
        </w:rPr>
      </w:pPr>
    </w:p>
  </w:footnote>
  <w:footnote w:id="251">
    <w:p w:rsidR="008F6FFE" w:rsidRPr="00235A16" w:rsidRDefault="008F6FFE" w:rsidP="0071435C">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de-DE"/>
        </w:rPr>
      </w:pPr>
      <w:r w:rsidRPr="0071435C">
        <w:rPr>
          <w:rFonts w:asciiTheme="minorHAnsi" w:hAnsiTheme="minorHAnsi" w:cstheme="minorHAnsi"/>
          <w:color w:val="000000" w:themeColor="text1"/>
          <w:sz w:val="16"/>
          <w:szCs w:val="16"/>
          <w:shd w:val="clear" w:color="auto" w:fill="FFFFFF"/>
          <w:vertAlign w:val="superscript"/>
          <w:lang w:val="en-US"/>
        </w:rPr>
        <w:footnoteRef/>
      </w:r>
      <w:r w:rsidRPr="00235A16">
        <w:rPr>
          <w:rFonts w:asciiTheme="minorHAnsi" w:hAnsiTheme="minorHAnsi" w:cstheme="minorHAnsi"/>
          <w:color w:val="000000" w:themeColor="text1"/>
          <w:sz w:val="16"/>
          <w:szCs w:val="16"/>
          <w:shd w:val="clear" w:color="auto" w:fill="FFFFFF"/>
          <w:lang w:val="de-DE"/>
        </w:rPr>
        <w:t xml:space="preserve"> Whitman J.D., Hiatt J., Mowery C.T., Shy B.R., Yu R., Yamamoto T.N. </w:t>
      </w:r>
    </w:p>
    <w:p w:rsidR="008F6FFE" w:rsidRDefault="008F6FFE" w:rsidP="0071435C">
      <w:pPr>
        <w:pStyle w:val="labs-full-docsum"/>
        <w:shd w:val="clear" w:color="auto" w:fill="FFFFFF"/>
        <w:spacing w:before="0" w:beforeAutospacing="0" w:after="0" w:afterAutospacing="0"/>
        <w:rPr>
          <w:rFonts w:asciiTheme="minorHAnsi" w:hAnsiTheme="minorHAnsi" w:cstheme="minorHAnsi"/>
          <w:color w:val="000000" w:themeColor="text1"/>
          <w:sz w:val="16"/>
          <w:szCs w:val="16"/>
          <w:lang w:val="en-US"/>
        </w:rPr>
      </w:pPr>
      <w:r w:rsidRPr="0071435C">
        <w:rPr>
          <w:rFonts w:asciiTheme="minorHAnsi" w:hAnsiTheme="minorHAnsi" w:cstheme="minorHAnsi"/>
          <w:color w:val="000000" w:themeColor="text1"/>
          <w:sz w:val="16"/>
          <w:szCs w:val="16"/>
          <w:shd w:val="clear" w:color="auto" w:fill="FFFFFF"/>
          <w:lang w:val="en-US"/>
        </w:rPr>
        <w:t>Test performance evaluation of SARS-CoV-2 serological assay.</w:t>
      </w:r>
      <w:r w:rsidRPr="0071435C">
        <w:rPr>
          <w:rFonts w:asciiTheme="minorHAnsi" w:hAnsiTheme="minorHAnsi" w:cstheme="minorHAnsi"/>
          <w:color w:val="000000" w:themeColor="text1"/>
          <w:sz w:val="16"/>
          <w:szCs w:val="16"/>
          <w:lang w:val="en-US"/>
        </w:rPr>
        <w:t> </w:t>
      </w:r>
    </w:p>
    <w:p w:rsidR="008F6FFE" w:rsidRPr="0071435C" w:rsidRDefault="008F6FFE" w:rsidP="0071435C">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71435C">
        <w:rPr>
          <w:rFonts w:asciiTheme="minorHAnsi" w:hAnsiTheme="minorHAnsi" w:cstheme="minorHAnsi"/>
          <w:color w:val="000000" w:themeColor="text1"/>
          <w:sz w:val="16"/>
          <w:szCs w:val="16"/>
          <w:shd w:val="clear" w:color="auto" w:fill="FFFFFF"/>
          <w:lang w:val="en-US"/>
        </w:rPr>
        <w:t>MedRxiv. 2020 doi: 10.1101/2020.04.25.20074856.</w:t>
      </w:r>
      <w:r w:rsidRPr="0071435C">
        <w:rPr>
          <w:rFonts w:asciiTheme="minorHAnsi" w:hAnsiTheme="minorHAnsi" w:cstheme="minorHAnsi"/>
          <w:color w:val="000000" w:themeColor="text1"/>
          <w:sz w:val="16"/>
          <w:szCs w:val="16"/>
          <w:lang w:val="en-US"/>
        </w:rPr>
        <w:t> </w:t>
      </w:r>
      <w:r w:rsidRPr="0071435C">
        <w:rPr>
          <w:rFonts w:asciiTheme="minorHAnsi" w:hAnsiTheme="minorHAnsi" w:cstheme="minorHAnsi"/>
          <w:color w:val="000000" w:themeColor="text1"/>
          <w:sz w:val="16"/>
          <w:szCs w:val="16"/>
          <w:shd w:val="clear" w:color="auto" w:fill="FFFFFF"/>
          <w:lang w:val="en-US"/>
        </w:rPr>
        <w:t>(preprint)</w:t>
      </w:r>
      <w:r w:rsidRPr="0071435C">
        <w:rPr>
          <w:rFonts w:asciiTheme="minorHAnsi" w:hAnsiTheme="minorHAnsi" w:cstheme="minorHAnsi"/>
          <w:color w:val="000000" w:themeColor="text1"/>
          <w:sz w:val="16"/>
          <w:szCs w:val="16"/>
          <w:lang w:val="en-US"/>
        </w:rPr>
        <w:t> </w:t>
      </w:r>
    </w:p>
    <w:p w:rsidR="008F6FFE" w:rsidRPr="0071435C" w:rsidRDefault="008F6FFE">
      <w:pPr>
        <w:pStyle w:val="FootnoteText"/>
        <w:rPr>
          <w:rFonts w:asciiTheme="minorHAnsi" w:hAnsiTheme="minorHAnsi" w:cstheme="minorHAnsi"/>
          <w:sz w:val="16"/>
          <w:szCs w:val="16"/>
          <w:lang w:val="en-US"/>
        </w:rPr>
      </w:pPr>
    </w:p>
  </w:footnote>
  <w:footnote w:id="252">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71435C">
        <w:rPr>
          <w:rFonts w:asciiTheme="minorHAnsi" w:hAnsiTheme="minorHAnsi" w:cstheme="minorHAnsi"/>
          <w:color w:val="000000" w:themeColor="text1"/>
          <w:sz w:val="16"/>
          <w:szCs w:val="16"/>
          <w:shd w:val="clear" w:color="auto" w:fill="FFFFFF"/>
          <w:vertAlign w:val="superscript"/>
          <w:lang w:val="en-US"/>
        </w:rPr>
        <w:footnoteRef/>
      </w:r>
      <w:r w:rsidRPr="003B271B">
        <w:rPr>
          <w:rFonts w:asciiTheme="minorHAnsi" w:hAnsiTheme="minorHAnsi" w:cstheme="minorHAnsi"/>
          <w:color w:val="000000" w:themeColor="text1"/>
          <w:sz w:val="16"/>
          <w:szCs w:val="16"/>
          <w:shd w:val="clear" w:color="auto" w:fill="FFFFFF"/>
          <w:lang w:val="en-US"/>
        </w:rPr>
        <w:t xml:space="preserve"> Salehi S, Reddy S, Gholamrezanezhad A.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Long-term Pulmonary Consequences of Coronavirus Disease 2019 (COVID-19): What We Know and What to Expect </w:t>
      </w: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J Thorac Imaging. 2020;10.1097/RTI.0000000000000534. doi:10.1097/RTI.0000000000000534</w:t>
      </w:r>
    </w:p>
    <w:p w:rsidR="008F6FFE" w:rsidRPr="00CB502B" w:rsidRDefault="0052743C" w:rsidP="00CB502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418" w:history="1">
        <w:r w:rsidR="008F6FFE" w:rsidRPr="00CB502B">
          <w:rPr>
            <w:rFonts w:asciiTheme="minorHAnsi" w:hAnsiTheme="minorHAnsi" w:cstheme="minorHAnsi"/>
            <w:color w:val="000000" w:themeColor="text1"/>
            <w:sz w:val="16"/>
            <w:szCs w:val="16"/>
            <w:shd w:val="clear" w:color="auto" w:fill="FFFFFF"/>
            <w:lang w:val="en-US"/>
          </w:rPr>
          <w:t>https://journals.lww.com/thoracicimaging/Citation/9000/Long_term_Pulmonary_Consequences_of_Coronavirus.99412.aspx</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r w:rsidRPr="003B271B">
        <w:rPr>
          <w:rFonts w:asciiTheme="minorHAnsi" w:hAnsiTheme="minorHAnsi" w:cstheme="minorHAnsi"/>
          <w:color w:val="000000" w:themeColor="text1"/>
          <w:sz w:val="16"/>
          <w:szCs w:val="16"/>
          <w:shd w:val="clear" w:color="auto" w:fill="FFFFFF"/>
          <w:lang w:val="en-US"/>
        </w:rPr>
        <w:t xml:space="preserve"> </w:t>
      </w:r>
      <w:hyperlink r:id="rId1419" w:history="1">
        <w:r w:rsidRPr="0071435C">
          <w:rPr>
            <w:rFonts w:asciiTheme="minorHAnsi" w:hAnsiTheme="minorHAnsi" w:cstheme="minorHAnsi"/>
            <w:color w:val="000000" w:themeColor="text1"/>
            <w:sz w:val="16"/>
            <w:szCs w:val="16"/>
            <w:shd w:val="clear" w:color="auto" w:fill="FFFFFF"/>
            <w:lang w:val="en-US"/>
          </w:rPr>
          <w:t>https://www.vox.com/2020/5/8/21251899/coronavirus-long-term-effects-symptoms</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52743C"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hyperlink r:id="rId1420" w:history="1">
        <w:r w:rsidR="008F6FFE" w:rsidRPr="00F37295">
          <w:rPr>
            <w:rFonts w:asciiTheme="minorHAnsi" w:hAnsiTheme="minorHAnsi" w:cstheme="minorHAnsi"/>
            <w:color w:val="000000" w:themeColor="text1"/>
            <w:sz w:val="16"/>
            <w:szCs w:val="16"/>
            <w:shd w:val="clear" w:color="auto" w:fill="FFFFFF"/>
            <w:lang w:val="en-US"/>
          </w:rPr>
          <w:t>https://elemental.medium.com/the-long-term-health-impacts-of-being-infected-with-the-coronavirus-d3a03f3cb6e8</w:t>
        </w:r>
      </w:hyperlink>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p w:rsidR="008F6FFE" w:rsidRPr="003B271B" w:rsidRDefault="008F6FFE" w:rsidP="003B271B">
      <w:pPr>
        <w:pStyle w:val="labs-full-docsum"/>
        <w:shd w:val="clear" w:color="auto" w:fill="FFFFFF"/>
        <w:spacing w:before="0" w:beforeAutospacing="0" w:after="0" w:afterAutospacing="0"/>
        <w:rPr>
          <w:rFonts w:asciiTheme="minorHAnsi" w:hAnsiTheme="minorHAnsi" w:cstheme="minorHAnsi"/>
          <w:color w:val="000000" w:themeColor="text1"/>
          <w:sz w:val="16"/>
          <w:szCs w:val="16"/>
          <w:shd w:val="clear" w:color="auto" w:fill="FFFFFF"/>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FFE" w:rsidRDefault="008F6FFE" w:rsidP="00235A16">
    <w:pPr>
      <w:pStyle w:val="Header"/>
      <w:jc w:val="center"/>
    </w:pPr>
    <w:r>
      <w:rPr>
        <w:noProof/>
      </w:rPr>
      <mc:AlternateContent>
        <mc:Choice Requires="wps">
          <w:drawing>
            <wp:anchor distT="0" distB="0" distL="118745" distR="118745" simplePos="0" relativeHeight="251659264" behindDoc="1" locked="0" layoutInCell="1" allowOverlap="0" wp14:anchorId="75D577A5" wp14:editId="195BD8E6">
              <wp:simplePos x="0" y="0"/>
              <wp:positionH relativeFrom="margin">
                <wp:posOffset>-3175</wp:posOffset>
              </wp:positionH>
              <wp:positionV relativeFrom="page">
                <wp:posOffset>537845</wp:posOffset>
              </wp:positionV>
              <wp:extent cx="5949950" cy="250825"/>
              <wp:effectExtent l="0" t="0" r="5080" b="3175"/>
              <wp:wrapSquare wrapText="bothSides"/>
              <wp:docPr id="197" name="Rettangolo 197"/>
              <wp:cNvGraphicFramePr/>
              <a:graphic xmlns:a="http://schemas.openxmlformats.org/drawingml/2006/main">
                <a:graphicData uri="http://schemas.microsoft.com/office/word/2010/wordprocessingShape">
                  <wps:wsp>
                    <wps:cNvSpPr/>
                    <wps:spPr>
                      <a:xfrm>
                        <a:off x="0" y="0"/>
                        <a:ext cx="5949950" cy="250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6FFE" w:rsidRPr="00477714" w:rsidRDefault="008F6FFE" w:rsidP="00477714">
                          <w:pPr>
                            <w:pStyle w:val="Title"/>
                            <w:jc w:val="center"/>
                            <w:rPr>
                              <w:rFonts w:asciiTheme="minorHAnsi" w:hAnsiTheme="minorHAnsi" w:cstheme="minorHAnsi"/>
                              <w:color w:val="000000" w:themeColor="text1"/>
                              <w:sz w:val="16"/>
                              <w:szCs w:val="16"/>
                            </w:rPr>
                          </w:pPr>
                          <w:r w:rsidRPr="00477714">
                            <w:rPr>
                              <w:rFonts w:asciiTheme="minorHAnsi" w:hAnsiTheme="minorHAnsi" w:cstheme="minorHAnsi"/>
                              <w:b/>
                              <w:color w:val="000000" w:themeColor="text1"/>
                              <w:sz w:val="16"/>
                              <w:szCs w:val="16"/>
                            </w:rPr>
                            <w:t xml:space="preserve">COVID-19 </w:t>
                          </w:r>
                          <w:r w:rsidRPr="00477714">
                            <w:rPr>
                              <w:rFonts w:asciiTheme="minorHAnsi" w:hAnsiTheme="minorHAnsi" w:cstheme="minorHAnsi"/>
                              <w:color w:val="000000" w:themeColor="text1"/>
                              <w:sz w:val="16"/>
                              <w:szCs w:val="16"/>
                            </w:rPr>
                            <w:t xml:space="preserve">    CAPITOLO 1                  </w:t>
                          </w:r>
                          <w:r w:rsidRPr="00477714">
                            <w:rPr>
                              <w:rFonts w:asciiTheme="minorHAnsi" w:hAnsiTheme="minorHAnsi" w:cstheme="minorHAnsi"/>
                              <w:b/>
                              <w:color w:val="000000" w:themeColor="text1"/>
                              <w:sz w:val="16"/>
                              <w:szCs w:val="16"/>
                            </w:rPr>
                            <w:t>PRESENTAZIONE CLINICA E IMMUNOPATOGENESI</w:t>
                          </w:r>
                        </w:p>
                        <w:p w:rsidR="008F6FFE" w:rsidRDefault="008F6FFE">
                          <w:pPr>
                            <w:pStyle w:val="Header"/>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75D577A5" id="Rettangolo 197" o:spid="_x0000_s1026" style="position:absolute;left:0;text-align:left;margin-left:-.25pt;margin-top:42.35pt;width:468.5pt;height:19.75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" o:allowoverlap="f" fillcolor="white [3212]" stroked="f" strokeweight="1pt">
              <v:textbox>
                <w:txbxContent>
                  <w:p w:rsidR="008F6FFE" w:rsidRPr="00477714" w:rsidRDefault="008F6FFE" w:rsidP="00477714">
                    <w:pPr>
                      <w:pStyle w:val="Title"/>
                      <w:jc w:val="center"/>
                      <w:rPr>
                        <w:rFonts w:asciiTheme="minorHAnsi" w:hAnsiTheme="minorHAnsi" w:cstheme="minorHAnsi"/>
                        <w:color w:val="000000" w:themeColor="text1"/>
                        <w:sz w:val="16"/>
                        <w:szCs w:val="16"/>
                      </w:rPr>
                    </w:pPr>
                    <w:r w:rsidRPr="00477714">
                      <w:rPr>
                        <w:rFonts w:asciiTheme="minorHAnsi" w:hAnsiTheme="minorHAnsi" w:cstheme="minorHAnsi"/>
                        <w:b/>
                        <w:color w:val="000000" w:themeColor="text1"/>
                        <w:sz w:val="16"/>
                        <w:szCs w:val="16"/>
                      </w:rPr>
                      <w:t xml:space="preserve">COVID-19 </w:t>
                    </w:r>
                    <w:r w:rsidRPr="00477714">
                      <w:rPr>
                        <w:rFonts w:asciiTheme="minorHAnsi" w:hAnsiTheme="minorHAnsi" w:cstheme="minorHAnsi"/>
                        <w:color w:val="000000" w:themeColor="text1"/>
                        <w:sz w:val="16"/>
                        <w:szCs w:val="16"/>
                      </w:rPr>
                      <w:t xml:space="preserve">    CAPITOLO 1                  </w:t>
                    </w:r>
                    <w:r w:rsidRPr="00477714">
                      <w:rPr>
                        <w:rFonts w:asciiTheme="minorHAnsi" w:hAnsiTheme="minorHAnsi" w:cstheme="minorHAnsi"/>
                        <w:b/>
                        <w:color w:val="000000" w:themeColor="text1"/>
                        <w:sz w:val="16"/>
                        <w:szCs w:val="16"/>
                      </w:rPr>
                      <w:t>PRESENTAZIONE CLINICA E IMMUNOPATOGENESI</w:t>
                    </w:r>
                  </w:p>
                  <w:p w:rsidR="008F6FFE" w:rsidRDefault="008F6FFE">
                    <w:pPr>
                      <w:pStyle w:val="Header"/>
                      <w:jc w:val="center"/>
                      <w:rPr>
                        <w:caps/>
                        <w:color w:val="FFFFFF" w:themeColor="background1"/>
                      </w:rPr>
                    </w:pPr>
                  </w:p>
                </w:txbxContent>
              </v:textbox>
              <w10:wrap type="square" anchorx="margin" anchory="page"/>
            </v:rect>
          </w:pict>
        </mc:Fallback>
      </mc:AlternateContent>
    </w:r>
    <w:r w:rsidR="00235A1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73D57"/>
    <w:multiLevelType w:val="hybridMultilevel"/>
    <w:tmpl w:val="0A105566"/>
    <w:lvl w:ilvl="0" w:tplc="6BC8537E">
      <w:start w:val="1"/>
      <w:numFmt w:val="bullet"/>
      <w:lvlText w:val="-"/>
      <w:lvlJc w:val="left"/>
      <w:pPr>
        <w:ind w:left="252" w:hanging="131"/>
      </w:pPr>
      <w:rPr>
        <w:rFonts w:ascii="Times New Roman" w:eastAsia="Times New Roman" w:hAnsi="Times New Roman" w:hint="default"/>
        <w:sz w:val="21"/>
        <w:szCs w:val="2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FF5A25"/>
    <w:multiLevelType w:val="hybridMultilevel"/>
    <w:tmpl w:val="FBBE3EDC"/>
    <w:lvl w:ilvl="0" w:tplc="6BC8537E">
      <w:start w:val="1"/>
      <w:numFmt w:val="bullet"/>
      <w:lvlText w:val="-"/>
      <w:lvlJc w:val="left"/>
      <w:pPr>
        <w:ind w:left="252" w:hanging="131"/>
      </w:pPr>
      <w:rPr>
        <w:rFonts w:ascii="Times New Roman" w:eastAsia="Times New Roman" w:hAnsi="Times New Roman" w:hint="default"/>
        <w:sz w:val="21"/>
        <w:szCs w:val="2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AC4019"/>
    <w:multiLevelType w:val="hybridMultilevel"/>
    <w:tmpl w:val="64744CE2"/>
    <w:lvl w:ilvl="0" w:tplc="7B4A327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461C05"/>
    <w:multiLevelType w:val="hybridMultilevel"/>
    <w:tmpl w:val="E7A2E242"/>
    <w:lvl w:ilvl="0" w:tplc="E83E4E0E">
      <w:start w:val="1"/>
      <w:numFmt w:val="upperLetter"/>
      <w:lvlText w:val="(%1)"/>
      <w:lvlJc w:val="left"/>
      <w:pPr>
        <w:ind w:left="720" w:hanging="360"/>
      </w:pPr>
      <w:rPr>
        <w:rFonts w:cstheme="minorHAns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BF1546E"/>
    <w:multiLevelType w:val="hybridMultilevel"/>
    <w:tmpl w:val="39889E22"/>
    <w:lvl w:ilvl="0" w:tplc="667620E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C2E6F1E"/>
    <w:multiLevelType w:val="hybridMultilevel"/>
    <w:tmpl w:val="41E42B52"/>
    <w:lvl w:ilvl="0" w:tplc="C826EB1E">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20655B"/>
    <w:multiLevelType w:val="multilevel"/>
    <w:tmpl w:val="424E233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8A2CF3"/>
    <w:multiLevelType w:val="hybridMultilevel"/>
    <w:tmpl w:val="36F0F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DE67C8B"/>
    <w:multiLevelType w:val="multilevel"/>
    <w:tmpl w:val="7CC4CCA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31581E"/>
    <w:multiLevelType w:val="hybridMultilevel"/>
    <w:tmpl w:val="5A9EEAAC"/>
    <w:lvl w:ilvl="0" w:tplc="51465AF8">
      <w:start w:val="8"/>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6B87444"/>
    <w:multiLevelType w:val="multilevel"/>
    <w:tmpl w:val="6C88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93021E"/>
    <w:multiLevelType w:val="hybridMultilevel"/>
    <w:tmpl w:val="BBC068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C30BDB"/>
    <w:multiLevelType w:val="hybridMultilevel"/>
    <w:tmpl w:val="4ACA9C8E"/>
    <w:lvl w:ilvl="0" w:tplc="87149AA4">
      <w:start w:val="1"/>
      <w:numFmt w:val="upperLetter"/>
      <w:lvlText w:val="%1)"/>
      <w:lvlJc w:val="left"/>
      <w:pPr>
        <w:ind w:left="72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D3E1081"/>
    <w:multiLevelType w:val="hybridMultilevel"/>
    <w:tmpl w:val="33D85F0A"/>
    <w:lvl w:ilvl="0" w:tplc="6BC8537E">
      <w:start w:val="1"/>
      <w:numFmt w:val="bullet"/>
      <w:lvlText w:val="-"/>
      <w:lvlJc w:val="left"/>
      <w:pPr>
        <w:ind w:left="678" w:hanging="131"/>
      </w:pPr>
      <w:rPr>
        <w:rFonts w:ascii="Times New Roman" w:eastAsia="Times New Roman" w:hAnsi="Times New Roman" w:hint="default"/>
        <w:sz w:val="21"/>
        <w:szCs w:val="21"/>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4" w15:restartNumberingAfterBreak="0">
    <w:nsid w:val="4F7C0D0A"/>
    <w:multiLevelType w:val="hybridMultilevel"/>
    <w:tmpl w:val="87A2E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3FE7C76"/>
    <w:multiLevelType w:val="hybridMultilevel"/>
    <w:tmpl w:val="6B6A3E38"/>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6" w15:restartNumberingAfterBreak="0">
    <w:nsid w:val="57DC6BF8"/>
    <w:multiLevelType w:val="hybridMultilevel"/>
    <w:tmpl w:val="E278CF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8EC18FB"/>
    <w:multiLevelType w:val="hybridMultilevel"/>
    <w:tmpl w:val="0AD8569E"/>
    <w:lvl w:ilvl="0" w:tplc="6BC8537E">
      <w:start w:val="1"/>
      <w:numFmt w:val="bullet"/>
      <w:lvlText w:val="-"/>
      <w:lvlJc w:val="left"/>
      <w:pPr>
        <w:ind w:left="252" w:hanging="131"/>
      </w:pPr>
      <w:rPr>
        <w:rFonts w:ascii="Times New Roman" w:eastAsia="Times New Roman" w:hAnsi="Times New Roman" w:hint="default"/>
        <w:sz w:val="21"/>
        <w:szCs w:val="21"/>
      </w:rPr>
    </w:lvl>
    <w:lvl w:ilvl="1" w:tplc="845AD230">
      <w:start w:val="1"/>
      <w:numFmt w:val="bullet"/>
      <w:lvlText w:val="•"/>
      <w:lvlJc w:val="left"/>
      <w:pPr>
        <w:ind w:left="919" w:hanging="131"/>
      </w:pPr>
      <w:rPr>
        <w:rFonts w:hint="default"/>
      </w:rPr>
    </w:lvl>
    <w:lvl w:ilvl="2" w:tplc="36AA95FA">
      <w:start w:val="1"/>
      <w:numFmt w:val="bullet"/>
      <w:lvlText w:val="•"/>
      <w:lvlJc w:val="left"/>
      <w:pPr>
        <w:ind w:left="1585" w:hanging="131"/>
      </w:pPr>
      <w:rPr>
        <w:rFonts w:hint="default"/>
      </w:rPr>
    </w:lvl>
    <w:lvl w:ilvl="3" w:tplc="268E5B82">
      <w:start w:val="1"/>
      <w:numFmt w:val="bullet"/>
      <w:lvlText w:val="•"/>
      <w:lvlJc w:val="left"/>
      <w:pPr>
        <w:ind w:left="2252" w:hanging="131"/>
      </w:pPr>
      <w:rPr>
        <w:rFonts w:hint="default"/>
      </w:rPr>
    </w:lvl>
    <w:lvl w:ilvl="4" w:tplc="F72E34D0">
      <w:start w:val="1"/>
      <w:numFmt w:val="bullet"/>
      <w:lvlText w:val="•"/>
      <w:lvlJc w:val="left"/>
      <w:pPr>
        <w:ind w:left="2919" w:hanging="131"/>
      </w:pPr>
      <w:rPr>
        <w:rFonts w:hint="default"/>
      </w:rPr>
    </w:lvl>
    <w:lvl w:ilvl="5" w:tplc="89C24572">
      <w:start w:val="1"/>
      <w:numFmt w:val="bullet"/>
      <w:lvlText w:val="•"/>
      <w:lvlJc w:val="left"/>
      <w:pPr>
        <w:ind w:left="3586" w:hanging="131"/>
      </w:pPr>
      <w:rPr>
        <w:rFonts w:hint="default"/>
      </w:rPr>
    </w:lvl>
    <w:lvl w:ilvl="6" w:tplc="9C40E978">
      <w:start w:val="1"/>
      <w:numFmt w:val="bullet"/>
      <w:lvlText w:val="•"/>
      <w:lvlJc w:val="left"/>
      <w:pPr>
        <w:ind w:left="4252" w:hanging="131"/>
      </w:pPr>
      <w:rPr>
        <w:rFonts w:hint="default"/>
      </w:rPr>
    </w:lvl>
    <w:lvl w:ilvl="7" w:tplc="43B2888C">
      <w:start w:val="1"/>
      <w:numFmt w:val="bullet"/>
      <w:lvlText w:val="•"/>
      <w:lvlJc w:val="left"/>
      <w:pPr>
        <w:ind w:left="4919" w:hanging="131"/>
      </w:pPr>
      <w:rPr>
        <w:rFonts w:hint="default"/>
      </w:rPr>
    </w:lvl>
    <w:lvl w:ilvl="8" w:tplc="0C5C74D8">
      <w:start w:val="1"/>
      <w:numFmt w:val="bullet"/>
      <w:lvlText w:val="•"/>
      <w:lvlJc w:val="left"/>
      <w:pPr>
        <w:ind w:left="5586" w:hanging="131"/>
      </w:pPr>
      <w:rPr>
        <w:rFonts w:hint="default"/>
      </w:rPr>
    </w:lvl>
  </w:abstractNum>
  <w:abstractNum w:abstractNumId="18" w15:restartNumberingAfterBreak="0">
    <w:nsid w:val="623710AA"/>
    <w:multiLevelType w:val="hybridMultilevel"/>
    <w:tmpl w:val="B8A2A0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2854550"/>
    <w:multiLevelType w:val="hybridMultilevel"/>
    <w:tmpl w:val="8B523C94"/>
    <w:lvl w:ilvl="0" w:tplc="7B4A327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4084B61"/>
    <w:multiLevelType w:val="multilevel"/>
    <w:tmpl w:val="FB4A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457044"/>
    <w:multiLevelType w:val="multilevel"/>
    <w:tmpl w:val="5F944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163D24"/>
    <w:multiLevelType w:val="hybridMultilevel"/>
    <w:tmpl w:val="BBDC8C6C"/>
    <w:lvl w:ilvl="0" w:tplc="6BC8537E">
      <w:start w:val="1"/>
      <w:numFmt w:val="bullet"/>
      <w:lvlText w:val="-"/>
      <w:lvlJc w:val="left"/>
      <w:pPr>
        <w:ind w:left="252" w:hanging="131"/>
      </w:pPr>
      <w:rPr>
        <w:rFonts w:ascii="Times New Roman" w:eastAsia="Times New Roman" w:hAnsi="Times New Roman" w:hint="default"/>
        <w:sz w:val="21"/>
        <w:szCs w:val="2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B96955"/>
    <w:multiLevelType w:val="hybridMultilevel"/>
    <w:tmpl w:val="79A63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7327F41"/>
    <w:multiLevelType w:val="hybridMultilevel"/>
    <w:tmpl w:val="44FAC0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89C3CEE"/>
    <w:multiLevelType w:val="hybridMultilevel"/>
    <w:tmpl w:val="234C6F22"/>
    <w:lvl w:ilvl="0" w:tplc="E85CB062">
      <w:start w:val="1"/>
      <w:numFmt w:val="decimal"/>
      <w:lvlText w:val="%1."/>
      <w:lvlJc w:val="left"/>
      <w:pPr>
        <w:ind w:left="360" w:hanging="360"/>
      </w:pPr>
      <w:rPr>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CD54972"/>
    <w:multiLevelType w:val="multilevel"/>
    <w:tmpl w:val="A2A6257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1"/>
  </w:num>
  <w:num w:numId="3">
    <w:abstractNumId w:val="20"/>
  </w:num>
  <w:num w:numId="4">
    <w:abstractNumId w:val="14"/>
  </w:num>
  <w:num w:numId="5">
    <w:abstractNumId w:val="9"/>
  </w:num>
  <w:num w:numId="6">
    <w:abstractNumId w:val="17"/>
  </w:num>
  <w:num w:numId="7">
    <w:abstractNumId w:val="5"/>
  </w:num>
  <w:num w:numId="8">
    <w:abstractNumId w:val="10"/>
  </w:num>
  <w:num w:numId="9">
    <w:abstractNumId w:val="15"/>
  </w:num>
  <w:num w:numId="10">
    <w:abstractNumId w:val="7"/>
  </w:num>
  <w:num w:numId="11">
    <w:abstractNumId w:val="25"/>
  </w:num>
  <w:num w:numId="12">
    <w:abstractNumId w:val="11"/>
  </w:num>
  <w:num w:numId="13">
    <w:abstractNumId w:val="23"/>
  </w:num>
  <w:num w:numId="14">
    <w:abstractNumId w:val="2"/>
  </w:num>
  <w:num w:numId="15">
    <w:abstractNumId w:val="19"/>
  </w:num>
  <w:num w:numId="16">
    <w:abstractNumId w:val="12"/>
  </w:num>
  <w:num w:numId="17">
    <w:abstractNumId w:val="26"/>
  </w:num>
  <w:num w:numId="18">
    <w:abstractNumId w:val="6"/>
  </w:num>
  <w:num w:numId="19">
    <w:abstractNumId w:val="8"/>
  </w:num>
  <w:num w:numId="20">
    <w:abstractNumId w:val="24"/>
  </w:num>
  <w:num w:numId="21">
    <w:abstractNumId w:val="0"/>
  </w:num>
  <w:num w:numId="22">
    <w:abstractNumId w:val="13"/>
  </w:num>
  <w:num w:numId="23">
    <w:abstractNumId w:val="3"/>
  </w:num>
  <w:num w:numId="24">
    <w:abstractNumId w:val="16"/>
  </w:num>
  <w:num w:numId="25">
    <w:abstractNumId w:val="4"/>
  </w:num>
  <w:num w:numId="26">
    <w:abstractNumId w:val="1"/>
  </w:num>
  <w:num w:numId="2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activeWritingStyle w:appName="MSWord" w:lang="en-US" w:vendorID="64" w:dllVersion="4096" w:nlCheck="1" w:checkStyle="0"/>
  <w:activeWritingStyle w:appName="MSWord" w:lang="it-IT" w:vendorID="64" w:dllVersion="4096" w:nlCheck="1" w:checkStyle="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A6D"/>
    <w:rsid w:val="00005274"/>
    <w:rsid w:val="0001602F"/>
    <w:rsid w:val="00030189"/>
    <w:rsid w:val="00030C91"/>
    <w:rsid w:val="0003509B"/>
    <w:rsid w:val="00047411"/>
    <w:rsid w:val="00047660"/>
    <w:rsid w:val="00051FFD"/>
    <w:rsid w:val="00052663"/>
    <w:rsid w:val="00052B0C"/>
    <w:rsid w:val="00052B2A"/>
    <w:rsid w:val="00052CBE"/>
    <w:rsid w:val="000547D3"/>
    <w:rsid w:val="000605C4"/>
    <w:rsid w:val="00060789"/>
    <w:rsid w:val="0006181C"/>
    <w:rsid w:val="00066547"/>
    <w:rsid w:val="00071767"/>
    <w:rsid w:val="00073D51"/>
    <w:rsid w:val="000762B1"/>
    <w:rsid w:val="00081318"/>
    <w:rsid w:val="0008711C"/>
    <w:rsid w:val="00097D67"/>
    <w:rsid w:val="000A6E0E"/>
    <w:rsid w:val="000B499F"/>
    <w:rsid w:val="000B6B8A"/>
    <w:rsid w:val="000C1907"/>
    <w:rsid w:val="000C39B3"/>
    <w:rsid w:val="000C47F1"/>
    <w:rsid w:val="000C52AF"/>
    <w:rsid w:val="000C69DF"/>
    <w:rsid w:val="000C715F"/>
    <w:rsid w:val="000D00E0"/>
    <w:rsid w:val="000D016C"/>
    <w:rsid w:val="000D29F8"/>
    <w:rsid w:val="000D2CB2"/>
    <w:rsid w:val="000D6104"/>
    <w:rsid w:val="000D67BA"/>
    <w:rsid w:val="000D6B28"/>
    <w:rsid w:val="000E0B6E"/>
    <w:rsid w:val="000E206E"/>
    <w:rsid w:val="000E20D5"/>
    <w:rsid w:val="000E40EA"/>
    <w:rsid w:val="000E43D1"/>
    <w:rsid w:val="000E4E7C"/>
    <w:rsid w:val="000F3A2D"/>
    <w:rsid w:val="000F47EC"/>
    <w:rsid w:val="000F58F5"/>
    <w:rsid w:val="00100954"/>
    <w:rsid w:val="00101CC5"/>
    <w:rsid w:val="001029CA"/>
    <w:rsid w:val="001070E9"/>
    <w:rsid w:val="00110FC0"/>
    <w:rsid w:val="00112402"/>
    <w:rsid w:val="001156FC"/>
    <w:rsid w:val="001179D8"/>
    <w:rsid w:val="00124AC1"/>
    <w:rsid w:val="001314C7"/>
    <w:rsid w:val="00131CE6"/>
    <w:rsid w:val="0013243C"/>
    <w:rsid w:val="00133144"/>
    <w:rsid w:val="00134D69"/>
    <w:rsid w:val="00136C98"/>
    <w:rsid w:val="00143CE6"/>
    <w:rsid w:val="00144EDD"/>
    <w:rsid w:val="001506FA"/>
    <w:rsid w:val="0016024B"/>
    <w:rsid w:val="00160A30"/>
    <w:rsid w:val="00165563"/>
    <w:rsid w:val="00174805"/>
    <w:rsid w:val="00181F2D"/>
    <w:rsid w:val="00182D82"/>
    <w:rsid w:val="001866E8"/>
    <w:rsid w:val="00187C57"/>
    <w:rsid w:val="00193438"/>
    <w:rsid w:val="00197DB9"/>
    <w:rsid w:val="001A6497"/>
    <w:rsid w:val="001A6DEA"/>
    <w:rsid w:val="001B1EE4"/>
    <w:rsid w:val="001B3870"/>
    <w:rsid w:val="001B5306"/>
    <w:rsid w:val="001B65C8"/>
    <w:rsid w:val="001B7F49"/>
    <w:rsid w:val="001C1BAF"/>
    <w:rsid w:val="001C3CEA"/>
    <w:rsid w:val="001D2A46"/>
    <w:rsid w:val="001D6E3E"/>
    <w:rsid w:val="001D7829"/>
    <w:rsid w:val="001E2F6B"/>
    <w:rsid w:val="001E4183"/>
    <w:rsid w:val="001E5F6A"/>
    <w:rsid w:val="001E7ACB"/>
    <w:rsid w:val="001F0BAE"/>
    <w:rsid w:val="001F0F85"/>
    <w:rsid w:val="001F37CA"/>
    <w:rsid w:val="001F5DBD"/>
    <w:rsid w:val="0020123A"/>
    <w:rsid w:val="00202FC7"/>
    <w:rsid w:val="00215E59"/>
    <w:rsid w:val="002162CD"/>
    <w:rsid w:val="0022135F"/>
    <w:rsid w:val="00223552"/>
    <w:rsid w:val="00225419"/>
    <w:rsid w:val="00226A19"/>
    <w:rsid w:val="002319A9"/>
    <w:rsid w:val="002342C9"/>
    <w:rsid w:val="00235A16"/>
    <w:rsid w:val="0023722E"/>
    <w:rsid w:val="00244FCD"/>
    <w:rsid w:val="00253542"/>
    <w:rsid w:val="00262493"/>
    <w:rsid w:val="00262A34"/>
    <w:rsid w:val="002634BF"/>
    <w:rsid w:val="00266DDF"/>
    <w:rsid w:val="00270AE5"/>
    <w:rsid w:val="0027519F"/>
    <w:rsid w:val="00275438"/>
    <w:rsid w:val="0027549A"/>
    <w:rsid w:val="00275683"/>
    <w:rsid w:val="0028074E"/>
    <w:rsid w:val="002840CC"/>
    <w:rsid w:val="00286405"/>
    <w:rsid w:val="002911D4"/>
    <w:rsid w:val="00291EF7"/>
    <w:rsid w:val="00292C07"/>
    <w:rsid w:val="002A4124"/>
    <w:rsid w:val="002A4DD9"/>
    <w:rsid w:val="002A743A"/>
    <w:rsid w:val="002B0CD4"/>
    <w:rsid w:val="002B14CB"/>
    <w:rsid w:val="002B1AFC"/>
    <w:rsid w:val="002B202F"/>
    <w:rsid w:val="002B23AB"/>
    <w:rsid w:val="002B455A"/>
    <w:rsid w:val="002B4C1E"/>
    <w:rsid w:val="002B4F47"/>
    <w:rsid w:val="002B7BE5"/>
    <w:rsid w:val="002B7F58"/>
    <w:rsid w:val="002C1F3F"/>
    <w:rsid w:val="002C3DF9"/>
    <w:rsid w:val="002D28E0"/>
    <w:rsid w:val="002D3602"/>
    <w:rsid w:val="002D5A3B"/>
    <w:rsid w:val="002D6F57"/>
    <w:rsid w:val="002D772E"/>
    <w:rsid w:val="002D7857"/>
    <w:rsid w:val="002E4137"/>
    <w:rsid w:val="002F0DCF"/>
    <w:rsid w:val="002F0DE8"/>
    <w:rsid w:val="002F1FA2"/>
    <w:rsid w:val="002F2538"/>
    <w:rsid w:val="002F2804"/>
    <w:rsid w:val="002F30AD"/>
    <w:rsid w:val="002F5AFE"/>
    <w:rsid w:val="002F61A1"/>
    <w:rsid w:val="00300D23"/>
    <w:rsid w:val="0030438F"/>
    <w:rsid w:val="00307231"/>
    <w:rsid w:val="003107DC"/>
    <w:rsid w:val="003111C7"/>
    <w:rsid w:val="0031539A"/>
    <w:rsid w:val="00321E5C"/>
    <w:rsid w:val="0032224A"/>
    <w:rsid w:val="00322F67"/>
    <w:rsid w:val="00325CA6"/>
    <w:rsid w:val="00325D89"/>
    <w:rsid w:val="003302DA"/>
    <w:rsid w:val="00330DB8"/>
    <w:rsid w:val="00331C49"/>
    <w:rsid w:val="00331E49"/>
    <w:rsid w:val="00332FA4"/>
    <w:rsid w:val="003342D9"/>
    <w:rsid w:val="00337D7C"/>
    <w:rsid w:val="00340DBD"/>
    <w:rsid w:val="00340F60"/>
    <w:rsid w:val="00341EA1"/>
    <w:rsid w:val="00350CA4"/>
    <w:rsid w:val="0035319E"/>
    <w:rsid w:val="0035428D"/>
    <w:rsid w:val="00362115"/>
    <w:rsid w:val="00363C5B"/>
    <w:rsid w:val="00363FFE"/>
    <w:rsid w:val="00364987"/>
    <w:rsid w:val="0036745E"/>
    <w:rsid w:val="00370971"/>
    <w:rsid w:val="0037182D"/>
    <w:rsid w:val="00375E35"/>
    <w:rsid w:val="00380790"/>
    <w:rsid w:val="00380CE6"/>
    <w:rsid w:val="00381355"/>
    <w:rsid w:val="003843FE"/>
    <w:rsid w:val="00385F5C"/>
    <w:rsid w:val="00395E02"/>
    <w:rsid w:val="003A0A95"/>
    <w:rsid w:val="003A3C6F"/>
    <w:rsid w:val="003B17E2"/>
    <w:rsid w:val="003B271B"/>
    <w:rsid w:val="003B4EEA"/>
    <w:rsid w:val="003B68FD"/>
    <w:rsid w:val="003B6AAE"/>
    <w:rsid w:val="003C2C76"/>
    <w:rsid w:val="003C5C0C"/>
    <w:rsid w:val="003C619F"/>
    <w:rsid w:val="003D0829"/>
    <w:rsid w:val="003D0FB9"/>
    <w:rsid w:val="003D25EF"/>
    <w:rsid w:val="003E2CCD"/>
    <w:rsid w:val="003E3300"/>
    <w:rsid w:val="003E5744"/>
    <w:rsid w:val="003E578A"/>
    <w:rsid w:val="003E5A42"/>
    <w:rsid w:val="003F0245"/>
    <w:rsid w:val="003F3689"/>
    <w:rsid w:val="003F5F91"/>
    <w:rsid w:val="0040186A"/>
    <w:rsid w:val="00402769"/>
    <w:rsid w:val="00404200"/>
    <w:rsid w:val="00406A00"/>
    <w:rsid w:val="00414DE6"/>
    <w:rsid w:val="004227C6"/>
    <w:rsid w:val="004231D6"/>
    <w:rsid w:val="00425E07"/>
    <w:rsid w:val="004267F0"/>
    <w:rsid w:val="0043404A"/>
    <w:rsid w:val="004414ED"/>
    <w:rsid w:val="004443A2"/>
    <w:rsid w:val="00444D71"/>
    <w:rsid w:val="00450562"/>
    <w:rsid w:val="00451E41"/>
    <w:rsid w:val="0045201B"/>
    <w:rsid w:val="00454B98"/>
    <w:rsid w:val="00455857"/>
    <w:rsid w:val="004561C2"/>
    <w:rsid w:val="00457221"/>
    <w:rsid w:val="00463F39"/>
    <w:rsid w:val="00471285"/>
    <w:rsid w:val="00471D4A"/>
    <w:rsid w:val="00475FF6"/>
    <w:rsid w:val="00476B2B"/>
    <w:rsid w:val="00477714"/>
    <w:rsid w:val="0048011C"/>
    <w:rsid w:val="0048471D"/>
    <w:rsid w:val="0049177A"/>
    <w:rsid w:val="00492558"/>
    <w:rsid w:val="004939F6"/>
    <w:rsid w:val="00494298"/>
    <w:rsid w:val="00494C6A"/>
    <w:rsid w:val="00496BA7"/>
    <w:rsid w:val="004A1482"/>
    <w:rsid w:val="004A6426"/>
    <w:rsid w:val="004A7BA7"/>
    <w:rsid w:val="004B4C34"/>
    <w:rsid w:val="004B6562"/>
    <w:rsid w:val="004B75FD"/>
    <w:rsid w:val="004C0B7F"/>
    <w:rsid w:val="004C2288"/>
    <w:rsid w:val="004C5069"/>
    <w:rsid w:val="004C5C83"/>
    <w:rsid w:val="004C75E7"/>
    <w:rsid w:val="004C77C2"/>
    <w:rsid w:val="004D1703"/>
    <w:rsid w:val="004D1A1B"/>
    <w:rsid w:val="004D2A53"/>
    <w:rsid w:val="004D6597"/>
    <w:rsid w:val="004E0F82"/>
    <w:rsid w:val="004E2787"/>
    <w:rsid w:val="004E7AB1"/>
    <w:rsid w:val="004F07C1"/>
    <w:rsid w:val="004F6988"/>
    <w:rsid w:val="00502194"/>
    <w:rsid w:val="00506A29"/>
    <w:rsid w:val="00507AFE"/>
    <w:rsid w:val="00507BF5"/>
    <w:rsid w:val="00510538"/>
    <w:rsid w:val="00512093"/>
    <w:rsid w:val="0051536B"/>
    <w:rsid w:val="00515760"/>
    <w:rsid w:val="0052255F"/>
    <w:rsid w:val="0052547D"/>
    <w:rsid w:val="00525585"/>
    <w:rsid w:val="0052743C"/>
    <w:rsid w:val="00531FB6"/>
    <w:rsid w:val="00533DE1"/>
    <w:rsid w:val="00535EFC"/>
    <w:rsid w:val="00545EE0"/>
    <w:rsid w:val="0054744E"/>
    <w:rsid w:val="0055232C"/>
    <w:rsid w:val="00553197"/>
    <w:rsid w:val="005538D9"/>
    <w:rsid w:val="00553BD0"/>
    <w:rsid w:val="00560C21"/>
    <w:rsid w:val="00561771"/>
    <w:rsid w:val="005638AD"/>
    <w:rsid w:val="005673DE"/>
    <w:rsid w:val="00567FF5"/>
    <w:rsid w:val="00571807"/>
    <w:rsid w:val="00582D10"/>
    <w:rsid w:val="0059052A"/>
    <w:rsid w:val="00592AAE"/>
    <w:rsid w:val="00592B0F"/>
    <w:rsid w:val="00593C39"/>
    <w:rsid w:val="00594092"/>
    <w:rsid w:val="00594288"/>
    <w:rsid w:val="005A03BA"/>
    <w:rsid w:val="005A14ED"/>
    <w:rsid w:val="005A291C"/>
    <w:rsid w:val="005A6AAA"/>
    <w:rsid w:val="005B3F7F"/>
    <w:rsid w:val="005B5DDE"/>
    <w:rsid w:val="005B6077"/>
    <w:rsid w:val="005C01E5"/>
    <w:rsid w:val="005C078C"/>
    <w:rsid w:val="005C24F1"/>
    <w:rsid w:val="005C2A43"/>
    <w:rsid w:val="005C4583"/>
    <w:rsid w:val="005C7E54"/>
    <w:rsid w:val="005D115E"/>
    <w:rsid w:val="005D164D"/>
    <w:rsid w:val="005D1D7A"/>
    <w:rsid w:val="005D211B"/>
    <w:rsid w:val="005D32F4"/>
    <w:rsid w:val="005D6923"/>
    <w:rsid w:val="005E0372"/>
    <w:rsid w:val="005E7B34"/>
    <w:rsid w:val="005F0474"/>
    <w:rsid w:val="00606B46"/>
    <w:rsid w:val="0060720C"/>
    <w:rsid w:val="00611378"/>
    <w:rsid w:val="0061161D"/>
    <w:rsid w:val="00611628"/>
    <w:rsid w:val="0061214E"/>
    <w:rsid w:val="00621B6D"/>
    <w:rsid w:val="00625B53"/>
    <w:rsid w:val="0063064F"/>
    <w:rsid w:val="0063419D"/>
    <w:rsid w:val="006344CC"/>
    <w:rsid w:val="00635485"/>
    <w:rsid w:val="00637578"/>
    <w:rsid w:val="00642A30"/>
    <w:rsid w:val="00643447"/>
    <w:rsid w:val="006436A8"/>
    <w:rsid w:val="00643CE4"/>
    <w:rsid w:val="006442E5"/>
    <w:rsid w:val="00651BF7"/>
    <w:rsid w:val="00651DD3"/>
    <w:rsid w:val="00652652"/>
    <w:rsid w:val="0065555A"/>
    <w:rsid w:val="00660C86"/>
    <w:rsid w:val="00661637"/>
    <w:rsid w:val="00663C61"/>
    <w:rsid w:val="006642C1"/>
    <w:rsid w:val="00666EA7"/>
    <w:rsid w:val="006672CE"/>
    <w:rsid w:val="006703CC"/>
    <w:rsid w:val="00673217"/>
    <w:rsid w:val="00673486"/>
    <w:rsid w:val="00674B49"/>
    <w:rsid w:val="00681B62"/>
    <w:rsid w:val="006831B7"/>
    <w:rsid w:val="00687F84"/>
    <w:rsid w:val="006903F4"/>
    <w:rsid w:val="006914A0"/>
    <w:rsid w:val="006944F2"/>
    <w:rsid w:val="00694738"/>
    <w:rsid w:val="006954CB"/>
    <w:rsid w:val="00697930"/>
    <w:rsid w:val="006A27DB"/>
    <w:rsid w:val="006A4496"/>
    <w:rsid w:val="006B321E"/>
    <w:rsid w:val="006B5C85"/>
    <w:rsid w:val="006B6A17"/>
    <w:rsid w:val="006B6EA8"/>
    <w:rsid w:val="006C3BCB"/>
    <w:rsid w:val="006C53C2"/>
    <w:rsid w:val="006D0476"/>
    <w:rsid w:val="006D0FBE"/>
    <w:rsid w:val="006D1E29"/>
    <w:rsid w:val="006D654A"/>
    <w:rsid w:val="006D76C6"/>
    <w:rsid w:val="006E0FF7"/>
    <w:rsid w:val="006E12B4"/>
    <w:rsid w:val="006E1992"/>
    <w:rsid w:val="006E1D57"/>
    <w:rsid w:val="006E29F7"/>
    <w:rsid w:val="006E38DC"/>
    <w:rsid w:val="006E668D"/>
    <w:rsid w:val="006E7F47"/>
    <w:rsid w:val="006F05D7"/>
    <w:rsid w:val="006F0CC0"/>
    <w:rsid w:val="006F2A5F"/>
    <w:rsid w:val="006F34D5"/>
    <w:rsid w:val="006F6055"/>
    <w:rsid w:val="006F6F0B"/>
    <w:rsid w:val="006F71AE"/>
    <w:rsid w:val="00701215"/>
    <w:rsid w:val="00702D6C"/>
    <w:rsid w:val="0071004C"/>
    <w:rsid w:val="00710BC8"/>
    <w:rsid w:val="0071435C"/>
    <w:rsid w:val="007177D5"/>
    <w:rsid w:val="00717D4D"/>
    <w:rsid w:val="0072185E"/>
    <w:rsid w:val="00725151"/>
    <w:rsid w:val="00730D4E"/>
    <w:rsid w:val="007313D6"/>
    <w:rsid w:val="007321EA"/>
    <w:rsid w:val="0073690A"/>
    <w:rsid w:val="00743535"/>
    <w:rsid w:val="00743694"/>
    <w:rsid w:val="00745E64"/>
    <w:rsid w:val="00746334"/>
    <w:rsid w:val="00750B7B"/>
    <w:rsid w:val="0075284D"/>
    <w:rsid w:val="00756A3B"/>
    <w:rsid w:val="007578F1"/>
    <w:rsid w:val="00766BCF"/>
    <w:rsid w:val="00770C42"/>
    <w:rsid w:val="00774D5D"/>
    <w:rsid w:val="00790721"/>
    <w:rsid w:val="0079088D"/>
    <w:rsid w:val="007922D1"/>
    <w:rsid w:val="00795633"/>
    <w:rsid w:val="007959E0"/>
    <w:rsid w:val="00795BBE"/>
    <w:rsid w:val="0079770A"/>
    <w:rsid w:val="007A2147"/>
    <w:rsid w:val="007B1EBF"/>
    <w:rsid w:val="007B6681"/>
    <w:rsid w:val="007B79B5"/>
    <w:rsid w:val="007C1332"/>
    <w:rsid w:val="007C2192"/>
    <w:rsid w:val="007C2728"/>
    <w:rsid w:val="007C3D11"/>
    <w:rsid w:val="007C4BE1"/>
    <w:rsid w:val="007C5449"/>
    <w:rsid w:val="007C7F93"/>
    <w:rsid w:val="007D092A"/>
    <w:rsid w:val="007D0BBF"/>
    <w:rsid w:val="007D227B"/>
    <w:rsid w:val="007D5FF1"/>
    <w:rsid w:val="007D79E5"/>
    <w:rsid w:val="007E0A94"/>
    <w:rsid w:val="007E0EB3"/>
    <w:rsid w:val="007F48B7"/>
    <w:rsid w:val="007F69EE"/>
    <w:rsid w:val="007F72B2"/>
    <w:rsid w:val="00800F31"/>
    <w:rsid w:val="00801324"/>
    <w:rsid w:val="00801670"/>
    <w:rsid w:val="00802E19"/>
    <w:rsid w:val="00804C5B"/>
    <w:rsid w:val="00806800"/>
    <w:rsid w:val="00812E49"/>
    <w:rsid w:val="00813A20"/>
    <w:rsid w:val="008140D6"/>
    <w:rsid w:val="00821030"/>
    <w:rsid w:val="008255A5"/>
    <w:rsid w:val="008255DB"/>
    <w:rsid w:val="00827FA6"/>
    <w:rsid w:val="008308CB"/>
    <w:rsid w:val="008314D9"/>
    <w:rsid w:val="00831A17"/>
    <w:rsid w:val="00831D11"/>
    <w:rsid w:val="008323F2"/>
    <w:rsid w:val="0083286E"/>
    <w:rsid w:val="00833852"/>
    <w:rsid w:val="008340A4"/>
    <w:rsid w:val="00836BC5"/>
    <w:rsid w:val="008377D1"/>
    <w:rsid w:val="00840D3D"/>
    <w:rsid w:val="00841CD9"/>
    <w:rsid w:val="00844C6D"/>
    <w:rsid w:val="00847507"/>
    <w:rsid w:val="00853C57"/>
    <w:rsid w:val="008605D4"/>
    <w:rsid w:val="00860D4F"/>
    <w:rsid w:val="008618C0"/>
    <w:rsid w:val="00863B73"/>
    <w:rsid w:val="00866099"/>
    <w:rsid w:val="00866FB1"/>
    <w:rsid w:val="0087072E"/>
    <w:rsid w:val="00872820"/>
    <w:rsid w:val="00877E56"/>
    <w:rsid w:val="008808C6"/>
    <w:rsid w:val="008846C9"/>
    <w:rsid w:val="00886E5C"/>
    <w:rsid w:val="0088757A"/>
    <w:rsid w:val="00887AC2"/>
    <w:rsid w:val="00892F48"/>
    <w:rsid w:val="0089530A"/>
    <w:rsid w:val="00895667"/>
    <w:rsid w:val="008974A4"/>
    <w:rsid w:val="008A1BF8"/>
    <w:rsid w:val="008A6ADA"/>
    <w:rsid w:val="008A72FD"/>
    <w:rsid w:val="008B40BE"/>
    <w:rsid w:val="008B42D4"/>
    <w:rsid w:val="008B65FC"/>
    <w:rsid w:val="008C1775"/>
    <w:rsid w:val="008C1BB2"/>
    <w:rsid w:val="008D24FB"/>
    <w:rsid w:val="008D39D0"/>
    <w:rsid w:val="008D4E15"/>
    <w:rsid w:val="008D7006"/>
    <w:rsid w:val="008E1123"/>
    <w:rsid w:val="008E2874"/>
    <w:rsid w:val="008E65D4"/>
    <w:rsid w:val="008F2B78"/>
    <w:rsid w:val="008F32E1"/>
    <w:rsid w:val="008F3689"/>
    <w:rsid w:val="008F53F0"/>
    <w:rsid w:val="008F5CAC"/>
    <w:rsid w:val="008F6FFE"/>
    <w:rsid w:val="00901666"/>
    <w:rsid w:val="009029D4"/>
    <w:rsid w:val="009040A4"/>
    <w:rsid w:val="00905937"/>
    <w:rsid w:val="009075A1"/>
    <w:rsid w:val="00910431"/>
    <w:rsid w:val="00912511"/>
    <w:rsid w:val="00916528"/>
    <w:rsid w:val="00916953"/>
    <w:rsid w:val="0092408A"/>
    <w:rsid w:val="009246ED"/>
    <w:rsid w:val="009251A1"/>
    <w:rsid w:val="00932427"/>
    <w:rsid w:val="00932BDD"/>
    <w:rsid w:val="00934513"/>
    <w:rsid w:val="0094354A"/>
    <w:rsid w:val="009527BF"/>
    <w:rsid w:val="00953A13"/>
    <w:rsid w:val="00957885"/>
    <w:rsid w:val="009649D8"/>
    <w:rsid w:val="00966CD2"/>
    <w:rsid w:val="00967CC1"/>
    <w:rsid w:val="009800E1"/>
    <w:rsid w:val="00993781"/>
    <w:rsid w:val="00994C5B"/>
    <w:rsid w:val="00996C82"/>
    <w:rsid w:val="009A3865"/>
    <w:rsid w:val="009A3C07"/>
    <w:rsid w:val="009A5224"/>
    <w:rsid w:val="009A5EF8"/>
    <w:rsid w:val="009B351F"/>
    <w:rsid w:val="009B36BF"/>
    <w:rsid w:val="009B4AD5"/>
    <w:rsid w:val="009B6D77"/>
    <w:rsid w:val="009C183E"/>
    <w:rsid w:val="009C1B3C"/>
    <w:rsid w:val="009C35AC"/>
    <w:rsid w:val="009C6989"/>
    <w:rsid w:val="009D0F1C"/>
    <w:rsid w:val="009D664F"/>
    <w:rsid w:val="009D7D86"/>
    <w:rsid w:val="009E10FF"/>
    <w:rsid w:val="009E143E"/>
    <w:rsid w:val="009E3377"/>
    <w:rsid w:val="009E4697"/>
    <w:rsid w:val="009E5073"/>
    <w:rsid w:val="009E6DDC"/>
    <w:rsid w:val="009E718E"/>
    <w:rsid w:val="009F1355"/>
    <w:rsid w:val="009F220F"/>
    <w:rsid w:val="009F2920"/>
    <w:rsid w:val="009F3BD8"/>
    <w:rsid w:val="009F46AC"/>
    <w:rsid w:val="009F4C36"/>
    <w:rsid w:val="00A03DCF"/>
    <w:rsid w:val="00A078ED"/>
    <w:rsid w:val="00A10783"/>
    <w:rsid w:val="00A10A46"/>
    <w:rsid w:val="00A13443"/>
    <w:rsid w:val="00A139C0"/>
    <w:rsid w:val="00A17626"/>
    <w:rsid w:val="00A26ACA"/>
    <w:rsid w:val="00A318B6"/>
    <w:rsid w:val="00A342DB"/>
    <w:rsid w:val="00A3486E"/>
    <w:rsid w:val="00A36F60"/>
    <w:rsid w:val="00A37F2D"/>
    <w:rsid w:val="00A427F5"/>
    <w:rsid w:val="00A468B0"/>
    <w:rsid w:val="00A471DB"/>
    <w:rsid w:val="00A52443"/>
    <w:rsid w:val="00A55880"/>
    <w:rsid w:val="00A60CA4"/>
    <w:rsid w:val="00A61CB9"/>
    <w:rsid w:val="00A6208A"/>
    <w:rsid w:val="00A677FE"/>
    <w:rsid w:val="00A70A74"/>
    <w:rsid w:val="00A71524"/>
    <w:rsid w:val="00A73F82"/>
    <w:rsid w:val="00A751EF"/>
    <w:rsid w:val="00A76418"/>
    <w:rsid w:val="00A832DC"/>
    <w:rsid w:val="00A833D2"/>
    <w:rsid w:val="00A84EE5"/>
    <w:rsid w:val="00A85CE7"/>
    <w:rsid w:val="00A85F1D"/>
    <w:rsid w:val="00A86D6E"/>
    <w:rsid w:val="00A86DCF"/>
    <w:rsid w:val="00A932F9"/>
    <w:rsid w:val="00A93341"/>
    <w:rsid w:val="00A944DC"/>
    <w:rsid w:val="00A948D5"/>
    <w:rsid w:val="00AA0BCA"/>
    <w:rsid w:val="00AA1222"/>
    <w:rsid w:val="00AA194E"/>
    <w:rsid w:val="00AA39CA"/>
    <w:rsid w:val="00AA3C97"/>
    <w:rsid w:val="00AA4519"/>
    <w:rsid w:val="00AB1ED1"/>
    <w:rsid w:val="00AB275F"/>
    <w:rsid w:val="00AB2BB4"/>
    <w:rsid w:val="00AB2EDE"/>
    <w:rsid w:val="00AB5AB5"/>
    <w:rsid w:val="00AB621E"/>
    <w:rsid w:val="00AC0F6C"/>
    <w:rsid w:val="00AC1438"/>
    <w:rsid w:val="00AC17FA"/>
    <w:rsid w:val="00AC1CDF"/>
    <w:rsid w:val="00AC3FD4"/>
    <w:rsid w:val="00AC79F4"/>
    <w:rsid w:val="00AD23BC"/>
    <w:rsid w:val="00AD3584"/>
    <w:rsid w:val="00AD72D5"/>
    <w:rsid w:val="00AE1947"/>
    <w:rsid w:val="00AE20C6"/>
    <w:rsid w:val="00AF08B8"/>
    <w:rsid w:val="00AF505D"/>
    <w:rsid w:val="00AF5433"/>
    <w:rsid w:val="00B006F2"/>
    <w:rsid w:val="00B015E4"/>
    <w:rsid w:val="00B0188D"/>
    <w:rsid w:val="00B01A4D"/>
    <w:rsid w:val="00B079B9"/>
    <w:rsid w:val="00B10205"/>
    <w:rsid w:val="00B1344C"/>
    <w:rsid w:val="00B13932"/>
    <w:rsid w:val="00B1652C"/>
    <w:rsid w:val="00B222C9"/>
    <w:rsid w:val="00B25782"/>
    <w:rsid w:val="00B31C82"/>
    <w:rsid w:val="00B33DFC"/>
    <w:rsid w:val="00B371AE"/>
    <w:rsid w:val="00B40821"/>
    <w:rsid w:val="00B41101"/>
    <w:rsid w:val="00B429C5"/>
    <w:rsid w:val="00B4319E"/>
    <w:rsid w:val="00B43469"/>
    <w:rsid w:val="00B45530"/>
    <w:rsid w:val="00B479BE"/>
    <w:rsid w:val="00B5284B"/>
    <w:rsid w:val="00B5341A"/>
    <w:rsid w:val="00B54415"/>
    <w:rsid w:val="00B57D8B"/>
    <w:rsid w:val="00B6000F"/>
    <w:rsid w:val="00B60CF2"/>
    <w:rsid w:val="00B62261"/>
    <w:rsid w:val="00B635F5"/>
    <w:rsid w:val="00B63D6D"/>
    <w:rsid w:val="00B648DA"/>
    <w:rsid w:val="00B66D83"/>
    <w:rsid w:val="00B67C25"/>
    <w:rsid w:val="00B745E0"/>
    <w:rsid w:val="00B757AA"/>
    <w:rsid w:val="00B802AF"/>
    <w:rsid w:val="00B80B1B"/>
    <w:rsid w:val="00B82797"/>
    <w:rsid w:val="00B82822"/>
    <w:rsid w:val="00B85F7D"/>
    <w:rsid w:val="00B965D1"/>
    <w:rsid w:val="00BA111C"/>
    <w:rsid w:val="00BA3928"/>
    <w:rsid w:val="00BB3F8A"/>
    <w:rsid w:val="00BC0D1C"/>
    <w:rsid w:val="00BC1E0C"/>
    <w:rsid w:val="00BC5E79"/>
    <w:rsid w:val="00BC7543"/>
    <w:rsid w:val="00BD0FB4"/>
    <w:rsid w:val="00BD21C9"/>
    <w:rsid w:val="00BD4B44"/>
    <w:rsid w:val="00BD4F6B"/>
    <w:rsid w:val="00BD5164"/>
    <w:rsid w:val="00BD7A5B"/>
    <w:rsid w:val="00BD7D29"/>
    <w:rsid w:val="00BE16E6"/>
    <w:rsid w:val="00BE55D2"/>
    <w:rsid w:val="00BE7BB7"/>
    <w:rsid w:val="00BE7C23"/>
    <w:rsid w:val="00BF3B05"/>
    <w:rsid w:val="00BF525A"/>
    <w:rsid w:val="00BF55FF"/>
    <w:rsid w:val="00C0098F"/>
    <w:rsid w:val="00C00C5A"/>
    <w:rsid w:val="00C06B26"/>
    <w:rsid w:val="00C06DB3"/>
    <w:rsid w:val="00C10FDC"/>
    <w:rsid w:val="00C1240B"/>
    <w:rsid w:val="00C12BB9"/>
    <w:rsid w:val="00C16CA6"/>
    <w:rsid w:val="00C17A55"/>
    <w:rsid w:val="00C2201B"/>
    <w:rsid w:val="00C25FC3"/>
    <w:rsid w:val="00C26367"/>
    <w:rsid w:val="00C32715"/>
    <w:rsid w:val="00C340CB"/>
    <w:rsid w:val="00C341B6"/>
    <w:rsid w:val="00C41108"/>
    <w:rsid w:val="00C41153"/>
    <w:rsid w:val="00C429FE"/>
    <w:rsid w:val="00C46326"/>
    <w:rsid w:val="00C47435"/>
    <w:rsid w:val="00C47F2A"/>
    <w:rsid w:val="00C51125"/>
    <w:rsid w:val="00C55DF2"/>
    <w:rsid w:val="00C567FA"/>
    <w:rsid w:val="00C56D05"/>
    <w:rsid w:val="00C6567F"/>
    <w:rsid w:val="00C720B6"/>
    <w:rsid w:val="00C7452E"/>
    <w:rsid w:val="00C76860"/>
    <w:rsid w:val="00C82B60"/>
    <w:rsid w:val="00C844BC"/>
    <w:rsid w:val="00C86597"/>
    <w:rsid w:val="00C86F0D"/>
    <w:rsid w:val="00C9013C"/>
    <w:rsid w:val="00C90442"/>
    <w:rsid w:val="00C913F9"/>
    <w:rsid w:val="00C91984"/>
    <w:rsid w:val="00C92264"/>
    <w:rsid w:val="00C931C2"/>
    <w:rsid w:val="00CA0959"/>
    <w:rsid w:val="00CA101B"/>
    <w:rsid w:val="00CA186F"/>
    <w:rsid w:val="00CA2367"/>
    <w:rsid w:val="00CA51D4"/>
    <w:rsid w:val="00CA57F6"/>
    <w:rsid w:val="00CB0C2D"/>
    <w:rsid w:val="00CB502B"/>
    <w:rsid w:val="00CC0F5D"/>
    <w:rsid w:val="00CC2C53"/>
    <w:rsid w:val="00CC466F"/>
    <w:rsid w:val="00CC4795"/>
    <w:rsid w:val="00CD1861"/>
    <w:rsid w:val="00CD6278"/>
    <w:rsid w:val="00CD7F77"/>
    <w:rsid w:val="00CE0B2A"/>
    <w:rsid w:val="00CE2E49"/>
    <w:rsid w:val="00CE3F4A"/>
    <w:rsid w:val="00CE6A52"/>
    <w:rsid w:val="00CF29C5"/>
    <w:rsid w:val="00CF4C89"/>
    <w:rsid w:val="00CF78B5"/>
    <w:rsid w:val="00D01D51"/>
    <w:rsid w:val="00D031E0"/>
    <w:rsid w:val="00D03CA6"/>
    <w:rsid w:val="00D05861"/>
    <w:rsid w:val="00D071AB"/>
    <w:rsid w:val="00D1282C"/>
    <w:rsid w:val="00D12A4C"/>
    <w:rsid w:val="00D139CA"/>
    <w:rsid w:val="00D14518"/>
    <w:rsid w:val="00D15E23"/>
    <w:rsid w:val="00D1613B"/>
    <w:rsid w:val="00D2627D"/>
    <w:rsid w:val="00D321D7"/>
    <w:rsid w:val="00D32F28"/>
    <w:rsid w:val="00D33383"/>
    <w:rsid w:val="00D37C94"/>
    <w:rsid w:val="00D41960"/>
    <w:rsid w:val="00D41C34"/>
    <w:rsid w:val="00D449B3"/>
    <w:rsid w:val="00D4706B"/>
    <w:rsid w:val="00D4756B"/>
    <w:rsid w:val="00D4787D"/>
    <w:rsid w:val="00D47B97"/>
    <w:rsid w:val="00D52025"/>
    <w:rsid w:val="00D52305"/>
    <w:rsid w:val="00D65167"/>
    <w:rsid w:val="00D66984"/>
    <w:rsid w:val="00D702D7"/>
    <w:rsid w:val="00D71CED"/>
    <w:rsid w:val="00D72331"/>
    <w:rsid w:val="00D72776"/>
    <w:rsid w:val="00D727E0"/>
    <w:rsid w:val="00D73290"/>
    <w:rsid w:val="00D77853"/>
    <w:rsid w:val="00D80897"/>
    <w:rsid w:val="00D82427"/>
    <w:rsid w:val="00D840C5"/>
    <w:rsid w:val="00D86623"/>
    <w:rsid w:val="00D9053B"/>
    <w:rsid w:val="00D921F9"/>
    <w:rsid w:val="00D93022"/>
    <w:rsid w:val="00D94AB1"/>
    <w:rsid w:val="00D94CA0"/>
    <w:rsid w:val="00D96A72"/>
    <w:rsid w:val="00DA0002"/>
    <w:rsid w:val="00DA03A9"/>
    <w:rsid w:val="00DA16D4"/>
    <w:rsid w:val="00DA1A7C"/>
    <w:rsid w:val="00DA7696"/>
    <w:rsid w:val="00DB06E1"/>
    <w:rsid w:val="00DB463C"/>
    <w:rsid w:val="00DB4F96"/>
    <w:rsid w:val="00DB796F"/>
    <w:rsid w:val="00DC0BA1"/>
    <w:rsid w:val="00DC0BB3"/>
    <w:rsid w:val="00DC2644"/>
    <w:rsid w:val="00DC432C"/>
    <w:rsid w:val="00DC48B4"/>
    <w:rsid w:val="00DC4C1B"/>
    <w:rsid w:val="00DD2153"/>
    <w:rsid w:val="00DD28FE"/>
    <w:rsid w:val="00DD34F4"/>
    <w:rsid w:val="00DD4E91"/>
    <w:rsid w:val="00DD4FBB"/>
    <w:rsid w:val="00DE114F"/>
    <w:rsid w:val="00DE14C1"/>
    <w:rsid w:val="00DF3191"/>
    <w:rsid w:val="00DF4E7C"/>
    <w:rsid w:val="00E05E41"/>
    <w:rsid w:val="00E061C7"/>
    <w:rsid w:val="00E11E4C"/>
    <w:rsid w:val="00E15022"/>
    <w:rsid w:val="00E15F31"/>
    <w:rsid w:val="00E21CB2"/>
    <w:rsid w:val="00E2570C"/>
    <w:rsid w:val="00E272CB"/>
    <w:rsid w:val="00E27D9B"/>
    <w:rsid w:val="00E33BD5"/>
    <w:rsid w:val="00E35BEE"/>
    <w:rsid w:val="00E35C51"/>
    <w:rsid w:val="00E36B6C"/>
    <w:rsid w:val="00E40608"/>
    <w:rsid w:val="00E407E9"/>
    <w:rsid w:val="00E537AA"/>
    <w:rsid w:val="00E547CE"/>
    <w:rsid w:val="00E54AAE"/>
    <w:rsid w:val="00E565AE"/>
    <w:rsid w:val="00E5713A"/>
    <w:rsid w:val="00E573D1"/>
    <w:rsid w:val="00E60B64"/>
    <w:rsid w:val="00E6548C"/>
    <w:rsid w:val="00E71862"/>
    <w:rsid w:val="00E75F47"/>
    <w:rsid w:val="00E76BA7"/>
    <w:rsid w:val="00E80444"/>
    <w:rsid w:val="00E81309"/>
    <w:rsid w:val="00E81725"/>
    <w:rsid w:val="00E82A6A"/>
    <w:rsid w:val="00E83335"/>
    <w:rsid w:val="00E8694C"/>
    <w:rsid w:val="00E87F11"/>
    <w:rsid w:val="00E91FBB"/>
    <w:rsid w:val="00E92497"/>
    <w:rsid w:val="00E96491"/>
    <w:rsid w:val="00E966DC"/>
    <w:rsid w:val="00E9792B"/>
    <w:rsid w:val="00EA031F"/>
    <w:rsid w:val="00EA0840"/>
    <w:rsid w:val="00EA0F81"/>
    <w:rsid w:val="00EA302D"/>
    <w:rsid w:val="00EA30C3"/>
    <w:rsid w:val="00EA4BDB"/>
    <w:rsid w:val="00EB2040"/>
    <w:rsid w:val="00EB2A6D"/>
    <w:rsid w:val="00EB38D1"/>
    <w:rsid w:val="00EB5941"/>
    <w:rsid w:val="00EC0BC8"/>
    <w:rsid w:val="00EC4350"/>
    <w:rsid w:val="00EC57FB"/>
    <w:rsid w:val="00ED10D4"/>
    <w:rsid w:val="00ED1CF0"/>
    <w:rsid w:val="00ED3EEC"/>
    <w:rsid w:val="00ED6701"/>
    <w:rsid w:val="00ED7479"/>
    <w:rsid w:val="00ED747A"/>
    <w:rsid w:val="00EF00FC"/>
    <w:rsid w:val="00EF1785"/>
    <w:rsid w:val="00EF6234"/>
    <w:rsid w:val="00F03B68"/>
    <w:rsid w:val="00F0527D"/>
    <w:rsid w:val="00F13D89"/>
    <w:rsid w:val="00F17826"/>
    <w:rsid w:val="00F210C5"/>
    <w:rsid w:val="00F22D6D"/>
    <w:rsid w:val="00F23BA6"/>
    <w:rsid w:val="00F2471B"/>
    <w:rsid w:val="00F31E61"/>
    <w:rsid w:val="00F33496"/>
    <w:rsid w:val="00F33942"/>
    <w:rsid w:val="00F34BD5"/>
    <w:rsid w:val="00F36A7B"/>
    <w:rsid w:val="00F37295"/>
    <w:rsid w:val="00F37F04"/>
    <w:rsid w:val="00F5178D"/>
    <w:rsid w:val="00F70257"/>
    <w:rsid w:val="00F77506"/>
    <w:rsid w:val="00F77F42"/>
    <w:rsid w:val="00F809CD"/>
    <w:rsid w:val="00F81611"/>
    <w:rsid w:val="00F8347C"/>
    <w:rsid w:val="00F83F6E"/>
    <w:rsid w:val="00F8503D"/>
    <w:rsid w:val="00F85086"/>
    <w:rsid w:val="00F86965"/>
    <w:rsid w:val="00F86F89"/>
    <w:rsid w:val="00F92BEF"/>
    <w:rsid w:val="00F9498B"/>
    <w:rsid w:val="00F9562E"/>
    <w:rsid w:val="00F9574E"/>
    <w:rsid w:val="00F95F0C"/>
    <w:rsid w:val="00F9708D"/>
    <w:rsid w:val="00F973FD"/>
    <w:rsid w:val="00F976A5"/>
    <w:rsid w:val="00F97CD2"/>
    <w:rsid w:val="00F97E0C"/>
    <w:rsid w:val="00FA11B0"/>
    <w:rsid w:val="00FA1545"/>
    <w:rsid w:val="00FA15F5"/>
    <w:rsid w:val="00FA400D"/>
    <w:rsid w:val="00FA43CC"/>
    <w:rsid w:val="00FA48A0"/>
    <w:rsid w:val="00FA57A3"/>
    <w:rsid w:val="00FB0180"/>
    <w:rsid w:val="00FB1A0B"/>
    <w:rsid w:val="00FB2FE1"/>
    <w:rsid w:val="00FB400D"/>
    <w:rsid w:val="00FC0838"/>
    <w:rsid w:val="00FC28CE"/>
    <w:rsid w:val="00FC3D2F"/>
    <w:rsid w:val="00FC4BE9"/>
    <w:rsid w:val="00FD23BA"/>
    <w:rsid w:val="00FD321C"/>
    <w:rsid w:val="00FD5D10"/>
    <w:rsid w:val="00FD618B"/>
    <w:rsid w:val="00FE07BF"/>
    <w:rsid w:val="00FE21BB"/>
    <w:rsid w:val="00FE6326"/>
    <w:rsid w:val="00FE6E3A"/>
    <w:rsid w:val="00FF0FD9"/>
    <w:rsid w:val="00FF272D"/>
    <w:rsid w:val="00FF30AD"/>
    <w:rsid w:val="00FF54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6C13A"/>
  <w15:chartTrackingRefBased/>
  <w15:docId w15:val="{272FCCAE-7205-F44F-9746-C8D15B8D2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C86"/>
    <w:rPr>
      <w:rFonts w:ascii="Times New Roman" w:eastAsia="Times New Roman" w:hAnsi="Times New Roman"/>
      <w:sz w:val="24"/>
      <w:szCs w:val="24"/>
      <w:lang w:eastAsia="it-IT"/>
    </w:rPr>
  </w:style>
  <w:style w:type="paragraph" w:styleId="Heading1">
    <w:name w:val="heading 1"/>
    <w:basedOn w:val="Normal"/>
    <w:next w:val="Normal"/>
    <w:link w:val="Heading1Char"/>
    <w:uiPriority w:val="9"/>
    <w:qFormat/>
    <w:rsid w:val="002B7F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7F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B7F5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B648D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B7F5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F5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B7F5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B7F58"/>
    <w:rPr>
      <w:rFonts w:ascii="Times New Roman" w:eastAsia="Times New Roman" w:hAnsi="Times New Roman" w:cs="Times New Roman"/>
      <w:b/>
      <w:bCs/>
      <w:sz w:val="27"/>
      <w:szCs w:val="27"/>
      <w:lang w:eastAsia="it-IT"/>
    </w:rPr>
  </w:style>
  <w:style w:type="character" w:customStyle="1" w:styleId="Heading5Char">
    <w:name w:val="Heading 5 Char"/>
    <w:basedOn w:val="DefaultParagraphFont"/>
    <w:link w:val="Heading5"/>
    <w:uiPriority w:val="9"/>
    <w:semiHidden/>
    <w:rsid w:val="002B7F58"/>
    <w:rPr>
      <w:rFonts w:asciiTheme="majorHAnsi" w:eastAsiaTheme="majorEastAsia" w:hAnsiTheme="majorHAnsi" w:cstheme="majorBidi"/>
      <w:color w:val="2F5496" w:themeColor="accent1" w:themeShade="BF"/>
      <w:lang w:eastAsia="it-IT"/>
    </w:rPr>
  </w:style>
  <w:style w:type="paragraph" w:styleId="NormalWeb">
    <w:name w:val="Normal (Web)"/>
    <w:basedOn w:val="Normal"/>
    <w:uiPriority w:val="99"/>
    <w:unhideWhenUsed/>
    <w:rsid w:val="002B7F58"/>
    <w:pPr>
      <w:spacing w:before="100" w:beforeAutospacing="1" w:after="100" w:afterAutospacing="1"/>
    </w:pPr>
  </w:style>
  <w:style w:type="character" w:styleId="Hyperlink">
    <w:name w:val="Hyperlink"/>
    <w:basedOn w:val="DefaultParagraphFont"/>
    <w:uiPriority w:val="99"/>
    <w:unhideWhenUsed/>
    <w:rsid w:val="002B7F58"/>
    <w:rPr>
      <w:color w:val="0000FF"/>
      <w:u w:val="single"/>
    </w:rPr>
  </w:style>
  <w:style w:type="character" w:customStyle="1" w:styleId="textexposedshow">
    <w:name w:val="text_exposed_show"/>
    <w:basedOn w:val="DefaultParagraphFont"/>
    <w:rsid w:val="002B7F58"/>
  </w:style>
  <w:style w:type="character" w:styleId="Strong">
    <w:name w:val="Strong"/>
    <w:basedOn w:val="DefaultParagraphFont"/>
    <w:uiPriority w:val="22"/>
    <w:qFormat/>
    <w:rsid w:val="002B7F58"/>
    <w:rPr>
      <w:b/>
      <w:bCs/>
    </w:rPr>
  </w:style>
  <w:style w:type="character" w:styleId="FollowedHyperlink">
    <w:name w:val="FollowedHyperlink"/>
    <w:basedOn w:val="DefaultParagraphFont"/>
    <w:uiPriority w:val="99"/>
    <w:semiHidden/>
    <w:unhideWhenUsed/>
    <w:rsid w:val="002B7F58"/>
    <w:rPr>
      <w:color w:val="954F72" w:themeColor="followedHyperlink"/>
      <w:u w:val="single"/>
    </w:rPr>
  </w:style>
  <w:style w:type="paragraph" w:styleId="FootnoteText">
    <w:name w:val="footnote text"/>
    <w:basedOn w:val="Normal"/>
    <w:link w:val="FootnoteTextChar"/>
    <w:uiPriority w:val="99"/>
    <w:unhideWhenUsed/>
    <w:rsid w:val="002B7F58"/>
    <w:rPr>
      <w:rFonts w:cstheme="minorBidi"/>
    </w:rPr>
  </w:style>
  <w:style w:type="character" w:customStyle="1" w:styleId="FootnoteTextChar">
    <w:name w:val="Footnote Text Char"/>
    <w:basedOn w:val="DefaultParagraphFont"/>
    <w:link w:val="FootnoteText"/>
    <w:uiPriority w:val="99"/>
    <w:rsid w:val="002B7F58"/>
    <w:rPr>
      <w:sz w:val="20"/>
      <w:szCs w:val="20"/>
    </w:rPr>
  </w:style>
  <w:style w:type="character" w:styleId="FootnoteReference">
    <w:name w:val="footnote reference"/>
    <w:basedOn w:val="DefaultParagraphFont"/>
    <w:uiPriority w:val="99"/>
    <w:semiHidden/>
    <w:unhideWhenUsed/>
    <w:rsid w:val="002B7F58"/>
    <w:rPr>
      <w:vertAlign w:val="superscript"/>
    </w:rPr>
  </w:style>
  <w:style w:type="character" w:customStyle="1" w:styleId="highlight">
    <w:name w:val="highlight"/>
    <w:basedOn w:val="DefaultParagraphFont"/>
    <w:rsid w:val="002B7F58"/>
  </w:style>
  <w:style w:type="character" w:customStyle="1" w:styleId="highwire-citation-authors">
    <w:name w:val="highwire-citation-authors"/>
    <w:basedOn w:val="DefaultParagraphFont"/>
    <w:rsid w:val="002B7F58"/>
  </w:style>
  <w:style w:type="character" w:customStyle="1" w:styleId="highwire-citation-author">
    <w:name w:val="highwire-citation-author"/>
    <w:basedOn w:val="DefaultParagraphFont"/>
    <w:rsid w:val="002B7F58"/>
  </w:style>
  <w:style w:type="character" w:customStyle="1" w:styleId="nlm-given-names">
    <w:name w:val="nlm-given-names"/>
    <w:basedOn w:val="DefaultParagraphFont"/>
    <w:rsid w:val="002B7F58"/>
  </w:style>
  <w:style w:type="character" w:customStyle="1" w:styleId="nlm-surname">
    <w:name w:val="nlm-surname"/>
    <w:basedOn w:val="DefaultParagraphFont"/>
    <w:rsid w:val="002B7F58"/>
  </w:style>
  <w:style w:type="character" w:customStyle="1" w:styleId="highwire-cite-metadata-journal">
    <w:name w:val="highwire-cite-metadata-journal"/>
    <w:basedOn w:val="DefaultParagraphFont"/>
    <w:rsid w:val="002B7F58"/>
  </w:style>
  <w:style w:type="character" w:customStyle="1" w:styleId="highwire-cite-metadata-pages">
    <w:name w:val="highwire-cite-metadata-pages"/>
    <w:basedOn w:val="DefaultParagraphFont"/>
    <w:rsid w:val="002B7F58"/>
  </w:style>
  <w:style w:type="character" w:customStyle="1" w:styleId="highwire-cite-metadata-doi">
    <w:name w:val="highwire-cite-metadata-doi"/>
    <w:basedOn w:val="DefaultParagraphFont"/>
    <w:rsid w:val="002B7F58"/>
  </w:style>
  <w:style w:type="character" w:customStyle="1" w:styleId="doilabel">
    <w:name w:val="doi_label"/>
    <w:basedOn w:val="DefaultParagraphFont"/>
    <w:rsid w:val="002B7F58"/>
  </w:style>
  <w:style w:type="paragraph" w:customStyle="1" w:styleId="Default">
    <w:name w:val="Default"/>
    <w:rsid w:val="002B7F58"/>
    <w:pPr>
      <w:autoSpaceDE w:val="0"/>
      <w:autoSpaceDN w:val="0"/>
      <w:adjustRightInd w:val="0"/>
    </w:pPr>
    <w:rPr>
      <w:rFonts w:ascii="Source Sans Pro" w:hAnsi="Source Sans Pro" w:cs="Source Sans Pro"/>
      <w:color w:val="000000"/>
    </w:rPr>
  </w:style>
  <w:style w:type="character" w:customStyle="1" w:styleId="cit">
    <w:name w:val="cit"/>
    <w:basedOn w:val="DefaultParagraphFont"/>
    <w:rsid w:val="002B7F58"/>
  </w:style>
  <w:style w:type="character" w:customStyle="1" w:styleId="fm-vol-iss-date">
    <w:name w:val="fm-vol-iss-date"/>
    <w:basedOn w:val="DefaultParagraphFont"/>
    <w:rsid w:val="002B7F58"/>
  </w:style>
  <w:style w:type="character" w:customStyle="1" w:styleId="doi">
    <w:name w:val="doi"/>
    <w:basedOn w:val="DefaultParagraphFont"/>
    <w:rsid w:val="002B7F58"/>
  </w:style>
  <w:style w:type="character" w:customStyle="1" w:styleId="fm-citation-ids-label">
    <w:name w:val="fm-citation-ids-label"/>
    <w:basedOn w:val="DefaultParagraphFont"/>
    <w:rsid w:val="002B7F58"/>
  </w:style>
  <w:style w:type="character" w:customStyle="1" w:styleId="ref-journal">
    <w:name w:val="ref-journal"/>
    <w:basedOn w:val="DefaultParagraphFont"/>
    <w:rsid w:val="002B7F58"/>
  </w:style>
  <w:style w:type="character" w:customStyle="1" w:styleId="ref-vol">
    <w:name w:val="ref-vol"/>
    <w:basedOn w:val="DefaultParagraphFont"/>
    <w:rsid w:val="002B7F58"/>
  </w:style>
  <w:style w:type="character" w:customStyle="1" w:styleId="ui-ncbitoggler-master-text">
    <w:name w:val="ui-ncbitoggler-master-text"/>
    <w:basedOn w:val="DefaultParagraphFont"/>
    <w:rsid w:val="002B7F58"/>
  </w:style>
  <w:style w:type="character" w:customStyle="1" w:styleId="apple-converted-space">
    <w:name w:val="apple-converted-space"/>
    <w:basedOn w:val="DefaultParagraphFont"/>
    <w:rsid w:val="002B7F58"/>
  </w:style>
  <w:style w:type="character" w:styleId="Emphasis">
    <w:name w:val="Emphasis"/>
    <w:basedOn w:val="DefaultParagraphFont"/>
    <w:uiPriority w:val="20"/>
    <w:qFormat/>
    <w:rsid w:val="002B7F58"/>
    <w:rPr>
      <w:i/>
      <w:iCs/>
    </w:rPr>
  </w:style>
  <w:style w:type="character" w:customStyle="1" w:styleId="gsctg2">
    <w:name w:val="gs_ctg2"/>
    <w:basedOn w:val="DefaultParagraphFont"/>
    <w:rsid w:val="002B7F58"/>
  </w:style>
  <w:style w:type="character" w:customStyle="1" w:styleId="xref">
    <w:name w:val="xref"/>
    <w:basedOn w:val="DefaultParagraphFont"/>
    <w:rsid w:val="002B7F58"/>
  </w:style>
  <w:style w:type="paragraph" w:customStyle="1" w:styleId="text">
    <w:name w:val="text"/>
    <w:basedOn w:val="Normal"/>
    <w:rsid w:val="002B7F58"/>
    <w:pPr>
      <w:spacing w:before="100" w:beforeAutospacing="1" w:after="100" w:afterAutospacing="1"/>
    </w:pPr>
  </w:style>
  <w:style w:type="paragraph" w:customStyle="1" w:styleId="subtext">
    <w:name w:val="subtext"/>
    <w:basedOn w:val="Normal"/>
    <w:rsid w:val="002B7F58"/>
    <w:pPr>
      <w:spacing w:before="100" w:beforeAutospacing="1" w:after="100" w:afterAutospacing="1"/>
    </w:pPr>
  </w:style>
  <w:style w:type="character" w:customStyle="1" w:styleId="ff5">
    <w:name w:val="ff5"/>
    <w:basedOn w:val="DefaultParagraphFont"/>
    <w:rsid w:val="002B7F58"/>
  </w:style>
  <w:style w:type="character" w:customStyle="1" w:styleId="fs24">
    <w:name w:val="fs24"/>
    <w:basedOn w:val="DefaultParagraphFont"/>
    <w:rsid w:val="002B7F58"/>
  </w:style>
  <w:style w:type="paragraph" w:styleId="ListParagraph">
    <w:name w:val="List Paragraph"/>
    <w:basedOn w:val="Normal"/>
    <w:uiPriority w:val="34"/>
    <w:qFormat/>
    <w:rsid w:val="002B7F58"/>
    <w:pPr>
      <w:ind w:left="720"/>
      <w:contextualSpacing/>
    </w:pPr>
  </w:style>
  <w:style w:type="character" w:customStyle="1" w:styleId="mixed-citation">
    <w:name w:val="mixed-citation"/>
    <w:basedOn w:val="DefaultParagraphFont"/>
    <w:rsid w:val="002B7F58"/>
  </w:style>
  <w:style w:type="paragraph" w:styleId="Footer">
    <w:name w:val="footer"/>
    <w:basedOn w:val="Normal"/>
    <w:link w:val="FooterChar"/>
    <w:uiPriority w:val="99"/>
    <w:unhideWhenUsed/>
    <w:rsid w:val="002B7F58"/>
    <w:pPr>
      <w:tabs>
        <w:tab w:val="center" w:pos="4819"/>
        <w:tab w:val="right" w:pos="9638"/>
      </w:tabs>
    </w:pPr>
  </w:style>
  <w:style w:type="character" w:customStyle="1" w:styleId="FooterChar">
    <w:name w:val="Footer Char"/>
    <w:basedOn w:val="DefaultParagraphFont"/>
    <w:link w:val="Footer"/>
    <w:uiPriority w:val="99"/>
    <w:rsid w:val="002B7F58"/>
    <w:rPr>
      <w:rFonts w:ascii="Times New Roman" w:eastAsia="Times New Roman" w:hAnsi="Times New Roman" w:cs="Times New Roman"/>
      <w:lang w:eastAsia="it-IT"/>
    </w:rPr>
  </w:style>
  <w:style w:type="character" w:customStyle="1" w:styleId="booktitle">
    <w:name w:val="booktitle"/>
    <w:basedOn w:val="DefaultParagraphFont"/>
    <w:rsid w:val="002B7F58"/>
  </w:style>
  <w:style w:type="character" w:customStyle="1" w:styleId="page-numbers-info">
    <w:name w:val="page-numbers-info"/>
    <w:basedOn w:val="DefaultParagraphFont"/>
    <w:rsid w:val="002B7F58"/>
  </w:style>
  <w:style w:type="paragraph" w:customStyle="1" w:styleId="Titolo1">
    <w:name w:val="Titolo1"/>
    <w:basedOn w:val="Normal"/>
    <w:rsid w:val="002B7F58"/>
    <w:pPr>
      <w:spacing w:before="100" w:beforeAutospacing="1" w:after="100" w:afterAutospacing="1"/>
    </w:pPr>
  </w:style>
  <w:style w:type="paragraph" w:customStyle="1" w:styleId="desc">
    <w:name w:val="desc"/>
    <w:basedOn w:val="Normal"/>
    <w:rsid w:val="002B7F58"/>
    <w:pPr>
      <w:spacing w:before="100" w:beforeAutospacing="1" w:after="100" w:afterAutospacing="1"/>
    </w:pPr>
  </w:style>
  <w:style w:type="paragraph" w:customStyle="1" w:styleId="details">
    <w:name w:val="details"/>
    <w:basedOn w:val="Normal"/>
    <w:rsid w:val="002B7F58"/>
    <w:pPr>
      <w:spacing w:before="100" w:beforeAutospacing="1" w:after="100" w:afterAutospacing="1"/>
    </w:pPr>
  </w:style>
  <w:style w:type="character" w:customStyle="1" w:styleId="jrnl">
    <w:name w:val="jrnl"/>
    <w:basedOn w:val="DefaultParagraphFont"/>
    <w:rsid w:val="002B7F58"/>
  </w:style>
  <w:style w:type="character" w:customStyle="1" w:styleId="ref-title">
    <w:name w:val="ref-title"/>
    <w:basedOn w:val="DefaultParagraphFont"/>
    <w:rsid w:val="002B7F58"/>
  </w:style>
  <w:style w:type="paragraph" w:customStyle="1" w:styleId="p">
    <w:name w:val="p"/>
    <w:basedOn w:val="Normal"/>
    <w:rsid w:val="002B7F58"/>
    <w:pPr>
      <w:spacing w:before="100" w:beforeAutospacing="1" w:after="100" w:afterAutospacing="1"/>
    </w:pPr>
  </w:style>
  <w:style w:type="paragraph" w:customStyle="1" w:styleId="bibliographic-informationitem">
    <w:name w:val="bibliographic-information__item"/>
    <w:basedOn w:val="Normal"/>
    <w:rsid w:val="002B7F58"/>
    <w:pPr>
      <w:spacing w:before="100" w:beforeAutospacing="1" w:after="100" w:afterAutospacing="1"/>
    </w:pPr>
  </w:style>
  <w:style w:type="character" w:customStyle="1" w:styleId="bibliographic-informationtitle">
    <w:name w:val="bibliographic-information__title"/>
    <w:basedOn w:val="DefaultParagraphFont"/>
    <w:rsid w:val="002B7F58"/>
  </w:style>
  <w:style w:type="character" w:customStyle="1" w:styleId="bibliographic-informationvalue">
    <w:name w:val="bibliographic-information__value"/>
    <w:basedOn w:val="DefaultParagraphFont"/>
    <w:rsid w:val="002B7F58"/>
  </w:style>
  <w:style w:type="character" w:customStyle="1" w:styleId="element-citation">
    <w:name w:val="element-citation"/>
    <w:basedOn w:val="DefaultParagraphFont"/>
    <w:rsid w:val="002B7F58"/>
  </w:style>
  <w:style w:type="character" w:customStyle="1" w:styleId="nowrap">
    <w:name w:val="nowrap"/>
    <w:basedOn w:val="DefaultParagraphFont"/>
    <w:rsid w:val="002B7F58"/>
  </w:style>
  <w:style w:type="character" w:styleId="UnresolvedMention">
    <w:name w:val="Unresolved Mention"/>
    <w:basedOn w:val="DefaultParagraphFont"/>
    <w:uiPriority w:val="99"/>
    <w:semiHidden/>
    <w:unhideWhenUsed/>
    <w:rsid w:val="00611628"/>
    <w:rPr>
      <w:color w:val="605E5C"/>
      <w:shd w:val="clear" w:color="auto" w:fill="E1DFDD"/>
    </w:rPr>
  </w:style>
  <w:style w:type="character" w:customStyle="1" w:styleId="period">
    <w:name w:val="period"/>
    <w:basedOn w:val="DefaultParagraphFont"/>
    <w:rsid w:val="001F0F85"/>
  </w:style>
  <w:style w:type="character" w:customStyle="1" w:styleId="citation-doi">
    <w:name w:val="citation-doi"/>
    <w:basedOn w:val="DefaultParagraphFont"/>
    <w:rsid w:val="001F0F85"/>
  </w:style>
  <w:style w:type="character" w:customStyle="1" w:styleId="ahead-of-print">
    <w:name w:val="ahead-of-print"/>
    <w:basedOn w:val="DefaultParagraphFont"/>
    <w:rsid w:val="001F0F85"/>
  </w:style>
  <w:style w:type="character" w:customStyle="1" w:styleId="authors-list-item">
    <w:name w:val="authors-list-item"/>
    <w:basedOn w:val="DefaultParagraphFont"/>
    <w:rsid w:val="001F0F85"/>
  </w:style>
  <w:style w:type="character" w:customStyle="1" w:styleId="author-sup-separator">
    <w:name w:val="author-sup-separator"/>
    <w:basedOn w:val="DefaultParagraphFont"/>
    <w:rsid w:val="001F0F85"/>
  </w:style>
  <w:style w:type="character" w:customStyle="1" w:styleId="comma">
    <w:name w:val="comma"/>
    <w:basedOn w:val="DefaultParagraphFont"/>
    <w:rsid w:val="001F0F85"/>
  </w:style>
  <w:style w:type="character" w:customStyle="1" w:styleId="labs-docsum-authors">
    <w:name w:val="labs-docsum-authors"/>
    <w:basedOn w:val="DefaultParagraphFont"/>
    <w:rsid w:val="000B6B8A"/>
  </w:style>
  <w:style w:type="character" w:customStyle="1" w:styleId="labs-docsum-journal-citation">
    <w:name w:val="labs-docsum-journal-citation"/>
    <w:basedOn w:val="DefaultParagraphFont"/>
    <w:rsid w:val="000B6B8A"/>
  </w:style>
  <w:style w:type="character" w:customStyle="1" w:styleId="highwire-cite-article-type-rr">
    <w:name w:val="highwire-cite-article-type-rr"/>
    <w:basedOn w:val="DefaultParagraphFont"/>
    <w:rsid w:val="00A948D5"/>
  </w:style>
  <w:style w:type="character" w:styleId="HTMLCite">
    <w:name w:val="HTML Cite"/>
    <w:basedOn w:val="DefaultParagraphFont"/>
    <w:uiPriority w:val="99"/>
    <w:semiHidden/>
    <w:unhideWhenUsed/>
    <w:rsid w:val="00A948D5"/>
    <w:rPr>
      <w:i/>
      <w:iCs/>
    </w:rPr>
  </w:style>
  <w:style w:type="character" w:customStyle="1" w:styleId="highwire-cite-journal">
    <w:name w:val="highwire-cite-journal"/>
    <w:basedOn w:val="DefaultParagraphFont"/>
    <w:rsid w:val="00A948D5"/>
  </w:style>
  <w:style w:type="character" w:customStyle="1" w:styleId="highwire-cite-published-year">
    <w:name w:val="highwire-cite-published-year"/>
    <w:basedOn w:val="DefaultParagraphFont"/>
    <w:rsid w:val="00A948D5"/>
  </w:style>
  <w:style w:type="character" w:customStyle="1" w:styleId="highwire-cite-volume-issue">
    <w:name w:val="highwire-cite-volume-issue"/>
    <w:basedOn w:val="DefaultParagraphFont"/>
    <w:rsid w:val="00A948D5"/>
  </w:style>
  <w:style w:type="character" w:customStyle="1" w:styleId="highwire-cite-doi">
    <w:name w:val="highwire-cite-doi"/>
    <w:basedOn w:val="DefaultParagraphFont"/>
    <w:rsid w:val="00A948D5"/>
  </w:style>
  <w:style w:type="character" w:customStyle="1" w:styleId="nlmstring-name">
    <w:name w:val="nlm_string-name"/>
    <w:basedOn w:val="DefaultParagraphFont"/>
    <w:rsid w:val="00B33DFC"/>
  </w:style>
  <w:style w:type="character" w:customStyle="1" w:styleId="nlmyear">
    <w:name w:val="nlm_year"/>
    <w:basedOn w:val="DefaultParagraphFont"/>
    <w:rsid w:val="00B33DFC"/>
  </w:style>
  <w:style w:type="character" w:customStyle="1" w:styleId="nlmarticle-title">
    <w:name w:val="nlm_article-title"/>
    <w:basedOn w:val="DefaultParagraphFont"/>
    <w:rsid w:val="00B33DFC"/>
  </w:style>
  <w:style w:type="character" w:customStyle="1" w:styleId="nlmvolume">
    <w:name w:val="nlm_volume"/>
    <w:basedOn w:val="DefaultParagraphFont"/>
    <w:rsid w:val="00B33DFC"/>
  </w:style>
  <w:style w:type="character" w:customStyle="1" w:styleId="nlmissue">
    <w:name w:val="nlm_issue"/>
    <w:basedOn w:val="DefaultParagraphFont"/>
    <w:rsid w:val="00B33DFC"/>
  </w:style>
  <w:style w:type="character" w:customStyle="1" w:styleId="nlmfpage">
    <w:name w:val="nlm_fpage"/>
    <w:basedOn w:val="DefaultParagraphFont"/>
    <w:rsid w:val="00B33DFC"/>
  </w:style>
  <w:style w:type="character" w:customStyle="1" w:styleId="refdoi">
    <w:name w:val="refdoi"/>
    <w:basedOn w:val="DefaultParagraphFont"/>
    <w:rsid w:val="00B33DFC"/>
  </w:style>
  <w:style w:type="character" w:customStyle="1" w:styleId="secondary-date">
    <w:name w:val="secondary-date"/>
    <w:basedOn w:val="DefaultParagraphFont"/>
    <w:rsid w:val="00E15022"/>
  </w:style>
  <w:style w:type="paragraph" w:styleId="TOC1">
    <w:name w:val="toc 1"/>
    <w:basedOn w:val="Normal"/>
    <w:next w:val="Normal"/>
    <w:autoRedefine/>
    <w:uiPriority w:val="39"/>
    <w:unhideWhenUsed/>
    <w:rsid w:val="00E565AE"/>
    <w:pPr>
      <w:tabs>
        <w:tab w:val="left" w:pos="284"/>
        <w:tab w:val="right" w:leader="dot" w:pos="9622"/>
      </w:tabs>
      <w:spacing w:after="100"/>
      <w:jc w:val="center"/>
    </w:pPr>
    <w:rPr>
      <w:rFonts w:asciiTheme="minorHAnsi" w:hAnsiTheme="minorHAnsi" w:cstheme="minorHAnsi"/>
      <w:b/>
      <w:noProof/>
      <w:color w:val="2F5496" w:themeColor="accent1" w:themeShade="BF"/>
      <w:sz w:val="18"/>
      <w:szCs w:val="18"/>
    </w:rPr>
  </w:style>
  <w:style w:type="paragraph" w:styleId="TOC2">
    <w:name w:val="toc 2"/>
    <w:basedOn w:val="Normal"/>
    <w:next w:val="Normal"/>
    <w:autoRedefine/>
    <w:uiPriority w:val="39"/>
    <w:unhideWhenUsed/>
    <w:rsid w:val="00E565AE"/>
    <w:pPr>
      <w:tabs>
        <w:tab w:val="left" w:pos="284"/>
        <w:tab w:val="right" w:leader="dot" w:pos="9622"/>
      </w:tabs>
      <w:spacing w:after="100"/>
      <w:ind w:left="567"/>
    </w:pPr>
    <w:rPr>
      <w:rFonts w:asciiTheme="minorHAnsi" w:hAnsiTheme="minorHAnsi" w:cstheme="minorHAnsi"/>
      <w:b/>
      <w:noProof/>
      <w:color w:val="000000" w:themeColor="text1"/>
      <w:sz w:val="18"/>
      <w:szCs w:val="18"/>
    </w:rPr>
  </w:style>
  <w:style w:type="paragraph" w:styleId="TOC3">
    <w:name w:val="toc 3"/>
    <w:basedOn w:val="Normal"/>
    <w:next w:val="Normal"/>
    <w:autoRedefine/>
    <w:uiPriority w:val="39"/>
    <w:unhideWhenUsed/>
    <w:rsid w:val="00AA194E"/>
    <w:pPr>
      <w:tabs>
        <w:tab w:val="left" w:pos="284"/>
        <w:tab w:val="right" w:leader="dot" w:pos="9622"/>
      </w:tabs>
      <w:spacing w:after="100"/>
      <w:ind w:left="426" w:firstLine="142"/>
    </w:pPr>
    <w:rPr>
      <w:rFonts w:asciiTheme="minorHAnsi" w:eastAsiaTheme="majorEastAsia" w:hAnsiTheme="minorHAnsi" w:cstheme="minorHAnsi"/>
      <w:bCs/>
      <w:noProof/>
      <w:color w:val="000000" w:themeColor="text1"/>
      <w:sz w:val="18"/>
      <w:szCs w:val="18"/>
    </w:rPr>
  </w:style>
  <w:style w:type="paragraph" w:styleId="BodyText">
    <w:name w:val="Body Text"/>
    <w:basedOn w:val="Normal"/>
    <w:link w:val="BodyTextChar"/>
    <w:uiPriority w:val="1"/>
    <w:qFormat/>
    <w:rsid w:val="00B82797"/>
    <w:pPr>
      <w:autoSpaceDE w:val="0"/>
      <w:autoSpaceDN w:val="0"/>
      <w:adjustRightInd w:val="0"/>
      <w:spacing w:before="8"/>
      <w:ind w:left="39" w:right="119"/>
    </w:pPr>
    <w:rPr>
      <w:rFonts w:ascii="Arial" w:hAnsi="Arial" w:cs="Arial"/>
      <w:sz w:val="38"/>
      <w:szCs w:val="38"/>
    </w:rPr>
  </w:style>
  <w:style w:type="character" w:customStyle="1" w:styleId="BodyTextChar">
    <w:name w:val="Body Text Char"/>
    <w:basedOn w:val="DefaultParagraphFont"/>
    <w:link w:val="BodyText"/>
    <w:uiPriority w:val="1"/>
    <w:rsid w:val="00B82797"/>
    <w:rPr>
      <w:rFonts w:ascii="Arial" w:hAnsi="Arial" w:cs="Arial"/>
      <w:sz w:val="38"/>
      <w:szCs w:val="38"/>
    </w:rPr>
  </w:style>
  <w:style w:type="paragraph" w:styleId="Title">
    <w:name w:val="Title"/>
    <w:basedOn w:val="Normal"/>
    <w:next w:val="Normal"/>
    <w:link w:val="TitleChar"/>
    <w:uiPriority w:val="10"/>
    <w:qFormat/>
    <w:rsid w:val="000618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81C"/>
    <w:rPr>
      <w:rFonts w:asciiTheme="majorHAnsi" w:eastAsiaTheme="majorEastAsia" w:hAnsiTheme="majorHAnsi" w:cstheme="majorBidi"/>
      <w:spacing w:val="-10"/>
      <w:kern w:val="28"/>
      <w:sz w:val="56"/>
      <w:szCs w:val="56"/>
      <w:lang w:eastAsia="it-IT"/>
    </w:rPr>
  </w:style>
  <w:style w:type="character" w:styleId="PageNumber">
    <w:name w:val="page number"/>
    <w:basedOn w:val="DefaultParagraphFont"/>
    <w:uiPriority w:val="99"/>
    <w:semiHidden/>
    <w:unhideWhenUsed/>
    <w:rsid w:val="003D0FB9"/>
  </w:style>
  <w:style w:type="paragraph" w:styleId="Header">
    <w:name w:val="header"/>
    <w:basedOn w:val="Normal"/>
    <w:link w:val="HeaderChar"/>
    <w:uiPriority w:val="99"/>
    <w:unhideWhenUsed/>
    <w:rsid w:val="003D0FB9"/>
    <w:pPr>
      <w:tabs>
        <w:tab w:val="center" w:pos="4819"/>
        <w:tab w:val="right" w:pos="9638"/>
      </w:tabs>
    </w:pPr>
  </w:style>
  <w:style w:type="character" w:customStyle="1" w:styleId="HeaderChar">
    <w:name w:val="Header Char"/>
    <w:basedOn w:val="DefaultParagraphFont"/>
    <w:link w:val="Header"/>
    <w:uiPriority w:val="99"/>
    <w:rsid w:val="003D0FB9"/>
    <w:rPr>
      <w:rFonts w:ascii="Times New Roman" w:eastAsia="Times New Roman" w:hAnsi="Times New Roman" w:cs="Times New Roman"/>
      <w:lang w:eastAsia="it-IT"/>
    </w:rPr>
  </w:style>
  <w:style w:type="character" w:customStyle="1" w:styleId="semicolon">
    <w:name w:val="semicolon"/>
    <w:basedOn w:val="DefaultParagraphFont"/>
    <w:rsid w:val="00C82B60"/>
  </w:style>
  <w:style w:type="paragraph" w:customStyle="1" w:styleId="labs-full-docsum">
    <w:name w:val="labs-full-docsum"/>
    <w:basedOn w:val="Normal"/>
    <w:rsid w:val="00E5713A"/>
    <w:pPr>
      <w:spacing w:before="100" w:beforeAutospacing="1" w:after="100" w:afterAutospacing="1"/>
    </w:pPr>
  </w:style>
  <w:style w:type="character" w:customStyle="1" w:styleId="citation-part">
    <w:name w:val="citation-part"/>
    <w:basedOn w:val="DefaultParagraphFont"/>
    <w:rsid w:val="00E5713A"/>
  </w:style>
  <w:style w:type="character" w:customStyle="1" w:styleId="docsum-pmid">
    <w:name w:val="docsum-pmid"/>
    <w:basedOn w:val="DefaultParagraphFont"/>
    <w:rsid w:val="00E5713A"/>
  </w:style>
  <w:style w:type="character" w:customStyle="1" w:styleId="publication-type">
    <w:name w:val="publication-type"/>
    <w:basedOn w:val="DefaultParagraphFont"/>
    <w:rsid w:val="00E5713A"/>
  </w:style>
  <w:style w:type="paragraph" w:customStyle="1" w:styleId="referencescopy1">
    <w:name w:val="referencescopy1"/>
    <w:basedOn w:val="Normal"/>
    <w:rsid w:val="00FA1545"/>
    <w:pPr>
      <w:spacing w:before="100" w:beforeAutospacing="1" w:after="100" w:afterAutospacing="1"/>
    </w:pPr>
  </w:style>
  <w:style w:type="paragraph" w:customStyle="1" w:styleId="referencescopy2">
    <w:name w:val="referencescopy2"/>
    <w:basedOn w:val="Normal"/>
    <w:rsid w:val="00FA1545"/>
    <w:pPr>
      <w:spacing w:before="100" w:beforeAutospacing="1" w:after="100" w:afterAutospacing="1"/>
    </w:pPr>
  </w:style>
  <w:style w:type="character" w:customStyle="1" w:styleId="cit-pub-date">
    <w:name w:val="cit-pub-date"/>
    <w:basedOn w:val="DefaultParagraphFont"/>
    <w:rsid w:val="00E75F47"/>
  </w:style>
  <w:style w:type="character" w:customStyle="1" w:styleId="cit-source">
    <w:name w:val="cit-source"/>
    <w:basedOn w:val="DefaultParagraphFont"/>
    <w:rsid w:val="00E75F47"/>
  </w:style>
  <w:style w:type="character" w:customStyle="1" w:styleId="cit-vol">
    <w:name w:val="cit-vol"/>
    <w:basedOn w:val="DefaultParagraphFont"/>
    <w:rsid w:val="00E75F47"/>
  </w:style>
  <w:style w:type="character" w:customStyle="1" w:styleId="cit-fpage">
    <w:name w:val="cit-fpage"/>
    <w:basedOn w:val="DefaultParagraphFont"/>
    <w:rsid w:val="00E75F47"/>
  </w:style>
  <w:style w:type="character" w:customStyle="1" w:styleId="highwire-cite-metadata-date">
    <w:name w:val="highwire-cite-metadata-date"/>
    <w:basedOn w:val="DefaultParagraphFont"/>
    <w:rsid w:val="00D12A4C"/>
  </w:style>
  <w:style w:type="character" w:customStyle="1" w:styleId="highwire-cite-metadata-volume">
    <w:name w:val="highwire-cite-metadata-volume"/>
    <w:basedOn w:val="DefaultParagraphFont"/>
    <w:rsid w:val="00D12A4C"/>
  </w:style>
  <w:style w:type="character" w:customStyle="1" w:styleId="highwire-cite-metadata-issue">
    <w:name w:val="highwire-cite-metadata-issue"/>
    <w:basedOn w:val="DefaultParagraphFont"/>
    <w:rsid w:val="00D12A4C"/>
  </w:style>
  <w:style w:type="character" w:customStyle="1" w:styleId="label">
    <w:name w:val="label"/>
    <w:basedOn w:val="DefaultParagraphFont"/>
    <w:rsid w:val="00D12A4C"/>
  </w:style>
  <w:style w:type="character" w:customStyle="1" w:styleId="hlfld-contribauthor">
    <w:name w:val="hlfld-contribauthor"/>
    <w:basedOn w:val="DefaultParagraphFont"/>
    <w:rsid w:val="00AE20C6"/>
  </w:style>
  <w:style w:type="character" w:customStyle="1" w:styleId="separator">
    <w:name w:val="separator"/>
    <w:basedOn w:val="DefaultParagraphFont"/>
    <w:rsid w:val="00AE20C6"/>
  </w:style>
  <w:style w:type="character" w:customStyle="1" w:styleId="nlmsource">
    <w:name w:val="nlm_source"/>
    <w:basedOn w:val="DefaultParagraphFont"/>
    <w:rsid w:val="00AE20C6"/>
  </w:style>
  <w:style w:type="character" w:customStyle="1" w:styleId="author-ref">
    <w:name w:val="author-ref"/>
    <w:basedOn w:val="DefaultParagraphFont"/>
    <w:rsid w:val="00A468B0"/>
  </w:style>
  <w:style w:type="character" w:customStyle="1" w:styleId="bkciteavail">
    <w:name w:val="bk_cite_avail"/>
    <w:basedOn w:val="DefaultParagraphFont"/>
    <w:rsid w:val="00502194"/>
  </w:style>
  <w:style w:type="character" w:customStyle="1" w:styleId="nlm-suffix">
    <w:name w:val="nlm-suffix"/>
    <w:basedOn w:val="DefaultParagraphFont"/>
    <w:rsid w:val="0060720C"/>
  </w:style>
  <w:style w:type="character" w:customStyle="1" w:styleId="title-text">
    <w:name w:val="title-text"/>
    <w:basedOn w:val="DefaultParagraphFont"/>
    <w:rsid w:val="00CD6278"/>
  </w:style>
  <w:style w:type="character" w:customStyle="1" w:styleId="Heading4Char">
    <w:name w:val="Heading 4 Char"/>
    <w:basedOn w:val="DefaultParagraphFont"/>
    <w:link w:val="Heading4"/>
    <w:uiPriority w:val="9"/>
    <w:rsid w:val="00B648DA"/>
    <w:rPr>
      <w:rFonts w:asciiTheme="majorHAnsi" w:eastAsiaTheme="majorEastAsia" w:hAnsiTheme="majorHAnsi" w:cstheme="majorBidi"/>
      <w:i/>
      <w:iCs/>
      <w:color w:val="2F5496" w:themeColor="accent1" w:themeShade="BF"/>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920">
      <w:bodyDiv w:val="1"/>
      <w:marLeft w:val="0"/>
      <w:marRight w:val="0"/>
      <w:marTop w:val="0"/>
      <w:marBottom w:val="0"/>
      <w:divBdr>
        <w:top w:val="none" w:sz="0" w:space="0" w:color="auto"/>
        <w:left w:val="none" w:sz="0" w:space="0" w:color="auto"/>
        <w:bottom w:val="none" w:sz="0" w:space="0" w:color="auto"/>
        <w:right w:val="none" w:sz="0" w:space="0" w:color="auto"/>
      </w:divBdr>
    </w:div>
    <w:div w:id="475681">
      <w:bodyDiv w:val="1"/>
      <w:marLeft w:val="0"/>
      <w:marRight w:val="0"/>
      <w:marTop w:val="0"/>
      <w:marBottom w:val="0"/>
      <w:divBdr>
        <w:top w:val="none" w:sz="0" w:space="0" w:color="auto"/>
        <w:left w:val="none" w:sz="0" w:space="0" w:color="auto"/>
        <w:bottom w:val="none" w:sz="0" w:space="0" w:color="auto"/>
        <w:right w:val="none" w:sz="0" w:space="0" w:color="auto"/>
      </w:divBdr>
      <w:divsChild>
        <w:div w:id="839809883">
          <w:marLeft w:val="0"/>
          <w:marRight w:val="0"/>
          <w:marTop w:val="0"/>
          <w:marBottom w:val="0"/>
          <w:divBdr>
            <w:top w:val="none" w:sz="0" w:space="0" w:color="auto"/>
            <w:left w:val="none" w:sz="0" w:space="0" w:color="auto"/>
            <w:bottom w:val="none" w:sz="0" w:space="0" w:color="auto"/>
            <w:right w:val="none" w:sz="0" w:space="0" w:color="auto"/>
          </w:divBdr>
        </w:div>
      </w:divsChild>
    </w:div>
    <w:div w:id="2052465">
      <w:bodyDiv w:val="1"/>
      <w:marLeft w:val="0"/>
      <w:marRight w:val="0"/>
      <w:marTop w:val="0"/>
      <w:marBottom w:val="0"/>
      <w:divBdr>
        <w:top w:val="none" w:sz="0" w:space="0" w:color="auto"/>
        <w:left w:val="none" w:sz="0" w:space="0" w:color="auto"/>
        <w:bottom w:val="none" w:sz="0" w:space="0" w:color="auto"/>
        <w:right w:val="none" w:sz="0" w:space="0" w:color="auto"/>
      </w:divBdr>
    </w:div>
    <w:div w:id="2057909">
      <w:bodyDiv w:val="1"/>
      <w:marLeft w:val="0"/>
      <w:marRight w:val="0"/>
      <w:marTop w:val="0"/>
      <w:marBottom w:val="0"/>
      <w:divBdr>
        <w:top w:val="none" w:sz="0" w:space="0" w:color="auto"/>
        <w:left w:val="none" w:sz="0" w:space="0" w:color="auto"/>
        <w:bottom w:val="none" w:sz="0" w:space="0" w:color="auto"/>
        <w:right w:val="none" w:sz="0" w:space="0" w:color="auto"/>
      </w:divBdr>
    </w:div>
    <w:div w:id="3943747">
      <w:bodyDiv w:val="1"/>
      <w:marLeft w:val="0"/>
      <w:marRight w:val="0"/>
      <w:marTop w:val="0"/>
      <w:marBottom w:val="0"/>
      <w:divBdr>
        <w:top w:val="none" w:sz="0" w:space="0" w:color="auto"/>
        <w:left w:val="none" w:sz="0" w:space="0" w:color="auto"/>
        <w:bottom w:val="none" w:sz="0" w:space="0" w:color="auto"/>
        <w:right w:val="none" w:sz="0" w:space="0" w:color="auto"/>
      </w:divBdr>
    </w:div>
    <w:div w:id="5331992">
      <w:bodyDiv w:val="1"/>
      <w:marLeft w:val="0"/>
      <w:marRight w:val="0"/>
      <w:marTop w:val="0"/>
      <w:marBottom w:val="0"/>
      <w:divBdr>
        <w:top w:val="none" w:sz="0" w:space="0" w:color="auto"/>
        <w:left w:val="none" w:sz="0" w:space="0" w:color="auto"/>
        <w:bottom w:val="none" w:sz="0" w:space="0" w:color="auto"/>
        <w:right w:val="none" w:sz="0" w:space="0" w:color="auto"/>
      </w:divBdr>
    </w:div>
    <w:div w:id="8721545">
      <w:bodyDiv w:val="1"/>
      <w:marLeft w:val="0"/>
      <w:marRight w:val="0"/>
      <w:marTop w:val="0"/>
      <w:marBottom w:val="0"/>
      <w:divBdr>
        <w:top w:val="none" w:sz="0" w:space="0" w:color="auto"/>
        <w:left w:val="none" w:sz="0" w:space="0" w:color="auto"/>
        <w:bottom w:val="none" w:sz="0" w:space="0" w:color="auto"/>
        <w:right w:val="none" w:sz="0" w:space="0" w:color="auto"/>
      </w:divBdr>
    </w:div>
    <w:div w:id="10841492">
      <w:bodyDiv w:val="1"/>
      <w:marLeft w:val="0"/>
      <w:marRight w:val="0"/>
      <w:marTop w:val="0"/>
      <w:marBottom w:val="0"/>
      <w:divBdr>
        <w:top w:val="none" w:sz="0" w:space="0" w:color="auto"/>
        <w:left w:val="none" w:sz="0" w:space="0" w:color="auto"/>
        <w:bottom w:val="none" w:sz="0" w:space="0" w:color="auto"/>
        <w:right w:val="none" w:sz="0" w:space="0" w:color="auto"/>
      </w:divBdr>
    </w:div>
    <w:div w:id="12387867">
      <w:bodyDiv w:val="1"/>
      <w:marLeft w:val="0"/>
      <w:marRight w:val="0"/>
      <w:marTop w:val="0"/>
      <w:marBottom w:val="0"/>
      <w:divBdr>
        <w:top w:val="none" w:sz="0" w:space="0" w:color="auto"/>
        <w:left w:val="none" w:sz="0" w:space="0" w:color="auto"/>
        <w:bottom w:val="none" w:sz="0" w:space="0" w:color="auto"/>
        <w:right w:val="none" w:sz="0" w:space="0" w:color="auto"/>
      </w:divBdr>
      <w:divsChild>
        <w:div w:id="2088069797">
          <w:marLeft w:val="0"/>
          <w:marRight w:val="0"/>
          <w:marTop w:val="120"/>
          <w:marBottom w:val="0"/>
          <w:divBdr>
            <w:top w:val="none" w:sz="0" w:space="0" w:color="auto"/>
            <w:left w:val="none" w:sz="0" w:space="0" w:color="auto"/>
            <w:bottom w:val="none" w:sz="0" w:space="0" w:color="auto"/>
            <w:right w:val="none" w:sz="0" w:space="0" w:color="auto"/>
          </w:divBdr>
        </w:div>
        <w:div w:id="1657804862">
          <w:marLeft w:val="0"/>
          <w:marRight w:val="0"/>
          <w:marTop w:val="120"/>
          <w:marBottom w:val="0"/>
          <w:divBdr>
            <w:top w:val="none" w:sz="0" w:space="0" w:color="auto"/>
            <w:left w:val="none" w:sz="0" w:space="0" w:color="auto"/>
            <w:bottom w:val="none" w:sz="0" w:space="0" w:color="auto"/>
            <w:right w:val="none" w:sz="0" w:space="0" w:color="auto"/>
          </w:divBdr>
        </w:div>
      </w:divsChild>
    </w:div>
    <w:div w:id="16659922">
      <w:bodyDiv w:val="1"/>
      <w:marLeft w:val="0"/>
      <w:marRight w:val="0"/>
      <w:marTop w:val="0"/>
      <w:marBottom w:val="0"/>
      <w:divBdr>
        <w:top w:val="none" w:sz="0" w:space="0" w:color="auto"/>
        <w:left w:val="none" w:sz="0" w:space="0" w:color="auto"/>
        <w:bottom w:val="none" w:sz="0" w:space="0" w:color="auto"/>
        <w:right w:val="none" w:sz="0" w:space="0" w:color="auto"/>
      </w:divBdr>
    </w:div>
    <w:div w:id="17856487">
      <w:bodyDiv w:val="1"/>
      <w:marLeft w:val="0"/>
      <w:marRight w:val="0"/>
      <w:marTop w:val="0"/>
      <w:marBottom w:val="0"/>
      <w:divBdr>
        <w:top w:val="none" w:sz="0" w:space="0" w:color="auto"/>
        <w:left w:val="none" w:sz="0" w:space="0" w:color="auto"/>
        <w:bottom w:val="none" w:sz="0" w:space="0" w:color="auto"/>
        <w:right w:val="none" w:sz="0" w:space="0" w:color="auto"/>
      </w:divBdr>
    </w:div>
    <w:div w:id="18431949">
      <w:bodyDiv w:val="1"/>
      <w:marLeft w:val="0"/>
      <w:marRight w:val="0"/>
      <w:marTop w:val="0"/>
      <w:marBottom w:val="0"/>
      <w:divBdr>
        <w:top w:val="none" w:sz="0" w:space="0" w:color="auto"/>
        <w:left w:val="none" w:sz="0" w:space="0" w:color="auto"/>
        <w:bottom w:val="none" w:sz="0" w:space="0" w:color="auto"/>
        <w:right w:val="none" w:sz="0" w:space="0" w:color="auto"/>
      </w:divBdr>
    </w:div>
    <w:div w:id="20519104">
      <w:bodyDiv w:val="1"/>
      <w:marLeft w:val="0"/>
      <w:marRight w:val="0"/>
      <w:marTop w:val="0"/>
      <w:marBottom w:val="0"/>
      <w:divBdr>
        <w:top w:val="none" w:sz="0" w:space="0" w:color="auto"/>
        <w:left w:val="none" w:sz="0" w:space="0" w:color="auto"/>
        <w:bottom w:val="none" w:sz="0" w:space="0" w:color="auto"/>
        <w:right w:val="none" w:sz="0" w:space="0" w:color="auto"/>
      </w:divBdr>
    </w:div>
    <w:div w:id="23866657">
      <w:bodyDiv w:val="1"/>
      <w:marLeft w:val="0"/>
      <w:marRight w:val="0"/>
      <w:marTop w:val="0"/>
      <w:marBottom w:val="0"/>
      <w:divBdr>
        <w:top w:val="none" w:sz="0" w:space="0" w:color="auto"/>
        <w:left w:val="none" w:sz="0" w:space="0" w:color="auto"/>
        <w:bottom w:val="none" w:sz="0" w:space="0" w:color="auto"/>
        <w:right w:val="none" w:sz="0" w:space="0" w:color="auto"/>
      </w:divBdr>
    </w:div>
    <w:div w:id="25298038">
      <w:bodyDiv w:val="1"/>
      <w:marLeft w:val="0"/>
      <w:marRight w:val="0"/>
      <w:marTop w:val="0"/>
      <w:marBottom w:val="0"/>
      <w:divBdr>
        <w:top w:val="none" w:sz="0" w:space="0" w:color="auto"/>
        <w:left w:val="none" w:sz="0" w:space="0" w:color="auto"/>
        <w:bottom w:val="none" w:sz="0" w:space="0" w:color="auto"/>
        <w:right w:val="none" w:sz="0" w:space="0" w:color="auto"/>
      </w:divBdr>
    </w:div>
    <w:div w:id="25644679">
      <w:bodyDiv w:val="1"/>
      <w:marLeft w:val="0"/>
      <w:marRight w:val="0"/>
      <w:marTop w:val="0"/>
      <w:marBottom w:val="0"/>
      <w:divBdr>
        <w:top w:val="none" w:sz="0" w:space="0" w:color="auto"/>
        <w:left w:val="none" w:sz="0" w:space="0" w:color="auto"/>
        <w:bottom w:val="none" w:sz="0" w:space="0" w:color="auto"/>
        <w:right w:val="none" w:sz="0" w:space="0" w:color="auto"/>
      </w:divBdr>
    </w:div>
    <w:div w:id="26297565">
      <w:bodyDiv w:val="1"/>
      <w:marLeft w:val="0"/>
      <w:marRight w:val="0"/>
      <w:marTop w:val="0"/>
      <w:marBottom w:val="0"/>
      <w:divBdr>
        <w:top w:val="none" w:sz="0" w:space="0" w:color="auto"/>
        <w:left w:val="none" w:sz="0" w:space="0" w:color="auto"/>
        <w:bottom w:val="none" w:sz="0" w:space="0" w:color="auto"/>
        <w:right w:val="none" w:sz="0" w:space="0" w:color="auto"/>
      </w:divBdr>
    </w:div>
    <w:div w:id="28066882">
      <w:bodyDiv w:val="1"/>
      <w:marLeft w:val="0"/>
      <w:marRight w:val="0"/>
      <w:marTop w:val="0"/>
      <w:marBottom w:val="0"/>
      <w:divBdr>
        <w:top w:val="none" w:sz="0" w:space="0" w:color="auto"/>
        <w:left w:val="none" w:sz="0" w:space="0" w:color="auto"/>
        <w:bottom w:val="none" w:sz="0" w:space="0" w:color="auto"/>
        <w:right w:val="none" w:sz="0" w:space="0" w:color="auto"/>
      </w:divBdr>
    </w:div>
    <w:div w:id="29034919">
      <w:bodyDiv w:val="1"/>
      <w:marLeft w:val="0"/>
      <w:marRight w:val="0"/>
      <w:marTop w:val="0"/>
      <w:marBottom w:val="0"/>
      <w:divBdr>
        <w:top w:val="none" w:sz="0" w:space="0" w:color="auto"/>
        <w:left w:val="none" w:sz="0" w:space="0" w:color="auto"/>
        <w:bottom w:val="none" w:sz="0" w:space="0" w:color="auto"/>
        <w:right w:val="none" w:sz="0" w:space="0" w:color="auto"/>
      </w:divBdr>
    </w:div>
    <w:div w:id="30348086">
      <w:bodyDiv w:val="1"/>
      <w:marLeft w:val="0"/>
      <w:marRight w:val="0"/>
      <w:marTop w:val="0"/>
      <w:marBottom w:val="0"/>
      <w:divBdr>
        <w:top w:val="none" w:sz="0" w:space="0" w:color="auto"/>
        <w:left w:val="none" w:sz="0" w:space="0" w:color="auto"/>
        <w:bottom w:val="none" w:sz="0" w:space="0" w:color="auto"/>
        <w:right w:val="none" w:sz="0" w:space="0" w:color="auto"/>
      </w:divBdr>
    </w:div>
    <w:div w:id="31422843">
      <w:bodyDiv w:val="1"/>
      <w:marLeft w:val="0"/>
      <w:marRight w:val="0"/>
      <w:marTop w:val="0"/>
      <w:marBottom w:val="0"/>
      <w:divBdr>
        <w:top w:val="none" w:sz="0" w:space="0" w:color="auto"/>
        <w:left w:val="none" w:sz="0" w:space="0" w:color="auto"/>
        <w:bottom w:val="none" w:sz="0" w:space="0" w:color="auto"/>
        <w:right w:val="none" w:sz="0" w:space="0" w:color="auto"/>
      </w:divBdr>
    </w:div>
    <w:div w:id="32314006">
      <w:bodyDiv w:val="1"/>
      <w:marLeft w:val="0"/>
      <w:marRight w:val="0"/>
      <w:marTop w:val="0"/>
      <w:marBottom w:val="0"/>
      <w:divBdr>
        <w:top w:val="none" w:sz="0" w:space="0" w:color="auto"/>
        <w:left w:val="none" w:sz="0" w:space="0" w:color="auto"/>
        <w:bottom w:val="none" w:sz="0" w:space="0" w:color="auto"/>
        <w:right w:val="none" w:sz="0" w:space="0" w:color="auto"/>
      </w:divBdr>
    </w:div>
    <w:div w:id="35158209">
      <w:bodyDiv w:val="1"/>
      <w:marLeft w:val="0"/>
      <w:marRight w:val="0"/>
      <w:marTop w:val="0"/>
      <w:marBottom w:val="0"/>
      <w:divBdr>
        <w:top w:val="none" w:sz="0" w:space="0" w:color="auto"/>
        <w:left w:val="none" w:sz="0" w:space="0" w:color="auto"/>
        <w:bottom w:val="none" w:sz="0" w:space="0" w:color="auto"/>
        <w:right w:val="none" w:sz="0" w:space="0" w:color="auto"/>
      </w:divBdr>
    </w:div>
    <w:div w:id="35207300">
      <w:bodyDiv w:val="1"/>
      <w:marLeft w:val="0"/>
      <w:marRight w:val="0"/>
      <w:marTop w:val="0"/>
      <w:marBottom w:val="0"/>
      <w:divBdr>
        <w:top w:val="none" w:sz="0" w:space="0" w:color="auto"/>
        <w:left w:val="none" w:sz="0" w:space="0" w:color="auto"/>
        <w:bottom w:val="none" w:sz="0" w:space="0" w:color="auto"/>
        <w:right w:val="none" w:sz="0" w:space="0" w:color="auto"/>
      </w:divBdr>
    </w:div>
    <w:div w:id="37167417">
      <w:bodyDiv w:val="1"/>
      <w:marLeft w:val="0"/>
      <w:marRight w:val="0"/>
      <w:marTop w:val="0"/>
      <w:marBottom w:val="0"/>
      <w:divBdr>
        <w:top w:val="none" w:sz="0" w:space="0" w:color="auto"/>
        <w:left w:val="none" w:sz="0" w:space="0" w:color="auto"/>
        <w:bottom w:val="none" w:sz="0" w:space="0" w:color="auto"/>
        <w:right w:val="none" w:sz="0" w:space="0" w:color="auto"/>
      </w:divBdr>
    </w:div>
    <w:div w:id="38171071">
      <w:bodyDiv w:val="1"/>
      <w:marLeft w:val="0"/>
      <w:marRight w:val="0"/>
      <w:marTop w:val="0"/>
      <w:marBottom w:val="0"/>
      <w:divBdr>
        <w:top w:val="none" w:sz="0" w:space="0" w:color="auto"/>
        <w:left w:val="none" w:sz="0" w:space="0" w:color="auto"/>
        <w:bottom w:val="none" w:sz="0" w:space="0" w:color="auto"/>
        <w:right w:val="none" w:sz="0" w:space="0" w:color="auto"/>
      </w:divBdr>
    </w:div>
    <w:div w:id="38474612">
      <w:bodyDiv w:val="1"/>
      <w:marLeft w:val="0"/>
      <w:marRight w:val="0"/>
      <w:marTop w:val="0"/>
      <w:marBottom w:val="0"/>
      <w:divBdr>
        <w:top w:val="none" w:sz="0" w:space="0" w:color="auto"/>
        <w:left w:val="none" w:sz="0" w:space="0" w:color="auto"/>
        <w:bottom w:val="none" w:sz="0" w:space="0" w:color="auto"/>
        <w:right w:val="none" w:sz="0" w:space="0" w:color="auto"/>
      </w:divBdr>
    </w:div>
    <w:div w:id="40787495">
      <w:bodyDiv w:val="1"/>
      <w:marLeft w:val="0"/>
      <w:marRight w:val="0"/>
      <w:marTop w:val="0"/>
      <w:marBottom w:val="0"/>
      <w:divBdr>
        <w:top w:val="none" w:sz="0" w:space="0" w:color="auto"/>
        <w:left w:val="none" w:sz="0" w:space="0" w:color="auto"/>
        <w:bottom w:val="none" w:sz="0" w:space="0" w:color="auto"/>
        <w:right w:val="none" w:sz="0" w:space="0" w:color="auto"/>
      </w:divBdr>
    </w:div>
    <w:div w:id="43523373">
      <w:bodyDiv w:val="1"/>
      <w:marLeft w:val="0"/>
      <w:marRight w:val="0"/>
      <w:marTop w:val="0"/>
      <w:marBottom w:val="0"/>
      <w:divBdr>
        <w:top w:val="none" w:sz="0" w:space="0" w:color="auto"/>
        <w:left w:val="none" w:sz="0" w:space="0" w:color="auto"/>
        <w:bottom w:val="none" w:sz="0" w:space="0" w:color="auto"/>
        <w:right w:val="none" w:sz="0" w:space="0" w:color="auto"/>
      </w:divBdr>
    </w:div>
    <w:div w:id="48918194">
      <w:bodyDiv w:val="1"/>
      <w:marLeft w:val="0"/>
      <w:marRight w:val="0"/>
      <w:marTop w:val="0"/>
      <w:marBottom w:val="0"/>
      <w:divBdr>
        <w:top w:val="none" w:sz="0" w:space="0" w:color="auto"/>
        <w:left w:val="none" w:sz="0" w:space="0" w:color="auto"/>
        <w:bottom w:val="none" w:sz="0" w:space="0" w:color="auto"/>
        <w:right w:val="none" w:sz="0" w:space="0" w:color="auto"/>
      </w:divBdr>
    </w:div>
    <w:div w:id="50926159">
      <w:bodyDiv w:val="1"/>
      <w:marLeft w:val="0"/>
      <w:marRight w:val="0"/>
      <w:marTop w:val="0"/>
      <w:marBottom w:val="0"/>
      <w:divBdr>
        <w:top w:val="none" w:sz="0" w:space="0" w:color="auto"/>
        <w:left w:val="none" w:sz="0" w:space="0" w:color="auto"/>
        <w:bottom w:val="none" w:sz="0" w:space="0" w:color="auto"/>
        <w:right w:val="none" w:sz="0" w:space="0" w:color="auto"/>
      </w:divBdr>
    </w:div>
    <w:div w:id="51126398">
      <w:bodyDiv w:val="1"/>
      <w:marLeft w:val="0"/>
      <w:marRight w:val="0"/>
      <w:marTop w:val="0"/>
      <w:marBottom w:val="0"/>
      <w:divBdr>
        <w:top w:val="none" w:sz="0" w:space="0" w:color="auto"/>
        <w:left w:val="none" w:sz="0" w:space="0" w:color="auto"/>
        <w:bottom w:val="none" w:sz="0" w:space="0" w:color="auto"/>
        <w:right w:val="none" w:sz="0" w:space="0" w:color="auto"/>
      </w:divBdr>
    </w:div>
    <w:div w:id="52966471">
      <w:bodyDiv w:val="1"/>
      <w:marLeft w:val="0"/>
      <w:marRight w:val="0"/>
      <w:marTop w:val="0"/>
      <w:marBottom w:val="0"/>
      <w:divBdr>
        <w:top w:val="none" w:sz="0" w:space="0" w:color="auto"/>
        <w:left w:val="none" w:sz="0" w:space="0" w:color="auto"/>
        <w:bottom w:val="none" w:sz="0" w:space="0" w:color="auto"/>
        <w:right w:val="none" w:sz="0" w:space="0" w:color="auto"/>
      </w:divBdr>
    </w:div>
    <w:div w:id="54010915">
      <w:bodyDiv w:val="1"/>
      <w:marLeft w:val="0"/>
      <w:marRight w:val="0"/>
      <w:marTop w:val="0"/>
      <w:marBottom w:val="0"/>
      <w:divBdr>
        <w:top w:val="none" w:sz="0" w:space="0" w:color="auto"/>
        <w:left w:val="none" w:sz="0" w:space="0" w:color="auto"/>
        <w:bottom w:val="none" w:sz="0" w:space="0" w:color="auto"/>
        <w:right w:val="none" w:sz="0" w:space="0" w:color="auto"/>
      </w:divBdr>
    </w:div>
    <w:div w:id="54089953">
      <w:bodyDiv w:val="1"/>
      <w:marLeft w:val="0"/>
      <w:marRight w:val="0"/>
      <w:marTop w:val="0"/>
      <w:marBottom w:val="0"/>
      <w:divBdr>
        <w:top w:val="none" w:sz="0" w:space="0" w:color="auto"/>
        <w:left w:val="none" w:sz="0" w:space="0" w:color="auto"/>
        <w:bottom w:val="none" w:sz="0" w:space="0" w:color="auto"/>
        <w:right w:val="none" w:sz="0" w:space="0" w:color="auto"/>
      </w:divBdr>
    </w:div>
    <w:div w:id="55278848">
      <w:bodyDiv w:val="1"/>
      <w:marLeft w:val="0"/>
      <w:marRight w:val="0"/>
      <w:marTop w:val="0"/>
      <w:marBottom w:val="0"/>
      <w:divBdr>
        <w:top w:val="none" w:sz="0" w:space="0" w:color="auto"/>
        <w:left w:val="none" w:sz="0" w:space="0" w:color="auto"/>
        <w:bottom w:val="none" w:sz="0" w:space="0" w:color="auto"/>
        <w:right w:val="none" w:sz="0" w:space="0" w:color="auto"/>
      </w:divBdr>
    </w:div>
    <w:div w:id="59208887">
      <w:bodyDiv w:val="1"/>
      <w:marLeft w:val="0"/>
      <w:marRight w:val="0"/>
      <w:marTop w:val="0"/>
      <w:marBottom w:val="0"/>
      <w:divBdr>
        <w:top w:val="none" w:sz="0" w:space="0" w:color="auto"/>
        <w:left w:val="none" w:sz="0" w:space="0" w:color="auto"/>
        <w:bottom w:val="none" w:sz="0" w:space="0" w:color="auto"/>
        <w:right w:val="none" w:sz="0" w:space="0" w:color="auto"/>
      </w:divBdr>
    </w:div>
    <w:div w:id="60062445">
      <w:bodyDiv w:val="1"/>
      <w:marLeft w:val="0"/>
      <w:marRight w:val="0"/>
      <w:marTop w:val="0"/>
      <w:marBottom w:val="0"/>
      <w:divBdr>
        <w:top w:val="none" w:sz="0" w:space="0" w:color="auto"/>
        <w:left w:val="none" w:sz="0" w:space="0" w:color="auto"/>
        <w:bottom w:val="none" w:sz="0" w:space="0" w:color="auto"/>
        <w:right w:val="none" w:sz="0" w:space="0" w:color="auto"/>
      </w:divBdr>
    </w:div>
    <w:div w:id="62414019">
      <w:bodyDiv w:val="1"/>
      <w:marLeft w:val="0"/>
      <w:marRight w:val="0"/>
      <w:marTop w:val="0"/>
      <w:marBottom w:val="0"/>
      <w:divBdr>
        <w:top w:val="none" w:sz="0" w:space="0" w:color="auto"/>
        <w:left w:val="none" w:sz="0" w:space="0" w:color="auto"/>
        <w:bottom w:val="none" w:sz="0" w:space="0" w:color="auto"/>
        <w:right w:val="none" w:sz="0" w:space="0" w:color="auto"/>
      </w:divBdr>
    </w:div>
    <w:div w:id="64256449">
      <w:bodyDiv w:val="1"/>
      <w:marLeft w:val="0"/>
      <w:marRight w:val="0"/>
      <w:marTop w:val="0"/>
      <w:marBottom w:val="0"/>
      <w:divBdr>
        <w:top w:val="none" w:sz="0" w:space="0" w:color="auto"/>
        <w:left w:val="none" w:sz="0" w:space="0" w:color="auto"/>
        <w:bottom w:val="none" w:sz="0" w:space="0" w:color="auto"/>
        <w:right w:val="none" w:sz="0" w:space="0" w:color="auto"/>
      </w:divBdr>
    </w:div>
    <w:div w:id="68693146">
      <w:bodyDiv w:val="1"/>
      <w:marLeft w:val="0"/>
      <w:marRight w:val="0"/>
      <w:marTop w:val="0"/>
      <w:marBottom w:val="0"/>
      <w:divBdr>
        <w:top w:val="none" w:sz="0" w:space="0" w:color="auto"/>
        <w:left w:val="none" w:sz="0" w:space="0" w:color="auto"/>
        <w:bottom w:val="none" w:sz="0" w:space="0" w:color="auto"/>
        <w:right w:val="none" w:sz="0" w:space="0" w:color="auto"/>
      </w:divBdr>
    </w:div>
    <w:div w:id="71977348">
      <w:bodyDiv w:val="1"/>
      <w:marLeft w:val="0"/>
      <w:marRight w:val="0"/>
      <w:marTop w:val="0"/>
      <w:marBottom w:val="0"/>
      <w:divBdr>
        <w:top w:val="none" w:sz="0" w:space="0" w:color="auto"/>
        <w:left w:val="none" w:sz="0" w:space="0" w:color="auto"/>
        <w:bottom w:val="none" w:sz="0" w:space="0" w:color="auto"/>
        <w:right w:val="none" w:sz="0" w:space="0" w:color="auto"/>
      </w:divBdr>
    </w:div>
    <w:div w:id="73363996">
      <w:bodyDiv w:val="1"/>
      <w:marLeft w:val="0"/>
      <w:marRight w:val="0"/>
      <w:marTop w:val="0"/>
      <w:marBottom w:val="0"/>
      <w:divBdr>
        <w:top w:val="none" w:sz="0" w:space="0" w:color="auto"/>
        <w:left w:val="none" w:sz="0" w:space="0" w:color="auto"/>
        <w:bottom w:val="none" w:sz="0" w:space="0" w:color="auto"/>
        <w:right w:val="none" w:sz="0" w:space="0" w:color="auto"/>
      </w:divBdr>
    </w:div>
    <w:div w:id="73405909">
      <w:bodyDiv w:val="1"/>
      <w:marLeft w:val="0"/>
      <w:marRight w:val="0"/>
      <w:marTop w:val="0"/>
      <w:marBottom w:val="0"/>
      <w:divBdr>
        <w:top w:val="none" w:sz="0" w:space="0" w:color="auto"/>
        <w:left w:val="none" w:sz="0" w:space="0" w:color="auto"/>
        <w:bottom w:val="none" w:sz="0" w:space="0" w:color="auto"/>
        <w:right w:val="none" w:sz="0" w:space="0" w:color="auto"/>
      </w:divBdr>
    </w:div>
    <w:div w:id="76245280">
      <w:bodyDiv w:val="1"/>
      <w:marLeft w:val="0"/>
      <w:marRight w:val="0"/>
      <w:marTop w:val="0"/>
      <w:marBottom w:val="0"/>
      <w:divBdr>
        <w:top w:val="none" w:sz="0" w:space="0" w:color="auto"/>
        <w:left w:val="none" w:sz="0" w:space="0" w:color="auto"/>
        <w:bottom w:val="none" w:sz="0" w:space="0" w:color="auto"/>
        <w:right w:val="none" w:sz="0" w:space="0" w:color="auto"/>
      </w:divBdr>
    </w:div>
    <w:div w:id="79258841">
      <w:bodyDiv w:val="1"/>
      <w:marLeft w:val="0"/>
      <w:marRight w:val="0"/>
      <w:marTop w:val="0"/>
      <w:marBottom w:val="0"/>
      <w:divBdr>
        <w:top w:val="none" w:sz="0" w:space="0" w:color="auto"/>
        <w:left w:val="none" w:sz="0" w:space="0" w:color="auto"/>
        <w:bottom w:val="none" w:sz="0" w:space="0" w:color="auto"/>
        <w:right w:val="none" w:sz="0" w:space="0" w:color="auto"/>
      </w:divBdr>
    </w:div>
    <w:div w:id="79911720">
      <w:bodyDiv w:val="1"/>
      <w:marLeft w:val="0"/>
      <w:marRight w:val="0"/>
      <w:marTop w:val="0"/>
      <w:marBottom w:val="0"/>
      <w:divBdr>
        <w:top w:val="none" w:sz="0" w:space="0" w:color="auto"/>
        <w:left w:val="none" w:sz="0" w:space="0" w:color="auto"/>
        <w:bottom w:val="none" w:sz="0" w:space="0" w:color="auto"/>
        <w:right w:val="none" w:sz="0" w:space="0" w:color="auto"/>
      </w:divBdr>
    </w:div>
    <w:div w:id="83889711">
      <w:bodyDiv w:val="1"/>
      <w:marLeft w:val="0"/>
      <w:marRight w:val="0"/>
      <w:marTop w:val="0"/>
      <w:marBottom w:val="0"/>
      <w:divBdr>
        <w:top w:val="none" w:sz="0" w:space="0" w:color="auto"/>
        <w:left w:val="none" w:sz="0" w:space="0" w:color="auto"/>
        <w:bottom w:val="none" w:sz="0" w:space="0" w:color="auto"/>
        <w:right w:val="none" w:sz="0" w:space="0" w:color="auto"/>
      </w:divBdr>
    </w:div>
    <w:div w:id="84499767">
      <w:bodyDiv w:val="1"/>
      <w:marLeft w:val="0"/>
      <w:marRight w:val="0"/>
      <w:marTop w:val="0"/>
      <w:marBottom w:val="0"/>
      <w:divBdr>
        <w:top w:val="none" w:sz="0" w:space="0" w:color="auto"/>
        <w:left w:val="none" w:sz="0" w:space="0" w:color="auto"/>
        <w:bottom w:val="none" w:sz="0" w:space="0" w:color="auto"/>
        <w:right w:val="none" w:sz="0" w:space="0" w:color="auto"/>
      </w:divBdr>
    </w:div>
    <w:div w:id="84806136">
      <w:bodyDiv w:val="1"/>
      <w:marLeft w:val="0"/>
      <w:marRight w:val="0"/>
      <w:marTop w:val="0"/>
      <w:marBottom w:val="0"/>
      <w:divBdr>
        <w:top w:val="none" w:sz="0" w:space="0" w:color="auto"/>
        <w:left w:val="none" w:sz="0" w:space="0" w:color="auto"/>
        <w:bottom w:val="none" w:sz="0" w:space="0" w:color="auto"/>
        <w:right w:val="none" w:sz="0" w:space="0" w:color="auto"/>
      </w:divBdr>
    </w:div>
    <w:div w:id="86579289">
      <w:bodyDiv w:val="1"/>
      <w:marLeft w:val="0"/>
      <w:marRight w:val="0"/>
      <w:marTop w:val="0"/>
      <w:marBottom w:val="0"/>
      <w:divBdr>
        <w:top w:val="none" w:sz="0" w:space="0" w:color="auto"/>
        <w:left w:val="none" w:sz="0" w:space="0" w:color="auto"/>
        <w:bottom w:val="none" w:sz="0" w:space="0" w:color="auto"/>
        <w:right w:val="none" w:sz="0" w:space="0" w:color="auto"/>
      </w:divBdr>
    </w:div>
    <w:div w:id="88238941">
      <w:bodyDiv w:val="1"/>
      <w:marLeft w:val="0"/>
      <w:marRight w:val="0"/>
      <w:marTop w:val="0"/>
      <w:marBottom w:val="0"/>
      <w:divBdr>
        <w:top w:val="none" w:sz="0" w:space="0" w:color="auto"/>
        <w:left w:val="none" w:sz="0" w:space="0" w:color="auto"/>
        <w:bottom w:val="none" w:sz="0" w:space="0" w:color="auto"/>
        <w:right w:val="none" w:sz="0" w:space="0" w:color="auto"/>
      </w:divBdr>
    </w:div>
    <w:div w:id="93944603">
      <w:bodyDiv w:val="1"/>
      <w:marLeft w:val="0"/>
      <w:marRight w:val="0"/>
      <w:marTop w:val="0"/>
      <w:marBottom w:val="0"/>
      <w:divBdr>
        <w:top w:val="none" w:sz="0" w:space="0" w:color="auto"/>
        <w:left w:val="none" w:sz="0" w:space="0" w:color="auto"/>
        <w:bottom w:val="none" w:sz="0" w:space="0" w:color="auto"/>
        <w:right w:val="none" w:sz="0" w:space="0" w:color="auto"/>
      </w:divBdr>
    </w:div>
    <w:div w:id="94786871">
      <w:bodyDiv w:val="1"/>
      <w:marLeft w:val="0"/>
      <w:marRight w:val="0"/>
      <w:marTop w:val="0"/>
      <w:marBottom w:val="0"/>
      <w:divBdr>
        <w:top w:val="none" w:sz="0" w:space="0" w:color="auto"/>
        <w:left w:val="none" w:sz="0" w:space="0" w:color="auto"/>
        <w:bottom w:val="none" w:sz="0" w:space="0" w:color="auto"/>
        <w:right w:val="none" w:sz="0" w:space="0" w:color="auto"/>
      </w:divBdr>
    </w:div>
    <w:div w:id="95180257">
      <w:bodyDiv w:val="1"/>
      <w:marLeft w:val="0"/>
      <w:marRight w:val="0"/>
      <w:marTop w:val="0"/>
      <w:marBottom w:val="0"/>
      <w:divBdr>
        <w:top w:val="none" w:sz="0" w:space="0" w:color="auto"/>
        <w:left w:val="none" w:sz="0" w:space="0" w:color="auto"/>
        <w:bottom w:val="none" w:sz="0" w:space="0" w:color="auto"/>
        <w:right w:val="none" w:sz="0" w:space="0" w:color="auto"/>
      </w:divBdr>
    </w:div>
    <w:div w:id="98717361">
      <w:bodyDiv w:val="1"/>
      <w:marLeft w:val="0"/>
      <w:marRight w:val="0"/>
      <w:marTop w:val="0"/>
      <w:marBottom w:val="0"/>
      <w:divBdr>
        <w:top w:val="none" w:sz="0" w:space="0" w:color="auto"/>
        <w:left w:val="none" w:sz="0" w:space="0" w:color="auto"/>
        <w:bottom w:val="none" w:sz="0" w:space="0" w:color="auto"/>
        <w:right w:val="none" w:sz="0" w:space="0" w:color="auto"/>
      </w:divBdr>
    </w:div>
    <w:div w:id="101997271">
      <w:bodyDiv w:val="1"/>
      <w:marLeft w:val="0"/>
      <w:marRight w:val="0"/>
      <w:marTop w:val="0"/>
      <w:marBottom w:val="0"/>
      <w:divBdr>
        <w:top w:val="none" w:sz="0" w:space="0" w:color="auto"/>
        <w:left w:val="none" w:sz="0" w:space="0" w:color="auto"/>
        <w:bottom w:val="none" w:sz="0" w:space="0" w:color="auto"/>
        <w:right w:val="none" w:sz="0" w:space="0" w:color="auto"/>
      </w:divBdr>
    </w:div>
    <w:div w:id="102841925">
      <w:bodyDiv w:val="1"/>
      <w:marLeft w:val="0"/>
      <w:marRight w:val="0"/>
      <w:marTop w:val="0"/>
      <w:marBottom w:val="0"/>
      <w:divBdr>
        <w:top w:val="none" w:sz="0" w:space="0" w:color="auto"/>
        <w:left w:val="none" w:sz="0" w:space="0" w:color="auto"/>
        <w:bottom w:val="none" w:sz="0" w:space="0" w:color="auto"/>
        <w:right w:val="none" w:sz="0" w:space="0" w:color="auto"/>
      </w:divBdr>
    </w:div>
    <w:div w:id="103891530">
      <w:bodyDiv w:val="1"/>
      <w:marLeft w:val="0"/>
      <w:marRight w:val="0"/>
      <w:marTop w:val="0"/>
      <w:marBottom w:val="0"/>
      <w:divBdr>
        <w:top w:val="none" w:sz="0" w:space="0" w:color="auto"/>
        <w:left w:val="none" w:sz="0" w:space="0" w:color="auto"/>
        <w:bottom w:val="none" w:sz="0" w:space="0" w:color="auto"/>
        <w:right w:val="none" w:sz="0" w:space="0" w:color="auto"/>
      </w:divBdr>
    </w:div>
    <w:div w:id="105775490">
      <w:bodyDiv w:val="1"/>
      <w:marLeft w:val="0"/>
      <w:marRight w:val="0"/>
      <w:marTop w:val="0"/>
      <w:marBottom w:val="0"/>
      <w:divBdr>
        <w:top w:val="none" w:sz="0" w:space="0" w:color="auto"/>
        <w:left w:val="none" w:sz="0" w:space="0" w:color="auto"/>
        <w:bottom w:val="none" w:sz="0" w:space="0" w:color="auto"/>
        <w:right w:val="none" w:sz="0" w:space="0" w:color="auto"/>
      </w:divBdr>
    </w:div>
    <w:div w:id="109278703">
      <w:bodyDiv w:val="1"/>
      <w:marLeft w:val="0"/>
      <w:marRight w:val="0"/>
      <w:marTop w:val="0"/>
      <w:marBottom w:val="0"/>
      <w:divBdr>
        <w:top w:val="none" w:sz="0" w:space="0" w:color="auto"/>
        <w:left w:val="none" w:sz="0" w:space="0" w:color="auto"/>
        <w:bottom w:val="none" w:sz="0" w:space="0" w:color="auto"/>
        <w:right w:val="none" w:sz="0" w:space="0" w:color="auto"/>
      </w:divBdr>
    </w:div>
    <w:div w:id="111365536">
      <w:bodyDiv w:val="1"/>
      <w:marLeft w:val="0"/>
      <w:marRight w:val="0"/>
      <w:marTop w:val="0"/>
      <w:marBottom w:val="0"/>
      <w:divBdr>
        <w:top w:val="none" w:sz="0" w:space="0" w:color="auto"/>
        <w:left w:val="none" w:sz="0" w:space="0" w:color="auto"/>
        <w:bottom w:val="none" w:sz="0" w:space="0" w:color="auto"/>
        <w:right w:val="none" w:sz="0" w:space="0" w:color="auto"/>
      </w:divBdr>
    </w:div>
    <w:div w:id="112285900">
      <w:bodyDiv w:val="1"/>
      <w:marLeft w:val="0"/>
      <w:marRight w:val="0"/>
      <w:marTop w:val="0"/>
      <w:marBottom w:val="0"/>
      <w:divBdr>
        <w:top w:val="none" w:sz="0" w:space="0" w:color="auto"/>
        <w:left w:val="none" w:sz="0" w:space="0" w:color="auto"/>
        <w:bottom w:val="none" w:sz="0" w:space="0" w:color="auto"/>
        <w:right w:val="none" w:sz="0" w:space="0" w:color="auto"/>
      </w:divBdr>
    </w:div>
    <w:div w:id="112985164">
      <w:bodyDiv w:val="1"/>
      <w:marLeft w:val="0"/>
      <w:marRight w:val="0"/>
      <w:marTop w:val="0"/>
      <w:marBottom w:val="0"/>
      <w:divBdr>
        <w:top w:val="none" w:sz="0" w:space="0" w:color="auto"/>
        <w:left w:val="none" w:sz="0" w:space="0" w:color="auto"/>
        <w:bottom w:val="none" w:sz="0" w:space="0" w:color="auto"/>
        <w:right w:val="none" w:sz="0" w:space="0" w:color="auto"/>
      </w:divBdr>
    </w:div>
    <w:div w:id="116343048">
      <w:bodyDiv w:val="1"/>
      <w:marLeft w:val="0"/>
      <w:marRight w:val="0"/>
      <w:marTop w:val="0"/>
      <w:marBottom w:val="0"/>
      <w:divBdr>
        <w:top w:val="none" w:sz="0" w:space="0" w:color="auto"/>
        <w:left w:val="none" w:sz="0" w:space="0" w:color="auto"/>
        <w:bottom w:val="none" w:sz="0" w:space="0" w:color="auto"/>
        <w:right w:val="none" w:sz="0" w:space="0" w:color="auto"/>
      </w:divBdr>
    </w:div>
    <w:div w:id="119689880">
      <w:bodyDiv w:val="1"/>
      <w:marLeft w:val="0"/>
      <w:marRight w:val="0"/>
      <w:marTop w:val="0"/>
      <w:marBottom w:val="0"/>
      <w:divBdr>
        <w:top w:val="none" w:sz="0" w:space="0" w:color="auto"/>
        <w:left w:val="none" w:sz="0" w:space="0" w:color="auto"/>
        <w:bottom w:val="none" w:sz="0" w:space="0" w:color="auto"/>
        <w:right w:val="none" w:sz="0" w:space="0" w:color="auto"/>
      </w:divBdr>
    </w:div>
    <w:div w:id="121726526">
      <w:bodyDiv w:val="1"/>
      <w:marLeft w:val="0"/>
      <w:marRight w:val="0"/>
      <w:marTop w:val="0"/>
      <w:marBottom w:val="0"/>
      <w:divBdr>
        <w:top w:val="none" w:sz="0" w:space="0" w:color="auto"/>
        <w:left w:val="none" w:sz="0" w:space="0" w:color="auto"/>
        <w:bottom w:val="none" w:sz="0" w:space="0" w:color="auto"/>
        <w:right w:val="none" w:sz="0" w:space="0" w:color="auto"/>
      </w:divBdr>
    </w:div>
    <w:div w:id="125590240">
      <w:bodyDiv w:val="1"/>
      <w:marLeft w:val="0"/>
      <w:marRight w:val="0"/>
      <w:marTop w:val="0"/>
      <w:marBottom w:val="0"/>
      <w:divBdr>
        <w:top w:val="none" w:sz="0" w:space="0" w:color="auto"/>
        <w:left w:val="none" w:sz="0" w:space="0" w:color="auto"/>
        <w:bottom w:val="none" w:sz="0" w:space="0" w:color="auto"/>
        <w:right w:val="none" w:sz="0" w:space="0" w:color="auto"/>
      </w:divBdr>
    </w:div>
    <w:div w:id="125703673">
      <w:bodyDiv w:val="1"/>
      <w:marLeft w:val="0"/>
      <w:marRight w:val="0"/>
      <w:marTop w:val="0"/>
      <w:marBottom w:val="0"/>
      <w:divBdr>
        <w:top w:val="none" w:sz="0" w:space="0" w:color="auto"/>
        <w:left w:val="none" w:sz="0" w:space="0" w:color="auto"/>
        <w:bottom w:val="none" w:sz="0" w:space="0" w:color="auto"/>
        <w:right w:val="none" w:sz="0" w:space="0" w:color="auto"/>
      </w:divBdr>
    </w:div>
    <w:div w:id="126974099">
      <w:bodyDiv w:val="1"/>
      <w:marLeft w:val="0"/>
      <w:marRight w:val="0"/>
      <w:marTop w:val="0"/>
      <w:marBottom w:val="0"/>
      <w:divBdr>
        <w:top w:val="none" w:sz="0" w:space="0" w:color="auto"/>
        <w:left w:val="none" w:sz="0" w:space="0" w:color="auto"/>
        <w:bottom w:val="none" w:sz="0" w:space="0" w:color="auto"/>
        <w:right w:val="none" w:sz="0" w:space="0" w:color="auto"/>
      </w:divBdr>
    </w:div>
    <w:div w:id="127091471">
      <w:bodyDiv w:val="1"/>
      <w:marLeft w:val="0"/>
      <w:marRight w:val="0"/>
      <w:marTop w:val="0"/>
      <w:marBottom w:val="0"/>
      <w:divBdr>
        <w:top w:val="none" w:sz="0" w:space="0" w:color="auto"/>
        <w:left w:val="none" w:sz="0" w:space="0" w:color="auto"/>
        <w:bottom w:val="none" w:sz="0" w:space="0" w:color="auto"/>
        <w:right w:val="none" w:sz="0" w:space="0" w:color="auto"/>
      </w:divBdr>
    </w:div>
    <w:div w:id="128477029">
      <w:bodyDiv w:val="1"/>
      <w:marLeft w:val="0"/>
      <w:marRight w:val="0"/>
      <w:marTop w:val="0"/>
      <w:marBottom w:val="0"/>
      <w:divBdr>
        <w:top w:val="none" w:sz="0" w:space="0" w:color="auto"/>
        <w:left w:val="none" w:sz="0" w:space="0" w:color="auto"/>
        <w:bottom w:val="none" w:sz="0" w:space="0" w:color="auto"/>
        <w:right w:val="none" w:sz="0" w:space="0" w:color="auto"/>
      </w:divBdr>
    </w:div>
    <w:div w:id="137695859">
      <w:bodyDiv w:val="1"/>
      <w:marLeft w:val="0"/>
      <w:marRight w:val="0"/>
      <w:marTop w:val="0"/>
      <w:marBottom w:val="0"/>
      <w:divBdr>
        <w:top w:val="none" w:sz="0" w:space="0" w:color="auto"/>
        <w:left w:val="none" w:sz="0" w:space="0" w:color="auto"/>
        <w:bottom w:val="none" w:sz="0" w:space="0" w:color="auto"/>
        <w:right w:val="none" w:sz="0" w:space="0" w:color="auto"/>
      </w:divBdr>
      <w:divsChild>
        <w:div w:id="938291598">
          <w:marLeft w:val="0"/>
          <w:marRight w:val="0"/>
          <w:marTop w:val="0"/>
          <w:marBottom w:val="0"/>
          <w:divBdr>
            <w:top w:val="none" w:sz="0" w:space="0" w:color="auto"/>
            <w:left w:val="none" w:sz="0" w:space="0" w:color="auto"/>
            <w:bottom w:val="none" w:sz="0" w:space="0" w:color="auto"/>
            <w:right w:val="none" w:sz="0" w:space="0" w:color="auto"/>
          </w:divBdr>
          <w:divsChild>
            <w:div w:id="643391566">
              <w:marLeft w:val="0"/>
              <w:marRight w:val="0"/>
              <w:marTop w:val="0"/>
              <w:marBottom w:val="0"/>
              <w:divBdr>
                <w:top w:val="none" w:sz="0" w:space="0" w:color="auto"/>
                <w:left w:val="none" w:sz="0" w:space="0" w:color="auto"/>
                <w:bottom w:val="none" w:sz="0" w:space="0" w:color="auto"/>
                <w:right w:val="none" w:sz="0" w:space="0" w:color="auto"/>
              </w:divBdr>
              <w:divsChild>
                <w:div w:id="168519838">
                  <w:marLeft w:val="0"/>
                  <w:marRight w:val="0"/>
                  <w:marTop w:val="0"/>
                  <w:marBottom w:val="0"/>
                  <w:divBdr>
                    <w:top w:val="none" w:sz="0" w:space="0" w:color="auto"/>
                    <w:left w:val="none" w:sz="0" w:space="0" w:color="auto"/>
                    <w:bottom w:val="none" w:sz="0" w:space="0" w:color="auto"/>
                    <w:right w:val="none" w:sz="0" w:space="0" w:color="auto"/>
                  </w:divBdr>
                  <w:divsChild>
                    <w:div w:id="10765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70520">
          <w:marLeft w:val="0"/>
          <w:marRight w:val="0"/>
          <w:marTop w:val="0"/>
          <w:marBottom w:val="0"/>
          <w:divBdr>
            <w:top w:val="none" w:sz="0" w:space="0" w:color="auto"/>
            <w:left w:val="none" w:sz="0" w:space="0" w:color="auto"/>
            <w:bottom w:val="none" w:sz="0" w:space="0" w:color="auto"/>
            <w:right w:val="none" w:sz="0" w:space="0" w:color="auto"/>
          </w:divBdr>
          <w:divsChild>
            <w:div w:id="2007632440">
              <w:marLeft w:val="0"/>
              <w:marRight w:val="0"/>
              <w:marTop w:val="0"/>
              <w:marBottom w:val="0"/>
              <w:divBdr>
                <w:top w:val="none" w:sz="0" w:space="0" w:color="auto"/>
                <w:left w:val="none" w:sz="0" w:space="0" w:color="auto"/>
                <w:bottom w:val="none" w:sz="0" w:space="0" w:color="auto"/>
                <w:right w:val="none" w:sz="0" w:space="0" w:color="auto"/>
              </w:divBdr>
              <w:divsChild>
                <w:div w:id="7926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8061">
      <w:bodyDiv w:val="1"/>
      <w:marLeft w:val="0"/>
      <w:marRight w:val="0"/>
      <w:marTop w:val="0"/>
      <w:marBottom w:val="0"/>
      <w:divBdr>
        <w:top w:val="none" w:sz="0" w:space="0" w:color="auto"/>
        <w:left w:val="none" w:sz="0" w:space="0" w:color="auto"/>
        <w:bottom w:val="none" w:sz="0" w:space="0" w:color="auto"/>
        <w:right w:val="none" w:sz="0" w:space="0" w:color="auto"/>
      </w:divBdr>
    </w:div>
    <w:div w:id="139419164">
      <w:bodyDiv w:val="1"/>
      <w:marLeft w:val="0"/>
      <w:marRight w:val="0"/>
      <w:marTop w:val="0"/>
      <w:marBottom w:val="0"/>
      <w:divBdr>
        <w:top w:val="none" w:sz="0" w:space="0" w:color="auto"/>
        <w:left w:val="none" w:sz="0" w:space="0" w:color="auto"/>
        <w:bottom w:val="none" w:sz="0" w:space="0" w:color="auto"/>
        <w:right w:val="none" w:sz="0" w:space="0" w:color="auto"/>
      </w:divBdr>
    </w:div>
    <w:div w:id="140078710">
      <w:bodyDiv w:val="1"/>
      <w:marLeft w:val="0"/>
      <w:marRight w:val="0"/>
      <w:marTop w:val="0"/>
      <w:marBottom w:val="0"/>
      <w:divBdr>
        <w:top w:val="none" w:sz="0" w:space="0" w:color="auto"/>
        <w:left w:val="none" w:sz="0" w:space="0" w:color="auto"/>
        <w:bottom w:val="none" w:sz="0" w:space="0" w:color="auto"/>
        <w:right w:val="none" w:sz="0" w:space="0" w:color="auto"/>
      </w:divBdr>
    </w:div>
    <w:div w:id="140998612">
      <w:bodyDiv w:val="1"/>
      <w:marLeft w:val="0"/>
      <w:marRight w:val="0"/>
      <w:marTop w:val="0"/>
      <w:marBottom w:val="0"/>
      <w:divBdr>
        <w:top w:val="none" w:sz="0" w:space="0" w:color="auto"/>
        <w:left w:val="none" w:sz="0" w:space="0" w:color="auto"/>
        <w:bottom w:val="none" w:sz="0" w:space="0" w:color="auto"/>
        <w:right w:val="none" w:sz="0" w:space="0" w:color="auto"/>
      </w:divBdr>
    </w:div>
    <w:div w:id="142048428">
      <w:bodyDiv w:val="1"/>
      <w:marLeft w:val="0"/>
      <w:marRight w:val="0"/>
      <w:marTop w:val="0"/>
      <w:marBottom w:val="0"/>
      <w:divBdr>
        <w:top w:val="none" w:sz="0" w:space="0" w:color="auto"/>
        <w:left w:val="none" w:sz="0" w:space="0" w:color="auto"/>
        <w:bottom w:val="none" w:sz="0" w:space="0" w:color="auto"/>
        <w:right w:val="none" w:sz="0" w:space="0" w:color="auto"/>
      </w:divBdr>
    </w:div>
    <w:div w:id="145361934">
      <w:bodyDiv w:val="1"/>
      <w:marLeft w:val="0"/>
      <w:marRight w:val="0"/>
      <w:marTop w:val="0"/>
      <w:marBottom w:val="0"/>
      <w:divBdr>
        <w:top w:val="none" w:sz="0" w:space="0" w:color="auto"/>
        <w:left w:val="none" w:sz="0" w:space="0" w:color="auto"/>
        <w:bottom w:val="none" w:sz="0" w:space="0" w:color="auto"/>
        <w:right w:val="none" w:sz="0" w:space="0" w:color="auto"/>
      </w:divBdr>
    </w:div>
    <w:div w:id="147094924">
      <w:bodyDiv w:val="1"/>
      <w:marLeft w:val="0"/>
      <w:marRight w:val="0"/>
      <w:marTop w:val="0"/>
      <w:marBottom w:val="0"/>
      <w:divBdr>
        <w:top w:val="none" w:sz="0" w:space="0" w:color="auto"/>
        <w:left w:val="none" w:sz="0" w:space="0" w:color="auto"/>
        <w:bottom w:val="none" w:sz="0" w:space="0" w:color="auto"/>
        <w:right w:val="none" w:sz="0" w:space="0" w:color="auto"/>
      </w:divBdr>
    </w:div>
    <w:div w:id="148138302">
      <w:bodyDiv w:val="1"/>
      <w:marLeft w:val="0"/>
      <w:marRight w:val="0"/>
      <w:marTop w:val="0"/>
      <w:marBottom w:val="0"/>
      <w:divBdr>
        <w:top w:val="none" w:sz="0" w:space="0" w:color="auto"/>
        <w:left w:val="none" w:sz="0" w:space="0" w:color="auto"/>
        <w:bottom w:val="none" w:sz="0" w:space="0" w:color="auto"/>
        <w:right w:val="none" w:sz="0" w:space="0" w:color="auto"/>
      </w:divBdr>
    </w:div>
    <w:div w:id="149055167">
      <w:bodyDiv w:val="1"/>
      <w:marLeft w:val="0"/>
      <w:marRight w:val="0"/>
      <w:marTop w:val="0"/>
      <w:marBottom w:val="0"/>
      <w:divBdr>
        <w:top w:val="none" w:sz="0" w:space="0" w:color="auto"/>
        <w:left w:val="none" w:sz="0" w:space="0" w:color="auto"/>
        <w:bottom w:val="none" w:sz="0" w:space="0" w:color="auto"/>
        <w:right w:val="none" w:sz="0" w:space="0" w:color="auto"/>
      </w:divBdr>
    </w:div>
    <w:div w:id="149100090">
      <w:bodyDiv w:val="1"/>
      <w:marLeft w:val="0"/>
      <w:marRight w:val="0"/>
      <w:marTop w:val="0"/>
      <w:marBottom w:val="0"/>
      <w:divBdr>
        <w:top w:val="none" w:sz="0" w:space="0" w:color="auto"/>
        <w:left w:val="none" w:sz="0" w:space="0" w:color="auto"/>
        <w:bottom w:val="none" w:sz="0" w:space="0" w:color="auto"/>
        <w:right w:val="none" w:sz="0" w:space="0" w:color="auto"/>
      </w:divBdr>
    </w:div>
    <w:div w:id="151724768">
      <w:bodyDiv w:val="1"/>
      <w:marLeft w:val="0"/>
      <w:marRight w:val="0"/>
      <w:marTop w:val="0"/>
      <w:marBottom w:val="0"/>
      <w:divBdr>
        <w:top w:val="none" w:sz="0" w:space="0" w:color="auto"/>
        <w:left w:val="none" w:sz="0" w:space="0" w:color="auto"/>
        <w:bottom w:val="none" w:sz="0" w:space="0" w:color="auto"/>
        <w:right w:val="none" w:sz="0" w:space="0" w:color="auto"/>
      </w:divBdr>
      <w:divsChild>
        <w:div w:id="432897977">
          <w:marLeft w:val="0"/>
          <w:marRight w:val="0"/>
          <w:marTop w:val="0"/>
          <w:marBottom w:val="0"/>
          <w:divBdr>
            <w:top w:val="none" w:sz="0" w:space="0" w:color="auto"/>
            <w:left w:val="none" w:sz="0" w:space="0" w:color="auto"/>
            <w:bottom w:val="none" w:sz="0" w:space="0" w:color="auto"/>
            <w:right w:val="none" w:sz="0" w:space="0" w:color="auto"/>
          </w:divBdr>
          <w:divsChild>
            <w:div w:id="1424646942">
              <w:marLeft w:val="0"/>
              <w:marRight w:val="0"/>
              <w:marTop w:val="0"/>
              <w:marBottom w:val="0"/>
              <w:divBdr>
                <w:top w:val="none" w:sz="0" w:space="0" w:color="auto"/>
                <w:left w:val="none" w:sz="0" w:space="0" w:color="auto"/>
                <w:bottom w:val="none" w:sz="0" w:space="0" w:color="auto"/>
                <w:right w:val="none" w:sz="0" w:space="0" w:color="auto"/>
              </w:divBdr>
              <w:divsChild>
                <w:div w:id="6100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9386">
      <w:bodyDiv w:val="1"/>
      <w:marLeft w:val="0"/>
      <w:marRight w:val="0"/>
      <w:marTop w:val="0"/>
      <w:marBottom w:val="0"/>
      <w:divBdr>
        <w:top w:val="none" w:sz="0" w:space="0" w:color="auto"/>
        <w:left w:val="none" w:sz="0" w:space="0" w:color="auto"/>
        <w:bottom w:val="none" w:sz="0" w:space="0" w:color="auto"/>
        <w:right w:val="none" w:sz="0" w:space="0" w:color="auto"/>
      </w:divBdr>
    </w:div>
    <w:div w:id="158542455">
      <w:bodyDiv w:val="1"/>
      <w:marLeft w:val="0"/>
      <w:marRight w:val="0"/>
      <w:marTop w:val="0"/>
      <w:marBottom w:val="0"/>
      <w:divBdr>
        <w:top w:val="none" w:sz="0" w:space="0" w:color="auto"/>
        <w:left w:val="none" w:sz="0" w:space="0" w:color="auto"/>
        <w:bottom w:val="none" w:sz="0" w:space="0" w:color="auto"/>
        <w:right w:val="none" w:sz="0" w:space="0" w:color="auto"/>
      </w:divBdr>
      <w:divsChild>
        <w:div w:id="728455004">
          <w:marLeft w:val="0"/>
          <w:marRight w:val="0"/>
          <w:marTop w:val="0"/>
          <w:marBottom w:val="0"/>
          <w:divBdr>
            <w:top w:val="none" w:sz="0" w:space="0" w:color="auto"/>
            <w:left w:val="none" w:sz="0" w:space="0" w:color="auto"/>
            <w:bottom w:val="none" w:sz="0" w:space="0" w:color="auto"/>
            <w:right w:val="none" w:sz="0" w:space="0" w:color="auto"/>
          </w:divBdr>
          <w:divsChild>
            <w:div w:id="786045888">
              <w:marLeft w:val="0"/>
              <w:marRight w:val="0"/>
              <w:marTop w:val="0"/>
              <w:marBottom w:val="0"/>
              <w:divBdr>
                <w:top w:val="none" w:sz="0" w:space="0" w:color="auto"/>
                <w:left w:val="none" w:sz="0" w:space="0" w:color="auto"/>
                <w:bottom w:val="none" w:sz="0" w:space="0" w:color="auto"/>
                <w:right w:val="none" w:sz="0" w:space="0" w:color="auto"/>
              </w:divBdr>
              <w:divsChild>
                <w:div w:id="10947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3674">
          <w:marLeft w:val="0"/>
          <w:marRight w:val="0"/>
          <w:marTop w:val="0"/>
          <w:marBottom w:val="0"/>
          <w:divBdr>
            <w:top w:val="none" w:sz="0" w:space="0" w:color="auto"/>
            <w:left w:val="none" w:sz="0" w:space="0" w:color="auto"/>
            <w:bottom w:val="none" w:sz="0" w:space="0" w:color="auto"/>
            <w:right w:val="none" w:sz="0" w:space="0" w:color="auto"/>
          </w:divBdr>
          <w:divsChild>
            <w:div w:id="2000770751">
              <w:marLeft w:val="0"/>
              <w:marRight w:val="0"/>
              <w:marTop w:val="0"/>
              <w:marBottom w:val="0"/>
              <w:divBdr>
                <w:top w:val="none" w:sz="0" w:space="0" w:color="auto"/>
                <w:left w:val="none" w:sz="0" w:space="0" w:color="auto"/>
                <w:bottom w:val="none" w:sz="0" w:space="0" w:color="auto"/>
                <w:right w:val="none" w:sz="0" w:space="0" w:color="auto"/>
              </w:divBdr>
              <w:divsChild>
                <w:div w:id="2104715621">
                  <w:marLeft w:val="0"/>
                  <w:marRight w:val="0"/>
                  <w:marTop w:val="0"/>
                  <w:marBottom w:val="0"/>
                  <w:divBdr>
                    <w:top w:val="none" w:sz="0" w:space="0" w:color="auto"/>
                    <w:left w:val="none" w:sz="0" w:space="0" w:color="auto"/>
                    <w:bottom w:val="none" w:sz="0" w:space="0" w:color="auto"/>
                    <w:right w:val="none" w:sz="0" w:space="0" w:color="auto"/>
                  </w:divBdr>
                  <w:divsChild>
                    <w:div w:id="50497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655">
      <w:bodyDiv w:val="1"/>
      <w:marLeft w:val="0"/>
      <w:marRight w:val="0"/>
      <w:marTop w:val="0"/>
      <w:marBottom w:val="0"/>
      <w:divBdr>
        <w:top w:val="none" w:sz="0" w:space="0" w:color="auto"/>
        <w:left w:val="none" w:sz="0" w:space="0" w:color="auto"/>
        <w:bottom w:val="none" w:sz="0" w:space="0" w:color="auto"/>
        <w:right w:val="none" w:sz="0" w:space="0" w:color="auto"/>
      </w:divBdr>
    </w:div>
    <w:div w:id="161166946">
      <w:bodyDiv w:val="1"/>
      <w:marLeft w:val="0"/>
      <w:marRight w:val="0"/>
      <w:marTop w:val="0"/>
      <w:marBottom w:val="0"/>
      <w:divBdr>
        <w:top w:val="none" w:sz="0" w:space="0" w:color="auto"/>
        <w:left w:val="none" w:sz="0" w:space="0" w:color="auto"/>
        <w:bottom w:val="none" w:sz="0" w:space="0" w:color="auto"/>
        <w:right w:val="none" w:sz="0" w:space="0" w:color="auto"/>
      </w:divBdr>
    </w:div>
    <w:div w:id="163057020">
      <w:bodyDiv w:val="1"/>
      <w:marLeft w:val="0"/>
      <w:marRight w:val="0"/>
      <w:marTop w:val="0"/>
      <w:marBottom w:val="0"/>
      <w:divBdr>
        <w:top w:val="none" w:sz="0" w:space="0" w:color="auto"/>
        <w:left w:val="none" w:sz="0" w:space="0" w:color="auto"/>
        <w:bottom w:val="none" w:sz="0" w:space="0" w:color="auto"/>
        <w:right w:val="none" w:sz="0" w:space="0" w:color="auto"/>
      </w:divBdr>
    </w:div>
    <w:div w:id="164592774">
      <w:bodyDiv w:val="1"/>
      <w:marLeft w:val="0"/>
      <w:marRight w:val="0"/>
      <w:marTop w:val="0"/>
      <w:marBottom w:val="0"/>
      <w:divBdr>
        <w:top w:val="none" w:sz="0" w:space="0" w:color="auto"/>
        <w:left w:val="none" w:sz="0" w:space="0" w:color="auto"/>
        <w:bottom w:val="none" w:sz="0" w:space="0" w:color="auto"/>
        <w:right w:val="none" w:sz="0" w:space="0" w:color="auto"/>
      </w:divBdr>
    </w:div>
    <w:div w:id="168564931">
      <w:bodyDiv w:val="1"/>
      <w:marLeft w:val="0"/>
      <w:marRight w:val="0"/>
      <w:marTop w:val="0"/>
      <w:marBottom w:val="0"/>
      <w:divBdr>
        <w:top w:val="none" w:sz="0" w:space="0" w:color="auto"/>
        <w:left w:val="none" w:sz="0" w:space="0" w:color="auto"/>
        <w:bottom w:val="none" w:sz="0" w:space="0" w:color="auto"/>
        <w:right w:val="none" w:sz="0" w:space="0" w:color="auto"/>
      </w:divBdr>
    </w:div>
    <w:div w:id="170418504">
      <w:bodyDiv w:val="1"/>
      <w:marLeft w:val="0"/>
      <w:marRight w:val="0"/>
      <w:marTop w:val="0"/>
      <w:marBottom w:val="0"/>
      <w:divBdr>
        <w:top w:val="none" w:sz="0" w:space="0" w:color="auto"/>
        <w:left w:val="none" w:sz="0" w:space="0" w:color="auto"/>
        <w:bottom w:val="none" w:sz="0" w:space="0" w:color="auto"/>
        <w:right w:val="none" w:sz="0" w:space="0" w:color="auto"/>
      </w:divBdr>
    </w:div>
    <w:div w:id="170532351">
      <w:bodyDiv w:val="1"/>
      <w:marLeft w:val="0"/>
      <w:marRight w:val="0"/>
      <w:marTop w:val="0"/>
      <w:marBottom w:val="0"/>
      <w:divBdr>
        <w:top w:val="none" w:sz="0" w:space="0" w:color="auto"/>
        <w:left w:val="none" w:sz="0" w:space="0" w:color="auto"/>
        <w:bottom w:val="none" w:sz="0" w:space="0" w:color="auto"/>
        <w:right w:val="none" w:sz="0" w:space="0" w:color="auto"/>
      </w:divBdr>
    </w:div>
    <w:div w:id="172646591">
      <w:bodyDiv w:val="1"/>
      <w:marLeft w:val="0"/>
      <w:marRight w:val="0"/>
      <w:marTop w:val="0"/>
      <w:marBottom w:val="0"/>
      <w:divBdr>
        <w:top w:val="none" w:sz="0" w:space="0" w:color="auto"/>
        <w:left w:val="none" w:sz="0" w:space="0" w:color="auto"/>
        <w:bottom w:val="none" w:sz="0" w:space="0" w:color="auto"/>
        <w:right w:val="none" w:sz="0" w:space="0" w:color="auto"/>
      </w:divBdr>
    </w:div>
    <w:div w:id="173568668">
      <w:bodyDiv w:val="1"/>
      <w:marLeft w:val="0"/>
      <w:marRight w:val="0"/>
      <w:marTop w:val="0"/>
      <w:marBottom w:val="0"/>
      <w:divBdr>
        <w:top w:val="none" w:sz="0" w:space="0" w:color="auto"/>
        <w:left w:val="none" w:sz="0" w:space="0" w:color="auto"/>
        <w:bottom w:val="none" w:sz="0" w:space="0" w:color="auto"/>
        <w:right w:val="none" w:sz="0" w:space="0" w:color="auto"/>
      </w:divBdr>
    </w:div>
    <w:div w:id="174803460">
      <w:bodyDiv w:val="1"/>
      <w:marLeft w:val="0"/>
      <w:marRight w:val="0"/>
      <w:marTop w:val="0"/>
      <w:marBottom w:val="0"/>
      <w:divBdr>
        <w:top w:val="none" w:sz="0" w:space="0" w:color="auto"/>
        <w:left w:val="none" w:sz="0" w:space="0" w:color="auto"/>
        <w:bottom w:val="none" w:sz="0" w:space="0" w:color="auto"/>
        <w:right w:val="none" w:sz="0" w:space="0" w:color="auto"/>
      </w:divBdr>
    </w:div>
    <w:div w:id="175853130">
      <w:bodyDiv w:val="1"/>
      <w:marLeft w:val="0"/>
      <w:marRight w:val="0"/>
      <w:marTop w:val="0"/>
      <w:marBottom w:val="0"/>
      <w:divBdr>
        <w:top w:val="none" w:sz="0" w:space="0" w:color="auto"/>
        <w:left w:val="none" w:sz="0" w:space="0" w:color="auto"/>
        <w:bottom w:val="none" w:sz="0" w:space="0" w:color="auto"/>
        <w:right w:val="none" w:sz="0" w:space="0" w:color="auto"/>
      </w:divBdr>
    </w:div>
    <w:div w:id="177894231">
      <w:bodyDiv w:val="1"/>
      <w:marLeft w:val="0"/>
      <w:marRight w:val="0"/>
      <w:marTop w:val="0"/>
      <w:marBottom w:val="0"/>
      <w:divBdr>
        <w:top w:val="none" w:sz="0" w:space="0" w:color="auto"/>
        <w:left w:val="none" w:sz="0" w:space="0" w:color="auto"/>
        <w:bottom w:val="none" w:sz="0" w:space="0" w:color="auto"/>
        <w:right w:val="none" w:sz="0" w:space="0" w:color="auto"/>
      </w:divBdr>
    </w:div>
    <w:div w:id="181207306">
      <w:bodyDiv w:val="1"/>
      <w:marLeft w:val="0"/>
      <w:marRight w:val="0"/>
      <w:marTop w:val="0"/>
      <w:marBottom w:val="0"/>
      <w:divBdr>
        <w:top w:val="none" w:sz="0" w:space="0" w:color="auto"/>
        <w:left w:val="none" w:sz="0" w:space="0" w:color="auto"/>
        <w:bottom w:val="none" w:sz="0" w:space="0" w:color="auto"/>
        <w:right w:val="none" w:sz="0" w:space="0" w:color="auto"/>
      </w:divBdr>
    </w:div>
    <w:div w:id="184056022">
      <w:bodyDiv w:val="1"/>
      <w:marLeft w:val="0"/>
      <w:marRight w:val="0"/>
      <w:marTop w:val="0"/>
      <w:marBottom w:val="0"/>
      <w:divBdr>
        <w:top w:val="none" w:sz="0" w:space="0" w:color="auto"/>
        <w:left w:val="none" w:sz="0" w:space="0" w:color="auto"/>
        <w:bottom w:val="none" w:sz="0" w:space="0" w:color="auto"/>
        <w:right w:val="none" w:sz="0" w:space="0" w:color="auto"/>
      </w:divBdr>
    </w:div>
    <w:div w:id="184293470">
      <w:bodyDiv w:val="1"/>
      <w:marLeft w:val="0"/>
      <w:marRight w:val="0"/>
      <w:marTop w:val="0"/>
      <w:marBottom w:val="0"/>
      <w:divBdr>
        <w:top w:val="none" w:sz="0" w:space="0" w:color="auto"/>
        <w:left w:val="none" w:sz="0" w:space="0" w:color="auto"/>
        <w:bottom w:val="none" w:sz="0" w:space="0" w:color="auto"/>
        <w:right w:val="none" w:sz="0" w:space="0" w:color="auto"/>
      </w:divBdr>
    </w:div>
    <w:div w:id="189539934">
      <w:bodyDiv w:val="1"/>
      <w:marLeft w:val="0"/>
      <w:marRight w:val="0"/>
      <w:marTop w:val="0"/>
      <w:marBottom w:val="0"/>
      <w:divBdr>
        <w:top w:val="none" w:sz="0" w:space="0" w:color="auto"/>
        <w:left w:val="none" w:sz="0" w:space="0" w:color="auto"/>
        <w:bottom w:val="none" w:sz="0" w:space="0" w:color="auto"/>
        <w:right w:val="none" w:sz="0" w:space="0" w:color="auto"/>
      </w:divBdr>
      <w:divsChild>
        <w:div w:id="236403686">
          <w:marLeft w:val="0"/>
          <w:marRight w:val="0"/>
          <w:marTop w:val="0"/>
          <w:marBottom w:val="0"/>
          <w:divBdr>
            <w:top w:val="none" w:sz="0" w:space="0" w:color="auto"/>
            <w:left w:val="none" w:sz="0" w:space="0" w:color="auto"/>
            <w:bottom w:val="none" w:sz="0" w:space="0" w:color="auto"/>
            <w:right w:val="none" w:sz="0" w:space="0" w:color="auto"/>
          </w:divBdr>
        </w:div>
      </w:divsChild>
    </w:div>
    <w:div w:id="191504275">
      <w:bodyDiv w:val="1"/>
      <w:marLeft w:val="0"/>
      <w:marRight w:val="0"/>
      <w:marTop w:val="0"/>
      <w:marBottom w:val="0"/>
      <w:divBdr>
        <w:top w:val="none" w:sz="0" w:space="0" w:color="auto"/>
        <w:left w:val="none" w:sz="0" w:space="0" w:color="auto"/>
        <w:bottom w:val="none" w:sz="0" w:space="0" w:color="auto"/>
        <w:right w:val="none" w:sz="0" w:space="0" w:color="auto"/>
      </w:divBdr>
    </w:div>
    <w:div w:id="192115285">
      <w:bodyDiv w:val="1"/>
      <w:marLeft w:val="0"/>
      <w:marRight w:val="0"/>
      <w:marTop w:val="0"/>
      <w:marBottom w:val="0"/>
      <w:divBdr>
        <w:top w:val="none" w:sz="0" w:space="0" w:color="auto"/>
        <w:left w:val="none" w:sz="0" w:space="0" w:color="auto"/>
        <w:bottom w:val="none" w:sz="0" w:space="0" w:color="auto"/>
        <w:right w:val="none" w:sz="0" w:space="0" w:color="auto"/>
      </w:divBdr>
      <w:divsChild>
        <w:div w:id="12418584">
          <w:marLeft w:val="0"/>
          <w:marRight w:val="0"/>
          <w:marTop w:val="0"/>
          <w:marBottom w:val="0"/>
          <w:divBdr>
            <w:top w:val="none" w:sz="0" w:space="0" w:color="auto"/>
            <w:left w:val="none" w:sz="0" w:space="0" w:color="auto"/>
            <w:bottom w:val="none" w:sz="0" w:space="0" w:color="auto"/>
            <w:right w:val="none" w:sz="0" w:space="0" w:color="auto"/>
          </w:divBdr>
          <w:divsChild>
            <w:div w:id="1458179480">
              <w:marLeft w:val="0"/>
              <w:marRight w:val="0"/>
              <w:marTop w:val="0"/>
              <w:marBottom w:val="0"/>
              <w:divBdr>
                <w:top w:val="none" w:sz="0" w:space="0" w:color="auto"/>
                <w:left w:val="none" w:sz="0" w:space="0" w:color="auto"/>
                <w:bottom w:val="none" w:sz="0" w:space="0" w:color="auto"/>
                <w:right w:val="none" w:sz="0" w:space="0" w:color="auto"/>
              </w:divBdr>
              <w:divsChild>
                <w:div w:id="7454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1986">
      <w:bodyDiv w:val="1"/>
      <w:marLeft w:val="0"/>
      <w:marRight w:val="0"/>
      <w:marTop w:val="0"/>
      <w:marBottom w:val="0"/>
      <w:divBdr>
        <w:top w:val="none" w:sz="0" w:space="0" w:color="auto"/>
        <w:left w:val="none" w:sz="0" w:space="0" w:color="auto"/>
        <w:bottom w:val="none" w:sz="0" w:space="0" w:color="auto"/>
        <w:right w:val="none" w:sz="0" w:space="0" w:color="auto"/>
      </w:divBdr>
    </w:div>
    <w:div w:id="192694566">
      <w:bodyDiv w:val="1"/>
      <w:marLeft w:val="0"/>
      <w:marRight w:val="0"/>
      <w:marTop w:val="0"/>
      <w:marBottom w:val="0"/>
      <w:divBdr>
        <w:top w:val="none" w:sz="0" w:space="0" w:color="auto"/>
        <w:left w:val="none" w:sz="0" w:space="0" w:color="auto"/>
        <w:bottom w:val="none" w:sz="0" w:space="0" w:color="auto"/>
        <w:right w:val="none" w:sz="0" w:space="0" w:color="auto"/>
      </w:divBdr>
    </w:div>
    <w:div w:id="194655931">
      <w:bodyDiv w:val="1"/>
      <w:marLeft w:val="0"/>
      <w:marRight w:val="0"/>
      <w:marTop w:val="0"/>
      <w:marBottom w:val="0"/>
      <w:divBdr>
        <w:top w:val="none" w:sz="0" w:space="0" w:color="auto"/>
        <w:left w:val="none" w:sz="0" w:space="0" w:color="auto"/>
        <w:bottom w:val="none" w:sz="0" w:space="0" w:color="auto"/>
        <w:right w:val="none" w:sz="0" w:space="0" w:color="auto"/>
      </w:divBdr>
    </w:div>
    <w:div w:id="198127895">
      <w:bodyDiv w:val="1"/>
      <w:marLeft w:val="0"/>
      <w:marRight w:val="0"/>
      <w:marTop w:val="0"/>
      <w:marBottom w:val="0"/>
      <w:divBdr>
        <w:top w:val="none" w:sz="0" w:space="0" w:color="auto"/>
        <w:left w:val="none" w:sz="0" w:space="0" w:color="auto"/>
        <w:bottom w:val="none" w:sz="0" w:space="0" w:color="auto"/>
        <w:right w:val="none" w:sz="0" w:space="0" w:color="auto"/>
      </w:divBdr>
      <w:divsChild>
        <w:div w:id="594291278">
          <w:marLeft w:val="0"/>
          <w:marRight w:val="0"/>
          <w:marTop w:val="0"/>
          <w:marBottom w:val="0"/>
          <w:divBdr>
            <w:top w:val="none" w:sz="0" w:space="0" w:color="auto"/>
            <w:left w:val="none" w:sz="0" w:space="0" w:color="auto"/>
            <w:bottom w:val="none" w:sz="0" w:space="0" w:color="auto"/>
            <w:right w:val="none" w:sz="0" w:space="0" w:color="auto"/>
          </w:divBdr>
          <w:divsChild>
            <w:div w:id="769395000">
              <w:marLeft w:val="0"/>
              <w:marRight w:val="0"/>
              <w:marTop w:val="0"/>
              <w:marBottom w:val="0"/>
              <w:divBdr>
                <w:top w:val="none" w:sz="0" w:space="0" w:color="auto"/>
                <w:left w:val="none" w:sz="0" w:space="0" w:color="auto"/>
                <w:bottom w:val="none" w:sz="0" w:space="0" w:color="auto"/>
                <w:right w:val="none" w:sz="0" w:space="0" w:color="auto"/>
              </w:divBdr>
              <w:divsChild>
                <w:div w:id="976374967">
                  <w:marLeft w:val="0"/>
                  <w:marRight w:val="0"/>
                  <w:marTop w:val="0"/>
                  <w:marBottom w:val="0"/>
                  <w:divBdr>
                    <w:top w:val="none" w:sz="0" w:space="0" w:color="auto"/>
                    <w:left w:val="none" w:sz="0" w:space="0" w:color="auto"/>
                    <w:bottom w:val="none" w:sz="0" w:space="0" w:color="auto"/>
                    <w:right w:val="none" w:sz="0" w:space="0" w:color="auto"/>
                  </w:divBdr>
                  <w:divsChild>
                    <w:div w:id="18449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21306">
          <w:marLeft w:val="0"/>
          <w:marRight w:val="0"/>
          <w:marTop w:val="0"/>
          <w:marBottom w:val="0"/>
          <w:divBdr>
            <w:top w:val="none" w:sz="0" w:space="0" w:color="auto"/>
            <w:left w:val="none" w:sz="0" w:space="0" w:color="auto"/>
            <w:bottom w:val="none" w:sz="0" w:space="0" w:color="auto"/>
            <w:right w:val="none" w:sz="0" w:space="0" w:color="auto"/>
          </w:divBdr>
          <w:divsChild>
            <w:div w:id="356933207">
              <w:marLeft w:val="0"/>
              <w:marRight w:val="0"/>
              <w:marTop w:val="0"/>
              <w:marBottom w:val="0"/>
              <w:divBdr>
                <w:top w:val="none" w:sz="0" w:space="0" w:color="auto"/>
                <w:left w:val="none" w:sz="0" w:space="0" w:color="auto"/>
                <w:bottom w:val="none" w:sz="0" w:space="0" w:color="auto"/>
                <w:right w:val="none" w:sz="0" w:space="0" w:color="auto"/>
              </w:divBdr>
              <w:divsChild>
                <w:div w:id="2367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6471">
          <w:marLeft w:val="0"/>
          <w:marRight w:val="0"/>
          <w:marTop w:val="0"/>
          <w:marBottom w:val="0"/>
          <w:divBdr>
            <w:top w:val="none" w:sz="0" w:space="0" w:color="auto"/>
            <w:left w:val="none" w:sz="0" w:space="0" w:color="auto"/>
            <w:bottom w:val="none" w:sz="0" w:space="0" w:color="auto"/>
            <w:right w:val="none" w:sz="0" w:space="0" w:color="auto"/>
          </w:divBdr>
        </w:div>
      </w:divsChild>
    </w:div>
    <w:div w:id="198326895">
      <w:bodyDiv w:val="1"/>
      <w:marLeft w:val="0"/>
      <w:marRight w:val="0"/>
      <w:marTop w:val="0"/>
      <w:marBottom w:val="0"/>
      <w:divBdr>
        <w:top w:val="none" w:sz="0" w:space="0" w:color="auto"/>
        <w:left w:val="none" w:sz="0" w:space="0" w:color="auto"/>
        <w:bottom w:val="none" w:sz="0" w:space="0" w:color="auto"/>
        <w:right w:val="none" w:sz="0" w:space="0" w:color="auto"/>
      </w:divBdr>
    </w:div>
    <w:div w:id="198326973">
      <w:bodyDiv w:val="1"/>
      <w:marLeft w:val="0"/>
      <w:marRight w:val="0"/>
      <w:marTop w:val="0"/>
      <w:marBottom w:val="0"/>
      <w:divBdr>
        <w:top w:val="none" w:sz="0" w:space="0" w:color="auto"/>
        <w:left w:val="none" w:sz="0" w:space="0" w:color="auto"/>
        <w:bottom w:val="none" w:sz="0" w:space="0" w:color="auto"/>
        <w:right w:val="none" w:sz="0" w:space="0" w:color="auto"/>
      </w:divBdr>
    </w:div>
    <w:div w:id="198710320">
      <w:bodyDiv w:val="1"/>
      <w:marLeft w:val="0"/>
      <w:marRight w:val="0"/>
      <w:marTop w:val="0"/>
      <w:marBottom w:val="0"/>
      <w:divBdr>
        <w:top w:val="none" w:sz="0" w:space="0" w:color="auto"/>
        <w:left w:val="none" w:sz="0" w:space="0" w:color="auto"/>
        <w:bottom w:val="none" w:sz="0" w:space="0" w:color="auto"/>
        <w:right w:val="none" w:sz="0" w:space="0" w:color="auto"/>
      </w:divBdr>
    </w:div>
    <w:div w:id="198863234">
      <w:bodyDiv w:val="1"/>
      <w:marLeft w:val="0"/>
      <w:marRight w:val="0"/>
      <w:marTop w:val="0"/>
      <w:marBottom w:val="0"/>
      <w:divBdr>
        <w:top w:val="none" w:sz="0" w:space="0" w:color="auto"/>
        <w:left w:val="none" w:sz="0" w:space="0" w:color="auto"/>
        <w:bottom w:val="none" w:sz="0" w:space="0" w:color="auto"/>
        <w:right w:val="none" w:sz="0" w:space="0" w:color="auto"/>
      </w:divBdr>
    </w:div>
    <w:div w:id="200438584">
      <w:bodyDiv w:val="1"/>
      <w:marLeft w:val="0"/>
      <w:marRight w:val="0"/>
      <w:marTop w:val="0"/>
      <w:marBottom w:val="0"/>
      <w:divBdr>
        <w:top w:val="none" w:sz="0" w:space="0" w:color="auto"/>
        <w:left w:val="none" w:sz="0" w:space="0" w:color="auto"/>
        <w:bottom w:val="none" w:sz="0" w:space="0" w:color="auto"/>
        <w:right w:val="none" w:sz="0" w:space="0" w:color="auto"/>
      </w:divBdr>
    </w:div>
    <w:div w:id="202640238">
      <w:bodyDiv w:val="1"/>
      <w:marLeft w:val="0"/>
      <w:marRight w:val="0"/>
      <w:marTop w:val="0"/>
      <w:marBottom w:val="0"/>
      <w:divBdr>
        <w:top w:val="none" w:sz="0" w:space="0" w:color="auto"/>
        <w:left w:val="none" w:sz="0" w:space="0" w:color="auto"/>
        <w:bottom w:val="none" w:sz="0" w:space="0" w:color="auto"/>
        <w:right w:val="none" w:sz="0" w:space="0" w:color="auto"/>
      </w:divBdr>
    </w:div>
    <w:div w:id="202914222">
      <w:bodyDiv w:val="1"/>
      <w:marLeft w:val="0"/>
      <w:marRight w:val="0"/>
      <w:marTop w:val="0"/>
      <w:marBottom w:val="0"/>
      <w:divBdr>
        <w:top w:val="none" w:sz="0" w:space="0" w:color="auto"/>
        <w:left w:val="none" w:sz="0" w:space="0" w:color="auto"/>
        <w:bottom w:val="none" w:sz="0" w:space="0" w:color="auto"/>
        <w:right w:val="none" w:sz="0" w:space="0" w:color="auto"/>
      </w:divBdr>
    </w:div>
    <w:div w:id="203178793">
      <w:bodyDiv w:val="1"/>
      <w:marLeft w:val="0"/>
      <w:marRight w:val="0"/>
      <w:marTop w:val="0"/>
      <w:marBottom w:val="0"/>
      <w:divBdr>
        <w:top w:val="none" w:sz="0" w:space="0" w:color="auto"/>
        <w:left w:val="none" w:sz="0" w:space="0" w:color="auto"/>
        <w:bottom w:val="none" w:sz="0" w:space="0" w:color="auto"/>
        <w:right w:val="none" w:sz="0" w:space="0" w:color="auto"/>
      </w:divBdr>
    </w:div>
    <w:div w:id="205263581">
      <w:bodyDiv w:val="1"/>
      <w:marLeft w:val="0"/>
      <w:marRight w:val="0"/>
      <w:marTop w:val="0"/>
      <w:marBottom w:val="0"/>
      <w:divBdr>
        <w:top w:val="none" w:sz="0" w:space="0" w:color="auto"/>
        <w:left w:val="none" w:sz="0" w:space="0" w:color="auto"/>
        <w:bottom w:val="none" w:sz="0" w:space="0" w:color="auto"/>
        <w:right w:val="none" w:sz="0" w:space="0" w:color="auto"/>
      </w:divBdr>
    </w:div>
    <w:div w:id="205607341">
      <w:bodyDiv w:val="1"/>
      <w:marLeft w:val="0"/>
      <w:marRight w:val="0"/>
      <w:marTop w:val="0"/>
      <w:marBottom w:val="0"/>
      <w:divBdr>
        <w:top w:val="none" w:sz="0" w:space="0" w:color="auto"/>
        <w:left w:val="none" w:sz="0" w:space="0" w:color="auto"/>
        <w:bottom w:val="none" w:sz="0" w:space="0" w:color="auto"/>
        <w:right w:val="none" w:sz="0" w:space="0" w:color="auto"/>
      </w:divBdr>
      <w:divsChild>
        <w:div w:id="801003682">
          <w:marLeft w:val="0"/>
          <w:marRight w:val="0"/>
          <w:marTop w:val="0"/>
          <w:marBottom w:val="0"/>
          <w:divBdr>
            <w:top w:val="none" w:sz="0" w:space="0" w:color="auto"/>
            <w:left w:val="none" w:sz="0" w:space="0" w:color="auto"/>
            <w:bottom w:val="none" w:sz="0" w:space="0" w:color="auto"/>
            <w:right w:val="none" w:sz="0" w:space="0" w:color="auto"/>
          </w:divBdr>
          <w:divsChild>
            <w:div w:id="778794650">
              <w:marLeft w:val="0"/>
              <w:marRight w:val="0"/>
              <w:marTop w:val="0"/>
              <w:marBottom w:val="0"/>
              <w:divBdr>
                <w:top w:val="none" w:sz="0" w:space="0" w:color="auto"/>
                <w:left w:val="none" w:sz="0" w:space="0" w:color="auto"/>
                <w:bottom w:val="none" w:sz="0" w:space="0" w:color="auto"/>
                <w:right w:val="none" w:sz="0" w:space="0" w:color="auto"/>
              </w:divBdr>
              <w:divsChild>
                <w:div w:id="1036808831">
                  <w:marLeft w:val="0"/>
                  <w:marRight w:val="0"/>
                  <w:marTop w:val="0"/>
                  <w:marBottom w:val="0"/>
                  <w:divBdr>
                    <w:top w:val="none" w:sz="0" w:space="0" w:color="auto"/>
                    <w:left w:val="none" w:sz="0" w:space="0" w:color="auto"/>
                    <w:bottom w:val="none" w:sz="0" w:space="0" w:color="auto"/>
                    <w:right w:val="none" w:sz="0" w:space="0" w:color="auto"/>
                  </w:divBdr>
                  <w:divsChild>
                    <w:div w:id="16426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48594">
          <w:marLeft w:val="0"/>
          <w:marRight w:val="0"/>
          <w:marTop w:val="0"/>
          <w:marBottom w:val="0"/>
          <w:divBdr>
            <w:top w:val="none" w:sz="0" w:space="0" w:color="auto"/>
            <w:left w:val="none" w:sz="0" w:space="0" w:color="auto"/>
            <w:bottom w:val="none" w:sz="0" w:space="0" w:color="auto"/>
            <w:right w:val="none" w:sz="0" w:space="0" w:color="auto"/>
          </w:divBdr>
          <w:divsChild>
            <w:div w:id="1014646005">
              <w:marLeft w:val="0"/>
              <w:marRight w:val="0"/>
              <w:marTop w:val="0"/>
              <w:marBottom w:val="0"/>
              <w:divBdr>
                <w:top w:val="none" w:sz="0" w:space="0" w:color="auto"/>
                <w:left w:val="none" w:sz="0" w:space="0" w:color="auto"/>
                <w:bottom w:val="none" w:sz="0" w:space="0" w:color="auto"/>
                <w:right w:val="none" w:sz="0" w:space="0" w:color="auto"/>
              </w:divBdr>
              <w:divsChild>
                <w:div w:id="13669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5044">
      <w:bodyDiv w:val="1"/>
      <w:marLeft w:val="0"/>
      <w:marRight w:val="0"/>
      <w:marTop w:val="0"/>
      <w:marBottom w:val="0"/>
      <w:divBdr>
        <w:top w:val="none" w:sz="0" w:space="0" w:color="auto"/>
        <w:left w:val="none" w:sz="0" w:space="0" w:color="auto"/>
        <w:bottom w:val="none" w:sz="0" w:space="0" w:color="auto"/>
        <w:right w:val="none" w:sz="0" w:space="0" w:color="auto"/>
      </w:divBdr>
    </w:div>
    <w:div w:id="207422256">
      <w:bodyDiv w:val="1"/>
      <w:marLeft w:val="0"/>
      <w:marRight w:val="0"/>
      <w:marTop w:val="0"/>
      <w:marBottom w:val="0"/>
      <w:divBdr>
        <w:top w:val="none" w:sz="0" w:space="0" w:color="auto"/>
        <w:left w:val="none" w:sz="0" w:space="0" w:color="auto"/>
        <w:bottom w:val="none" w:sz="0" w:space="0" w:color="auto"/>
        <w:right w:val="none" w:sz="0" w:space="0" w:color="auto"/>
      </w:divBdr>
    </w:div>
    <w:div w:id="208302670">
      <w:bodyDiv w:val="1"/>
      <w:marLeft w:val="0"/>
      <w:marRight w:val="0"/>
      <w:marTop w:val="0"/>
      <w:marBottom w:val="0"/>
      <w:divBdr>
        <w:top w:val="none" w:sz="0" w:space="0" w:color="auto"/>
        <w:left w:val="none" w:sz="0" w:space="0" w:color="auto"/>
        <w:bottom w:val="none" w:sz="0" w:space="0" w:color="auto"/>
        <w:right w:val="none" w:sz="0" w:space="0" w:color="auto"/>
      </w:divBdr>
    </w:div>
    <w:div w:id="209803295">
      <w:bodyDiv w:val="1"/>
      <w:marLeft w:val="0"/>
      <w:marRight w:val="0"/>
      <w:marTop w:val="0"/>
      <w:marBottom w:val="0"/>
      <w:divBdr>
        <w:top w:val="none" w:sz="0" w:space="0" w:color="auto"/>
        <w:left w:val="none" w:sz="0" w:space="0" w:color="auto"/>
        <w:bottom w:val="none" w:sz="0" w:space="0" w:color="auto"/>
        <w:right w:val="none" w:sz="0" w:space="0" w:color="auto"/>
      </w:divBdr>
    </w:div>
    <w:div w:id="210263641">
      <w:bodyDiv w:val="1"/>
      <w:marLeft w:val="0"/>
      <w:marRight w:val="0"/>
      <w:marTop w:val="0"/>
      <w:marBottom w:val="0"/>
      <w:divBdr>
        <w:top w:val="none" w:sz="0" w:space="0" w:color="auto"/>
        <w:left w:val="none" w:sz="0" w:space="0" w:color="auto"/>
        <w:bottom w:val="none" w:sz="0" w:space="0" w:color="auto"/>
        <w:right w:val="none" w:sz="0" w:space="0" w:color="auto"/>
      </w:divBdr>
    </w:div>
    <w:div w:id="215164810">
      <w:bodyDiv w:val="1"/>
      <w:marLeft w:val="0"/>
      <w:marRight w:val="0"/>
      <w:marTop w:val="0"/>
      <w:marBottom w:val="0"/>
      <w:divBdr>
        <w:top w:val="none" w:sz="0" w:space="0" w:color="auto"/>
        <w:left w:val="none" w:sz="0" w:space="0" w:color="auto"/>
        <w:bottom w:val="none" w:sz="0" w:space="0" w:color="auto"/>
        <w:right w:val="none" w:sz="0" w:space="0" w:color="auto"/>
      </w:divBdr>
    </w:div>
    <w:div w:id="215433771">
      <w:bodyDiv w:val="1"/>
      <w:marLeft w:val="0"/>
      <w:marRight w:val="0"/>
      <w:marTop w:val="0"/>
      <w:marBottom w:val="0"/>
      <w:divBdr>
        <w:top w:val="none" w:sz="0" w:space="0" w:color="auto"/>
        <w:left w:val="none" w:sz="0" w:space="0" w:color="auto"/>
        <w:bottom w:val="none" w:sz="0" w:space="0" w:color="auto"/>
        <w:right w:val="none" w:sz="0" w:space="0" w:color="auto"/>
      </w:divBdr>
    </w:div>
    <w:div w:id="215628793">
      <w:bodyDiv w:val="1"/>
      <w:marLeft w:val="0"/>
      <w:marRight w:val="0"/>
      <w:marTop w:val="0"/>
      <w:marBottom w:val="0"/>
      <w:divBdr>
        <w:top w:val="none" w:sz="0" w:space="0" w:color="auto"/>
        <w:left w:val="none" w:sz="0" w:space="0" w:color="auto"/>
        <w:bottom w:val="none" w:sz="0" w:space="0" w:color="auto"/>
        <w:right w:val="none" w:sz="0" w:space="0" w:color="auto"/>
      </w:divBdr>
    </w:div>
    <w:div w:id="218593118">
      <w:bodyDiv w:val="1"/>
      <w:marLeft w:val="0"/>
      <w:marRight w:val="0"/>
      <w:marTop w:val="0"/>
      <w:marBottom w:val="0"/>
      <w:divBdr>
        <w:top w:val="none" w:sz="0" w:space="0" w:color="auto"/>
        <w:left w:val="none" w:sz="0" w:space="0" w:color="auto"/>
        <w:bottom w:val="none" w:sz="0" w:space="0" w:color="auto"/>
        <w:right w:val="none" w:sz="0" w:space="0" w:color="auto"/>
      </w:divBdr>
    </w:div>
    <w:div w:id="219094984">
      <w:bodyDiv w:val="1"/>
      <w:marLeft w:val="0"/>
      <w:marRight w:val="0"/>
      <w:marTop w:val="0"/>
      <w:marBottom w:val="0"/>
      <w:divBdr>
        <w:top w:val="none" w:sz="0" w:space="0" w:color="auto"/>
        <w:left w:val="none" w:sz="0" w:space="0" w:color="auto"/>
        <w:bottom w:val="none" w:sz="0" w:space="0" w:color="auto"/>
        <w:right w:val="none" w:sz="0" w:space="0" w:color="auto"/>
      </w:divBdr>
      <w:divsChild>
        <w:div w:id="524948128">
          <w:marLeft w:val="0"/>
          <w:marRight w:val="0"/>
          <w:marTop w:val="120"/>
          <w:marBottom w:val="0"/>
          <w:divBdr>
            <w:top w:val="none" w:sz="0" w:space="0" w:color="auto"/>
            <w:left w:val="none" w:sz="0" w:space="0" w:color="auto"/>
            <w:bottom w:val="none" w:sz="0" w:space="0" w:color="auto"/>
            <w:right w:val="none" w:sz="0" w:space="0" w:color="auto"/>
          </w:divBdr>
        </w:div>
        <w:div w:id="470363473">
          <w:marLeft w:val="0"/>
          <w:marRight w:val="0"/>
          <w:marTop w:val="120"/>
          <w:marBottom w:val="0"/>
          <w:divBdr>
            <w:top w:val="none" w:sz="0" w:space="0" w:color="auto"/>
            <w:left w:val="none" w:sz="0" w:space="0" w:color="auto"/>
            <w:bottom w:val="none" w:sz="0" w:space="0" w:color="auto"/>
            <w:right w:val="none" w:sz="0" w:space="0" w:color="auto"/>
          </w:divBdr>
        </w:div>
      </w:divsChild>
    </w:div>
    <w:div w:id="219945440">
      <w:bodyDiv w:val="1"/>
      <w:marLeft w:val="0"/>
      <w:marRight w:val="0"/>
      <w:marTop w:val="0"/>
      <w:marBottom w:val="0"/>
      <w:divBdr>
        <w:top w:val="none" w:sz="0" w:space="0" w:color="auto"/>
        <w:left w:val="none" w:sz="0" w:space="0" w:color="auto"/>
        <w:bottom w:val="none" w:sz="0" w:space="0" w:color="auto"/>
        <w:right w:val="none" w:sz="0" w:space="0" w:color="auto"/>
      </w:divBdr>
    </w:div>
    <w:div w:id="220674182">
      <w:bodyDiv w:val="1"/>
      <w:marLeft w:val="0"/>
      <w:marRight w:val="0"/>
      <w:marTop w:val="0"/>
      <w:marBottom w:val="0"/>
      <w:divBdr>
        <w:top w:val="none" w:sz="0" w:space="0" w:color="auto"/>
        <w:left w:val="none" w:sz="0" w:space="0" w:color="auto"/>
        <w:bottom w:val="none" w:sz="0" w:space="0" w:color="auto"/>
        <w:right w:val="none" w:sz="0" w:space="0" w:color="auto"/>
      </w:divBdr>
    </w:div>
    <w:div w:id="223495612">
      <w:bodyDiv w:val="1"/>
      <w:marLeft w:val="0"/>
      <w:marRight w:val="0"/>
      <w:marTop w:val="0"/>
      <w:marBottom w:val="0"/>
      <w:divBdr>
        <w:top w:val="none" w:sz="0" w:space="0" w:color="auto"/>
        <w:left w:val="none" w:sz="0" w:space="0" w:color="auto"/>
        <w:bottom w:val="none" w:sz="0" w:space="0" w:color="auto"/>
        <w:right w:val="none" w:sz="0" w:space="0" w:color="auto"/>
      </w:divBdr>
    </w:div>
    <w:div w:id="224489501">
      <w:bodyDiv w:val="1"/>
      <w:marLeft w:val="0"/>
      <w:marRight w:val="0"/>
      <w:marTop w:val="0"/>
      <w:marBottom w:val="0"/>
      <w:divBdr>
        <w:top w:val="none" w:sz="0" w:space="0" w:color="auto"/>
        <w:left w:val="none" w:sz="0" w:space="0" w:color="auto"/>
        <w:bottom w:val="none" w:sz="0" w:space="0" w:color="auto"/>
        <w:right w:val="none" w:sz="0" w:space="0" w:color="auto"/>
      </w:divBdr>
    </w:div>
    <w:div w:id="224923151">
      <w:bodyDiv w:val="1"/>
      <w:marLeft w:val="0"/>
      <w:marRight w:val="0"/>
      <w:marTop w:val="0"/>
      <w:marBottom w:val="0"/>
      <w:divBdr>
        <w:top w:val="none" w:sz="0" w:space="0" w:color="auto"/>
        <w:left w:val="none" w:sz="0" w:space="0" w:color="auto"/>
        <w:bottom w:val="none" w:sz="0" w:space="0" w:color="auto"/>
        <w:right w:val="none" w:sz="0" w:space="0" w:color="auto"/>
      </w:divBdr>
    </w:div>
    <w:div w:id="227114854">
      <w:bodyDiv w:val="1"/>
      <w:marLeft w:val="0"/>
      <w:marRight w:val="0"/>
      <w:marTop w:val="0"/>
      <w:marBottom w:val="0"/>
      <w:divBdr>
        <w:top w:val="none" w:sz="0" w:space="0" w:color="auto"/>
        <w:left w:val="none" w:sz="0" w:space="0" w:color="auto"/>
        <w:bottom w:val="none" w:sz="0" w:space="0" w:color="auto"/>
        <w:right w:val="none" w:sz="0" w:space="0" w:color="auto"/>
      </w:divBdr>
    </w:div>
    <w:div w:id="227766318">
      <w:bodyDiv w:val="1"/>
      <w:marLeft w:val="0"/>
      <w:marRight w:val="0"/>
      <w:marTop w:val="0"/>
      <w:marBottom w:val="0"/>
      <w:divBdr>
        <w:top w:val="none" w:sz="0" w:space="0" w:color="auto"/>
        <w:left w:val="none" w:sz="0" w:space="0" w:color="auto"/>
        <w:bottom w:val="none" w:sz="0" w:space="0" w:color="auto"/>
        <w:right w:val="none" w:sz="0" w:space="0" w:color="auto"/>
      </w:divBdr>
    </w:div>
    <w:div w:id="229509983">
      <w:bodyDiv w:val="1"/>
      <w:marLeft w:val="0"/>
      <w:marRight w:val="0"/>
      <w:marTop w:val="0"/>
      <w:marBottom w:val="0"/>
      <w:divBdr>
        <w:top w:val="none" w:sz="0" w:space="0" w:color="auto"/>
        <w:left w:val="none" w:sz="0" w:space="0" w:color="auto"/>
        <w:bottom w:val="none" w:sz="0" w:space="0" w:color="auto"/>
        <w:right w:val="none" w:sz="0" w:space="0" w:color="auto"/>
      </w:divBdr>
    </w:div>
    <w:div w:id="230773973">
      <w:bodyDiv w:val="1"/>
      <w:marLeft w:val="0"/>
      <w:marRight w:val="0"/>
      <w:marTop w:val="0"/>
      <w:marBottom w:val="0"/>
      <w:divBdr>
        <w:top w:val="none" w:sz="0" w:space="0" w:color="auto"/>
        <w:left w:val="none" w:sz="0" w:space="0" w:color="auto"/>
        <w:bottom w:val="none" w:sz="0" w:space="0" w:color="auto"/>
        <w:right w:val="none" w:sz="0" w:space="0" w:color="auto"/>
      </w:divBdr>
    </w:div>
    <w:div w:id="231620969">
      <w:bodyDiv w:val="1"/>
      <w:marLeft w:val="0"/>
      <w:marRight w:val="0"/>
      <w:marTop w:val="0"/>
      <w:marBottom w:val="0"/>
      <w:divBdr>
        <w:top w:val="none" w:sz="0" w:space="0" w:color="auto"/>
        <w:left w:val="none" w:sz="0" w:space="0" w:color="auto"/>
        <w:bottom w:val="none" w:sz="0" w:space="0" w:color="auto"/>
        <w:right w:val="none" w:sz="0" w:space="0" w:color="auto"/>
      </w:divBdr>
    </w:div>
    <w:div w:id="232274124">
      <w:bodyDiv w:val="1"/>
      <w:marLeft w:val="0"/>
      <w:marRight w:val="0"/>
      <w:marTop w:val="0"/>
      <w:marBottom w:val="0"/>
      <w:divBdr>
        <w:top w:val="none" w:sz="0" w:space="0" w:color="auto"/>
        <w:left w:val="none" w:sz="0" w:space="0" w:color="auto"/>
        <w:bottom w:val="none" w:sz="0" w:space="0" w:color="auto"/>
        <w:right w:val="none" w:sz="0" w:space="0" w:color="auto"/>
      </w:divBdr>
    </w:div>
    <w:div w:id="232274929">
      <w:bodyDiv w:val="1"/>
      <w:marLeft w:val="0"/>
      <w:marRight w:val="0"/>
      <w:marTop w:val="0"/>
      <w:marBottom w:val="0"/>
      <w:divBdr>
        <w:top w:val="none" w:sz="0" w:space="0" w:color="auto"/>
        <w:left w:val="none" w:sz="0" w:space="0" w:color="auto"/>
        <w:bottom w:val="none" w:sz="0" w:space="0" w:color="auto"/>
        <w:right w:val="none" w:sz="0" w:space="0" w:color="auto"/>
      </w:divBdr>
    </w:div>
    <w:div w:id="232856030">
      <w:bodyDiv w:val="1"/>
      <w:marLeft w:val="0"/>
      <w:marRight w:val="0"/>
      <w:marTop w:val="0"/>
      <w:marBottom w:val="0"/>
      <w:divBdr>
        <w:top w:val="none" w:sz="0" w:space="0" w:color="auto"/>
        <w:left w:val="none" w:sz="0" w:space="0" w:color="auto"/>
        <w:bottom w:val="none" w:sz="0" w:space="0" w:color="auto"/>
        <w:right w:val="none" w:sz="0" w:space="0" w:color="auto"/>
      </w:divBdr>
    </w:div>
    <w:div w:id="232934249">
      <w:bodyDiv w:val="1"/>
      <w:marLeft w:val="0"/>
      <w:marRight w:val="0"/>
      <w:marTop w:val="0"/>
      <w:marBottom w:val="0"/>
      <w:divBdr>
        <w:top w:val="none" w:sz="0" w:space="0" w:color="auto"/>
        <w:left w:val="none" w:sz="0" w:space="0" w:color="auto"/>
        <w:bottom w:val="none" w:sz="0" w:space="0" w:color="auto"/>
        <w:right w:val="none" w:sz="0" w:space="0" w:color="auto"/>
      </w:divBdr>
    </w:div>
    <w:div w:id="233708125">
      <w:bodyDiv w:val="1"/>
      <w:marLeft w:val="0"/>
      <w:marRight w:val="0"/>
      <w:marTop w:val="0"/>
      <w:marBottom w:val="0"/>
      <w:divBdr>
        <w:top w:val="none" w:sz="0" w:space="0" w:color="auto"/>
        <w:left w:val="none" w:sz="0" w:space="0" w:color="auto"/>
        <w:bottom w:val="none" w:sz="0" w:space="0" w:color="auto"/>
        <w:right w:val="none" w:sz="0" w:space="0" w:color="auto"/>
      </w:divBdr>
    </w:div>
    <w:div w:id="236474414">
      <w:bodyDiv w:val="1"/>
      <w:marLeft w:val="0"/>
      <w:marRight w:val="0"/>
      <w:marTop w:val="0"/>
      <w:marBottom w:val="0"/>
      <w:divBdr>
        <w:top w:val="none" w:sz="0" w:space="0" w:color="auto"/>
        <w:left w:val="none" w:sz="0" w:space="0" w:color="auto"/>
        <w:bottom w:val="none" w:sz="0" w:space="0" w:color="auto"/>
        <w:right w:val="none" w:sz="0" w:space="0" w:color="auto"/>
      </w:divBdr>
    </w:div>
    <w:div w:id="237902591">
      <w:bodyDiv w:val="1"/>
      <w:marLeft w:val="0"/>
      <w:marRight w:val="0"/>
      <w:marTop w:val="0"/>
      <w:marBottom w:val="0"/>
      <w:divBdr>
        <w:top w:val="none" w:sz="0" w:space="0" w:color="auto"/>
        <w:left w:val="none" w:sz="0" w:space="0" w:color="auto"/>
        <w:bottom w:val="none" w:sz="0" w:space="0" w:color="auto"/>
        <w:right w:val="none" w:sz="0" w:space="0" w:color="auto"/>
      </w:divBdr>
    </w:div>
    <w:div w:id="238828630">
      <w:bodyDiv w:val="1"/>
      <w:marLeft w:val="0"/>
      <w:marRight w:val="0"/>
      <w:marTop w:val="0"/>
      <w:marBottom w:val="0"/>
      <w:divBdr>
        <w:top w:val="none" w:sz="0" w:space="0" w:color="auto"/>
        <w:left w:val="none" w:sz="0" w:space="0" w:color="auto"/>
        <w:bottom w:val="none" w:sz="0" w:space="0" w:color="auto"/>
        <w:right w:val="none" w:sz="0" w:space="0" w:color="auto"/>
      </w:divBdr>
    </w:div>
    <w:div w:id="239751354">
      <w:bodyDiv w:val="1"/>
      <w:marLeft w:val="0"/>
      <w:marRight w:val="0"/>
      <w:marTop w:val="0"/>
      <w:marBottom w:val="0"/>
      <w:divBdr>
        <w:top w:val="none" w:sz="0" w:space="0" w:color="auto"/>
        <w:left w:val="none" w:sz="0" w:space="0" w:color="auto"/>
        <w:bottom w:val="none" w:sz="0" w:space="0" w:color="auto"/>
        <w:right w:val="none" w:sz="0" w:space="0" w:color="auto"/>
      </w:divBdr>
    </w:div>
    <w:div w:id="239873819">
      <w:bodyDiv w:val="1"/>
      <w:marLeft w:val="0"/>
      <w:marRight w:val="0"/>
      <w:marTop w:val="0"/>
      <w:marBottom w:val="0"/>
      <w:divBdr>
        <w:top w:val="none" w:sz="0" w:space="0" w:color="auto"/>
        <w:left w:val="none" w:sz="0" w:space="0" w:color="auto"/>
        <w:bottom w:val="none" w:sz="0" w:space="0" w:color="auto"/>
        <w:right w:val="none" w:sz="0" w:space="0" w:color="auto"/>
      </w:divBdr>
    </w:div>
    <w:div w:id="241305331">
      <w:bodyDiv w:val="1"/>
      <w:marLeft w:val="0"/>
      <w:marRight w:val="0"/>
      <w:marTop w:val="0"/>
      <w:marBottom w:val="0"/>
      <w:divBdr>
        <w:top w:val="none" w:sz="0" w:space="0" w:color="auto"/>
        <w:left w:val="none" w:sz="0" w:space="0" w:color="auto"/>
        <w:bottom w:val="none" w:sz="0" w:space="0" w:color="auto"/>
        <w:right w:val="none" w:sz="0" w:space="0" w:color="auto"/>
      </w:divBdr>
    </w:div>
    <w:div w:id="242227083">
      <w:bodyDiv w:val="1"/>
      <w:marLeft w:val="0"/>
      <w:marRight w:val="0"/>
      <w:marTop w:val="0"/>
      <w:marBottom w:val="0"/>
      <w:divBdr>
        <w:top w:val="none" w:sz="0" w:space="0" w:color="auto"/>
        <w:left w:val="none" w:sz="0" w:space="0" w:color="auto"/>
        <w:bottom w:val="none" w:sz="0" w:space="0" w:color="auto"/>
        <w:right w:val="none" w:sz="0" w:space="0" w:color="auto"/>
      </w:divBdr>
    </w:div>
    <w:div w:id="243077242">
      <w:bodyDiv w:val="1"/>
      <w:marLeft w:val="0"/>
      <w:marRight w:val="0"/>
      <w:marTop w:val="0"/>
      <w:marBottom w:val="0"/>
      <w:divBdr>
        <w:top w:val="none" w:sz="0" w:space="0" w:color="auto"/>
        <w:left w:val="none" w:sz="0" w:space="0" w:color="auto"/>
        <w:bottom w:val="none" w:sz="0" w:space="0" w:color="auto"/>
        <w:right w:val="none" w:sz="0" w:space="0" w:color="auto"/>
      </w:divBdr>
    </w:div>
    <w:div w:id="247159738">
      <w:bodyDiv w:val="1"/>
      <w:marLeft w:val="0"/>
      <w:marRight w:val="0"/>
      <w:marTop w:val="0"/>
      <w:marBottom w:val="0"/>
      <w:divBdr>
        <w:top w:val="none" w:sz="0" w:space="0" w:color="auto"/>
        <w:left w:val="none" w:sz="0" w:space="0" w:color="auto"/>
        <w:bottom w:val="none" w:sz="0" w:space="0" w:color="auto"/>
        <w:right w:val="none" w:sz="0" w:space="0" w:color="auto"/>
      </w:divBdr>
    </w:div>
    <w:div w:id="247885231">
      <w:bodyDiv w:val="1"/>
      <w:marLeft w:val="0"/>
      <w:marRight w:val="0"/>
      <w:marTop w:val="0"/>
      <w:marBottom w:val="0"/>
      <w:divBdr>
        <w:top w:val="none" w:sz="0" w:space="0" w:color="auto"/>
        <w:left w:val="none" w:sz="0" w:space="0" w:color="auto"/>
        <w:bottom w:val="none" w:sz="0" w:space="0" w:color="auto"/>
        <w:right w:val="none" w:sz="0" w:space="0" w:color="auto"/>
      </w:divBdr>
    </w:div>
    <w:div w:id="248196564">
      <w:bodyDiv w:val="1"/>
      <w:marLeft w:val="0"/>
      <w:marRight w:val="0"/>
      <w:marTop w:val="0"/>
      <w:marBottom w:val="0"/>
      <w:divBdr>
        <w:top w:val="none" w:sz="0" w:space="0" w:color="auto"/>
        <w:left w:val="none" w:sz="0" w:space="0" w:color="auto"/>
        <w:bottom w:val="none" w:sz="0" w:space="0" w:color="auto"/>
        <w:right w:val="none" w:sz="0" w:space="0" w:color="auto"/>
      </w:divBdr>
    </w:div>
    <w:div w:id="250622120">
      <w:bodyDiv w:val="1"/>
      <w:marLeft w:val="0"/>
      <w:marRight w:val="0"/>
      <w:marTop w:val="0"/>
      <w:marBottom w:val="0"/>
      <w:divBdr>
        <w:top w:val="none" w:sz="0" w:space="0" w:color="auto"/>
        <w:left w:val="none" w:sz="0" w:space="0" w:color="auto"/>
        <w:bottom w:val="none" w:sz="0" w:space="0" w:color="auto"/>
        <w:right w:val="none" w:sz="0" w:space="0" w:color="auto"/>
      </w:divBdr>
    </w:div>
    <w:div w:id="251162465">
      <w:bodyDiv w:val="1"/>
      <w:marLeft w:val="0"/>
      <w:marRight w:val="0"/>
      <w:marTop w:val="0"/>
      <w:marBottom w:val="0"/>
      <w:divBdr>
        <w:top w:val="none" w:sz="0" w:space="0" w:color="auto"/>
        <w:left w:val="none" w:sz="0" w:space="0" w:color="auto"/>
        <w:bottom w:val="none" w:sz="0" w:space="0" w:color="auto"/>
        <w:right w:val="none" w:sz="0" w:space="0" w:color="auto"/>
      </w:divBdr>
    </w:div>
    <w:div w:id="251865579">
      <w:bodyDiv w:val="1"/>
      <w:marLeft w:val="0"/>
      <w:marRight w:val="0"/>
      <w:marTop w:val="0"/>
      <w:marBottom w:val="0"/>
      <w:divBdr>
        <w:top w:val="none" w:sz="0" w:space="0" w:color="auto"/>
        <w:left w:val="none" w:sz="0" w:space="0" w:color="auto"/>
        <w:bottom w:val="none" w:sz="0" w:space="0" w:color="auto"/>
        <w:right w:val="none" w:sz="0" w:space="0" w:color="auto"/>
      </w:divBdr>
    </w:div>
    <w:div w:id="254098921">
      <w:bodyDiv w:val="1"/>
      <w:marLeft w:val="0"/>
      <w:marRight w:val="0"/>
      <w:marTop w:val="0"/>
      <w:marBottom w:val="0"/>
      <w:divBdr>
        <w:top w:val="none" w:sz="0" w:space="0" w:color="auto"/>
        <w:left w:val="none" w:sz="0" w:space="0" w:color="auto"/>
        <w:bottom w:val="none" w:sz="0" w:space="0" w:color="auto"/>
        <w:right w:val="none" w:sz="0" w:space="0" w:color="auto"/>
      </w:divBdr>
    </w:div>
    <w:div w:id="255989889">
      <w:bodyDiv w:val="1"/>
      <w:marLeft w:val="0"/>
      <w:marRight w:val="0"/>
      <w:marTop w:val="0"/>
      <w:marBottom w:val="0"/>
      <w:divBdr>
        <w:top w:val="none" w:sz="0" w:space="0" w:color="auto"/>
        <w:left w:val="none" w:sz="0" w:space="0" w:color="auto"/>
        <w:bottom w:val="none" w:sz="0" w:space="0" w:color="auto"/>
        <w:right w:val="none" w:sz="0" w:space="0" w:color="auto"/>
      </w:divBdr>
    </w:div>
    <w:div w:id="257062410">
      <w:bodyDiv w:val="1"/>
      <w:marLeft w:val="0"/>
      <w:marRight w:val="0"/>
      <w:marTop w:val="0"/>
      <w:marBottom w:val="0"/>
      <w:divBdr>
        <w:top w:val="none" w:sz="0" w:space="0" w:color="auto"/>
        <w:left w:val="none" w:sz="0" w:space="0" w:color="auto"/>
        <w:bottom w:val="none" w:sz="0" w:space="0" w:color="auto"/>
        <w:right w:val="none" w:sz="0" w:space="0" w:color="auto"/>
      </w:divBdr>
    </w:div>
    <w:div w:id="259215187">
      <w:bodyDiv w:val="1"/>
      <w:marLeft w:val="0"/>
      <w:marRight w:val="0"/>
      <w:marTop w:val="0"/>
      <w:marBottom w:val="0"/>
      <w:divBdr>
        <w:top w:val="none" w:sz="0" w:space="0" w:color="auto"/>
        <w:left w:val="none" w:sz="0" w:space="0" w:color="auto"/>
        <w:bottom w:val="none" w:sz="0" w:space="0" w:color="auto"/>
        <w:right w:val="none" w:sz="0" w:space="0" w:color="auto"/>
      </w:divBdr>
    </w:div>
    <w:div w:id="260140650">
      <w:bodyDiv w:val="1"/>
      <w:marLeft w:val="0"/>
      <w:marRight w:val="0"/>
      <w:marTop w:val="0"/>
      <w:marBottom w:val="0"/>
      <w:divBdr>
        <w:top w:val="none" w:sz="0" w:space="0" w:color="auto"/>
        <w:left w:val="none" w:sz="0" w:space="0" w:color="auto"/>
        <w:bottom w:val="none" w:sz="0" w:space="0" w:color="auto"/>
        <w:right w:val="none" w:sz="0" w:space="0" w:color="auto"/>
      </w:divBdr>
    </w:div>
    <w:div w:id="260265487">
      <w:bodyDiv w:val="1"/>
      <w:marLeft w:val="0"/>
      <w:marRight w:val="0"/>
      <w:marTop w:val="0"/>
      <w:marBottom w:val="0"/>
      <w:divBdr>
        <w:top w:val="none" w:sz="0" w:space="0" w:color="auto"/>
        <w:left w:val="none" w:sz="0" w:space="0" w:color="auto"/>
        <w:bottom w:val="none" w:sz="0" w:space="0" w:color="auto"/>
        <w:right w:val="none" w:sz="0" w:space="0" w:color="auto"/>
      </w:divBdr>
    </w:div>
    <w:div w:id="261108513">
      <w:bodyDiv w:val="1"/>
      <w:marLeft w:val="0"/>
      <w:marRight w:val="0"/>
      <w:marTop w:val="0"/>
      <w:marBottom w:val="0"/>
      <w:divBdr>
        <w:top w:val="none" w:sz="0" w:space="0" w:color="auto"/>
        <w:left w:val="none" w:sz="0" w:space="0" w:color="auto"/>
        <w:bottom w:val="none" w:sz="0" w:space="0" w:color="auto"/>
        <w:right w:val="none" w:sz="0" w:space="0" w:color="auto"/>
      </w:divBdr>
    </w:div>
    <w:div w:id="261841287">
      <w:bodyDiv w:val="1"/>
      <w:marLeft w:val="0"/>
      <w:marRight w:val="0"/>
      <w:marTop w:val="0"/>
      <w:marBottom w:val="0"/>
      <w:divBdr>
        <w:top w:val="none" w:sz="0" w:space="0" w:color="auto"/>
        <w:left w:val="none" w:sz="0" w:space="0" w:color="auto"/>
        <w:bottom w:val="none" w:sz="0" w:space="0" w:color="auto"/>
        <w:right w:val="none" w:sz="0" w:space="0" w:color="auto"/>
      </w:divBdr>
    </w:div>
    <w:div w:id="266811288">
      <w:bodyDiv w:val="1"/>
      <w:marLeft w:val="0"/>
      <w:marRight w:val="0"/>
      <w:marTop w:val="0"/>
      <w:marBottom w:val="0"/>
      <w:divBdr>
        <w:top w:val="none" w:sz="0" w:space="0" w:color="auto"/>
        <w:left w:val="none" w:sz="0" w:space="0" w:color="auto"/>
        <w:bottom w:val="none" w:sz="0" w:space="0" w:color="auto"/>
        <w:right w:val="none" w:sz="0" w:space="0" w:color="auto"/>
      </w:divBdr>
    </w:div>
    <w:div w:id="267082192">
      <w:bodyDiv w:val="1"/>
      <w:marLeft w:val="0"/>
      <w:marRight w:val="0"/>
      <w:marTop w:val="0"/>
      <w:marBottom w:val="0"/>
      <w:divBdr>
        <w:top w:val="none" w:sz="0" w:space="0" w:color="auto"/>
        <w:left w:val="none" w:sz="0" w:space="0" w:color="auto"/>
        <w:bottom w:val="none" w:sz="0" w:space="0" w:color="auto"/>
        <w:right w:val="none" w:sz="0" w:space="0" w:color="auto"/>
      </w:divBdr>
    </w:div>
    <w:div w:id="267667812">
      <w:bodyDiv w:val="1"/>
      <w:marLeft w:val="0"/>
      <w:marRight w:val="0"/>
      <w:marTop w:val="0"/>
      <w:marBottom w:val="0"/>
      <w:divBdr>
        <w:top w:val="none" w:sz="0" w:space="0" w:color="auto"/>
        <w:left w:val="none" w:sz="0" w:space="0" w:color="auto"/>
        <w:bottom w:val="none" w:sz="0" w:space="0" w:color="auto"/>
        <w:right w:val="none" w:sz="0" w:space="0" w:color="auto"/>
      </w:divBdr>
    </w:div>
    <w:div w:id="269434975">
      <w:bodyDiv w:val="1"/>
      <w:marLeft w:val="0"/>
      <w:marRight w:val="0"/>
      <w:marTop w:val="0"/>
      <w:marBottom w:val="0"/>
      <w:divBdr>
        <w:top w:val="none" w:sz="0" w:space="0" w:color="auto"/>
        <w:left w:val="none" w:sz="0" w:space="0" w:color="auto"/>
        <w:bottom w:val="none" w:sz="0" w:space="0" w:color="auto"/>
        <w:right w:val="none" w:sz="0" w:space="0" w:color="auto"/>
      </w:divBdr>
    </w:div>
    <w:div w:id="274020133">
      <w:bodyDiv w:val="1"/>
      <w:marLeft w:val="0"/>
      <w:marRight w:val="0"/>
      <w:marTop w:val="0"/>
      <w:marBottom w:val="0"/>
      <w:divBdr>
        <w:top w:val="none" w:sz="0" w:space="0" w:color="auto"/>
        <w:left w:val="none" w:sz="0" w:space="0" w:color="auto"/>
        <w:bottom w:val="none" w:sz="0" w:space="0" w:color="auto"/>
        <w:right w:val="none" w:sz="0" w:space="0" w:color="auto"/>
      </w:divBdr>
    </w:div>
    <w:div w:id="274486092">
      <w:bodyDiv w:val="1"/>
      <w:marLeft w:val="0"/>
      <w:marRight w:val="0"/>
      <w:marTop w:val="0"/>
      <w:marBottom w:val="0"/>
      <w:divBdr>
        <w:top w:val="none" w:sz="0" w:space="0" w:color="auto"/>
        <w:left w:val="none" w:sz="0" w:space="0" w:color="auto"/>
        <w:bottom w:val="none" w:sz="0" w:space="0" w:color="auto"/>
        <w:right w:val="none" w:sz="0" w:space="0" w:color="auto"/>
      </w:divBdr>
    </w:div>
    <w:div w:id="275257541">
      <w:bodyDiv w:val="1"/>
      <w:marLeft w:val="0"/>
      <w:marRight w:val="0"/>
      <w:marTop w:val="0"/>
      <w:marBottom w:val="0"/>
      <w:divBdr>
        <w:top w:val="none" w:sz="0" w:space="0" w:color="auto"/>
        <w:left w:val="none" w:sz="0" w:space="0" w:color="auto"/>
        <w:bottom w:val="none" w:sz="0" w:space="0" w:color="auto"/>
        <w:right w:val="none" w:sz="0" w:space="0" w:color="auto"/>
      </w:divBdr>
    </w:div>
    <w:div w:id="276449283">
      <w:bodyDiv w:val="1"/>
      <w:marLeft w:val="0"/>
      <w:marRight w:val="0"/>
      <w:marTop w:val="0"/>
      <w:marBottom w:val="0"/>
      <w:divBdr>
        <w:top w:val="none" w:sz="0" w:space="0" w:color="auto"/>
        <w:left w:val="none" w:sz="0" w:space="0" w:color="auto"/>
        <w:bottom w:val="none" w:sz="0" w:space="0" w:color="auto"/>
        <w:right w:val="none" w:sz="0" w:space="0" w:color="auto"/>
      </w:divBdr>
    </w:div>
    <w:div w:id="276719282">
      <w:bodyDiv w:val="1"/>
      <w:marLeft w:val="0"/>
      <w:marRight w:val="0"/>
      <w:marTop w:val="0"/>
      <w:marBottom w:val="0"/>
      <w:divBdr>
        <w:top w:val="none" w:sz="0" w:space="0" w:color="auto"/>
        <w:left w:val="none" w:sz="0" w:space="0" w:color="auto"/>
        <w:bottom w:val="none" w:sz="0" w:space="0" w:color="auto"/>
        <w:right w:val="none" w:sz="0" w:space="0" w:color="auto"/>
      </w:divBdr>
    </w:div>
    <w:div w:id="279338011">
      <w:bodyDiv w:val="1"/>
      <w:marLeft w:val="0"/>
      <w:marRight w:val="0"/>
      <w:marTop w:val="0"/>
      <w:marBottom w:val="0"/>
      <w:divBdr>
        <w:top w:val="none" w:sz="0" w:space="0" w:color="auto"/>
        <w:left w:val="none" w:sz="0" w:space="0" w:color="auto"/>
        <w:bottom w:val="none" w:sz="0" w:space="0" w:color="auto"/>
        <w:right w:val="none" w:sz="0" w:space="0" w:color="auto"/>
      </w:divBdr>
    </w:div>
    <w:div w:id="281428308">
      <w:bodyDiv w:val="1"/>
      <w:marLeft w:val="0"/>
      <w:marRight w:val="0"/>
      <w:marTop w:val="0"/>
      <w:marBottom w:val="0"/>
      <w:divBdr>
        <w:top w:val="none" w:sz="0" w:space="0" w:color="auto"/>
        <w:left w:val="none" w:sz="0" w:space="0" w:color="auto"/>
        <w:bottom w:val="none" w:sz="0" w:space="0" w:color="auto"/>
        <w:right w:val="none" w:sz="0" w:space="0" w:color="auto"/>
      </w:divBdr>
    </w:div>
    <w:div w:id="282155281">
      <w:bodyDiv w:val="1"/>
      <w:marLeft w:val="0"/>
      <w:marRight w:val="0"/>
      <w:marTop w:val="0"/>
      <w:marBottom w:val="0"/>
      <w:divBdr>
        <w:top w:val="none" w:sz="0" w:space="0" w:color="auto"/>
        <w:left w:val="none" w:sz="0" w:space="0" w:color="auto"/>
        <w:bottom w:val="none" w:sz="0" w:space="0" w:color="auto"/>
        <w:right w:val="none" w:sz="0" w:space="0" w:color="auto"/>
      </w:divBdr>
    </w:div>
    <w:div w:id="286281752">
      <w:bodyDiv w:val="1"/>
      <w:marLeft w:val="0"/>
      <w:marRight w:val="0"/>
      <w:marTop w:val="0"/>
      <w:marBottom w:val="0"/>
      <w:divBdr>
        <w:top w:val="none" w:sz="0" w:space="0" w:color="auto"/>
        <w:left w:val="none" w:sz="0" w:space="0" w:color="auto"/>
        <w:bottom w:val="none" w:sz="0" w:space="0" w:color="auto"/>
        <w:right w:val="none" w:sz="0" w:space="0" w:color="auto"/>
      </w:divBdr>
    </w:div>
    <w:div w:id="291908051">
      <w:bodyDiv w:val="1"/>
      <w:marLeft w:val="0"/>
      <w:marRight w:val="0"/>
      <w:marTop w:val="0"/>
      <w:marBottom w:val="0"/>
      <w:divBdr>
        <w:top w:val="none" w:sz="0" w:space="0" w:color="auto"/>
        <w:left w:val="none" w:sz="0" w:space="0" w:color="auto"/>
        <w:bottom w:val="none" w:sz="0" w:space="0" w:color="auto"/>
        <w:right w:val="none" w:sz="0" w:space="0" w:color="auto"/>
      </w:divBdr>
    </w:div>
    <w:div w:id="294650994">
      <w:bodyDiv w:val="1"/>
      <w:marLeft w:val="0"/>
      <w:marRight w:val="0"/>
      <w:marTop w:val="0"/>
      <w:marBottom w:val="0"/>
      <w:divBdr>
        <w:top w:val="none" w:sz="0" w:space="0" w:color="auto"/>
        <w:left w:val="none" w:sz="0" w:space="0" w:color="auto"/>
        <w:bottom w:val="none" w:sz="0" w:space="0" w:color="auto"/>
        <w:right w:val="none" w:sz="0" w:space="0" w:color="auto"/>
      </w:divBdr>
    </w:div>
    <w:div w:id="301231792">
      <w:bodyDiv w:val="1"/>
      <w:marLeft w:val="0"/>
      <w:marRight w:val="0"/>
      <w:marTop w:val="0"/>
      <w:marBottom w:val="0"/>
      <w:divBdr>
        <w:top w:val="none" w:sz="0" w:space="0" w:color="auto"/>
        <w:left w:val="none" w:sz="0" w:space="0" w:color="auto"/>
        <w:bottom w:val="none" w:sz="0" w:space="0" w:color="auto"/>
        <w:right w:val="none" w:sz="0" w:space="0" w:color="auto"/>
      </w:divBdr>
    </w:div>
    <w:div w:id="301544193">
      <w:bodyDiv w:val="1"/>
      <w:marLeft w:val="0"/>
      <w:marRight w:val="0"/>
      <w:marTop w:val="0"/>
      <w:marBottom w:val="0"/>
      <w:divBdr>
        <w:top w:val="none" w:sz="0" w:space="0" w:color="auto"/>
        <w:left w:val="none" w:sz="0" w:space="0" w:color="auto"/>
        <w:bottom w:val="none" w:sz="0" w:space="0" w:color="auto"/>
        <w:right w:val="none" w:sz="0" w:space="0" w:color="auto"/>
      </w:divBdr>
    </w:div>
    <w:div w:id="302467646">
      <w:bodyDiv w:val="1"/>
      <w:marLeft w:val="0"/>
      <w:marRight w:val="0"/>
      <w:marTop w:val="0"/>
      <w:marBottom w:val="0"/>
      <w:divBdr>
        <w:top w:val="none" w:sz="0" w:space="0" w:color="auto"/>
        <w:left w:val="none" w:sz="0" w:space="0" w:color="auto"/>
        <w:bottom w:val="none" w:sz="0" w:space="0" w:color="auto"/>
        <w:right w:val="none" w:sz="0" w:space="0" w:color="auto"/>
      </w:divBdr>
    </w:div>
    <w:div w:id="304891042">
      <w:bodyDiv w:val="1"/>
      <w:marLeft w:val="0"/>
      <w:marRight w:val="0"/>
      <w:marTop w:val="0"/>
      <w:marBottom w:val="0"/>
      <w:divBdr>
        <w:top w:val="none" w:sz="0" w:space="0" w:color="auto"/>
        <w:left w:val="none" w:sz="0" w:space="0" w:color="auto"/>
        <w:bottom w:val="none" w:sz="0" w:space="0" w:color="auto"/>
        <w:right w:val="none" w:sz="0" w:space="0" w:color="auto"/>
      </w:divBdr>
    </w:div>
    <w:div w:id="307443301">
      <w:bodyDiv w:val="1"/>
      <w:marLeft w:val="0"/>
      <w:marRight w:val="0"/>
      <w:marTop w:val="0"/>
      <w:marBottom w:val="0"/>
      <w:divBdr>
        <w:top w:val="none" w:sz="0" w:space="0" w:color="auto"/>
        <w:left w:val="none" w:sz="0" w:space="0" w:color="auto"/>
        <w:bottom w:val="none" w:sz="0" w:space="0" w:color="auto"/>
        <w:right w:val="none" w:sz="0" w:space="0" w:color="auto"/>
      </w:divBdr>
    </w:div>
    <w:div w:id="307979941">
      <w:bodyDiv w:val="1"/>
      <w:marLeft w:val="0"/>
      <w:marRight w:val="0"/>
      <w:marTop w:val="0"/>
      <w:marBottom w:val="0"/>
      <w:divBdr>
        <w:top w:val="none" w:sz="0" w:space="0" w:color="auto"/>
        <w:left w:val="none" w:sz="0" w:space="0" w:color="auto"/>
        <w:bottom w:val="none" w:sz="0" w:space="0" w:color="auto"/>
        <w:right w:val="none" w:sz="0" w:space="0" w:color="auto"/>
      </w:divBdr>
    </w:div>
    <w:div w:id="309362612">
      <w:bodyDiv w:val="1"/>
      <w:marLeft w:val="0"/>
      <w:marRight w:val="0"/>
      <w:marTop w:val="0"/>
      <w:marBottom w:val="0"/>
      <w:divBdr>
        <w:top w:val="none" w:sz="0" w:space="0" w:color="auto"/>
        <w:left w:val="none" w:sz="0" w:space="0" w:color="auto"/>
        <w:bottom w:val="none" w:sz="0" w:space="0" w:color="auto"/>
        <w:right w:val="none" w:sz="0" w:space="0" w:color="auto"/>
      </w:divBdr>
    </w:div>
    <w:div w:id="309602316">
      <w:bodyDiv w:val="1"/>
      <w:marLeft w:val="0"/>
      <w:marRight w:val="0"/>
      <w:marTop w:val="0"/>
      <w:marBottom w:val="0"/>
      <w:divBdr>
        <w:top w:val="none" w:sz="0" w:space="0" w:color="auto"/>
        <w:left w:val="none" w:sz="0" w:space="0" w:color="auto"/>
        <w:bottom w:val="none" w:sz="0" w:space="0" w:color="auto"/>
        <w:right w:val="none" w:sz="0" w:space="0" w:color="auto"/>
      </w:divBdr>
    </w:div>
    <w:div w:id="315839941">
      <w:bodyDiv w:val="1"/>
      <w:marLeft w:val="0"/>
      <w:marRight w:val="0"/>
      <w:marTop w:val="0"/>
      <w:marBottom w:val="0"/>
      <w:divBdr>
        <w:top w:val="none" w:sz="0" w:space="0" w:color="auto"/>
        <w:left w:val="none" w:sz="0" w:space="0" w:color="auto"/>
        <w:bottom w:val="none" w:sz="0" w:space="0" w:color="auto"/>
        <w:right w:val="none" w:sz="0" w:space="0" w:color="auto"/>
      </w:divBdr>
    </w:div>
    <w:div w:id="318533542">
      <w:bodyDiv w:val="1"/>
      <w:marLeft w:val="0"/>
      <w:marRight w:val="0"/>
      <w:marTop w:val="0"/>
      <w:marBottom w:val="0"/>
      <w:divBdr>
        <w:top w:val="none" w:sz="0" w:space="0" w:color="auto"/>
        <w:left w:val="none" w:sz="0" w:space="0" w:color="auto"/>
        <w:bottom w:val="none" w:sz="0" w:space="0" w:color="auto"/>
        <w:right w:val="none" w:sz="0" w:space="0" w:color="auto"/>
      </w:divBdr>
    </w:div>
    <w:div w:id="319429027">
      <w:bodyDiv w:val="1"/>
      <w:marLeft w:val="0"/>
      <w:marRight w:val="0"/>
      <w:marTop w:val="0"/>
      <w:marBottom w:val="0"/>
      <w:divBdr>
        <w:top w:val="none" w:sz="0" w:space="0" w:color="auto"/>
        <w:left w:val="none" w:sz="0" w:space="0" w:color="auto"/>
        <w:bottom w:val="none" w:sz="0" w:space="0" w:color="auto"/>
        <w:right w:val="none" w:sz="0" w:space="0" w:color="auto"/>
      </w:divBdr>
    </w:div>
    <w:div w:id="319579334">
      <w:bodyDiv w:val="1"/>
      <w:marLeft w:val="0"/>
      <w:marRight w:val="0"/>
      <w:marTop w:val="0"/>
      <w:marBottom w:val="0"/>
      <w:divBdr>
        <w:top w:val="none" w:sz="0" w:space="0" w:color="auto"/>
        <w:left w:val="none" w:sz="0" w:space="0" w:color="auto"/>
        <w:bottom w:val="none" w:sz="0" w:space="0" w:color="auto"/>
        <w:right w:val="none" w:sz="0" w:space="0" w:color="auto"/>
      </w:divBdr>
    </w:div>
    <w:div w:id="321199528">
      <w:bodyDiv w:val="1"/>
      <w:marLeft w:val="0"/>
      <w:marRight w:val="0"/>
      <w:marTop w:val="0"/>
      <w:marBottom w:val="0"/>
      <w:divBdr>
        <w:top w:val="none" w:sz="0" w:space="0" w:color="auto"/>
        <w:left w:val="none" w:sz="0" w:space="0" w:color="auto"/>
        <w:bottom w:val="none" w:sz="0" w:space="0" w:color="auto"/>
        <w:right w:val="none" w:sz="0" w:space="0" w:color="auto"/>
      </w:divBdr>
    </w:div>
    <w:div w:id="324357067">
      <w:bodyDiv w:val="1"/>
      <w:marLeft w:val="0"/>
      <w:marRight w:val="0"/>
      <w:marTop w:val="0"/>
      <w:marBottom w:val="0"/>
      <w:divBdr>
        <w:top w:val="none" w:sz="0" w:space="0" w:color="auto"/>
        <w:left w:val="none" w:sz="0" w:space="0" w:color="auto"/>
        <w:bottom w:val="none" w:sz="0" w:space="0" w:color="auto"/>
        <w:right w:val="none" w:sz="0" w:space="0" w:color="auto"/>
      </w:divBdr>
    </w:div>
    <w:div w:id="324479976">
      <w:bodyDiv w:val="1"/>
      <w:marLeft w:val="0"/>
      <w:marRight w:val="0"/>
      <w:marTop w:val="0"/>
      <w:marBottom w:val="0"/>
      <w:divBdr>
        <w:top w:val="none" w:sz="0" w:space="0" w:color="auto"/>
        <w:left w:val="none" w:sz="0" w:space="0" w:color="auto"/>
        <w:bottom w:val="none" w:sz="0" w:space="0" w:color="auto"/>
        <w:right w:val="none" w:sz="0" w:space="0" w:color="auto"/>
      </w:divBdr>
      <w:divsChild>
        <w:div w:id="896866992">
          <w:marLeft w:val="0"/>
          <w:marRight w:val="0"/>
          <w:marTop w:val="0"/>
          <w:marBottom w:val="0"/>
          <w:divBdr>
            <w:top w:val="none" w:sz="0" w:space="0" w:color="auto"/>
            <w:left w:val="none" w:sz="0" w:space="0" w:color="auto"/>
            <w:bottom w:val="none" w:sz="0" w:space="0" w:color="auto"/>
            <w:right w:val="none" w:sz="0" w:space="0" w:color="auto"/>
          </w:divBdr>
        </w:div>
        <w:div w:id="1898321552">
          <w:marLeft w:val="0"/>
          <w:marRight w:val="0"/>
          <w:marTop w:val="0"/>
          <w:marBottom w:val="0"/>
          <w:divBdr>
            <w:top w:val="none" w:sz="0" w:space="0" w:color="auto"/>
            <w:left w:val="none" w:sz="0" w:space="0" w:color="auto"/>
            <w:bottom w:val="none" w:sz="0" w:space="0" w:color="auto"/>
            <w:right w:val="none" w:sz="0" w:space="0" w:color="auto"/>
          </w:divBdr>
        </w:div>
      </w:divsChild>
    </w:div>
    <w:div w:id="325062371">
      <w:bodyDiv w:val="1"/>
      <w:marLeft w:val="0"/>
      <w:marRight w:val="0"/>
      <w:marTop w:val="0"/>
      <w:marBottom w:val="0"/>
      <w:divBdr>
        <w:top w:val="none" w:sz="0" w:space="0" w:color="auto"/>
        <w:left w:val="none" w:sz="0" w:space="0" w:color="auto"/>
        <w:bottom w:val="none" w:sz="0" w:space="0" w:color="auto"/>
        <w:right w:val="none" w:sz="0" w:space="0" w:color="auto"/>
      </w:divBdr>
    </w:div>
    <w:div w:id="326594354">
      <w:bodyDiv w:val="1"/>
      <w:marLeft w:val="0"/>
      <w:marRight w:val="0"/>
      <w:marTop w:val="0"/>
      <w:marBottom w:val="0"/>
      <w:divBdr>
        <w:top w:val="none" w:sz="0" w:space="0" w:color="auto"/>
        <w:left w:val="none" w:sz="0" w:space="0" w:color="auto"/>
        <w:bottom w:val="none" w:sz="0" w:space="0" w:color="auto"/>
        <w:right w:val="none" w:sz="0" w:space="0" w:color="auto"/>
      </w:divBdr>
    </w:div>
    <w:div w:id="326641771">
      <w:bodyDiv w:val="1"/>
      <w:marLeft w:val="0"/>
      <w:marRight w:val="0"/>
      <w:marTop w:val="0"/>
      <w:marBottom w:val="0"/>
      <w:divBdr>
        <w:top w:val="none" w:sz="0" w:space="0" w:color="auto"/>
        <w:left w:val="none" w:sz="0" w:space="0" w:color="auto"/>
        <w:bottom w:val="none" w:sz="0" w:space="0" w:color="auto"/>
        <w:right w:val="none" w:sz="0" w:space="0" w:color="auto"/>
      </w:divBdr>
      <w:divsChild>
        <w:div w:id="72972173">
          <w:marLeft w:val="0"/>
          <w:marRight w:val="0"/>
          <w:marTop w:val="0"/>
          <w:marBottom w:val="0"/>
          <w:divBdr>
            <w:top w:val="none" w:sz="0" w:space="0" w:color="auto"/>
            <w:left w:val="none" w:sz="0" w:space="0" w:color="auto"/>
            <w:bottom w:val="none" w:sz="0" w:space="0" w:color="auto"/>
            <w:right w:val="none" w:sz="0" w:space="0" w:color="auto"/>
          </w:divBdr>
          <w:divsChild>
            <w:div w:id="1670667861">
              <w:marLeft w:val="0"/>
              <w:marRight w:val="0"/>
              <w:marTop w:val="0"/>
              <w:marBottom w:val="0"/>
              <w:divBdr>
                <w:top w:val="none" w:sz="0" w:space="0" w:color="auto"/>
                <w:left w:val="none" w:sz="0" w:space="0" w:color="auto"/>
                <w:bottom w:val="none" w:sz="0" w:space="0" w:color="auto"/>
                <w:right w:val="none" w:sz="0" w:space="0" w:color="auto"/>
              </w:divBdr>
              <w:divsChild>
                <w:div w:id="9687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28770">
      <w:bodyDiv w:val="1"/>
      <w:marLeft w:val="0"/>
      <w:marRight w:val="0"/>
      <w:marTop w:val="0"/>
      <w:marBottom w:val="0"/>
      <w:divBdr>
        <w:top w:val="none" w:sz="0" w:space="0" w:color="auto"/>
        <w:left w:val="none" w:sz="0" w:space="0" w:color="auto"/>
        <w:bottom w:val="none" w:sz="0" w:space="0" w:color="auto"/>
        <w:right w:val="none" w:sz="0" w:space="0" w:color="auto"/>
      </w:divBdr>
    </w:div>
    <w:div w:id="331184568">
      <w:bodyDiv w:val="1"/>
      <w:marLeft w:val="0"/>
      <w:marRight w:val="0"/>
      <w:marTop w:val="0"/>
      <w:marBottom w:val="0"/>
      <w:divBdr>
        <w:top w:val="none" w:sz="0" w:space="0" w:color="auto"/>
        <w:left w:val="none" w:sz="0" w:space="0" w:color="auto"/>
        <w:bottom w:val="none" w:sz="0" w:space="0" w:color="auto"/>
        <w:right w:val="none" w:sz="0" w:space="0" w:color="auto"/>
      </w:divBdr>
    </w:div>
    <w:div w:id="332490757">
      <w:bodyDiv w:val="1"/>
      <w:marLeft w:val="0"/>
      <w:marRight w:val="0"/>
      <w:marTop w:val="0"/>
      <w:marBottom w:val="0"/>
      <w:divBdr>
        <w:top w:val="none" w:sz="0" w:space="0" w:color="auto"/>
        <w:left w:val="none" w:sz="0" w:space="0" w:color="auto"/>
        <w:bottom w:val="none" w:sz="0" w:space="0" w:color="auto"/>
        <w:right w:val="none" w:sz="0" w:space="0" w:color="auto"/>
      </w:divBdr>
    </w:div>
    <w:div w:id="335227376">
      <w:bodyDiv w:val="1"/>
      <w:marLeft w:val="0"/>
      <w:marRight w:val="0"/>
      <w:marTop w:val="0"/>
      <w:marBottom w:val="0"/>
      <w:divBdr>
        <w:top w:val="none" w:sz="0" w:space="0" w:color="auto"/>
        <w:left w:val="none" w:sz="0" w:space="0" w:color="auto"/>
        <w:bottom w:val="none" w:sz="0" w:space="0" w:color="auto"/>
        <w:right w:val="none" w:sz="0" w:space="0" w:color="auto"/>
      </w:divBdr>
    </w:div>
    <w:div w:id="339504696">
      <w:bodyDiv w:val="1"/>
      <w:marLeft w:val="0"/>
      <w:marRight w:val="0"/>
      <w:marTop w:val="0"/>
      <w:marBottom w:val="0"/>
      <w:divBdr>
        <w:top w:val="none" w:sz="0" w:space="0" w:color="auto"/>
        <w:left w:val="none" w:sz="0" w:space="0" w:color="auto"/>
        <w:bottom w:val="none" w:sz="0" w:space="0" w:color="auto"/>
        <w:right w:val="none" w:sz="0" w:space="0" w:color="auto"/>
      </w:divBdr>
    </w:div>
    <w:div w:id="340855605">
      <w:bodyDiv w:val="1"/>
      <w:marLeft w:val="0"/>
      <w:marRight w:val="0"/>
      <w:marTop w:val="0"/>
      <w:marBottom w:val="0"/>
      <w:divBdr>
        <w:top w:val="none" w:sz="0" w:space="0" w:color="auto"/>
        <w:left w:val="none" w:sz="0" w:space="0" w:color="auto"/>
        <w:bottom w:val="none" w:sz="0" w:space="0" w:color="auto"/>
        <w:right w:val="none" w:sz="0" w:space="0" w:color="auto"/>
      </w:divBdr>
    </w:div>
    <w:div w:id="341858491">
      <w:bodyDiv w:val="1"/>
      <w:marLeft w:val="0"/>
      <w:marRight w:val="0"/>
      <w:marTop w:val="0"/>
      <w:marBottom w:val="0"/>
      <w:divBdr>
        <w:top w:val="none" w:sz="0" w:space="0" w:color="auto"/>
        <w:left w:val="none" w:sz="0" w:space="0" w:color="auto"/>
        <w:bottom w:val="none" w:sz="0" w:space="0" w:color="auto"/>
        <w:right w:val="none" w:sz="0" w:space="0" w:color="auto"/>
      </w:divBdr>
    </w:div>
    <w:div w:id="343628025">
      <w:bodyDiv w:val="1"/>
      <w:marLeft w:val="0"/>
      <w:marRight w:val="0"/>
      <w:marTop w:val="0"/>
      <w:marBottom w:val="0"/>
      <w:divBdr>
        <w:top w:val="none" w:sz="0" w:space="0" w:color="auto"/>
        <w:left w:val="none" w:sz="0" w:space="0" w:color="auto"/>
        <w:bottom w:val="none" w:sz="0" w:space="0" w:color="auto"/>
        <w:right w:val="none" w:sz="0" w:space="0" w:color="auto"/>
      </w:divBdr>
    </w:div>
    <w:div w:id="344015651">
      <w:bodyDiv w:val="1"/>
      <w:marLeft w:val="0"/>
      <w:marRight w:val="0"/>
      <w:marTop w:val="0"/>
      <w:marBottom w:val="0"/>
      <w:divBdr>
        <w:top w:val="none" w:sz="0" w:space="0" w:color="auto"/>
        <w:left w:val="none" w:sz="0" w:space="0" w:color="auto"/>
        <w:bottom w:val="none" w:sz="0" w:space="0" w:color="auto"/>
        <w:right w:val="none" w:sz="0" w:space="0" w:color="auto"/>
      </w:divBdr>
    </w:div>
    <w:div w:id="345518291">
      <w:bodyDiv w:val="1"/>
      <w:marLeft w:val="0"/>
      <w:marRight w:val="0"/>
      <w:marTop w:val="0"/>
      <w:marBottom w:val="0"/>
      <w:divBdr>
        <w:top w:val="none" w:sz="0" w:space="0" w:color="auto"/>
        <w:left w:val="none" w:sz="0" w:space="0" w:color="auto"/>
        <w:bottom w:val="none" w:sz="0" w:space="0" w:color="auto"/>
        <w:right w:val="none" w:sz="0" w:space="0" w:color="auto"/>
      </w:divBdr>
    </w:div>
    <w:div w:id="346105506">
      <w:bodyDiv w:val="1"/>
      <w:marLeft w:val="0"/>
      <w:marRight w:val="0"/>
      <w:marTop w:val="0"/>
      <w:marBottom w:val="0"/>
      <w:divBdr>
        <w:top w:val="none" w:sz="0" w:space="0" w:color="auto"/>
        <w:left w:val="none" w:sz="0" w:space="0" w:color="auto"/>
        <w:bottom w:val="none" w:sz="0" w:space="0" w:color="auto"/>
        <w:right w:val="none" w:sz="0" w:space="0" w:color="auto"/>
      </w:divBdr>
    </w:div>
    <w:div w:id="346181520">
      <w:bodyDiv w:val="1"/>
      <w:marLeft w:val="0"/>
      <w:marRight w:val="0"/>
      <w:marTop w:val="0"/>
      <w:marBottom w:val="0"/>
      <w:divBdr>
        <w:top w:val="none" w:sz="0" w:space="0" w:color="auto"/>
        <w:left w:val="none" w:sz="0" w:space="0" w:color="auto"/>
        <w:bottom w:val="none" w:sz="0" w:space="0" w:color="auto"/>
        <w:right w:val="none" w:sz="0" w:space="0" w:color="auto"/>
      </w:divBdr>
    </w:div>
    <w:div w:id="346832277">
      <w:bodyDiv w:val="1"/>
      <w:marLeft w:val="0"/>
      <w:marRight w:val="0"/>
      <w:marTop w:val="0"/>
      <w:marBottom w:val="0"/>
      <w:divBdr>
        <w:top w:val="none" w:sz="0" w:space="0" w:color="auto"/>
        <w:left w:val="none" w:sz="0" w:space="0" w:color="auto"/>
        <w:bottom w:val="none" w:sz="0" w:space="0" w:color="auto"/>
        <w:right w:val="none" w:sz="0" w:space="0" w:color="auto"/>
      </w:divBdr>
    </w:div>
    <w:div w:id="347417184">
      <w:bodyDiv w:val="1"/>
      <w:marLeft w:val="0"/>
      <w:marRight w:val="0"/>
      <w:marTop w:val="0"/>
      <w:marBottom w:val="0"/>
      <w:divBdr>
        <w:top w:val="none" w:sz="0" w:space="0" w:color="auto"/>
        <w:left w:val="none" w:sz="0" w:space="0" w:color="auto"/>
        <w:bottom w:val="none" w:sz="0" w:space="0" w:color="auto"/>
        <w:right w:val="none" w:sz="0" w:space="0" w:color="auto"/>
      </w:divBdr>
    </w:div>
    <w:div w:id="348068803">
      <w:bodyDiv w:val="1"/>
      <w:marLeft w:val="0"/>
      <w:marRight w:val="0"/>
      <w:marTop w:val="0"/>
      <w:marBottom w:val="0"/>
      <w:divBdr>
        <w:top w:val="none" w:sz="0" w:space="0" w:color="auto"/>
        <w:left w:val="none" w:sz="0" w:space="0" w:color="auto"/>
        <w:bottom w:val="none" w:sz="0" w:space="0" w:color="auto"/>
        <w:right w:val="none" w:sz="0" w:space="0" w:color="auto"/>
      </w:divBdr>
    </w:div>
    <w:div w:id="348455655">
      <w:bodyDiv w:val="1"/>
      <w:marLeft w:val="0"/>
      <w:marRight w:val="0"/>
      <w:marTop w:val="0"/>
      <w:marBottom w:val="0"/>
      <w:divBdr>
        <w:top w:val="none" w:sz="0" w:space="0" w:color="auto"/>
        <w:left w:val="none" w:sz="0" w:space="0" w:color="auto"/>
        <w:bottom w:val="none" w:sz="0" w:space="0" w:color="auto"/>
        <w:right w:val="none" w:sz="0" w:space="0" w:color="auto"/>
      </w:divBdr>
    </w:div>
    <w:div w:id="348871748">
      <w:bodyDiv w:val="1"/>
      <w:marLeft w:val="0"/>
      <w:marRight w:val="0"/>
      <w:marTop w:val="0"/>
      <w:marBottom w:val="0"/>
      <w:divBdr>
        <w:top w:val="none" w:sz="0" w:space="0" w:color="auto"/>
        <w:left w:val="none" w:sz="0" w:space="0" w:color="auto"/>
        <w:bottom w:val="none" w:sz="0" w:space="0" w:color="auto"/>
        <w:right w:val="none" w:sz="0" w:space="0" w:color="auto"/>
      </w:divBdr>
    </w:div>
    <w:div w:id="349531958">
      <w:bodyDiv w:val="1"/>
      <w:marLeft w:val="0"/>
      <w:marRight w:val="0"/>
      <w:marTop w:val="0"/>
      <w:marBottom w:val="0"/>
      <w:divBdr>
        <w:top w:val="none" w:sz="0" w:space="0" w:color="auto"/>
        <w:left w:val="none" w:sz="0" w:space="0" w:color="auto"/>
        <w:bottom w:val="none" w:sz="0" w:space="0" w:color="auto"/>
        <w:right w:val="none" w:sz="0" w:space="0" w:color="auto"/>
      </w:divBdr>
    </w:div>
    <w:div w:id="350453706">
      <w:bodyDiv w:val="1"/>
      <w:marLeft w:val="0"/>
      <w:marRight w:val="0"/>
      <w:marTop w:val="0"/>
      <w:marBottom w:val="0"/>
      <w:divBdr>
        <w:top w:val="none" w:sz="0" w:space="0" w:color="auto"/>
        <w:left w:val="none" w:sz="0" w:space="0" w:color="auto"/>
        <w:bottom w:val="none" w:sz="0" w:space="0" w:color="auto"/>
        <w:right w:val="none" w:sz="0" w:space="0" w:color="auto"/>
      </w:divBdr>
      <w:divsChild>
        <w:div w:id="1277832589">
          <w:marLeft w:val="0"/>
          <w:marRight w:val="0"/>
          <w:marTop w:val="0"/>
          <w:marBottom w:val="0"/>
          <w:divBdr>
            <w:top w:val="none" w:sz="0" w:space="0" w:color="auto"/>
            <w:left w:val="none" w:sz="0" w:space="0" w:color="auto"/>
            <w:bottom w:val="none" w:sz="0" w:space="0" w:color="auto"/>
            <w:right w:val="none" w:sz="0" w:space="0" w:color="auto"/>
          </w:divBdr>
        </w:div>
      </w:divsChild>
    </w:div>
    <w:div w:id="351078260">
      <w:bodyDiv w:val="1"/>
      <w:marLeft w:val="0"/>
      <w:marRight w:val="0"/>
      <w:marTop w:val="0"/>
      <w:marBottom w:val="0"/>
      <w:divBdr>
        <w:top w:val="none" w:sz="0" w:space="0" w:color="auto"/>
        <w:left w:val="none" w:sz="0" w:space="0" w:color="auto"/>
        <w:bottom w:val="none" w:sz="0" w:space="0" w:color="auto"/>
        <w:right w:val="none" w:sz="0" w:space="0" w:color="auto"/>
      </w:divBdr>
    </w:div>
    <w:div w:id="351691984">
      <w:bodyDiv w:val="1"/>
      <w:marLeft w:val="0"/>
      <w:marRight w:val="0"/>
      <w:marTop w:val="0"/>
      <w:marBottom w:val="0"/>
      <w:divBdr>
        <w:top w:val="none" w:sz="0" w:space="0" w:color="auto"/>
        <w:left w:val="none" w:sz="0" w:space="0" w:color="auto"/>
        <w:bottom w:val="none" w:sz="0" w:space="0" w:color="auto"/>
        <w:right w:val="none" w:sz="0" w:space="0" w:color="auto"/>
      </w:divBdr>
    </w:div>
    <w:div w:id="355431247">
      <w:bodyDiv w:val="1"/>
      <w:marLeft w:val="0"/>
      <w:marRight w:val="0"/>
      <w:marTop w:val="0"/>
      <w:marBottom w:val="0"/>
      <w:divBdr>
        <w:top w:val="none" w:sz="0" w:space="0" w:color="auto"/>
        <w:left w:val="none" w:sz="0" w:space="0" w:color="auto"/>
        <w:bottom w:val="none" w:sz="0" w:space="0" w:color="auto"/>
        <w:right w:val="none" w:sz="0" w:space="0" w:color="auto"/>
      </w:divBdr>
    </w:div>
    <w:div w:id="357120679">
      <w:bodyDiv w:val="1"/>
      <w:marLeft w:val="0"/>
      <w:marRight w:val="0"/>
      <w:marTop w:val="0"/>
      <w:marBottom w:val="0"/>
      <w:divBdr>
        <w:top w:val="none" w:sz="0" w:space="0" w:color="auto"/>
        <w:left w:val="none" w:sz="0" w:space="0" w:color="auto"/>
        <w:bottom w:val="none" w:sz="0" w:space="0" w:color="auto"/>
        <w:right w:val="none" w:sz="0" w:space="0" w:color="auto"/>
      </w:divBdr>
    </w:div>
    <w:div w:id="357658478">
      <w:bodyDiv w:val="1"/>
      <w:marLeft w:val="0"/>
      <w:marRight w:val="0"/>
      <w:marTop w:val="0"/>
      <w:marBottom w:val="0"/>
      <w:divBdr>
        <w:top w:val="none" w:sz="0" w:space="0" w:color="auto"/>
        <w:left w:val="none" w:sz="0" w:space="0" w:color="auto"/>
        <w:bottom w:val="none" w:sz="0" w:space="0" w:color="auto"/>
        <w:right w:val="none" w:sz="0" w:space="0" w:color="auto"/>
      </w:divBdr>
    </w:div>
    <w:div w:id="359167386">
      <w:bodyDiv w:val="1"/>
      <w:marLeft w:val="0"/>
      <w:marRight w:val="0"/>
      <w:marTop w:val="0"/>
      <w:marBottom w:val="0"/>
      <w:divBdr>
        <w:top w:val="none" w:sz="0" w:space="0" w:color="auto"/>
        <w:left w:val="none" w:sz="0" w:space="0" w:color="auto"/>
        <w:bottom w:val="none" w:sz="0" w:space="0" w:color="auto"/>
        <w:right w:val="none" w:sz="0" w:space="0" w:color="auto"/>
      </w:divBdr>
    </w:div>
    <w:div w:id="365058842">
      <w:bodyDiv w:val="1"/>
      <w:marLeft w:val="0"/>
      <w:marRight w:val="0"/>
      <w:marTop w:val="0"/>
      <w:marBottom w:val="0"/>
      <w:divBdr>
        <w:top w:val="none" w:sz="0" w:space="0" w:color="auto"/>
        <w:left w:val="none" w:sz="0" w:space="0" w:color="auto"/>
        <w:bottom w:val="none" w:sz="0" w:space="0" w:color="auto"/>
        <w:right w:val="none" w:sz="0" w:space="0" w:color="auto"/>
      </w:divBdr>
    </w:div>
    <w:div w:id="366877627">
      <w:bodyDiv w:val="1"/>
      <w:marLeft w:val="0"/>
      <w:marRight w:val="0"/>
      <w:marTop w:val="0"/>
      <w:marBottom w:val="0"/>
      <w:divBdr>
        <w:top w:val="none" w:sz="0" w:space="0" w:color="auto"/>
        <w:left w:val="none" w:sz="0" w:space="0" w:color="auto"/>
        <w:bottom w:val="none" w:sz="0" w:space="0" w:color="auto"/>
        <w:right w:val="none" w:sz="0" w:space="0" w:color="auto"/>
      </w:divBdr>
    </w:div>
    <w:div w:id="375786866">
      <w:bodyDiv w:val="1"/>
      <w:marLeft w:val="0"/>
      <w:marRight w:val="0"/>
      <w:marTop w:val="0"/>
      <w:marBottom w:val="0"/>
      <w:divBdr>
        <w:top w:val="none" w:sz="0" w:space="0" w:color="auto"/>
        <w:left w:val="none" w:sz="0" w:space="0" w:color="auto"/>
        <w:bottom w:val="none" w:sz="0" w:space="0" w:color="auto"/>
        <w:right w:val="none" w:sz="0" w:space="0" w:color="auto"/>
      </w:divBdr>
    </w:div>
    <w:div w:id="376858695">
      <w:bodyDiv w:val="1"/>
      <w:marLeft w:val="0"/>
      <w:marRight w:val="0"/>
      <w:marTop w:val="0"/>
      <w:marBottom w:val="0"/>
      <w:divBdr>
        <w:top w:val="none" w:sz="0" w:space="0" w:color="auto"/>
        <w:left w:val="none" w:sz="0" w:space="0" w:color="auto"/>
        <w:bottom w:val="none" w:sz="0" w:space="0" w:color="auto"/>
        <w:right w:val="none" w:sz="0" w:space="0" w:color="auto"/>
      </w:divBdr>
    </w:div>
    <w:div w:id="377315719">
      <w:bodyDiv w:val="1"/>
      <w:marLeft w:val="0"/>
      <w:marRight w:val="0"/>
      <w:marTop w:val="0"/>
      <w:marBottom w:val="0"/>
      <w:divBdr>
        <w:top w:val="none" w:sz="0" w:space="0" w:color="auto"/>
        <w:left w:val="none" w:sz="0" w:space="0" w:color="auto"/>
        <w:bottom w:val="none" w:sz="0" w:space="0" w:color="auto"/>
        <w:right w:val="none" w:sz="0" w:space="0" w:color="auto"/>
      </w:divBdr>
    </w:div>
    <w:div w:id="377323334">
      <w:bodyDiv w:val="1"/>
      <w:marLeft w:val="0"/>
      <w:marRight w:val="0"/>
      <w:marTop w:val="0"/>
      <w:marBottom w:val="0"/>
      <w:divBdr>
        <w:top w:val="none" w:sz="0" w:space="0" w:color="auto"/>
        <w:left w:val="none" w:sz="0" w:space="0" w:color="auto"/>
        <w:bottom w:val="none" w:sz="0" w:space="0" w:color="auto"/>
        <w:right w:val="none" w:sz="0" w:space="0" w:color="auto"/>
      </w:divBdr>
    </w:div>
    <w:div w:id="377555861">
      <w:bodyDiv w:val="1"/>
      <w:marLeft w:val="0"/>
      <w:marRight w:val="0"/>
      <w:marTop w:val="0"/>
      <w:marBottom w:val="0"/>
      <w:divBdr>
        <w:top w:val="none" w:sz="0" w:space="0" w:color="auto"/>
        <w:left w:val="none" w:sz="0" w:space="0" w:color="auto"/>
        <w:bottom w:val="none" w:sz="0" w:space="0" w:color="auto"/>
        <w:right w:val="none" w:sz="0" w:space="0" w:color="auto"/>
      </w:divBdr>
    </w:div>
    <w:div w:id="381563537">
      <w:bodyDiv w:val="1"/>
      <w:marLeft w:val="0"/>
      <w:marRight w:val="0"/>
      <w:marTop w:val="0"/>
      <w:marBottom w:val="0"/>
      <w:divBdr>
        <w:top w:val="none" w:sz="0" w:space="0" w:color="auto"/>
        <w:left w:val="none" w:sz="0" w:space="0" w:color="auto"/>
        <w:bottom w:val="none" w:sz="0" w:space="0" w:color="auto"/>
        <w:right w:val="none" w:sz="0" w:space="0" w:color="auto"/>
      </w:divBdr>
    </w:div>
    <w:div w:id="383065623">
      <w:bodyDiv w:val="1"/>
      <w:marLeft w:val="0"/>
      <w:marRight w:val="0"/>
      <w:marTop w:val="0"/>
      <w:marBottom w:val="0"/>
      <w:divBdr>
        <w:top w:val="none" w:sz="0" w:space="0" w:color="auto"/>
        <w:left w:val="none" w:sz="0" w:space="0" w:color="auto"/>
        <w:bottom w:val="none" w:sz="0" w:space="0" w:color="auto"/>
        <w:right w:val="none" w:sz="0" w:space="0" w:color="auto"/>
      </w:divBdr>
    </w:div>
    <w:div w:id="384526367">
      <w:bodyDiv w:val="1"/>
      <w:marLeft w:val="0"/>
      <w:marRight w:val="0"/>
      <w:marTop w:val="0"/>
      <w:marBottom w:val="0"/>
      <w:divBdr>
        <w:top w:val="none" w:sz="0" w:space="0" w:color="auto"/>
        <w:left w:val="none" w:sz="0" w:space="0" w:color="auto"/>
        <w:bottom w:val="none" w:sz="0" w:space="0" w:color="auto"/>
        <w:right w:val="none" w:sz="0" w:space="0" w:color="auto"/>
      </w:divBdr>
    </w:div>
    <w:div w:id="385034486">
      <w:bodyDiv w:val="1"/>
      <w:marLeft w:val="0"/>
      <w:marRight w:val="0"/>
      <w:marTop w:val="0"/>
      <w:marBottom w:val="0"/>
      <w:divBdr>
        <w:top w:val="none" w:sz="0" w:space="0" w:color="auto"/>
        <w:left w:val="none" w:sz="0" w:space="0" w:color="auto"/>
        <w:bottom w:val="none" w:sz="0" w:space="0" w:color="auto"/>
        <w:right w:val="none" w:sz="0" w:space="0" w:color="auto"/>
      </w:divBdr>
    </w:div>
    <w:div w:id="385836126">
      <w:bodyDiv w:val="1"/>
      <w:marLeft w:val="0"/>
      <w:marRight w:val="0"/>
      <w:marTop w:val="0"/>
      <w:marBottom w:val="0"/>
      <w:divBdr>
        <w:top w:val="none" w:sz="0" w:space="0" w:color="auto"/>
        <w:left w:val="none" w:sz="0" w:space="0" w:color="auto"/>
        <w:bottom w:val="none" w:sz="0" w:space="0" w:color="auto"/>
        <w:right w:val="none" w:sz="0" w:space="0" w:color="auto"/>
      </w:divBdr>
    </w:div>
    <w:div w:id="386803108">
      <w:bodyDiv w:val="1"/>
      <w:marLeft w:val="0"/>
      <w:marRight w:val="0"/>
      <w:marTop w:val="0"/>
      <w:marBottom w:val="0"/>
      <w:divBdr>
        <w:top w:val="none" w:sz="0" w:space="0" w:color="auto"/>
        <w:left w:val="none" w:sz="0" w:space="0" w:color="auto"/>
        <w:bottom w:val="none" w:sz="0" w:space="0" w:color="auto"/>
        <w:right w:val="none" w:sz="0" w:space="0" w:color="auto"/>
      </w:divBdr>
    </w:div>
    <w:div w:id="392586877">
      <w:bodyDiv w:val="1"/>
      <w:marLeft w:val="0"/>
      <w:marRight w:val="0"/>
      <w:marTop w:val="0"/>
      <w:marBottom w:val="0"/>
      <w:divBdr>
        <w:top w:val="none" w:sz="0" w:space="0" w:color="auto"/>
        <w:left w:val="none" w:sz="0" w:space="0" w:color="auto"/>
        <w:bottom w:val="none" w:sz="0" w:space="0" w:color="auto"/>
        <w:right w:val="none" w:sz="0" w:space="0" w:color="auto"/>
      </w:divBdr>
    </w:div>
    <w:div w:id="393041254">
      <w:bodyDiv w:val="1"/>
      <w:marLeft w:val="0"/>
      <w:marRight w:val="0"/>
      <w:marTop w:val="0"/>
      <w:marBottom w:val="0"/>
      <w:divBdr>
        <w:top w:val="none" w:sz="0" w:space="0" w:color="auto"/>
        <w:left w:val="none" w:sz="0" w:space="0" w:color="auto"/>
        <w:bottom w:val="none" w:sz="0" w:space="0" w:color="auto"/>
        <w:right w:val="none" w:sz="0" w:space="0" w:color="auto"/>
      </w:divBdr>
    </w:div>
    <w:div w:id="394090519">
      <w:bodyDiv w:val="1"/>
      <w:marLeft w:val="0"/>
      <w:marRight w:val="0"/>
      <w:marTop w:val="0"/>
      <w:marBottom w:val="0"/>
      <w:divBdr>
        <w:top w:val="none" w:sz="0" w:space="0" w:color="auto"/>
        <w:left w:val="none" w:sz="0" w:space="0" w:color="auto"/>
        <w:bottom w:val="none" w:sz="0" w:space="0" w:color="auto"/>
        <w:right w:val="none" w:sz="0" w:space="0" w:color="auto"/>
      </w:divBdr>
    </w:div>
    <w:div w:id="396586441">
      <w:bodyDiv w:val="1"/>
      <w:marLeft w:val="0"/>
      <w:marRight w:val="0"/>
      <w:marTop w:val="0"/>
      <w:marBottom w:val="0"/>
      <w:divBdr>
        <w:top w:val="none" w:sz="0" w:space="0" w:color="auto"/>
        <w:left w:val="none" w:sz="0" w:space="0" w:color="auto"/>
        <w:bottom w:val="none" w:sz="0" w:space="0" w:color="auto"/>
        <w:right w:val="none" w:sz="0" w:space="0" w:color="auto"/>
      </w:divBdr>
    </w:div>
    <w:div w:id="401367501">
      <w:bodyDiv w:val="1"/>
      <w:marLeft w:val="0"/>
      <w:marRight w:val="0"/>
      <w:marTop w:val="0"/>
      <w:marBottom w:val="0"/>
      <w:divBdr>
        <w:top w:val="none" w:sz="0" w:space="0" w:color="auto"/>
        <w:left w:val="none" w:sz="0" w:space="0" w:color="auto"/>
        <w:bottom w:val="none" w:sz="0" w:space="0" w:color="auto"/>
        <w:right w:val="none" w:sz="0" w:space="0" w:color="auto"/>
      </w:divBdr>
    </w:div>
    <w:div w:id="405229025">
      <w:bodyDiv w:val="1"/>
      <w:marLeft w:val="0"/>
      <w:marRight w:val="0"/>
      <w:marTop w:val="0"/>
      <w:marBottom w:val="0"/>
      <w:divBdr>
        <w:top w:val="none" w:sz="0" w:space="0" w:color="auto"/>
        <w:left w:val="none" w:sz="0" w:space="0" w:color="auto"/>
        <w:bottom w:val="none" w:sz="0" w:space="0" w:color="auto"/>
        <w:right w:val="none" w:sz="0" w:space="0" w:color="auto"/>
      </w:divBdr>
    </w:div>
    <w:div w:id="406803585">
      <w:bodyDiv w:val="1"/>
      <w:marLeft w:val="0"/>
      <w:marRight w:val="0"/>
      <w:marTop w:val="0"/>
      <w:marBottom w:val="0"/>
      <w:divBdr>
        <w:top w:val="none" w:sz="0" w:space="0" w:color="auto"/>
        <w:left w:val="none" w:sz="0" w:space="0" w:color="auto"/>
        <w:bottom w:val="none" w:sz="0" w:space="0" w:color="auto"/>
        <w:right w:val="none" w:sz="0" w:space="0" w:color="auto"/>
      </w:divBdr>
    </w:div>
    <w:div w:id="407384153">
      <w:bodyDiv w:val="1"/>
      <w:marLeft w:val="0"/>
      <w:marRight w:val="0"/>
      <w:marTop w:val="0"/>
      <w:marBottom w:val="0"/>
      <w:divBdr>
        <w:top w:val="none" w:sz="0" w:space="0" w:color="auto"/>
        <w:left w:val="none" w:sz="0" w:space="0" w:color="auto"/>
        <w:bottom w:val="none" w:sz="0" w:space="0" w:color="auto"/>
        <w:right w:val="none" w:sz="0" w:space="0" w:color="auto"/>
      </w:divBdr>
    </w:div>
    <w:div w:id="412435867">
      <w:bodyDiv w:val="1"/>
      <w:marLeft w:val="0"/>
      <w:marRight w:val="0"/>
      <w:marTop w:val="0"/>
      <w:marBottom w:val="0"/>
      <w:divBdr>
        <w:top w:val="none" w:sz="0" w:space="0" w:color="auto"/>
        <w:left w:val="none" w:sz="0" w:space="0" w:color="auto"/>
        <w:bottom w:val="none" w:sz="0" w:space="0" w:color="auto"/>
        <w:right w:val="none" w:sz="0" w:space="0" w:color="auto"/>
      </w:divBdr>
    </w:div>
    <w:div w:id="414134180">
      <w:bodyDiv w:val="1"/>
      <w:marLeft w:val="0"/>
      <w:marRight w:val="0"/>
      <w:marTop w:val="0"/>
      <w:marBottom w:val="0"/>
      <w:divBdr>
        <w:top w:val="none" w:sz="0" w:space="0" w:color="auto"/>
        <w:left w:val="none" w:sz="0" w:space="0" w:color="auto"/>
        <w:bottom w:val="none" w:sz="0" w:space="0" w:color="auto"/>
        <w:right w:val="none" w:sz="0" w:space="0" w:color="auto"/>
      </w:divBdr>
    </w:div>
    <w:div w:id="414782972">
      <w:bodyDiv w:val="1"/>
      <w:marLeft w:val="0"/>
      <w:marRight w:val="0"/>
      <w:marTop w:val="0"/>
      <w:marBottom w:val="0"/>
      <w:divBdr>
        <w:top w:val="none" w:sz="0" w:space="0" w:color="auto"/>
        <w:left w:val="none" w:sz="0" w:space="0" w:color="auto"/>
        <w:bottom w:val="none" w:sz="0" w:space="0" w:color="auto"/>
        <w:right w:val="none" w:sz="0" w:space="0" w:color="auto"/>
      </w:divBdr>
    </w:div>
    <w:div w:id="415595815">
      <w:bodyDiv w:val="1"/>
      <w:marLeft w:val="0"/>
      <w:marRight w:val="0"/>
      <w:marTop w:val="0"/>
      <w:marBottom w:val="0"/>
      <w:divBdr>
        <w:top w:val="none" w:sz="0" w:space="0" w:color="auto"/>
        <w:left w:val="none" w:sz="0" w:space="0" w:color="auto"/>
        <w:bottom w:val="none" w:sz="0" w:space="0" w:color="auto"/>
        <w:right w:val="none" w:sz="0" w:space="0" w:color="auto"/>
      </w:divBdr>
    </w:div>
    <w:div w:id="416680179">
      <w:bodyDiv w:val="1"/>
      <w:marLeft w:val="0"/>
      <w:marRight w:val="0"/>
      <w:marTop w:val="0"/>
      <w:marBottom w:val="0"/>
      <w:divBdr>
        <w:top w:val="none" w:sz="0" w:space="0" w:color="auto"/>
        <w:left w:val="none" w:sz="0" w:space="0" w:color="auto"/>
        <w:bottom w:val="none" w:sz="0" w:space="0" w:color="auto"/>
        <w:right w:val="none" w:sz="0" w:space="0" w:color="auto"/>
      </w:divBdr>
    </w:div>
    <w:div w:id="418529889">
      <w:bodyDiv w:val="1"/>
      <w:marLeft w:val="0"/>
      <w:marRight w:val="0"/>
      <w:marTop w:val="0"/>
      <w:marBottom w:val="0"/>
      <w:divBdr>
        <w:top w:val="none" w:sz="0" w:space="0" w:color="auto"/>
        <w:left w:val="none" w:sz="0" w:space="0" w:color="auto"/>
        <w:bottom w:val="none" w:sz="0" w:space="0" w:color="auto"/>
        <w:right w:val="none" w:sz="0" w:space="0" w:color="auto"/>
      </w:divBdr>
    </w:div>
    <w:div w:id="419520975">
      <w:bodyDiv w:val="1"/>
      <w:marLeft w:val="0"/>
      <w:marRight w:val="0"/>
      <w:marTop w:val="0"/>
      <w:marBottom w:val="0"/>
      <w:divBdr>
        <w:top w:val="none" w:sz="0" w:space="0" w:color="auto"/>
        <w:left w:val="none" w:sz="0" w:space="0" w:color="auto"/>
        <w:bottom w:val="none" w:sz="0" w:space="0" w:color="auto"/>
        <w:right w:val="none" w:sz="0" w:space="0" w:color="auto"/>
      </w:divBdr>
    </w:div>
    <w:div w:id="420612493">
      <w:bodyDiv w:val="1"/>
      <w:marLeft w:val="0"/>
      <w:marRight w:val="0"/>
      <w:marTop w:val="0"/>
      <w:marBottom w:val="0"/>
      <w:divBdr>
        <w:top w:val="none" w:sz="0" w:space="0" w:color="auto"/>
        <w:left w:val="none" w:sz="0" w:space="0" w:color="auto"/>
        <w:bottom w:val="none" w:sz="0" w:space="0" w:color="auto"/>
        <w:right w:val="none" w:sz="0" w:space="0" w:color="auto"/>
      </w:divBdr>
    </w:div>
    <w:div w:id="421295571">
      <w:bodyDiv w:val="1"/>
      <w:marLeft w:val="0"/>
      <w:marRight w:val="0"/>
      <w:marTop w:val="0"/>
      <w:marBottom w:val="0"/>
      <w:divBdr>
        <w:top w:val="none" w:sz="0" w:space="0" w:color="auto"/>
        <w:left w:val="none" w:sz="0" w:space="0" w:color="auto"/>
        <w:bottom w:val="none" w:sz="0" w:space="0" w:color="auto"/>
        <w:right w:val="none" w:sz="0" w:space="0" w:color="auto"/>
      </w:divBdr>
    </w:div>
    <w:div w:id="421344414">
      <w:bodyDiv w:val="1"/>
      <w:marLeft w:val="0"/>
      <w:marRight w:val="0"/>
      <w:marTop w:val="0"/>
      <w:marBottom w:val="0"/>
      <w:divBdr>
        <w:top w:val="none" w:sz="0" w:space="0" w:color="auto"/>
        <w:left w:val="none" w:sz="0" w:space="0" w:color="auto"/>
        <w:bottom w:val="none" w:sz="0" w:space="0" w:color="auto"/>
        <w:right w:val="none" w:sz="0" w:space="0" w:color="auto"/>
      </w:divBdr>
    </w:div>
    <w:div w:id="422342612">
      <w:bodyDiv w:val="1"/>
      <w:marLeft w:val="0"/>
      <w:marRight w:val="0"/>
      <w:marTop w:val="0"/>
      <w:marBottom w:val="0"/>
      <w:divBdr>
        <w:top w:val="none" w:sz="0" w:space="0" w:color="auto"/>
        <w:left w:val="none" w:sz="0" w:space="0" w:color="auto"/>
        <w:bottom w:val="none" w:sz="0" w:space="0" w:color="auto"/>
        <w:right w:val="none" w:sz="0" w:space="0" w:color="auto"/>
      </w:divBdr>
    </w:div>
    <w:div w:id="423457371">
      <w:bodyDiv w:val="1"/>
      <w:marLeft w:val="0"/>
      <w:marRight w:val="0"/>
      <w:marTop w:val="0"/>
      <w:marBottom w:val="0"/>
      <w:divBdr>
        <w:top w:val="none" w:sz="0" w:space="0" w:color="auto"/>
        <w:left w:val="none" w:sz="0" w:space="0" w:color="auto"/>
        <w:bottom w:val="none" w:sz="0" w:space="0" w:color="auto"/>
        <w:right w:val="none" w:sz="0" w:space="0" w:color="auto"/>
      </w:divBdr>
    </w:div>
    <w:div w:id="425226812">
      <w:bodyDiv w:val="1"/>
      <w:marLeft w:val="0"/>
      <w:marRight w:val="0"/>
      <w:marTop w:val="0"/>
      <w:marBottom w:val="0"/>
      <w:divBdr>
        <w:top w:val="none" w:sz="0" w:space="0" w:color="auto"/>
        <w:left w:val="none" w:sz="0" w:space="0" w:color="auto"/>
        <w:bottom w:val="none" w:sz="0" w:space="0" w:color="auto"/>
        <w:right w:val="none" w:sz="0" w:space="0" w:color="auto"/>
      </w:divBdr>
    </w:div>
    <w:div w:id="425268471">
      <w:bodyDiv w:val="1"/>
      <w:marLeft w:val="0"/>
      <w:marRight w:val="0"/>
      <w:marTop w:val="0"/>
      <w:marBottom w:val="0"/>
      <w:divBdr>
        <w:top w:val="none" w:sz="0" w:space="0" w:color="auto"/>
        <w:left w:val="none" w:sz="0" w:space="0" w:color="auto"/>
        <w:bottom w:val="none" w:sz="0" w:space="0" w:color="auto"/>
        <w:right w:val="none" w:sz="0" w:space="0" w:color="auto"/>
      </w:divBdr>
    </w:div>
    <w:div w:id="427165861">
      <w:bodyDiv w:val="1"/>
      <w:marLeft w:val="0"/>
      <w:marRight w:val="0"/>
      <w:marTop w:val="0"/>
      <w:marBottom w:val="0"/>
      <w:divBdr>
        <w:top w:val="none" w:sz="0" w:space="0" w:color="auto"/>
        <w:left w:val="none" w:sz="0" w:space="0" w:color="auto"/>
        <w:bottom w:val="none" w:sz="0" w:space="0" w:color="auto"/>
        <w:right w:val="none" w:sz="0" w:space="0" w:color="auto"/>
      </w:divBdr>
    </w:div>
    <w:div w:id="428618780">
      <w:bodyDiv w:val="1"/>
      <w:marLeft w:val="0"/>
      <w:marRight w:val="0"/>
      <w:marTop w:val="0"/>
      <w:marBottom w:val="0"/>
      <w:divBdr>
        <w:top w:val="none" w:sz="0" w:space="0" w:color="auto"/>
        <w:left w:val="none" w:sz="0" w:space="0" w:color="auto"/>
        <w:bottom w:val="none" w:sz="0" w:space="0" w:color="auto"/>
        <w:right w:val="none" w:sz="0" w:space="0" w:color="auto"/>
      </w:divBdr>
    </w:div>
    <w:div w:id="429203255">
      <w:bodyDiv w:val="1"/>
      <w:marLeft w:val="0"/>
      <w:marRight w:val="0"/>
      <w:marTop w:val="0"/>
      <w:marBottom w:val="0"/>
      <w:divBdr>
        <w:top w:val="none" w:sz="0" w:space="0" w:color="auto"/>
        <w:left w:val="none" w:sz="0" w:space="0" w:color="auto"/>
        <w:bottom w:val="none" w:sz="0" w:space="0" w:color="auto"/>
        <w:right w:val="none" w:sz="0" w:space="0" w:color="auto"/>
      </w:divBdr>
    </w:div>
    <w:div w:id="432436498">
      <w:bodyDiv w:val="1"/>
      <w:marLeft w:val="0"/>
      <w:marRight w:val="0"/>
      <w:marTop w:val="0"/>
      <w:marBottom w:val="0"/>
      <w:divBdr>
        <w:top w:val="none" w:sz="0" w:space="0" w:color="auto"/>
        <w:left w:val="none" w:sz="0" w:space="0" w:color="auto"/>
        <w:bottom w:val="none" w:sz="0" w:space="0" w:color="auto"/>
        <w:right w:val="none" w:sz="0" w:space="0" w:color="auto"/>
      </w:divBdr>
    </w:div>
    <w:div w:id="434909204">
      <w:bodyDiv w:val="1"/>
      <w:marLeft w:val="0"/>
      <w:marRight w:val="0"/>
      <w:marTop w:val="0"/>
      <w:marBottom w:val="0"/>
      <w:divBdr>
        <w:top w:val="none" w:sz="0" w:space="0" w:color="auto"/>
        <w:left w:val="none" w:sz="0" w:space="0" w:color="auto"/>
        <w:bottom w:val="none" w:sz="0" w:space="0" w:color="auto"/>
        <w:right w:val="none" w:sz="0" w:space="0" w:color="auto"/>
      </w:divBdr>
    </w:div>
    <w:div w:id="438257004">
      <w:bodyDiv w:val="1"/>
      <w:marLeft w:val="0"/>
      <w:marRight w:val="0"/>
      <w:marTop w:val="0"/>
      <w:marBottom w:val="0"/>
      <w:divBdr>
        <w:top w:val="none" w:sz="0" w:space="0" w:color="auto"/>
        <w:left w:val="none" w:sz="0" w:space="0" w:color="auto"/>
        <w:bottom w:val="none" w:sz="0" w:space="0" w:color="auto"/>
        <w:right w:val="none" w:sz="0" w:space="0" w:color="auto"/>
      </w:divBdr>
    </w:div>
    <w:div w:id="440297499">
      <w:bodyDiv w:val="1"/>
      <w:marLeft w:val="0"/>
      <w:marRight w:val="0"/>
      <w:marTop w:val="0"/>
      <w:marBottom w:val="0"/>
      <w:divBdr>
        <w:top w:val="none" w:sz="0" w:space="0" w:color="auto"/>
        <w:left w:val="none" w:sz="0" w:space="0" w:color="auto"/>
        <w:bottom w:val="none" w:sz="0" w:space="0" w:color="auto"/>
        <w:right w:val="none" w:sz="0" w:space="0" w:color="auto"/>
      </w:divBdr>
    </w:div>
    <w:div w:id="440489954">
      <w:bodyDiv w:val="1"/>
      <w:marLeft w:val="0"/>
      <w:marRight w:val="0"/>
      <w:marTop w:val="0"/>
      <w:marBottom w:val="0"/>
      <w:divBdr>
        <w:top w:val="none" w:sz="0" w:space="0" w:color="auto"/>
        <w:left w:val="none" w:sz="0" w:space="0" w:color="auto"/>
        <w:bottom w:val="none" w:sz="0" w:space="0" w:color="auto"/>
        <w:right w:val="none" w:sz="0" w:space="0" w:color="auto"/>
      </w:divBdr>
    </w:div>
    <w:div w:id="441190361">
      <w:bodyDiv w:val="1"/>
      <w:marLeft w:val="0"/>
      <w:marRight w:val="0"/>
      <w:marTop w:val="0"/>
      <w:marBottom w:val="0"/>
      <w:divBdr>
        <w:top w:val="none" w:sz="0" w:space="0" w:color="auto"/>
        <w:left w:val="none" w:sz="0" w:space="0" w:color="auto"/>
        <w:bottom w:val="none" w:sz="0" w:space="0" w:color="auto"/>
        <w:right w:val="none" w:sz="0" w:space="0" w:color="auto"/>
      </w:divBdr>
    </w:div>
    <w:div w:id="441846725">
      <w:bodyDiv w:val="1"/>
      <w:marLeft w:val="0"/>
      <w:marRight w:val="0"/>
      <w:marTop w:val="0"/>
      <w:marBottom w:val="0"/>
      <w:divBdr>
        <w:top w:val="none" w:sz="0" w:space="0" w:color="auto"/>
        <w:left w:val="none" w:sz="0" w:space="0" w:color="auto"/>
        <w:bottom w:val="none" w:sz="0" w:space="0" w:color="auto"/>
        <w:right w:val="none" w:sz="0" w:space="0" w:color="auto"/>
      </w:divBdr>
      <w:divsChild>
        <w:div w:id="242688707">
          <w:marLeft w:val="0"/>
          <w:marRight w:val="0"/>
          <w:marTop w:val="0"/>
          <w:marBottom w:val="0"/>
          <w:divBdr>
            <w:top w:val="none" w:sz="0" w:space="0" w:color="auto"/>
            <w:left w:val="none" w:sz="0" w:space="0" w:color="auto"/>
            <w:bottom w:val="none" w:sz="0" w:space="0" w:color="auto"/>
            <w:right w:val="none" w:sz="0" w:space="0" w:color="auto"/>
          </w:divBdr>
          <w:divsChild>
            <w:div w:id="1438410402">
              <w:marLeft w:val="0"/>
              <w:marRight w:val="0"/>
              <w:marTop w:val="0"/>
              <w:marBottom w:val="0"/>
              <w:divBdr>
                <w:top w:val="none" w:sz="0" w:space="0" w:color="auto"/>
                <w:left w:val="none" w:sz="0" w:space="0" w:color="auto"/>
                <w:bottom w:val="none" w:sz="0" w:space="0" w:color="auto"/>
                <w:right w:val="none" w:sz="0" w:space="0" w:color="auto"/>
              </w:divBdr>
              <w:divsChild>
                <w:div w:id="569653014">
                  <w:marLeft w:val="0"/>
                  <w:marRight w:val="0"/>
                  <w:marTop w:val="0"/>
                  <w:marBottom w:val="0"/>
                  <w:divBdr>
                    <w:top w:val="none" w:sz="0" w:space="0" w:color="auto"/>
                    <w:left w:val="none" w:sz="0" w:space="0" w:color="auto"/>
                    <w:bottom w:val="none" w:sz="0" w:space="0" w:color="auto"/>
                    <w:right w:val="none" w:sz="0" w:space="0" w:color="auto"/>
                  </w:divBdr>
                  <w:divsChild>
                    <w:div w:id="9825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62320">
          <w:marLeft w:val="0"/>
          <w:marRight w:val="0"/>
          <w:marTop w:val="0"/>
          <w:marBottom w:val="0"/>
          <w:divBdr>
            <w:top w:val="none" w:sz="0" w:space="0" w:color="auto"/>
            <w:left w:val="none" w:sz="0" w:space="0" w:color="auto"/>
            <w:bottom w:val="none" w:sz="0" w:space="0" w:color="auto"/>
            <w:right w:val="none" w:sz="0" w:space="0" w:color="auto"/>
          </w:divBdr>
          <w:divsChild>
            <w:div w:id="772866270">
              <w:marLeft w:val="0"/>
              <w:marRight w:val="0"/>
              <w:marTop w:val="0"/>
              <w:marBottom w:val="0"/>
              <w:divBdr>
                <w:top w:val="none" w:sz="0" w:space="0" w:color="auto"/>
                <w:left w:val="none" w:sz="0" w:space="0" w:color="auto"/>
                <w:bottom w:val="none" w:sz="0" w:space="0" w:color="auto"/>
                <w:right w:val="none" w:sz="0" w:space="0" w:color="auto"/>
              </w:divBdr>
              <w:divsChild>
                <w:div w:id="9430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0943">
      <w:bodyDiv w:val="1"/>
      <w:marLeft w:val="0"/>
      <w:marRight w:val="0"/>
      <w:marTop w:val="0"/>
      <w:marBottom w:val="0"/>
      <w:divBdr>
        <w:top w:val="none" w:sz="0" w:space="0" w:color="auto"/>
        <w:left w:val="none" w:sz="0" w:space="0" w:color="auto"/>
        <w:bottom w:val="none" w:sz="0" w:space="0" w:color="auto"/>
        <w:right w:val="none" w:sz="0" w:space="0" w:color="auto"/>
      </w:divBdr>
    </w:div>
    <w:div w:id="443307044">
      <w:bodyDiv w:val="1"/>
      <w:marLeft w:val="0"/>
      <w:marRight w:val="0"/>
      <w:marTop w:val="0"/>
      <w:marBottom w:val="0"/>
      <w:divBdr>
        <w:top w:val="none" w:sz="0" w:space="0" w:color="auto"/>
        <w:left w:val="none" w:sz="0" w:space="0" w:color="auto"/>
        <w:bottom w:val="none" w:sz="0" w:space="0" w:color="auto"/>
        <w:right w:val="none" w:sz="0" w:space="0" w:color="auto"/>
      </w:divBdr>
    </w:div>
    <w:div w:id="443810204">
      <w:bodyDiv w:val="1"/>
      <w:marLeft w:val="0"/>
      <w:marRight w:val="0"/>
      <w:marTop w:val="0"/>
      <w:marBottom w:val="0"/>
      <w:divBdr>
        <w:top w:val="none" w:sz="0" w:space="0" w:color="auto"/>
        <w:left w:val="none" w:sz="0" w:space="0" w:color="auto"/>
        <w:bottom w:val="none" w:sz="0" w:space="0" w:color="auto"/>
        <w:right w:val="none" w:sz="0" w:space="0" w:color="auto"/>
      </w:divBdr>
    </w:div>
    <w:div w:id="444665754">
      <w:bodyDiv w:val="1"/>
      <w:marLeft w:val="0"/>
      <w:marRight w:val="0"/>
      <w:marTop w:val="0"/>
      <w:marBottom w:val="0"/>
      <w:divBdr>
        <w:top w:val="none" w:sz="0" w:space="0" w:color="auto"/>
        <w:left w:val="none" w:sz="0" w:space="0" w:color="auto"/>
        <w:bottom w:val="none" w:sz="0" w:space="0" w:color="auto"/>
        <w:right w:val="none" w:sz="0" w:space="0" w:color="auto"/>
      </w:divBdr>
    </w:div>
    <w:div w:id="445004133">
      <w:bodyDiv w:val="1"/>
      <w:marLeft w:val="0"/>
      <w:marRight w:val="0"/>
      <w:marTop w:val="0"/>
      <w:marBottom w:val="0"/>
      <w:divBdr>
        <w:top w:val="none" w:sz="0" w:space="0" w:color="auto"/>
        <w:left w:val="none" w:sz="0" w:space="0" w:color="auto"/>
        <w:bottom w:val="none" w:sz="0" w:space="0" w:color="auto"/>
        <w:right w:val="none" w:sz="0" w:space="0" w:color="auto"/>
      </w:divBdr>
    </w:div>
    <w:div w:id="446433283">
      <w:bodyDiv w:val="1"/>
      <w:marLeft w:val="0"/>
      <w:marRight w:val="0"/>
      <w:marTop w:val="0"/>
      <w:marBottom w:val="0"/>
      <w:divBdr>
        <w:top w:val="none" w:sz="0" w:space="0" w:color="auto"/>
        <w:left w:val="none" w:sz="0" w:space="0" w:color="auto"/>
        <w:bottom w:val="none" w:sz="0" w:space="0" w:color="auto"/>
        <w:right w:val="none" w:sz="0" w:space="0" w:color="auto"/>
      </w:divBdr>
      <w:divsChild>
        <w:div w:id="608776643">
          <w:marLeft w:val="0"/>
          <w:marRight w:val="0"/>
          <w:marTop w:val="0"/>
          <w:marBottom w:val="0"/>
          <w:divBdr>
            <w:top w:val="none" w:sz="0" w:space="0" w:color="auto"/>
            <w:left w:val="none" w:sz="0" w:space="0" w:color="auto"/>
            <w:bottom w:val="none" w:sz="0" w:space="0" w:color="auto"/>
            <w:right w:val="none" w:sz="0" w:space="0" w:color="auto"/>
          </w:divBdr>
          <w:divsChild>
            <w:div w:id="767698294">
              <w:marLeft w:val="0"/>
              <w:marRight w:val="0"/>
              <w:marTop w:val="0"/>
              <w:marBottom w:val="0"/>
              <w:divBdr>
                <w:top w:val="none" w:sz="0" w:space="0" w:color="auto"/>
                <w:left w:val="none" w:sz="0" w:space="0" w:color="auto"/>
                <w:bottom w:val="none" w:sz="0" w:space="0" w:color="auto"/>
                <w:right w:val="none" w:sz="0" w:space="0" w:color="auto"/>
              </w:divBdr>
              <w:divsChild>
                <w:div w:id="13364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4231">
          <w:marLeft w:val="0"/>
          <w:marRight w:val="0"/>
          <w:marTop w:val="0"/>
          <w:marBottom w:val="0"/>
          <w:divBdr>
            <w:top w:val="none" w:sz="0" w:space="0" w:color="auto"/>
            <w:left w:val="none" w:sz="0" w:space="0" w:color="auto"/>
            <w:bottom w:val="none" w:sz="0" w:space="0" w:color="auto"/>
            <w:right w:val="none" w:sz="0" w:space="0" w:color="auto"/>
          </w:divBdr>
          <w:divsChild>
            <w:div w:id="439640886">
              <w:marLeft w:val="0"/>
              <w:marRight w:val="0"/>
              <w:marTop w:val="0"/>
              <w:marBottom w:val="0"/>
              <w:divBdr>
                <w:top w:val="none" w:sz="0" w:space="0" w:color="auto"/>
                <w:left w:val="none" w:sz="0" w:space="0" w:color="auto"/>
                <w:bottom w:val="none" w:sz="0" w:space="0" w:color="auto"/>
                <w:right w:val="none" w:sz="0" w:space="0" w:color="auto"/>
              </w:divBdr>
              <w:divsChild>
                <w:div w:id="25326938">
                  <w:marLeft w:val="0"/>
                  <w:marRight w:val="0"/>
                  <w:marTop w:val="0"/>
                  <w:marBottom w:val="0"/>
                  <w:divBdr>
                    <w:top w:val="none" w:sz="0" w:space="0" w:color="auto"/>
                    <w:left w:val="none" w:sz="0" w:space="0" w:color="auto"/>
                    <w:bottom w:val="none" w:sz="0" w:space="0" w:color="auto"/>
                    <w:right w:val="none" w:sz="0" w:space="0" w:color="auto"/>
                  </w:divBdr>
                  <w:divsChild>
                    <w:div w:id="1277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67743">
      <w:bodyDiv w:val="1"/>
      <w:marLeft w:val="0"/>
      <w:marRight w:val="0"/>
      <w:marTop w:val="0"/>
      <w:marBottom w:val="0"/>
      <w:divBdr>
        <w:top w:val="none" w:sz="0" w:space="0" w:color="auto"/>
        <w:left w:val="none" w:sz="0" w:space="0" w:color="auto"/>
        <w:bottom w:val="none" w:sz="0" w:space="0" w:color="auto"/>
        <w:right w:val="none" w:sz="0" w:space="0" w:color="auto"/>
      </w:divBdr>
    </w:div>
    <w:div w:id="454564307">
      <w:bodyDiv w:val="1"/>
      <w:marLeft w:val="0"/>
      <w:marRight w:val="0"/>
      <w:marTop w:val="0"/>
      <w:marBottom w:val="0"/>
      <w:divBdr>
        <w:top w:val="none" w:sz="0" w:space="0" w:color="auto"/>
        <w:left w:val="none" w:sz="0" w:space="0" w:color="auto"/>
        <w:bottom w:val="none" w:sz="0" w:space="0" w:color="auto"/>
        <w:right w:val="none" w:sz="0" w:space="0" w:color="auto"/>
      </w:divBdr>
    </w:div>
    <w:div w:id="455223176">
      <w:bodyDiv w:val="1"/>
      <w:marLeft w:val="0"/>
      <w:marRight w:val="0"/>
      <w:marTop w:val="0"/>
      <w:marBottom w:val="0"/>
      <w:divBdr>
        <w:top w:val="none" w:sz="0" w:space="0" w:color="auto"/>
        <w:left w:val="none" w:sz="0" w:space="0" w:color="auto"/>
        <w:bottom w:val="none" w:sz="0" w:space="0" w:color="auto"/>
        <w:right w:val="none" w:sz="0" w:space="0" w:color="auto"/>
      </w:divBdr>
    </w:div>
    <w:div w:id="456722309">
      <w:bodyDiv w:val="1"/>
      <w:marLeft w:val="0"/>
      <w:marRight w:val="0"/>
      <w:marTop w:val="0"/>
      <w:marBottom w:val="0"/>
      <w:divBdr>
        <w:top w:val="none" w:sz="0" w:space="0" w:color="auto"/>
        <w:left w:val="none" w:sz="0" w:space="0" w:color="auto"/>
        <w:bottom w:val="none" w:sz="0" w:space="0" w:color="auto"/>
        <w:right w:val="none" w:sz="0" w:space="0" w:color="auto"/>
      </w:divBdr>
    </w:div>
    <w:div w:id="458495284">
      <w:bodyDiv w:val="1"/>
      <w:marLeft w:val="0"/>
      <w:marRight w:val="0"/>
      <w:marTop w:val="0"/>
      <w:marBottom w:val="0"/>
      <w:divBdr>
        <w:top w:val="none" w:sz="0" w:space="0" w:color="auto"/>
        <w:left w:val="none" w:sz="0" w:space="0" w:color="auto"/>
        <w:bottom w:val="none" w:sz="0" w:space="0" w:color="auto"/>
        <w:right w:val="none" w:sz="0" w:space="0" w:color="auto"/>
      </w:divBdr>
    </w:div>
    <w:div w:id="459693035">
      <w:bodyDiv w:val="1"/>
      <w:marLeft w:val="0"/>
      <w:marRight w:val="0"/>
      <w:marTop w:val="0"/>
      <w:marBottom w:val="0"/>
      <w:divBdr>
        <w:top w:val="none" w:sz="0" w:space="0" w:color="auto"/>
        <w:left w:val="none" w:sz="0" w:space="0" w:color="auto"/>
        <w:bottom w:val="none" w:sz="0" w:space="0" w:color="auto"/>
        <w:right w:val="none" w:sz="0" w:space="0" w:color="auto"/>
      </w:divBdr>
    </w:div>
    <w:div w:id="460418518">
      <w:bodyDiv w:val="1"/>
      <w:marLeft w:val="0"/>
      <w:marRight w:val="0"/>
      <w:marTop w:val="0"/>
      <w:marBottom w:val="0"/>
      <w:divBdr>
        <w:top w:val="none" w:sz="0" w:space="0" w:color="auto"/>
        <w:left w:val="none" w:sz="0" w:space="0" w:color="auto"/>
        <w:bottom w:val="none" w:sz="0" w:space="0" w:color="auto"/>
        <w:right w:val="none" w:sz="0" w:space="0" w:color="auto"/>
      </w:divBdr>
    </w:div>
    <w:div w:id="463158750">
      <w:bodyDiv w:val="1"/>
      <w:marLeft w:val="0"/>
      <w:marRight w:val="0"/>
      <w:marTop w:val="0"/>
      <w:marBottom w:val="0"/>
      <w:divBdr>
        <w:top w:val="none" w:sz="0" w:space="0" w:color="auto"/>
        <w:left w:val="none" w:sz="0" w:space="0" w:color="auto"/>
        <w:bottom w:val="none" w:sz="0" w:space="0" w:color="auto"/>
        <w:right w:val="none" w:sz="0" w:space="0" w:color="auto"/>
      </w:divBdr>
      <w:divsChild>
        <w:div w:id="748500282">
          <w:marLeft w:val="0"/>
          <w:marRight w:val="0"/>
          <w:marTop w:val="0"/>
          <w:marBottom w:val="0"/>
          <w:divBdr>
            <w:top w:val="none" w:sz="0" w:space="0" w:color="auto"/>
            <w:left w:val="none" w:sz="0" w:space="0" w:color="auto"/>
            <w:bottom w:val="none" w:sz="0" w:space="0" w:color="auto"/>
            <w:right w:val="none" w:sz="0" w:space="0" w:color="auto"/>
          </w:divBdr>
          <w:divsChild>
            <w:div w:id="89395906">
              <w:marLeft w:val="0"/>
              <w:marRight w:val="0"/>
              <w:marTop w:val="0"/>
              <w:marBottom w:val="0"/>
              <w:divBdr>
                <w:top w:val="none" w:sz="0" w:space="0" w:color="auto"/>
                <w:left w:val="none" w:sz="0" w:space="0" w:color="auto"/>
                <w:bottom w:val="none" w:sz="0" w:space="0" w:color="auto"/>
                <w:right w:val="none" w:sz="0" w:space="0" w:color="auto"/>
              </w:divBdr>
              <w:divsChild>
                <w:div w:id="12197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7166">
          <w:marLeft w:val="0"/>
          <w:marRight w:val="0"/>
          <w:marTop w:val="0"/>
          <w:marBottom w:val="0"/>
          <w:divBdr>
            <w:top w:val="none" w:sz="0" w:space="0" w:color="auto"/>
            <w:left w:val="none" w:sz="0" w:space="0" w:color="auto"/>
            <w:bottom w:val="none" w:sz="0" w:space="0" w:color="auto"/>
            <w:right w:val="none" w:sz="0" w:space="0" w:color="auto"/>
          </w:divBdr>
          <w:divsChild>
            <w:div w:id="1359312952">
              <w:marLeft w:val="0"/>
              <w:marRight w:val="0"/>
              <w:marTop w:val="0"/>
              <w:marBottom w:val="0"/>
              <w:divBdr>
                <w:top w:val="none" w:sz="0" w:space="0" w:color="auto"/>
                <w:left w:val="none" w:sz="0" w:space="0" w:color="auto"/>
                <w:bottom w:val="none" w:sz="0" w:space="0" w:color="auto"/>
                <w:right w:val="none" w:sz="0" w:space="0" w:color="auto"/>
              </w:divBdr>
              <w:divsChild>
                <w:div w:id="2012756488">
                  <w:marLeft w:val="0"/>
                  <w:marRight w:val="0"/>
                  <w:marTop w:val="0"/>
                  <w:marBottom w:val="0"/>
                  <w:divBdr>
                    <w:top w:val="none" w:sz="0" w:space="0" w:color="auto"/>
                    <w:left w:val="none" w:sz="0" w:space="0" w:color="auto"/>
                    <w:bottom w:val="none" w:sz="0" w:space="0" w:color="auto"/>
                    <w:right w:val="none" w:sz="0" w:space="0" w:color="auto"/>
                  </w:divBdr>
                  <w:divsChild>
                    <w:div w:id="17979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39403">
      <w:bodyDiv w:val="1"/>
      <w:marLeft w:val="0"/>
      <w:marRight w:val="0"/>
      <w:marTop w:val="0"/>
      <w:marBottom w:val="0"/>
      <w:divBdr>
        <w:top w:val="none" w:sz="0" w:space="0" w:color="auto"/>
        <w:left w:val="none" w:sz="0" w:space="0" w:color="auto"/>
        <w:bottom w:val="none" w:sz="0" w:space="0" w:color="auto"/>
        <w:right w:val="none" w:sz="0" w:space="0" w:color="auto"/>
      </w:divBdr>
    </w:div>
    <w:div w:id="464811842">
      <w:bodyDiv w:val="1"/>
      <w:marLeft w:val="0"/>
      <w:marRight w:val="0"/>
      <w:marTop w:val="0"/>
      <w:marBottom w:val="0"/>
      <w:divBdr>
        <w:top w:val="none" w:sz="0" w:space="0" w:color="auto"/>
        <w:left w:val="none" w:sz="0" w:space="0" w:color="auto"/>
        <w:bottom w:val="none" w:sz="0" w:space="0" w:color="auto"/>
        <w:right w:val="none" w:sz="0" w:space="0" w:color="auto"/>
      </w:divBdr>
    </w:div>
    <w:div w:id="465515357">
      <w:bodyDiv w:val="1"/>
      <w:marLeft w:val="0"/>
      <w:marRight w:val="0"/>
      <w:marTop w:val="0"/>
      <w:marBottom w:val="0"/>
      <w:divBdr>
        <w:top w:val="none" w:sz="0" w:space="0" w:color="auto"/>
        <w:left w:val="none" w:sz="0" w:space="0" w:color="auto"/>
        <w:bottom w:val="none" w:sz="0" w:space="0" w:color="auto"/>
        <w:right w:val="none" w:sz="0" w:space="0" w:color="auto"/>
      </w:divBdr>
    </w:div>
    <w:div w:id="465978321">
      <w:bodyDiv w:val="1"/>
      <w:marLeft w:val="0"/>
      <w:marRight w:val="0"/>
      <w:marTop w:val="0"/>
      <w:marBottom w:val="0"/>
      <w:divBdr>
        <w:top w:val="none" w:sz="0" w:space="0" w:color="auto"/>
        <w:left w:val="none" w:sz="0" w:space="0" w:color="auto"/>
        <w:bottom w:val="none" w:sz="0" w:space="0" w:color="auto"/>
        <w:right w:val="none" w:sz="0" w:space="0" w:color="auto"/>
      </w:divBdr>
      <w:divsChild>
        <w:div w:id="1618680598">
          <w:marLeft w:val="0"/>
          <w:marRight w:val="0"/>
          <w:marTop w:val="0"/>
          <w:marBottom w:val="0"/>
          <w:divBdr>
            <w:top w:val="none" w:sz="0" w:space="0" w:color="auto"/>
            <w:left w:val="none" w:sz="0" w:space="0" w:color="auto"/>
            <w:bottom w:val="none" w:sz="0" w:space="0" w:color="auto"/>
            <w:right w:val="none" w:sz="0" w:space="0" w:color="auto"/>
          </w:divBdr>
        </w:div>
      </w:divsChild>
    </w:div>
    <w:div w:id="467672117">
      <w:bodyDiv w:val="1"/>
      <w:marLeft w:val="0"/>
      <w:marRight w:val="0"/>
      <w:marTop w:val="0"/>
      <w:marBottom w:val="0"/>
      <w:divBdr>
        <w:top w:val="none" w:sz="0" w:space="0" w:color="auto"/>
        <w:left w:val="none" w:sz="0" w:space="0" w:color="auto"/>
        <w:bottom w:val="none" w:sz="0" w:space="0" w:color="auto"/>
        <w:right w:val="none" w:sz="0" w:space="0" w:color="auto"/>
      </w:divBdr>
    </w:div>
    <w:div w:id="467863979">
      <w:bodyDiv w:val="1"/>
      <w:marLeft w:val="0"/>
      <w:marRight w:val="0"/>
      <w:marTop w:val="0"/>
      <w:marBottom w:val="0"/>
      <w:divBdr>
        <w:top w:val="none" w:sz="0" w:space="0" w:color="auto"/>
        <w:left w:val="none" w:sz="0" w:space="0" w:color="auto"/>
        <w:bottom w:val="none" w:sz="0" w:space="0" w:color="auto"/>
        <w:right w:val="none" w:sz="0" w:space="0" w:color="auto"/>
      </w:divBdr>
    </w:div>
    <w:div w:id="469058501">
      <w:bodyDiv w:val="1"/>
      <w:marLeft w:val="0"/>
      <w:marRight w:val="0"/>
      <w:marTop w:val="0"/>
      <w:marBottom w:val="0"/>
      <w:divBdr>
        <w:top w:val="none" w:sz="0" w:space="0" w:color="auto"/>
        <w:left w:val="none" w:sz="0" w:space="0" w:color="auto"/>
        <w:bottom w:val="none" w:sz="0" w:space="0" w:color="auto"/>
        <w:right w:val="none" w:sz="0" w:space="0" w:color="auto"/>
      </w:divBdr>
    </w:div>
    <w:div w:id="470366378">
      <w:bodyDiv w:val="1"/>
      <w:marLeft w:val="0"/>
      <w:marRight w:val="0"/>
      <w:marTop w:val="0"/>
      <w:marBottom w:val="0"/>
      <w:divBdr>
        <w:top w:val="none" w:sz="0" w:space="0" w:color="auto"/>
        <w:left w:val="none" w:sz="0" w:space="0" w:color="auto"/>
        <w:bottom w:val="none" w:sz="0" w:space="0" w:color="auto"/>
        <w:right w:val="none" w:sz="0" w:space="0" w:color="auto"/>
      </w:divBdr>
    </w:div>
    <w:div w:id="471674819">
      <w:bodyDiv w:val="1"/>
      <w:marLeft w:val="0"/>
      <w:marRight w:val="0"/>
      <w:marTop w:val="0"/>
      <w:marBottom w:val="0"/>
      <w:divBdr>
        <w:top w:val="none" w:sz="0" w:space="0" w:color="auto"/>
        <w:left w:val="none" w:sz="0" w:space="0" w:color="auto"/>
        <w:bottom w:val="none" w:sz="0" w:space="0" w:color="auto"/>
        <w:right w:val="none" w:sz="0" w:space="0" w:color="auto"/>
      </w:divBdr>
    </w:div>
    <w:div w:id="472218378">
      <w:bodyDiv w:val="1"/>
      <w:marLeft w:val="0"/>
      <w:marRight w:val="0"/>
      <w:marTop w:val="0"/>
      <w:marBottom w:val="0"/>
      <w:divBdr>
        <w:top w:val="none" w:sz="0" w:space="0" w:color="auto"/>
        <w:left w:val="none" w:sz="0" w:space="0" w:color="auto"/>
        <w:bottom w:val="none" w:sz="0" w:space="0" w:color="auto"/>
        <w:right w:val="none" w:sz="0" w:space="0" w:color="auto"/>
      </w:divBdr>
    </w:div>
    <w:div w:id="474564635">
      <w:bodyDiv w:val="1"/>
      <w:marLeft w:val="0"/>
      <w:marRight w:val="0"/>
      <w:marTop w:val="0"/>
      <w:marBottom w:val="0"/>
      <w:divBdr>
        <w:top w:val="none" w:sz="0" w:space="0" w:color="auto"/>
        <w:left w:val="none" w:sz="0" w:space="0" w:color="auto"/>
        <w:bottom w:val="none" w:sz="0" w:space="0" w:color="auto"/>
        <w:right w:val="none" w:sz="0" w:space="0" w:color="auto"/>
      </w:divBdr>
    </w:div>
    <w:div w:id="475418752">
      <w:bodyDiv w:val="1"/>
      <w:marLeft w:val="0"/>
      <w:marRight w:val="0"/>
      <w:marTop w:val="0"/>
      <w:marBottom w:val="0"/>
      <w:divBdr>
        <w:top w:val="none" w:sz="0" w:space="0" w:color="auto"/>
        <w:left w:val="none" w:sz="0" w:space="0" w:color="auto"/>
        <w:bottom w:val="none" w:sz="0" w:space="0" w:color="auto"/>
        <w:right w:val="none" w:sz="0" w:space="0" w:color="auto"/>
      </w:divBdr>
    </w:div>
    <w:div w:id="476266671">
      <w:bodyDiv w:val="1"/>
      <w:marLeft w:val="0"/>
      <w:marRight w:val="0"/>
      <w:marTop w:val="0"/>
      <w:marBottom w:val="0"/>
      <w:divBdr>
        <w:top w:val="none" w:sz="0" w:space="0" w:color="auto"/>
        <w:left w:val="none" w:sz="0" w:space="0" w:color="auto"/>
        <w:bottom w:val="none" w:sz="0" w:space="0" w:color="auto"/>
        <w:right w:val="none" w:sz="0" w:space="0" w:color="auto"/>
      </w:divBdr>
    </w:div>
    <w:div w:id="477957759">
      <w:bodyDiv w:val="1"/>
      <w:marLeft w:val="0"/>
      <w:marRight w:val="0"/>
      <w:marTop w:val="0"/>
      <w:marBottom w:val="0"/>
      <w:divBdr>
        <w:top w:val="none" w:sz="0" w:space="0" w:color="auto"/>
        <w:left w:val="none" w:sz="0" w:space="0" w:color="auto"/>
        <w:bottom w:val="none" w:sz="0" w:space="0" w:color="auto"/>
        <w:right w:val="none" w:sz="0" w:space="0" w:color="auto"/>
      </w:divBdr>
    </w:div>
    <w:div w:id="478309664">
      <w:bodyDiv w:val="1"/>
      <w:marLeft w:val="0"/>
      <w:marRight w:val="0"/>
      <w:marTop w:val="0"/>
      <w:marBottom w:val="0"/>
      <w:divBdr>
        <w:top w:val="none" w:sz="0" w:space="0" w:color="auto"/>
        <w:left w:val="none" w:sz="0" w:space="0" w:color="auto"/>
        <w:bottom w:val="none" w:sz="0" w:space="0" w:color="auto"/>
        <w:right w:val="none" w:sz="0" w:space="0" w:color="auto"/>
      </w:divBdr>
      <w:divsChild>
        <w:div w:id="1426728156">
          <w:marLeft w:val="0"/>
          <w:marRight w:val="0"/>
          <w:marTop w:val="0"/>
          <w:marBottom w:val="0"/>
          <w:divBdr>
            <w:top w:val="none" w:sz="0" w:space="0" w:color="auto"/>
            <w:left w:val="none" w:sz="0" w:space="0" w:color="auto"/>
            <w:bottom w:val="none" w:sz="0" w:space="0" w:color="auto"/>
            <w:right w:val="none" w:sz="0" w:space="0" w:color="auto"/>
          </w:divBdr>
        </w:div>
      </w:divsChild>
    </w:div>
    <w:div w:id="484126849">
      <w:bodyDiv w:val="1"/>
      <w:marLeft w:val="0"/>
      <w:marRight w:val="0"/>
      <w:marTop w:val="0"/>
      <w:marBottom w:val="0"/>
      <w:divBdr>
        <w:top w:val="none" w:sz="0" w:space="0" w:color="auto"/>
        <w:left w:val="none" w:sz="0" w:space="0" w:color="auto"/>
        <w:bottom w:val="none" w:sz="0" w:space="0" w:color="auto"/>
        <w:right w:val="none" w:sz="0" w:space="0" w:color="auto"/>
      </w:divBdr>
    </w:div>
    <w:div w:id="484318020">
      <w:bodyDiv w:val="1"/>
      <w:marLeft w:val="0"/>
      <w:marRight w:val="0"/>
      <w:marTop w:val="0"/>
      <w:marBottom w:val="0"/>
      <w:divBdr>
        <w:top w:val="none" w:sz="0" w:space="0" w:color="auto"/>
        <w:left w:val="none" w:sz="0" w:space="0" w:color="auto"/>
        <w:bottom w:val="none" w:sz="0" w:space="0" w:color="auto"/>
        <w:right w:val="none" w:sz="0" w:space="0" w:color="auto"/>
      </w:divBdr>
    </w:div>
    <w:div w:id="484707577">
      <w:bodyDiv w:val="1"/>
      <w:marLeft w:val="0"/>
      <w:marRight w:val="0"/>
      <w:marTop w:val="0"/>
      <w:marBottom w:val="0"/>
      <w:divBdr>
        <w:top w:val="none" w:sz="0" w:space="0" w:color="auto"/>
        <w:left w:val="none" w:sz="0" w:space="0" w:color="auto"/>
        <w:bottom w:val="none" w:sz="0" w:space="0" w:color="auto"/>
        <w:right w:val="none" w:sz="0" w:space="0" w:color="auto"/>
      </w:divBdr>
    </w:div>
    <w:div w:id="487866898">
      <w:bodyDiv w:val="1"/>
      <w:marLeft w:val="0"/>
      <w:marRight w:val="0"/>
      <w:marTop w:val="0"/>
      <w:marBottom w:val="0"/>
      <w:divBdr>
        <w:top w:val="none" w:sz="0" w:space="0" w:color="auto"/>
        <w:left w:val="none" w:sz="0" w:space="0" w:color="auto"/>
        <w:bottom w:val="none" w:sz="0" w:space="0" w:color="auto"/>
        <w:right w:val="none" w:sz="0" w:space="0" w:color="auto"/>
      </w:divBdr>
    </w:div>
    <w:div w:id="488138391">
      <w:bodyDiv w:val="1"/>
      <w:marLeft w:val="0"/>
      <w:marRight w:val="0"/>
      <w:marTop w:val="0"/>
      <w:marBottom w:val="0"/>
      <w:divBdr>
        <w:top w:val="none" w:sz="0" w:space="0" w:color="auto"/>
        <w:left w:val="none" w:sz="0" w:space="0" w:color="auto"/>
        <w:bottom w:val="none" w:sz="0" w:space="0" w:color="auto"/>
        <w:right w:val="none" w:sz="0" w:space="0" w:color="auto"/>
      </w:divBdr>
    </w:div>
    <w:div w:id="490221665">
      <w:bodyDiv w:val="1"/>
      <w:marLeft w:val="0"/>
      <w:marRight w:val="0"/>
      <w:marTop w:val="0"/>
      <w:marBottom w:val="0"/>
      <w:divBdr>
        <w:top w:val="none" w:sz="0" w:space="0" w:color="auto"/>
        <w:left w:val="none" w:sz="0" w:space="0" w:color="auto"/>
        <w:bottom w:val="none" w:sz="0" w:space="0" w:color="auto"/>
        <w:right w:val="none" w:sz="0" w:space="0" w:color="auto"/>
      </w:divBdr>
    </w:div>
    <w:div w:id="493491158">
      <w:bodyDiv w:val="1"/>
      <w:marLeft w:val="0"/>
      <w:marRight w:val="0"/>
      <w:marTop w:val="0"/>
      <w:marBottom w:val="0"/>
      <w:divBdr>
        <w:top w:val="none" w:sz="0" w:space="0" w:color="auto"/>
        <w:left w:val="none" w:sz="0" w:space="0" w:color="auto"/>
        <w:bottom w:val="none" w:sz="0" w:space="0" w:color="auto"/>
        <w:right w:val="none" w:sz="0" w:space="0" w:color="auto"/>
      </w:divBdr>
    </w:div>
    <w:div w:id="494106362">
      <w:bodyDiv w:val="1"/>
      <w:marLeft w:val="0"/>
      <w:marRight w:val="0"/>
      <w:marTop w:val="0"/>
      <w:marBottom w:val="0"/>
      <w:divBdr>
        <w:top w:val="none" w:sz="0" w:space="0" w:color="auto"/>
        <w:left w:val="none" w:sz="0" w:space="0" w:color="auto"/>
        <w:bottom w:val="none" w:sz="0" w:space="0" w:color="auto"/>
        <w:right w:val="none" w:sz="0" w:space="0" w:color="auto"/>
      </w:divBdr>
    </w:div>
    <w:div w:id="494347967">
      <w:bodyDiv w:val="1"/>
      <w:marLeft w:val="0"/>
      <w:marRight w:val="0"/>
      <w:marTop w:val="0"/>
      <w:marBottom w:val="0"/>
      <w:divBdr>
        <w:top w:val="none" w:sz="0" w:space="0" w:color="auto"/>
        <w:left w:val="none" w:sz="0" w:space="0" w:color="auto"/>
        <w:bottom w:val="none" w:sz="0" w:space="0" w:color="auto"/>
        <w:right w:val="none" w:sz="0" w:space="0" w:color="auto"/>
      </w:divBdr>
    </w:div>
    <w:div w:id="494423186">
      <w:bodyDiv w:val="1"/>
      <w:marLeft w:val="0"/>
      <w:marRight w:val="0"/>
      <w:marTop w:val="0"/>
      <w:marBottom w:val="0"/>
      <w:divBdr>
        <w:top w:val="none" w:sz="0" w:space="0" w:color="auto"/>
        <w:left w:val="none" w:sz="0" w:space="0" w:color="auto"/>
        <w:bottom w:val="none" w:sz="0" w:space="0" w:color="auto"/>
        <w:right w:val="none" w:sz="0" w:space="0" w:color="auto"/>
      </w:divBdr>
    </w:div>
    <w:div w:id="495804916">
      <w:bodyDiv w:val="1"/>
      <w:marLeft w:val="0"/>
      <w:marRight w:val="0"/>
      <w:marTop w:val="0"/>
      <w:marBottom w:val="0"/>
      <w:divBdr>
        <w:top w:val="none" w:sz="0" w:space="0" w:color="auto"/>
        <w:left w:val="none" w:sz="0" w:space="0" w:color="auto"/>
        <w:bottom w:val="none" w:sz="0" w:space="0" w:color="auto"/>
        <w:right w:val="none" w:sz="0" w:space="0" w:color="auto"/>
      </w:divBdr>
    </w:div>
    <w:div w:id="497355326">
      <w:bodyDiv w:val="1"/>
      <w:marLeft w:val="0"/>
      <w:marRight w:val="0"/>
      <w:marTop w:val="0"/>
      <w:marBottom w:val="0"/>
      <w:divBdr>
        <w:top w:val="none" w:sz="0" w:space="0" w:color="auto"/>
        <w:left w:val="none" w:sz="0" w:space="0" w:color="auto"/>
        <w:bottom w:val="none" w:sz="0" w:space="0" w:color="auto"/>
        <w:right w:val="none" w:sz="0" w:space="0" w:color="auto"/>
      </w:divBdr>
    </w:div>
    <w:div w:id="498739729">
      <w:bodyDiv w:val="1"/>
      <w:marLeft w:val="0"/>
      <w:marRight w:val="0"/>
      <w:marTop w:val="0"/>
      <w:marBottom w:val="0"/>
      <w:divBdr>
        <w:top w:val="none" w:sz="0" w:space="0" w:color="auto"/>
        <w:left w:val="none" w:sz="0" w:space="0" w:color="auto"/>
        <w:bottom w:val="none" w:sz="0" w:space="0" w:color="auto"/>
        <w:right w:val="none" w:sz="0" w:space="0" w:color="auto"/>
      </w:divBdr>
    </w:div>
    <w:div w:id="500437728">
      <w:bodyDiv w:val="1"/>
      <w:marLeft w:val="0"/>
      <w:marRight w:val="0"/>
      <w:marTop w:val="0"/>
      <w:marBottom w:val="0"/>
      <w:divBdr>
        <w:top w:val="none" w:sz="0" w:space="0" w:color="auto"/>
        <w:left w:val="none" w:sz="0" w:space="0" w:color="auto"/>
        <w:bottom w:val="none" w:sz="0" w:space="0" w:color="auto"/>
        <w:right w:val="none" w:sz="0" w:space="0" w:color="auto"/>
      </w:divBdr>
      <w:divsChild>
        <w:div w:id="693851049">
          <w:marLeft w:val="0"/>
          <w:marRight w:val="0"/>
          <w:marTop w:val="0"/>
          <w:marBottom w:val="0"/>
          <w:divBdr>
            <w:top w:val="none" w:sz="0" w:space="0" w:color="auto"/>
            <w:left w:val="none" w:sz="0" w:space="0" w:color="auto"/>
            <w:bottom w:val="none" w:sz="0" w:space="0" w:color="auto"/>
            <w:right w:val="none" w:sz="0" w:space="0" w:color="auto"/>
          </w:divBdr>
          <w:divsChild>
            <w:div w:id="668362954">
              <w:marLeft w:val="0"/>
              <w:marRight w:val="0"/>
              <w:marTop w:val="0"/>
              <w:marBottom w:val="0"/>
              <w:divBdr>
                <w:top w:val="none" w:sz="0" w:space="0" w:color="auto"/>
                <w:left w:val="none" w:sz="0" w:space="0" w:color="auto"/>
                <w:bottom w:val="none" w:sz="0" w:space="0" w:color="auto"/>
                <w:right w:val="none" w:sz="0" w:space="0" w:color="auto"/>
              </w:divBdr>
              <w:divsChild>
                <w:div w:id="49723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40404">
          <w:marLeft w:val="0"/>
          <w:marRight w:val="0"/>
          <w:marTop w:val="0"/>
          <w:marBottom w:val="0"/>
          <w:divBdr>
            <w:top w:val="none" w:sz="0" w:space="0" w:color="auto"/>
            <w:left w:val="none" w:sz="0" w:space="0" w:color="auto"/>
            <w:bottom w:val="none" w:sz="0" w:space="0" w:color="auto"/>
            <w:right w:val="none" w:sz="0" w:space="0" w:color="auto"/>
          </w:divBdr>
          <w:divsChild>
            <w:div w:id="564098545">
              <w:marLeft w:val="0"/>
              <w:marRight w:val="0"/>
              <w:marTop w:val="0"/>
              <w:marBottom w:val="0"/>
              <w:divBdr>
                <w:top w:val="none" w:sz="0" w:space="0" w:color="auto"/>
                <w:left w:val="none" w:sz="0" w:space="0" w:color="auto"/>
                <w:bottom w:val="none" w:sz="0" w:space="0" w:color="auto"/>
                <w:right w:val="none" w:sz="0" w:space="0" w:color="auto"/>
              </w:divBdr>
              <w:divsChild>
                <w:div w:id="374279466">
                  <w:marLeft w:val="0"/>
                  <w:marRight w:val="0"/>
                  <w:marTop w:val="0"/>
                  <w:marBottom w:val="0"/>
                  <w:divBdr>
                    <w:top w:val="none" w:sz="0" w:space="0" w:color="auto"/>
                    <w:left w:val="none" w:sz="0" w:space="0" w:color="auto"/>
                    <w:bottom w:val="none" w:sz="0" w:space="0" w:color="auto"/>
                    <w:right w:val="none" w:sz="0" w:space="0" w:color="auto"/>
                  </w:divBdr>
                  <w:divsChild>
                    <w:div w:id="130731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138744">
      <w:bodyDiv w:val="1"/>
      <w:marLeft w:val="0"/>
      <w:marRight w:val="0"/>
      <w:marTop w:val="0"/>
      <w:marBottom w:val="0"/>
      <w:divBdr>
        <w:top w:val="none" w:sz="0" w:space="0" w:color="auto"/>
        <w:left w:val="none" w:sz="0" w:space="0" w:color="auto"/>
        <w:bottom w:val="none" w:sz="0" w:space="0" w:color="auto"/>
        <w:right w:val="none" w:sz="0" w:space="0" w:color="auto"/>
      </w:divBdr>
    </w:div>
    <w:div w:id="507212160">
      <w:bodyDiv w:val="1"/>
      <w:marLeft w:val="0"/>
      <w:marRight w:val="0"/>
      <w:marTop w:val="0"/>
      <w:marBottom w:val="0"/>
      <w:divBdr>
        <w:top w:val="none" w:sz="0" w:space="0" w:color="auto"/>
        <w:left w:val="none" w:sz="0" w:space="0" w:color="auto"/>
        <w:bottom w:val="none" w:sz="0" w:space="0" w:color="auto"/>
        <w:right w:val="none" w:sz="0" w:space="0" w:color="auto"/>
      </w:divBdr>
    </w:div>
    <w:div w:id="512913965">
      <w:bodyDiv w:val="1"/>
      <w:marLeft w:val="0"/>
      <w:marRight w:val="0"/>
      <w:marTop w:val="0"/>
      <w:marBottom w:val="0"/>
      <w:divBdr>
        <w:top w:val="none" w:sz="0" w:space="0" w:color="auto"/>
        <w:left w:val="none" w:sz="0" w:space="0" w:color="auto"/>
        <w:bottom w:val="none" w:sz="0" w:space="0" w:color="auto"/>
        <w:right w:val="none" w:sz="0" w:space="0" w:color="auto"/>
      </w:divBdr>
    </w:div>
    <w:div w:id="514618302">
      <w:bodyDiv w:val="1"/>
      <w:marLeft w:val="0"/>
      <w:marRight w:val="0"/>
      <w:marTop w:val="0"/>
      <w:marBottom w:val="0"/>
      <w:divBdr>
        <w:top w:val="none" w:sz="0" w:space="0" w:color="auto"/>
        <w:left w:val="none" w:sz="0" w:space="0" w:color="auto"/>
        <w:bottom w:val="none" w:sz="0" w:space="0" w:color="auto"/>
        <w:right w:val="none" w:sz="0" w:space="0" w:color="auto"/>
      </w:divBdr>
    </w:div>
    <w:div w:id="517619867">
      <w:bodyDiv w:val="1"/>
      <w:marLeft w:val="0"/>
      <w:marRight w:val="0"/>
      <w:marTop w:val="0"/>
      <w:marBottom w:val="0"/>
      <w:divBdr>
        <w:top w:val="none" w:sz="0" w:space="0" w:color="auto"/>
        <w:left w:val="none" w:sz="0" w:space="0" w:color="auto"/>
        <w:bottom w:val="none" w:sz="0" w:space="0" w:color="auto"/>
        <w:right w:val="none" w:sz="0" w:space="0" w:color="auto"/>
      </w:divBdr>
    </w:div>
    <w:div w:id="518277792">
      <w:bodyDiv w:val="1"/>
      <w:marLeft w:val="0"/>
      <w:marRight w:val="0"/>
      <w:marTop w:val="0"/>
      <w:marBottom w:val="0"/>
      <w:divBdr>
        <w:top w:val="none" w:sz="0" w:space="0" w:color="auto"/>
        <w:left w:val="none" w:sz="0" w:space="0" w:color="auto"/>
        <w:bottom w:val="none" w:sz="0" w:space="0" w:color="auto"/>
        <w:right w:val="none" w:sz="0" w:space="0" w:color="auto"/>
      </w:divBdr>
    </w:div>
    <w:div w:id="520096596">
      <w:bodyDiv w:val="1"/>
      <w:marLeft w:val="0"/>
      <w:marRight w:val="0"/>
      <w:marTop w:val="0"/>
      <w:marBottom w:val="0"/>
      <w:divBdr>
        <w:top w:val="none" w:sz="0" w:space="0" w:color="auto"/>
        <w:left w:val="none" w:sz="0" w:space="0" w:color="auto"/>
        <w:bottom w:val="none" w:sz="0" w:space="0" w:color="auto"/>
        <w:right w:val="none" w:sz="0" w:space="0" w:color="auto"/>
      </w:divBdr>
    </w:div>
    <w:div w:id="521358471">
      <w:bodyDiv w:val="1"/>
      <w:marLeft w:val="0"/>
      <w:marRight w:val="0"/>
      <w:marTop w:val="0"/>
      <w:marBottom w:val="0"/>
      <w:divBdr>
        <w:top w:val="none" w:sz="0" w:space="0" w:color="auto"/>
        <w:left w:val="none" w:sz="0" w:space="0" w:color="auto"/>
        <w:bottom w:val="none" w:sz="0" w:space="0" w:color="auto"/>
        <w:right w:val="none" w:sz="0" w:space="0" w:color="auto"/>
      </w:divBdr>
    </w:div>
    <w:div w:id="521554263">
      <w:bodyDiv w:val="1"/>
      <w:marLeft w:val="0"/>
      <w:marRight w:val="0"/>
      <w:marTop w:val="0"/>
      <w:marBottom w:val="0"/>
      <w:divBdr>
        <w:top w:val="none" w:sz="0" w:space="0" w:color="auto"/>
        <w:left w:val="none" w:sz="0" w:space="0" w:color="auto"/>
        <w:bottom w:val="none" w:sz="0" w:space="0" w:color="auto"/>
        <w:right w:val="none" w:sz="0" w:space="0" w:color="auto"/>
      </w:divBdr>
    </w:div>
    <w:div w:id="522205151">
      <w:bodyDiv w:val="1"/>
      <w:marLeft w:val="0"/>
      <w:marRight w:val="0"/>
      <w:marTop w:val="0"/>
      <w:marBottom w:val="0"/>
      <w:divBdr>
        <w:top w:val="none" w:sz="0" w:space="0" w:color="auto"/>
        <w:left w:val="none" w:sz="0" w:space="0" w:color="auto"/>
        <w:bottom w:val="none" w:sz="0" w:space="0" w:color="auto"/>
        <w:right w:val="none" w:sz="0" w:space="0" w:color="auto"/>
      </w:divBdr>
    </w:div>
    <w:div w:id="522597925">
      <w:bodyDiv w:val="1"/>
      <w:marLeft w:val="0"/>
      <w:marRight w:val="0"/>
      <w:marTop w:val="0"/>
      <w:marBottom w:val="0"/>
      <w:divBdr>
        <w:top w:val="none" w:sz="0" w:space="0" w:color="auto"/>
        <w:left w:val="none" w:sz="0" w:space="0" w:color="auto"/>
        <w:bottom w:val="none" w:sz="0" w:space="0" w:color="auto"/>
        <w:right w:val="none" w:sz="0" w:space="0" w:color="auto"/>
      </w:divBdr>
    </w:div>
    <w:div w:id="522675682">
      <w:bodyDiv w:val="1"/>
      <w:marLeft w:val="0"/>
      <w:marRight w:val="0"/>
      <w:marTop w:val="0"/>
      <w:marBottom w:val="0"/>
      <w:divBdr>
        <w:top w:val="none" w:sz="0" w:space="0" w:color="auto"/>
        <w:left w:val="none" w:sz="0" w:space="0" w:color="auto"/>
        <w:bottom w:val="none" w:sz="0" w:space="0" w:color="auto"/>
        <w:right w:val="none" w:sz="0" w:space="0" w:color="auto"/>
      </w:divBdr>
    </w:div>
    <w:div w:id="524370150">
      <w:bodyDiv w:val="1"/>
      <w:marLeft w:val="0"/>
      <w:marRight w:val="0"/>
      <w:marTop w:val="0"/>
      <w:marBottom w:val="0"/>
      <w:divBdr>
        <w:top w:val="none" w:sz="0" w:space="0" w:color="auto"/>
        <w:left w:val="none" w:sz="0" w:space="0" w:color="auto"/>
        <w:bottom w:val="none" w:sz="0" w:space="0" w:color="auto"/>
        <w:right w:val="none" w:sz="0" w:space="0" w:color="auto"/>
      </w:divBdr>
    </w:div>
    <w:div w:id="524750086">
      <w:bodyDiv w:val="1"/>
      <w:marLeft w:val="0"/>
      <w:marRight w:val="0"/>
      <w:marTop w:val="0"/>
      <w:marBottom w:val="0"/>
      <w:divBdr>
        <w:top w:val="none" w:sz="0" w:space="0" w:color="auto"/>
        <w:left w:val="none" w:sz="0" w:space="0" w:color="auto"/>
        <w:bottom w:val="none" w:sz="0" w:space="0" w:color="auto"/>
        <w:right w:val="none" w:sz="0" w:space="0" w:color="auto"/>
      </w:divBdr>
    </w:div>
    <w:div w:id="528689613">
      <w:bodyDiv w:val="1"/>
      <w:marLeft w:val="0"/>
      <w:marRight w:val="0"/>
      <w:marTop w:val="0"/>
      <w:marBottom w:val="0"/>
      <w:divBdr>
        <w:top w:val="none" w:sz="0" w:space="0" w:color="auto"/>
        <w:left w:val="none" w:sz="0" w:space="0" w:color="auto"/>
        <w:bottom w:val="none" w:sz="0" w:space="0" w:color="auto"/>
        <w:right w:val="none" w:sz="0" w:space="0" w:color="auto"/>
      </w:divBdr>
    </w:div>
    <w:div w:id="529799084">
      <w:bodyDiv w:val="1"/>
      <w:marLeft w:val="0"/>
      <w:marRight w:val="0"/>
      <w:marTop w:val="0"/>
      <w:marBottom w:val="0"/>
      <w:divBdr>
        <w:top w:val="none" w:sz="0" w:space="0" w:color="auto"/>
        <w:left w:val="none" w:sz="0" w:space="0" w:color="auto"/>
        <w:bottom w:val="none" w:sz="0" w:space="0" w:color="auto"/>
        <w:right w:val="none" w:sz="0" w:space="0" w:color="auto"/>
      </w:divBdr>
    </w:div>
    <w:div w:id="532575408">
      <w:bodyDiv w:val="1"/>
      <w:marLeft w:val="0"/>
      <w:marRight w:val="0"/>
      <w:marTop w:val="0"/>
      <w:marBottom w:val="0"/>
      <w:divBdr>
        <w:top w:val="none" w:sz="0" w:space="0" w:color="auto"/>
        <w:left w:val="none" w:sz="0" w:space="0" w:color="auto"/>
        <w:bottom w:val="none" w:sz="0" w:space="0" w:color="auto"/>
        <w:right w:val="none" w:sz="0" w:space="0" w:color="auto"/>
      </w:divBdr>
    </w:div>
    <w:div w:id="533736619">
      <w:bodyDiv w:val="1"/>
      <w:marLeft w:val="0"/>
      <w:marRight w:val="0"/>
      <w:marTop w:val="0"/>
      <w:marBottom w:val="0"/>
      <w:divBdr>
        <w:top w:val="none" w:sz="0" w:space="0" w:color="auto"/>
        <w:left w:val="none" w:sz="0" w:space="0" w:color="auto"/>
        <w:bottom w:val="none" w:sz="0" w:space="0" w:color="auto"/>
        <w:right w:val="none" w:sz="0" w:space="0" w:color="auto"/>
      </w:divBdr>
    </w:div>
    <w:div w:id="535704048">
      <w:bodyDiv w:val="1"/>
      <w:marLeft w:val="0"/>
      <w:marRight w:val="0"/>
      <w:marTop w:val="0"/>
      <w:marBottom w:val="0"/>
      <w:divBdr>
        <w:top w:val="none" w:sz="0" w:space="0" w:color="auto"/>
        <w:left w:val="none" w:sz="0" w:space="0" w:color="auto"/>
        <w:bottom w:val="none" w:sz="0" w:space="0" w:color="auto"/>
        <w:right w:val="none" w:sz="0" w:space="0" w:color="auto"/>
      </w:divBdr>
    </w:div>
    <w:div w:id="536238683">
      <w:bodyDiv w:val="1"/>
      <w:marLeft w:val="0"/>
      <w:marRight w:val="0"/>
      <w:marTop w:val="0"/>
      <w:marBottom w:val="0"/>
      <w:divBdr>
        <w:top w:val="none" w:sz="0" w:space="0" w:color="auto"/>
        <w:left w:val="none" w:sz="0" w:space="0" w:color="auto"/>
        <w:bottom w:val="none" w:sz="0" w:space="0" w:color="auto"/>
        <w:right w:val="none" w:sz="0" w:space="0" w:color="auto"/>
      </w:divBdr>
    </w:div>
    <w:div w:id="538975003">
      <w:bodyDiv w:val="1"/>
      <w:marLeft w:val="0"/>
      <w:marRight w:val="0"/>
      <w:marTop w:val="0"/>
      <w:marBottom w:val="0"/>
      <w:divBdr>
        <w:top w:val="none" w:sz="0" w:space="0" w:color="auto"/>
        <w:left w:val="none" w:sz="0" w:space="0" w:color="auto"/>
        <w:bottom w:val="none" w:sz="0" w:space="0" w:color="auto"/>
        <w:right w:val="none" w:sz="0" w:space="0" w:color="auto"/>
      </w:divBdr>
    </w:div>
    <w:div w:id="539124304">
      <w:bodyDiv w:val="1"/>
      <w:marLeft w:val="0"/>
      <w:marRight w:val="0"/>
      <w:marTop w:val="0"/>
      <w:marBottom w:val="0"/>
      <w:divBdr>
        <w:top w:val="none" w:sz="0" w:space="0" w:color="auto"/>
        <w:left w:val="none" w:sz="0" w:space="0" w:color="auto"/>
        <w:bottom w:val="none" w:sz="0" w:space="0" w:color="auto"/>
        <w:right w:val="none" w:sz="0" w:space="0" w:color="auto"/>
      </w:divBdr>
    </w:div>
    <w:div w:id="541408263">
      <w:bodyDiv w:val="1"/>
      <w:marLeft w:val="0"/>
      <w:marRight w:val="0"/>
      <w:marTop w:val="0"/>
      <w:marBottom w:val="0"/>
      <w:divBdr>
        <w:top w:val="none" w:sz="0" w:space="0" w:color="auto"/>
        <w:left w:val="none" w:sz="0" w:space="0" w:color="auto"/>
        <w:bottom w:val="none" w:sz="0" w:space="0" w:color="auto"/>
        <w:right w:val="none" w:sz="0" w:space="0" w:color="auto"/>
      </w:divBdr>
    </w:div>
    <w:div w:id="543248081">
      <w:bodyDiv w:val="1"/>
      <w:marLeft w:val="0"/>
      <w:marRight w:val="0"/>
      <w:marTop w:val="0"/>
      <w:marBottom w:val="0"/>
      <w:divBdr>
        <w:top w:val="none" w:sz="0" w:space="0" w:color="auto"/>
        <w:left w:val="none" w:sz="0" w:space="0" w:color="auto"/>
        <w:bottom w:val="none" w:sz="0" w:space="0" w:color="auto"/>
        <w:right w:val="none" w:sz="0" w:space="0" w:color="auto"/>
      </w:divBdr>
    </w:div>
    <w:div w:id="546376573">
      <w:bodyDiv w:val="1"/>
      <w:marLeft w:val="0"/>
      <w:marRight w:val="0"/>
      <w:marTop w:val="0"/>
      <w:marBottom w:val="0"/>
      <w:divBdr>
        <w:top w:val="none" w:sz="0" w:space="0" w:color="auto"/>
        <w:left w:val="none" w:sz="0" w:space="0" w:color="auto"/>
        <w:bottom w:val="none" w:sz="0" w:space="0" w:color="auto"/>
        <w:right w:val="none" w:sz="0" w:space="0" w:color="auto"/>
      </w:divBdr>
    </w:div>
    <w:div w:id="546382853">
      <w:bodyDiv w:val="1"/>
      <w:marLeft w:val="0"/>
      <w:marRight w:val="0"/>
      <w:marTop w:val="0"/>
      <w:marBottom w:val="0"/>
      <w:divBdr>
        <w:top w:val="none" w:sz="0" w:space="0" w:color="auto"/>
        <w:left w:val="none" w:sz="0" w:space="0" w:color="auto"/>
        <w:bottom w:val="none" w:sz="0" w:space="0" w:color="auto"/>
        <w:right w:val="none" w:sz="0" w:space="0" w:color="auto"/>
      </w:divBdr>
    </w:div>
    <w:div w:id="547843669">
      <w:bodyDiv w:val="1"/>
      <w:marLeft w:val="0"/>
      <w:marRight w:val="0"/>
      <w:marTop w:val="0"/>
      <w:marBottom w:val="0"/>
      <w:divBdr>
        <w:top w:val="none" w:sz="0" w:space="0" w:color="auto"/>
        <w:left w:val="none" w:sz="0" w:space="0" w:color="auto"/>
        <w:bottom w:val="none" w:sz="0" w:space="0" w:color="auto"/>
        <w:right w:val="none" w:sz="0" w:space="0" w:color="auto"/>
      </w:divBdr>
    </w:div>
    <w:div w:id="549999532">
      <w:bodyDiv w:val="1"/>
      <w:marLeft w:val="0"/>
      <w:marRight w:val="0"/>
      <w:marTop w:val="0"/>
      <w:marBottom w:val="0"/>
      <w:divBdr>
        <w:top w:val="none" w:sz="0" w:space="0" w:color="auto"/>
        <w:left w:val="none" w:sz="0" w:space="0" w:color="auto"/>
        <w:bottom w:val="none" w:sz="0" w:space="0" w:color="auto"/>
        <w:right w:val="none" w:sz="0" w:space="0" w:color="auto"/>
      </w:divBdr>
    </w:div>
    <w:div w:id="554508208">
      <w:bodyDiv w:val="1"/>
      <w:marLeft w:val="0"/>
      <w:marRight w:val="0"/>
      <w:marTop w:val="0"/>
      <w:marBottom w:val="0"/>
      <w:divBdr>
        <w:top w:val="none" w:sz="0" w:space="0" w:color="auto"/>
        <w:left w:val="none" w:sz="0" w:space="0" w:color="auto"/>
        <w:bottom w:val="none" w:sz="0" w:space="0" w:color="auto"/>
        <w:right w:val="none" w:sz="0" w:space="0" w:color="auto"/>
      </w:divBdr>
    </w:div>
    <w:div w:id="556553151">
      <w:bodyDiv w:val="1"/>
      <w:marLeft w:val="0"/>
      <w:marRight w:val="0"/>
      <w:marTop w:val="0"/>
      <w:marBottom w:val="0"/>
      <w:divBdr>
        <w:top w:val="none" w:sz="0" w:space="0" w:color="auto"/>
        <w:left w:val="none" w:sz="0" w:space="0" w:color="auto"/>
        <w:bottom w:val="none" w:sz="0" w:space="0" w:color="auto"/>
        <w:right w:val="none" w:sz="0" w:space="0" w:color="auto"/>
      </w:divBdr>
    </w:div>
    <w:div w:id="558133439">
      <w:bodyDiv w:val="1"/>
      <w:marLeft w:val="0"/>
      <w:marRight w:val="0"/>
      <w:marTop w:val="0"/>
      <w:marBottom w:val="0"/>
      <w:divBdr>
        <w:top w:val="none" w:sz="0" w:space="0" w:color="auto"/>
        <w:left w:val="none" w:sz="0" w:space="0" w:color="auto"/>
        <w:bottom w:val="none" w:sz="0" w:space="0" w:color="auto"/>
        <w:right w:val="none" w:sz="0" w:space="0" w:color="auto"/>
      </w:divBdr>
    </w:div>
    <w:div w:id="562983052">
      <w:bodyDiv w:val="1"/>
      <w:marLeft w:val="0"/>
      <w:marRight w:val="0"/>
      <w:marTop w:val="0"/>
      <w:marBottom w:val="0"/>
      <w:divBdr>
        <w:top w:val="none" w:sz="0" w:space="0" w:color="auto"/>
        <w:left w:val="none" w:sz="0" w:space="0" w:color="auto"/>
        <w:bottom w:val="none" w:sz="0" w:space="0" w:color="auto"/>
        <w:right w:val="none" w:sz="0" w:space="0" w:color="auto"/>
      </w:divBdr>
    </w:div>
    <w:div w:id="563564703">
      <w:bodyDiv w:val="1"/>
      <w:marLeft w:val="0"/>
      <w:marRight w:val="0"/>
      <w:marTop w:val="0"/>
      <w:marBottom w:val="0"/>
      <w:divBdr>
        <w:top w:val="none" w:sz="0" w:space="0" w:color="auto"/>
        <w:left w:val="none" w:sz="0" w:space="0" w:color="auto"/>
        <w:bottom w:val="none" w:sz="0" w:space="0" w:color="auto"/>
        <w:right w:val="none" w:sz="0" w:space="0" w:color="auto"/>
      </w:divBdr>
    </w:div>
    <w:div w:id="564488116">
      <w:bodyDiv w:val="1"/>
      <w:marLeft w:val="0"/>
      <w:marRight w:val="0"/>
      <w:marTop w:val="0"/>
      <w:marBottom w:val="0"/>
      <w:divBdr>
        <w:top w:val="none" w:sz="0" w:space="0" w:color="auto"/>
        <w:left w:val="none" w:sz="0" w:space="0" w:color="auto"/>
        <w:bottom w:val="none" w:sz="0" w:space="0" w:color="auto"/>
        <w:right w:val="none" w:sz="0" w:space="0" w:color="auto"/>
      </w:divBdr>
    </w:div>
    <w:div w:id="564948532">
      <w:bodyDiv w:val="1"/>
      <w:marLeft w:val="0"/>
      <w:marRight w:val="0"/>
      <w:marTop w:val="0"/>
      <w:marBottom w:val="0"/>
      <w:divBdr>
        <w:top w:val="none" w:sz="0" w:space="0" w:color="auto"/>
        <w:left w:val="none" w:sz="0" w:space="0" w:color="auto"/>
        <w:bottom w:val="none" w:sz="0" w:space="0" w:color="auto"/>
        <w:right w:val="none" w:sz="0" w:space="0" w:color="auto"/>
      </w:divBdr>
      <w:divsChild>
        <w:div w:id="157041856">
          <w:marLeft w:val="0"/>
          <w:marRight w:val="0"/>
          <w:marTop w:val="0"/>
          <w:marBottom w:val="0"/>
          <w:divBdr>
            <w:top w:val="none" w:sz="0" w:space="0" w:color="auto"/>
            <w:left w:val="none" w:sz="0" w:space="0" w:color="auto"/>
            <w:bottom w:val="none" w:sz="0" w:space="0" w:color="auto"/>
            <w:right w:val="none" w:sz="0" w:space="0" w:color="auto"/>
          </w:divBdr>
          <w:divsChild>
            <w:div w:id="1268778191">
              <w:marLeft w:val="0"/>
              <w:marRight w:val="0"/>
              <w:marTop w:val="0"/>
              <w:marBottom w:val="0"/>
              <w:divBdr>
                <w:top w:val="none" w:sz="0" w:space="0" w:color="auto"/>
                <w:left w:val="none" w:sz="0" w:space="0" w:color="auto"/>
                <w:bottom w:val="none" w:sz="0" w:space="0" w:color="auto"/>
                <w:right w:val="none" w:sz="0" w:space="0" w:color="auto"/>
              </w:divBdr>
              <w:divsChild>
                <w:div w:id="14814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7183">
          <w:marLeft w:val="0"/>
          <w:marRight w:val="0"/>
          <w:marTop w:val="0"/>
          <w:marBottom w:val="0"/>
          <w:divBdr>
            <w:top w:val="none" w:sz="0" w:space="0" w:color="auto"/>
            <w:left w:val="none" w:sz="0" w:space="0" w:color="auto"/>
            <w:bottom w:val="none" w:sz="0" w:space="0" w:color="auto"/>
            <w:right w:val="none" w:sz="0" w:space="0" w:color="auto"/>
          </w:divBdr>
          <w:divsChild>
            <w:div w:id="1209758577">
              <w:marLeft w:val="0"/>
              <w:marRight w:val="0"/>
              <w:marTop w:val="0"/>
              <w:marBottom w:val="0"/>
              <w:divBdr>
                <w:top w:val="none" w:sz="0" w:space="0" w:color="auto"/>
                <w:left w:val="none" w:sz="0" w:space="0" w:color="auto"/>
                <w:bottom w:val="none" w:sz="0" w:space="0" w:color="auto"/>
                <w:right w:val="none" w:sz="0" w:space="0" w:color="auto"/>
              </w:divBdr>
              <w:divsChild>
                <w:div w:id="333269956">
                  <w:marLeft w:val="0"/>
                  <w:marRight w:val="0"/>
                  <w:marTop w:val="0"/>
                  <w:marBottom w:val="0"/>
                  <w:divBdr>
                    <w:top w:val="none" w:sz="0" w:space="0" w:color="auto"/>
                    <w:left w:val="none" w:sz="0" w:space="0" w:color="auto"/>
                    <w:bottom w:val="none" w:sz="0" w:space="0" w:color="auto"/>
                    <w:right w:val="none" w:sz="0" w:space="0" w:color="auto"/>
                  </w:divBdr>
                  <w:divsChild>
                    <w:div w:id="20023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47536">
      <w:bodyDiv w:val="1"/>
      <w:marLeft w:val="0"/>
      <w:marRight w:val="0"/>
      <w:marTop w:val="0"/>
      <w:marBottom w:val="0"/>
      <w:divBdr>
        <w:top w:val="none" w:sz="0" w:space="0" w:color="auto"/>
        <w:left w:val="none" w:sz="0" w:space="0" w:color="auto"/>
        <w:bottom w:val="none" w:sz="0" w:space="0" w:color="auto"/>
        <w:right w:val="none" w:sz="0" w:space="0" w:color="auto"/>
      </w:divBdr>
    </w:div>
    <w:div w:id="566956954">
      <w:bodyDiv w:val="1"/>
      <w:marLeft w:val="0"/>
      <w:marRight w:val="0"/>
      <w:marTop w:val="0"/>
      <w:marBottom w:val="0"/>
      <w:divBdr>
        <w:top w:val="none" w:sz="0" w:space="0" w:color="auto"/>
        <w:left w:val="none" w:sz="0" w:space="0" w:color="auto"/>
        <w:bottom w:val="none" w:sz="0" w:space="0" w:color="auto"/>
        <w:right w:val="none" w:sz="0" w:space="0" w:color="auto"/>
      </w:divBdr>
    </w:div>
    <w:div w:id="568662437">
      <w:bodyDiv w:val="1"/>
      <w:marLeft w:val="0"/>
      <w:marRight w:val="0"/>
      <w:marTop w:val="0"/>
      <w:marBottom w:val="0"/>
      <w:divBdr>
        <w:top w:val="none" w:sz="0" w:space="0" w:color="auto"/>
        <w:left w:val="none" w:sz="0" w:space="0" w:color="auto"/>
        <w:bottom w:val="none" w:sz="0" w:space="0" w:color="auto"/>
        <w:right w:val="none" w:sz="0" w:space="0" w:color="auto"/>
      </w:divBdr>
    </w:div>
    <w:div w:id="569966698">
      <w:bodyDiv w:val="1"/>
      <w:marLeft w:val="0"/>
      <w:marRight w:val="0"/>
      <w:marTop w:val="0"/>
      <w:marBottom w:val="0"/>
      <w:divBdr>
        <w:top w:val="none" w:sz="0" w:space="0" w:color="auto"/>
        <w:left w:val="none" w:sz="0" w:space="0" w:color="auto"/>
        <w:bottom w:val="none" w:sz="0" w:space="0" w:color="auto"/>
        <w:right w:val="none" w:sz="0" w:space="0" w:color="auto"/>
      </w:divBdr>
    </w:div>
    <w:div w:id="570653748">
      <w:bodyDiv w:val="1"/>
      <w:marLeft w:val="0"/>
      <w:marRight w:val="0"/>
      <w:marTop w:val="0"/>
      <w:marBottom w:val="0"/>
      <w:divBdr>
        <w:top w:val="none" w:sz="0" w:space="0" w:color="auto"/>
        <w:left w:val="none" w:sz="0" w:space="0" w:color="auto"/>
        <w:bottom w:val="none" w:sz="0" w:space="0" w:color="auto"/>
        <w:right w:val="none" w:sz="0" w:space="0" w:color="auto"/>
      </w:divBdr>
    </w:div>
    <w:div w:id="574508028">
      <w:bodyDiv w:val="1"/>
      <w:marLeft w:val="0"/>
      <w:marRight w:val="0"/>
      <w:marTop w:val="0"/>
      <w:marBottom w:val="0"/>
      <w:divBdr>
        <w:top w:val="none" w:sz="0" w:space="0" w:color="auto"/>
        <w:left w:val="none" w:sz="0" w:space="0" w:color="auto"/>
        <w:bottom w:val="none" w:sz="0" w:space="0" w:color="auto"/>
        <w:right w:val="none" w:sz="0" w:space="0" w:color="auto"/>
      </w:divBdr>
    </w:div>
    <w:div w:id="575475763">
      <w:bodyDiv w:val="1"/>
      <w:marLeft w:val="0"/>
      <w:marRight w:val="0"/>
      <w:marTop w:val="0"/>
      <w:marBottom w:val="0"/>
      <w:divBdr>
        <w:top w:val="none" w:sz="0" w:space="0" w:color="auto"/>
        <w:left w:val="none" w:sz="0" w:space="0" w:color="auto"/>
        <w:bottom w:val="none" w:sz="0" w:space="0" w:color="auto"/>
        <w:right w:val="none" w:sz="0" w:space="0" w:color="auto"/>
      </w:divBdr>
      <w:divsChild>
        <w:div w:id="75782938">
          <w:marLeft w:val="0"/>
          <w:marRight w:val="0"/>
          <w:marTop w:val="0"/>
          <w:marBottom w:val="0"/>
          <w:divBdr>
            <w:top w:val="none" w:sz="0" w:space="0" w:color="auto"/>
            <w:left w:val="none" w:sz="0" w:space="0" w:color="auto"/>
            <w:bottom w:val="none" w:sz="0" w:space="0" w:color="auto"/>
            <w:right w:val="none" w:sz="0" w:space="0" w:color="auto"/>
          </w:divBdr>
        </w:div>
      </w:divsChild>
    </w:div>
    <w:div w:id="576355953">
      <w:bodyDiv w:val="1"/>
      <w:marLeft w:val="0"/>
      <w:marRight w:val="0"/>
      <w:marTop w:val="0"/>
      <w:marBottom w:val="0"/>
      <w:divBdr>
        <w:top w:val="none" w:sz="0" w:space="0" w:color="auto"/>
        <w:left w:val="none" w:sz="0" w:space="0" w:color="auto"/>
        <w:bottom w:val="none" w:sz="0" w:space="0" w:color="auto"/>
        <w:right w:val="none" w:sz="0" w:space="0" w:color="auto"/>
      </w:divBdr>
    </w:div>
    <w:div w:id="577524327">
      <w:bodyDiv w:val="1"/>
      <w:marLeft w:val="0"/>
      <w:marRight w:val="0"/>
      <w:marTop w:val="0"/>
      <w:marBottom w:val="0"/>
      <w:divBdr>
        <w:top w:val="none" w:sz="0" w:space="0" w:color="auto"/>
        <w:left w:val="none" w:sz="0" w:space="0" w:color="auto"/>
        <w:bottom w:val="none" w:sz="0" w:space="0" w:color="auto"/>
        <w:right w:val="none" w:sz="0" w:space="0" w:color="auto"/>
      </w:divBdr>
    </w:div>
    <w:div w:id="577784679">
      <w:bodyDiv w:val="1"/>
      <w:marLeft w:val="0"/>
      <w:marRight w:val="0"/>
      <w:marTop w:val="0"/>
      <w:marBottom w:val="0"/>
      <w:divBdr>
        <w:top w:val="none" w:sz="0" w:space="0" w:color="auto"/>
        <w:left w:val="none" w:sz="0" w:space="0" w:color="auto"/>
        <w:bottom w:val="none" w:sz="0" w:space="0" w:color="auto"/>
        <w:right w:val="none" w:sz="0" w:space="0" w:color="auto"/>
      </w:divBdr>
    </w:div>
    <w:div w:id="581452576">
      <w:bodyDiv w:val="1"/>
      <w:marLeft w:val="0"/>
      <w:marRight w:val="0"/>
      <w:marTop w:val="0"/>
      <w:marBottom w:val="0"/>
      <w:divBdr>
        <w:top w:val="none" w:sz="0" w:space="0" w:color="auto"/>
        <w:left w:val="none" w:sz="0" w:space="0" w:color="auto"/>
        <w:bottom w:val="none" w:sz="0" w:space="0" w:color="auto"/>
        <w:right w:val="none" w:sz="0" w:space="0" w:color="auto"/>
      </w:divBdr>
    </w:div>
    <w:div w:id="586039590">
      <w:bodyDiv w:val="1"/>
      <w:marLeft w:val="0"/>
      <w:marRight w:val="0"/>
      <w:marTop w:val="0"/>
      <w:marBottom w:val="0"/>
      <w:divBdr>
        <w:top w:val="none" w:sz="0" w:space="0" w:color="auto"/>
        <w:left w:val="none" w:sz="0" w:space="0" w:color="auto"/>
        <w:bottom w:val="none" w:sz="0" w:space="0" w:color="auto"/>
        <w:right w:val="none" w:sz="0" w:space="0" w:color="auto"/>
      </w:divBdr>
    </w:div>
    <w:div w:id="586352455">
      <w:bodyDiv w:val="1"/>
      <w:marLeft w:val="0"/>
      <w:marRight w:val="0"/>
      <w:marTop w:val="0"/>
      <w:marBottom w:val="0"/>
      <w:divBdr>
        <w:top w:val="none" w:sz="0" w:space="0" w:color="auto"/>
        <w:left w:val="none" w:sz="0" w:space="0" w:color="auto"/>
        <w:bottom w:val="none" w:sz="0" w:space="0" w:color="auto"/>
        <w:right w:val="none" w:sz="0" w:space="0" w:color="auto"/>
      </w:divBdr>
    </w:div>
    <w:div w:id="586772755">
      <w:bodyDiv w:val="1"/>
      <w:marLeft w:val="0"/>
      <w:marRight w:val="0"/>
      <w:marTop w:val="0"/>
      <w:marBottom w:val="0"/>
      <w:divBdr>
        <w:top w:val="none" w:sz="0" w:space="0" w:color="auto"/>
        <w:left w:val="none" w:sz="0" w:space="0" w:color="auto"/>
        <w:bottom w:val="none" w:sz="0" w:space="0" w:color="auto"/>
        <w:right w:val="none" w:sz="0" w:space="0" w:color="auto"/>
      </w:divBdr>
    </w:div>
    <w:div w:id="586841026">
      <w:bodyDiv w:val="1"/>
      <w:marLeft w:val="0"/>
      <w:marRight w:val="0"/>
      <w:marTop w:val="0"/>
      <w:marBottom w:val="0"/>
      <w:divBdr>
        <w:top w:val="none" w:sz="0" w:space="0" w:color="auto"/>
        <w:left w:val="none" w:sz="0" w:space="0" w:color="auto"/>
        <w:bottom w:val="none" w:sz="0" w:space="0" w:color="auto"/>
        <w:right w:val="none" w:sz="0" w:space="0" w:color="auto"/>
      </w:divBdr>
    </w:div>
    <w:div w:id="588122341">
      <w:bodyDiv w:val="1"/>
      <w:marLeft w:val="0"/>
      <w:marRight w:val="0"/>
      <w:marTop w:val="0"/>
      <w:marBottom w:val="0"/>
      <w:divBdr>
        <w:top w:val="none" w:sz="0" w:space="0" w:color="auto"/>
        <w:left w:val="none" w:sz="0" w:space="0" w:color="auto"/>
        <w:bottom w:val="none" w:sz="0" w:space="0" w:color="auto"/>
        <w:right w:val="none" w:sz="0" w:space="0" w:color="auto"/>
      </w:divBdr>
    </w:div>
    <w:div w:id="589582732">
      <w:bodyDiv w:val="1"/>
      <w:marLeft w:val="0"/>
      <w:marRight w:val="0"/>
      <w:marTop w:val="0"/>
      <w:marBottom w:val="0"/>
      <w:divBdr>
        <w:top w:val="none" w:sz="0" w:space="0" w:color="auto"/>
        <w:left w:val="none" w:sz="0" w:space="0" w:color="auto"/>
        <w:bottom w:val="none" w:sz="0" w:space="0" w:color="auto"/>
        <w:right w:val="none" w:sz="0" w:space="0" w:color="auto"/>
      </w:divBdr>
    </w:div>
    <w:div w:id="590772821">
      <w:bodyDiv w:val="1"/>
      <w:marLeft w:val="0"/>
      <w:marRight w:val="0"/>
      <w:marTop w:val="0"/>
      <w:marBottom w:val="0"/>
      <w:divBdr>
        <w:top w:val="none" w:sz="0" w:space="0" w:color="auto"/>
        <w:left w:val="none" w:sz="0" w:space="0" w:color="auto"/>
        <w:bottom w:val="none" w:sz="0" w:space="0" w:color="auto"/>
        <w:right w:val="none" w:sz="0" w:space="0" w:color="auto"/>
      </w:divBdr>
    </w:div>
    <w:div w:id="591204156">
      <w:bodyDiv w:val="1"/>
      <w:marLeft w:val="0"/>
      <w:marRight w:val="0"/>
      <w:marTop w:val="0"/>
      <w:marBottom w:val="0"/>
      <w:divBdr>
        <w:top w:val="none" w:sz="0" w:space="0" w:color="auto"/>
        <w:left w:val="none" w:sz="0" w:space="0" w:color="auto"/>
        <w:bottom w:val="none" w:sz="0" w:space="0" w:color="auto"/>
        <w:right w:val="none" w:sz="0" w:space="0" w:color="auto"/>
      </w:divBdr>
      <w:divsChild>
        <w:div w:id="1218858002">
          <w:marLeft w:val="480"/>
          <w:marRight w:val="0"/>
          <w:marTop w:val="0"/>
          <w:marBottom w:val="120"/>
          <w:divBdr>
            <w:top w:val="none" w:sz="0" w:space="0" w:color="auto"/>
            <w:left w:val="none" w:sz="0" w:space="0" w:color="auto"/>
            <w:bottom w:val="none" w:sz="0" w:space="0" w:color="auto"/>
            <w:right w:val="none" w:sz="0" w:space="0" w:color="auto"/>
          </w:divBdr>
        </w:div>
        <w:div w:id="1610043802">
          <w:marLeft w:val="480"/>
          <w:marRight w:val="0"/>
          <w:marTop w:val="0"/>
          <w:marBottom w:val="120"/>
          <w:divBdr>
            <w:top w:val="none" w:sz="0" w:space="0" w:color="auto"/>
            <w:left w:val="none" w:sz="0" w:space="0" w:color="auto"/>
            <w:bottom w:val="none" w:sz="0" w:space="0" w:color="auto"/>
            <w:right w:val="none" w:sz="0" w:space="0" w:color="auto"/>
          </w:divBdr>
        </w:div>
      </w:divsChild>
    </w:div>
    <w:div w:id="591477916">
      <w:bodyDiv w:val="1"/>
      <w:marLeft w:val="0"/>
      <w:marRight w:val="0"/>
      <w:marTop w:val="0"/>
      <w:marBottom w:val="0"/>
      <w:divBdr>
        <w:top w:val="none" w:sz="0" w:space="0" w:color="auto"/>
        <w:left w:val="none" w:sz="0" w:space="0" w:color="auto"/>
        <w:bottom w:val="none" w:sz="0" w:space="0" w:color="auto"/>
        <w:right w:val="none" w:sz="0" w:space="0" w:color="auto"/>
      </w:divBdr>
    </w:div>
    <w:div w:id="591742777">
      <w:bodyDiv w:val="1"/>
      <w:marLeft w:val="0"/>
      <w:marRight w:val="0"/>
      <w:marTop w:val="0"/>
      <w:marBottom w:val="0"/>
      <w:divBdr>
        <w:top w:val="none" w:sz="0" w:space="0" w:color="auto"/>
        <w:left w:val="none" w:sz="0" w:space="0" w:color="auto"/>
        <w:bottom w:val="none" w:sz="0" w:space="0" w:color="auto"/>
        <w:right w:val="none" w:sz="0" w:space="0" w:color="auto"/>
      </w:divBdr>
    </w:div>
    <w:div w:id="593247416">
      <w:bodyDiv w:val="1"/>
      <w:marLeft w:val="0"/>
      <w:marRight w:val="0"/>
      <w:marTop w:val="0"/>
      <w:marBottom w:val="0"/>
      <w:divBdr>
        <w:top w:val="none" w:sz="0" w:space="0" w:color="auto"/>
        <w:left w:val="none" w:sz="0" w:space="0" w:color="auto"/>
        <w:bottom w:val="none" w:sz="0" w:space="0" w:color="auto"/>
        <w:right w:val="none" w:sz="0" w:space="0" w:color="auto"/>
      </w:divBdr>
    </w:div>
    <w:div w:id="593826395">
      <w:bodyDiv w:val="1"/>
      <w:marLeft w:val="0"/>
      <w:marRight w:val="0"/>
      <w:marTop w:val="0"/>
      <w:marBottom w:val="0"/>
      <w:divBdr>
        <w:top w:val="none" w:sz="0" w:space="0" w:color="auto"/>
        <w:left w:val="none" w:sz="0" w:space="0" w:color="auto"/>
        <w:bottom w:val="none" w:sz="0" w:space="0" w:color="auto"/>
        <w:right w:val="none" w:sz="0" w:space="0" w:color="auto"/>
      </w:divBdr>
      <w:divsChild>
        <w:div w:id="48847355">
          <w:marLeft w:val="0"/>
          <w:marRight w:val="0"/>
          <w:marTop w:val="0"/>
          <w:marBottom w:val="0"/>
          <w:divBdr>
            <w:top w:val="none" w:sz="0" w:space="0" w:color="auto"/>
            <w:left w:val="none" w:sz="0" w:space="0" w:color="auto"/>
            <w:bottom w:val="none" w:sz="0" w:space="0" w:color="auto"/>
            <w:right w:val="none" w:sz="0" w:space="0" w:color="auto"/>
          </w:divBdr>
          <w:divsChild>
            <w:div w:id="837428146">
              <w:marLeft w:val="0"/>
              <w:marRight w:val="0"/>
              <w:marTop w:val="0"/>
              <w:marBottom w:val="0"/>
              <w:divBdr>
                <w:top w:val="none" w:sz="0" w:space="0" w:color="auto"/>
                <w:left w:val="none" w:sz="0" w:space="0" w:color="auto"/>
                <w:bottom w:val="none" w:sz="0" w:space="0" w:color="auto"/>
                <w:right w:val="none" w:sz="0" w:space="0" w:color="auto"/>
              </w:divBdr>
              <w:divsChild>
                <w:div w:id="536892216">
                  <w:marLeft w:val="0"/>
                  <w:marRight w:val="0"/>
                  <w:marTop w:val="0"/>
                  <w:marBottom w:val="0"/>
                  <w:divBdr>
                    <w:top w:val="none" w:sz="0" w:space="0" w:color="auto"/>
                    <w:left w:val="none" w:sz="0" w:space="0" w:color="auto"/>
                    <w:bottom w:val="none" w:sz="0" w:space="0" w:color="auto"/>
                    <w:right w:val="none" w:sz="0" w:space="0" w:color="auto"/>
                  </w:divBdr>
                  <w:divsChild>
                    <w:div w:id="8785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83189">
          <w:marLeft w:val="0"/>
          <w:marRight w:val="0"/>
          <w:marTop w:val="0"/>
          <w:marBottom w:val="0"/>
          <w:divBdr>
            <w:top w:val="none" w:sz="0" w:space="0" w:color="auto"/>
            <w:left w:val="none" w:sz="0" w:space="0" w:color="auto"/>
            <w:bottom w:val="none" w:sz="0" w:space="0" w:color="auto"/>
            <w:right w:val="none" w:sz="0" w:space="0" w:color="auto"/>
          </w:divBdr>
          <w:divsChild>
            <w:div w:id="730692844">
              <w:marLeft w:val="0"/>
              <w:marRight w:val="0"/>
              <w:marTop w:val="0"/>
              <w:marBottom w:val="0"/>
              <w:divBdr>
                <w:top w:val="none" w:sz="0" w:space="0" w:color="auto"/>
                <w:left w:val="none" w:sz="0" w:space="0" w:color="auto"/>
                <w:bottom w:val="none" w:sz="0" w:space="0" w:color="auto"/>
                <w:right w:val="none" w:sz="0" w:space="0" w:color="auto"/>
              </w:divBdr>
              <w:divsChild>
                <w:div w:id="1166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0823">
      <w:bodyDiv w:val="1"/>
      <w:marLeft w:val="0"/>
      <w:marRight w:val="0"/>
      <w:marTop w:val="0"/>
      <w:marBottom w:val="0"/>
      <w:divBdr>
        <w:top w:val="none" w:sz="0" w:space="0" w:color="auto"/>
        <w:left w:val="none" w:sz="0" w:space="0" w:color="auto"/>
        <w:bottom w:val="none" w:sz="0" w:space="0" w:color="auto"/>
        <w:right w:val="none" w:sz="0" w:space="0" w:color="auto"/>
      </w:divBdr>
      <w:divsChild>
        <w:div w:id="1183935407">
          <w:marLeft w:val="0"/>
          <w:marRight w:val="0"/>
          <w:marTop w:val="0"/>
          <w:marBottom w:val="0"/>
          <w:divBdr>
            <w:top w:val="none" w:sz="0" w:space="0" w:color="auto"/>
            <w:left w:val="none" w:sz="0" w:space="0" w:color="auto"/>
            <w:bottom w:val="none" w:sz="0" w:space="0" w:color="auto"/>
            <w:right w:val="none" w:sz="0" w:space="0" w:color="auto"/>
          </w:divBdr>
          <w:divsChild>
            <w:div w:id="199318326">
              <w:marLeft w:val="0"/>
              <w:marRight w:val="0"/>
              <w:marTop w:val="0"/>
              <w:marBottom w:val="0"/>
              <w:divBdr>
                <w:top w:val="none" w:sz="0" w:space="0" w:color="auto"/>
                <w:left w:val="none" w:sz="0" w:space="0" w:color="auto"/>
                <w:bottom w:val="none" w:sz="0" w:space="0" w:color="auto"/>
                <w:right w:val="none" w:sz="0" w:space="0" w:color="auto"/>
              </w:divBdr>
              <w:divsChild>
                <w:div w:id="1720089078">
                  <w:marLeft w:val="0"/>
                  <w:marRight w:val="0"/>
                  <w:marTop w:val="0"/>
                  <w:marBottom w:val="0"/>
                  <w:divBdr>
                    <w:top w:val="none" w:sz="0" w:space="0" w:color="auto"/>
                    <w:left w:val="none" w:sz="0" w:space="0" w:color="auto"/>
                    <w:bottom w:val="none" w:sz="0" w:space="0" w:color="auto"/>
                    <w:right w:val="none" w:sz="0" w:space="0" w:color="auto"/>
                  </w:divBdr>
                  <w:divsChild>
                    <w:div w:id="15789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84432">
          <w:marLeft w:val="0"/>
          <w:marRight w:val="0"/>
          <w:marTop w:val="0"/>
          <w:marBottom w:val="0"/>
          <w:divBdr>
            <w:top w:val="none" w:sz="0" w:space="0" w:color="auto"/>
            <w:left w:val="none" w:sz="0" w:space="0" w:color="auto"/>
            <w:bottom w:val="none" w:sz="0" w:space="0" w:color="auto"/>
            <w:right w:val="none" w:sz="0" w:space="0" w:color="auto"/>
          </w:divBdr>
          <w:divsChild>
            <w:div w:id="588856216">
              <w:marLeft w:val="0"/>
              <w:marRight w:val="0"/>
              <w:marTop w:val="0"/>
              <w:marBottom w:val="0"/>
              <w:divBdr>
                <w:top w:val="none" w:sz="0" w:space="0" w:color="auto"/>
                <w:left w:val="none" w:sz="0" w:space="0" w:color="auto"/>
                <w:bottom w:val="none" w:sz="0" w:space="0" w:color="auto"/>
                <w:right w:val="none" w:sz="0" w:space="0" w:color="auto"/>
              </w:divBdr>
              <w:divsChild>
                <w:div w:id="137573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71762">
      <w:bodyDiv w:val="1"/>
      <w:marLeft w:val="0"/>
      <w:marRight w:val="0"/>
      <w:marTop w:val="0"/>
      <w:marBottom w:val="0"/>
      <w:divBdr>
        <w:top w:val="none" w:sz="0" w:space="0" w:color="auto"/>
        <w:left w:val="none" w:sz="0" w:space="0" w:color="auto"/>
        <w:bottom w:val="none" w:sz="0" w:space="0" w:color="auto"/>
        <w:right w:val="none" w:sz="0" w:space="0" w:color="auto"/>
      </w:divBdr>
    </w:div>
    <w:div w:id="596599828">
      <w:bodyDiv w:val="1"/>
      <w:marLeft w:val="0"/>
      <w:marRight w:val="0"/>
      <w:marTop w:val="0"/>
      <w:marBottom w:val="0"/>
      <w:divBdr>
        <w:top w:val="none" w:sz="0" w:space="0" w:color="auto"/>
        <w:left w:val="none" w:sz="0" w:space="0" w:color="auto"/>
        <w:bottom w:val="none" w:sz="0" w:space="0" w:color="auto"/>
        <w:right w:val="none" w:sz="0" w:space="0" w:color="auto"/>
      </w:divBdr>
    </w:div>
    <w:div w:id="597296358">
      <w:bodyDiv w:val="1"/>
      <w:marLeft w:val="0"/>
      <w:marRight w:val="0"/>
      <w:marTop w:val="0"/>
      <w:marBottom w:val="0"/>
      <w:divBdr>
        <w:top w:val="none" w:sz="0" w:space="0" w:color="auto"/>
        <w:left w:val="none" w:sz="0" w:space="0" w:color="auto"/>
        <w:bottom w:val="none" w:sz="0" w:space="0" w:color="auto"/>
        <w:right w:val="none" w:sz="0" w:space="0" w:color="auto"/>
      </w:divBdr>
    </w:div>
    <w:div w:id="598100272">
      <w:bodyDiv w:val="1"/>
      <w:marLeft w:val="0"/>
      <w:marRight w:val="0"/>
      <w:marTop w:val="0"/>
      <w:marBottom w:val="0"/>
      <w:divBdr>
        <w:top w:val="none" w:sz="0" w:space="0" w:color="auto"/>
        <w:left w:val="none" w:sz="0" w:space="0" w:color="auto"/>
        <w:bottom w:val="none" w:sz="0" w:space="0" w:color="auto"/>
        <w:right w:val="none" w:sz="0" w:space="0" w:color="auto"/>
      </w:divBdr>
    </w:div>
    <w:div w:id="598221779">
      <w:bodyDiv w:val="1"/>
      <w:marLeft w:val="0"/>
      <w:marRight w:val="0"/>
      <w:marTop w:val="0"/>
      <w:marBottom w:val="0"/>
      <w:divBdr>
        <w:top w:val="none" w:sz="0" w:space="0" w:color="auto"/>
        <w:left w:val="none" w:sz="0" w:space="0" w:color="auto"/>
        <w:bottom w:val="none" w:sz="0" w:space="0" w:color="auto"/>
        <w:right w:val="none" w:sz="0" w:space="0" w:color="auto"/>
      </w:divBdr>
    </w:div>
    <w:div w:id="599096942">
      <w:bodyDiv w:val="1"/>
      <w:marLeft w:val="0"/>
      <w:marRight w:val="0"/>
      <w:marTop w:val="0"/>
      <w:marBottom w:val="0"/>
      <w:divBdr>
        <w:top w:val="none" w:sz="0" w:space="0" w:color="auto"/>
        <w:left w:val="none" w:sz="0" w:space="0" w:color="auto"/>
        <w:bottom w:val="none" w:sz="0" w:space="0" w:color="auto"/>
        <w:right w:val="none" w:sz="0" w:space="0" w:color="auto"/>
      </w:divBdr>
    </w:div>
    <w:div w:id="602037991">
      <w:bodyDiv w:val="1"/>
      <w:marLeft w:val="0"/>
      <w:marRight w:val="0"/>
      <w:marTop w:val="0"/>
      <w:marBottom w:val="0"/>
      <w:divBdr>
        <w:top w:val="none" w:sz="0" w:space="0" w:color="auto"/>
        <w:left w:val="none" w:sz="0" w:space="0" w:color="auto"/>
        <w:bottom w:val="none" w:sz="0" w:space="0" w:color="auto"/>
        <w:right w:val="none" w:sz="0" w:space="0" w:color="auto"/>
      </w:divBdr>
    </w:div>
    <w:div w:id="602686533">
      <w:bodyDiv w:val="1"/>
      <w:marLeft w:val="0"/>
      <w:marRight w:val="0"/>
      <w:marTop w:val="0"/>
      <w:marBottom w:val="0"/>
      <w:divBdr>
        <w:top w:val="none" w:sz="0" w:space="0" w:color="auto"/>
        <w:left w:val="none" w:sz="0" w:space="0" w:color="auto"/>
        <w:bottom w:val="none" w:sz="0" w:space="0" w:color="auto"/>
        <w:right w:val="none" w:sz="0" w:space="0" w:color="auto"/>
      </w:divBdr>
    </w:div>
    <w:div w:id="603226005">
      <w:bodyDiv w:val="1"/>
      <w:marLeft w:val="0"/>
      <w:marRight w:val="0"/>
      <w:marTop w:val="0"/>
      <w:marBottom w:val="0"/>
      <w:divBdr>
        <w:top w:val="none" w:sz="0" w:space="0" w:color="auto"/>
        <w:left w:val="none" w:sz="0" w:space="0" w:color="auto"/>
        <w:bottom w:val="none" w:sz="0" w:space="0" w:color="auto"/>
        <w:right w:val="none" w:sz="0" w:space="0" w:color="auto"/>
      </w:divBdr>
    </w:div>
    <w:div w:id="603347020">
      <w:bodyDiv w:val="1"/>
      <w:marLeft w:val="0"/>
      <w:marRight w:val="0"/>
      <w:marTop w:val="0"/>
      <w:marBottom w:val="0"/>
      <w:divBdr>
        <w:top w:val="none" w:sz="0" w:space="0" w:color="auto"/>
        <w:left w:val="none" w:sz="0" w:space="0" w:color="auto"/>
        <w:bottom w:val="none" w:sz="0" w:space="0" w:color="auto"/>
        <w:right w:val="none" w:sz="0" w:space="0" w:color="auto"/>
      </w:divBdr>
    </w:div>
    <w:div w:id="605041706">
      <w:bodyDiv w:val="1"/>
      <w:marLeft w:val="0"/>
      <w:marRight w:val="0"/>
      <w:marTop w:val="0"/>
      <w:marBottom w:val="0"/>
      <w:divBdr>
        <w:top w:val="none" w:sz="0" w:space="0" w:color="auto"/>
        <w:left w:val="none" w:sz="0" w:space="0" w:color="auto"/>
        <w:bottom w:val="none" w:sz="0" w:space="0" w:color="auto"/>
        <w:right w:val="none" w:sz="0" w:space="0" w:color="auto"/>
      </w:divBdr>
    </w:div>
    <w:div w:id="605233537">
      <w:bodyDiv w:val="1"/>
      <w:marLeft w:val="0"/>
      <w:marRight w:val="0"/>
      <w:marTop w:val="0"/>
      <w:marBottom w:val="0"/>
      <w:divBdr>
        <w:top w:val="none" w:sz="0" w:space="0" w:color="auto"/>
        <w:left w:val="none" w:sz="0" w:space="0" w:color="auto"/>
        <w:bottom w:val="none" w:sz="0" w:space="0" w:color="auto"/>
        <w:right w:val="none" w:sz="0" w:space="0" w:color="auto"/>
      </w:divBdr>
    </w:div>
    <w:div w:id="608053923">
      <w:bodyDiv w:val="1"/>
      <w:marLeft w:val="0"/>
      <w:marRight w:val="0"/>
      <w:marTop w:val="0"/>
      <w:marBottom w:val="0"/>
      <w:divBdr>
        <w:top w:val="none" w:sz="0" w:space="0" w:color="auto"/>
        <w:left w:val="none" w:sz="0" w:space="0" w:color="auto"/>
        <w:bottom w:val="none" w:sz="0" w:space="0" w:color="auto"/>
        <w:right w:val="none" w:sz="0" w:space="0" w:color="auto"/>
      </w:divBdr>
    </w:div>
    <w:div w:id="609363810">
      <w:bodyDiv w:val="1"/>
      <w:marLeft w:val="0"/>
      <w:marRight w:val="0"/>
      <w:marTop w:val="0"/>
      <w:marBottom w:val="0"/>
      <w:divBdr>
        <w:top w:val="none" w:sz="0" w:space="0" w:color="auto"/>
        <w:left w:val="none" w:sz="0" w:space="0" w:color="auto"/>
        <w:bottom w:val="none" w:sz="0" w:space="0" w:color="auto"/>
        <w:right w:val="none" w:sz="0" w:space="0" w:color="auto"/>
      </w:divBdr>
    </w:div>
    <w:div w:id="611129718">
      <w:bodyDiv w:val="1"/>
      <w:marLeft w:val="0"/>
      <w:marRight w:val="0"/>
      <w:marTop w:val="0"/>
      <w:marBottom w:val="0"/>
      <w:divBdr>
        <w:top w:val="none" w:sz="0" w:space="0" w:color="auto"/>
        <w:left w:val="none" w:sz="0" w:space="0" w:color="auto"/>
        <w:bottom w:val="none" w:sz="0" w:space="0" w:color="auto"/>
        <w:right w:val="none" w:sz="0" w:space="0" w:color="auto"/>
      </w:divBdr>
    </w:div>
    <w:div w:id="614753323">
      <w:bodyDiv w:val="1"/>
      <w:marLeft w:val="0"/>
      <w:marRight w:val="0"/>
      <w:marTop w:val="0"/>
      <w:marBottom w:val="0"/>
      <w:divBdr>
        <w:top w:val="none" w:sz="0" w:space="0" w:color="auto"/>
        <w:left w:val="none" w:sz="0" w:space="0" w:color="auto"/>
        <w:bottom w:val="none" w:sz="0" w:space="0" w:color="auto"/>
        <w:right w:val="none" w:sz="0" w:space="0" w:color="auto"/>
      </w:divBdr>
    </w:div>
    <w:div w:id="619343855">
      <w:bodyDiv w:val="1"/>
      <w:marLeft w:val="0"/>
      <w:marRight w:val="0"/>
      <w:marTop w:val="0"/>
      <w:marBottom w:val="0"/>
      <w:divBdr>
        <w:top w:val="none" w:sz="0" w:space="0" w:color="auto"/>
        <w:left w:val="none" w:sz="0" w:space="0" w:color="auto"/>
        <w:bottom w:val="none" w:sz="0" w:space="0" w:color="auto"/>
        <w:right w:val="none" w:sz="0" w:space="0" w:color="auto"/>
      </w:divBdr>
    </w:div>
    <w:div w:id="620192812">
      <w:bodyDiv w:val="1"/>
      <w:marLeft w:val="0"/>
      <w:marRight w:val="0"/>
      <w:marTop w:val="0"/>
      <w:marBottom w:val="0"/>
      <w:divBdr>
        <w:top w:val="none" w:sz="0" w:space="0" w:color="auto"/>
        <w:left w:val="none" w:sz="0" w:space="0" w:color="auto"/>
        <w:bottom w:val="none" w:sz="0" w:space="0" w:color="auto"/>
        <w:right w:val="none" w:sz="0" w:space="0" w:color="auto"/>
      </w:divBdr>
    </w:div>
    <w:div w:id="621113361">
      <w:bodyDiv w:val="1"/>
      <w:marLeft w:val="0"/>
      <w:marRight w:val="0"/>
      <w:marTop w:val="0"/>
      <w:marBottom w:val="0"/>
      <w:divBdr>
        <w:top w:val="none" w:sz="0" w:space="0" w:color="auto"/>
        <w:left w:val="none" w:sz="0" w:space="0" w:color="auto"/>
        <w:bottom w:val="none" w:sz="0" w:space="0" w:color="auto"/>
        <w:right w:val="none" w:sz="0" w:space="0" w:color="auto"/>
      </w:divBdr>
    </w:div>
    <w:div w:id="625358571">
      <w:bodyDiv w:val="1"/>
      <w:marLeft w:val="0"/>
      <w:marRight w:val="0"/>
      <w:marTop w:val="0"/>
      <w:marBottom w:val="0"/>
      <w:divBdr>
        <w:top w:val="none" w:sz="0" w:space="0" w:color="auto"/>
        <w:left w:val="none" w:sz="0" w:space="0" w:color="auto"/>
        <w:bottom w:val="none" w:sz="0" w:space="0" w:color="auto"/>
        <w:right w:val="none" w:sz="0" w:space="0" w:color="auto"/>
      </w:divBdr>
    </w:div>
    <w:div w:id="628979141">
      <w:bodyDiv w:val="1"/>
      <w:marLeft w:val="0"/>
      <w:marRight w:val="0"/>
      <w:marTop w:val="0"/>
      <w:marBottom w:val="0"/>
      <w:divBdr>
        <w:top w:val="none" w:sz="0" w:space="0" w:color="auto"/>
        <w:left w:val="none" w:sz="0" w:space="0" w:color="auto"/>
        <w:bottom w:val="none" w:sz="0" w:space="0" w:color="auto"/>
        <w:right w:val="none" w:sz="0" w:space="0" w:color="auto"/>
      </w:divBdr>
      <w:divsChild>
        <w:div w:id="88043261">
          <w:marLeft w:val="0"/>
          <w:marRight w:val="0"/>
          <w:marTop w:val="166"/>
          <w:marBottom w:val="166"/>
          <w:divBdr>
            <w:top w:val="none" w:sz="0" w:space="0" w:color="auto"/>
            <w:left w:val="none" w:sz="0" w:space="0" w:color="auto"/>
            <w:bottom w:val="none" w:sz="0" w:space="0" w:color="auto"/>
            <w:right w:val="none" w:sz="0" w:space="0" w:color="auto"/>
          </w:divBdr>
        </w:div>
        <w:div w:id="1978531999">
          <w:marLeft w:val="0"/>
          <w:marRight w:val="0"/>
          <w:marTop w:val="166"/>
          <w:marBottom w:val="166"/>
          <w:divBdr>
            <w:top w:val="none" w:sz="0" w:space="0" w:color="auto"/>
            <w:left w:val="none" w:sz="0" w:space="0" w:color="auto"/>
            <w:bottom w:val="none" w:sz="0" w:space="0" w:color="auto"/>
            <w:right w:val="none" w:sz="0" w:space="0" w:color="auto"/>
          </w:divBdr>
        </w:div>
        <w:div w:id="1348171628">
          <w:marLeft w:val="0"/>
          <w:marRight w:val="0"/>
          <w:marTop w:val="166"/>
          <w:marBottom w:val="166"/>
          <w:divBdr>
            <w:top w:val="none" w:sz="0" w:space="0" w:color="auto"/>
            <w:left w:val="none" w:sz="0" w:space="0" w:color="auto"/>
            <w:bottom w:val="none" w:sz="0" w:space="0" w:color="auto"/>
            <w:right w:val="none" w:sz="0" w:space="0" w:color="auto"/>
          </w:divBdr>
        </w:div>
      </w:divsChild>
    </w:div>
    <w:div w:id="631908284">
      <w:bodyDiv w:val="1"/>
      <w:marLeft w:val="0"/>
      <w:marRight w:val="0"/>
      <w:marTop w:val="0"/>
      <w:marBottom w:val="0"/>
      <w:divBdr>
        <w:top w:val="none" w:sz="0" w:space="0" w:color="auto"/>
        <w:left w:val="none" w:sz="0" w:space="0" w:color="auto"/>
        <w:bottom w:val="none" w:sz="0" w:space="0" w:color="auto"/>
        <w:right w:val="none" w:sz="0" w:space="0" w:color="auto"/>
      </w:divBdr>
    </w:div>
    <w:div w:id="638413684">
      <w:bodyDiv w:val="1"/>
      <w:marLeft w:val="0"/>
      <w:marRight w:val="0"/>
      <w:marTop w:val="0"/>
      <w:marBottom w:val="0"/>
      <w:divBdr>
        <w:top w:val="none" w:sz="0" w:space="0" w:color="auto"/>
        <w:left w:val="none" w:sz="0" w:space="0" w:color="auto"/>
        <w:bottom w:val="none" w:sz="0" w:space="0" w:color="auto"/>
        <w:right w:val="none" w:sz="0" w:space="0" w:color="auto"/>
      </w:divBdr>
    </w:div>
    <w:div w:id="638461623">
      <w:bodyDiv w:val="1"/>
      <w:marLeft w:val="0"/>
      <w:marRight w:val="0"/>
      <w:marTop w:val="0"/>
      <w:marBottom w:val="0"/>
      <w:divBdr>
        <w:top w:val="none" w:sz="0" w:space="0" w:color="auto"/>
        <w:left w:val="none" w:sz="0" w:space="0" w:color="auto"/>
        <w:bottom w:val="none" w:sz="0" w:space="0" w:color="auto"/>
        <w:right w:val="none" w:sz="0" w:space="0" w:color="auto"/>
      </w:divBdr>
    </w:div>
    <w:div w:id="638612486">
      <w:bodyDiv w:val="1"/>
      <w:marLeft w:val="0"/>
      <w:marRight w:val="0"/>
      <w:marTop w:val="0"/>
      <w:marBottom w:val="0"/>
      <w:divBdr>
        <w:top w:val="none" w:sz="0" w:space="0" w:color="auto"/>
        <w:left w:val="none" w:sz="0" w:space="0" w:color="auto"/>
        <w:bottom w:val="none" w:sz="0" w:space="0" w:color="auto"/>
        <w:right w:val="none" w:sz="0" w:space="0" w:color="auto"/>
      </w:divBdr>
    </w:div>
    <w:div w:id="642076252">
      <w:bodyDiv w:val="1"/>
      <w:marLeft w:val="0"/>
      <w:marRight w:val="0"/>
      <w:marTop w:val="0"/>
      <w:marBottom w:val="0"/>
      <w:divBdr>
        <w:top w:val="none" w:sz="0" w:space="0" w:color="auto"/>
        <w:left w:val="none" w:sz="0" w:space="0" w:color="auto"/>
        <w:bottom w:val="none" w:sz="0" w:space="0" w:color="auto"/>
        <w:right w:val="none" w:sz="0" w:space="0" w:color="auto"/>
      </w:divBdr>
    </w:div>
    <w:div w:id="644941893">
      <w:bodyDiv w:val="1"/>
      <w:marLeft w:val="0"/>
      <w:marRight w:val="0"/>
      <w:marTop w:val="0"/>
      <w:marBottom w:val="0"/>
      <w:divBdr>
        <w:top w:val="none" w:sz="0" w:space="0" w:color="auto"/>
        <w:left w:val="none" w:sz="0" w:space="0" w:color="auto"/>
        <w:bottom w:val="none" w:sz="0" w:space="0" w:color="auto"/>
        <w:right w:val="none" w:sz="0" w:space="0" w:color="auto"/>
      </w:divBdr>
    </w:div>
    <w:div w:id="649871068">
      <w:bodyDiv w:val="1"/>
      <w:marLeft w:val="0"/>
      <w:marRight w:val="0"/>
      <w:marTop w:val="0"/>
      <w:marBottom w:val="0"/>
      <w:divBdr>
        <w:top w:val="none" w:sz="0" w:space="0" w:color="auto"/>
        <w:left w:val="none" w:sz="0" w:space="0" w:color="auto"/>
        <w:bottom w:val="none" w:sz="0" w:space="0" w:color="auto"/>
        <w:right w:val="none" w:sz="0" w:space="0" w:color="auto"/>
      </w:divBdr>
    </w:div>
    <w:div w:id="653142649">
      <w:bodyDiv w:val="1"/>
      <w:marLeft w:val="0"/>
      <w:marRight w:val="0"/>
      <w:marTop w:val="0"/>
      <w:marBottom w:val="0"/>
      <w:divBdr>
        <w:top w:val="none" w:sz="0" w:space="0" w:color="auto"/>
        <w:left w:val="none" w:sz="0" w:space="0" w:color="auto"/>
        <w:bottom w:val="none" w:sz="0" w:space="0" w:color="auto"/>
        <w:right w:val="none" w:sz="0" w:space="0" w:color="auto"/>
      </w:divBdr>
    </w:div>
    <w:div w:id="657805488">
      <w:bodyDiv w:val="1"/>
      <w:marLeft w:val="0"/>
      <w:marRight w:val="0"/>
      <w:marTop w:val="0"/>
      <w:marBottom w:val="0"/>
      <w:divBdr>
        <w:top w:val="none" w:sz="0" w:space="0" w:color="auto"/>
        <w:left w:val="none" w:sz="0" w:space="0" w:color="auto"/>
        <w:bottom w:val="none" w:sz="0" w:space="0" w:color="auto"/>
        <w:right w:val="none" w:sz="0" w:space="0" w:color="auto"/>
      </w:divBdr>
    </w:div>
    <w:div w:id="658582019">
      <w:bodyDiv w:val="1"/>
      <w:marLeft w:val="0"/>
      <w:marRight w:val="0"/>
      <w:marTop w:val="0"/>
      <w:marBottom w:val="0"/>
      <w:divBdr>
        <w:top w:val="none" w:sz="0" w:space="0" w:color="auto"/>
        <w:left w:val="none" w:sz="0" w:space="0" w:color="auto"/>
        <w:bottom w:val="none" w:sz="0" w:space="0" w:color="auto"/>
        <w:right w:val="none" w:sz="0" w:space="0" w:color="auto"/>
      </w:divBdr>
    </w:div>
    <w:div w:id="658924924">
      <w:bodyDiv w:val="1"/>
      <w:marLeft w:val="0"/>
      <w:marRight w:val="0"/>
      <w:marTop w:val="0"/>
      <w:marBottom w:val="0"/>
      <w:divBdr>
        <w:top w:val="none" w:sz="0" w:space="0" w:color="auto"/>
        <w:left w:val="none" w:sz="0" w:space="0" w:color="auto"/>
        <w:bottom w:val="none" w:sz="0" w:space="0" w:color="auto"/>
        <w:right w:val="none" w:sz="0" w:space="0" w:color="auto"/>
      </w:divBdr>
      <w:divsChild>
        <w:div w:id="33430648">
          <w:marLeft w:val="0"/>
          <w:marRight w:val="0"/>
          <w:marTop w:val="0"/>
          <w:marBottom w:val="0"/>
          <w:divBdr>
            <w:top w:val="none" w:sz="0" w:space="0" w:color="auto"/>
            <w:left w:val="none" w:sz="0" w:space="0" w:color="auto"/>
            <w:bottom w:val="none" w:sz="0" w:space="0" w:color="auto"/>
            <w:right w:val="none" w:sz="0" w:space="0" w:color="auto"/>
          </w:divBdr>
          <w:divsChild>
            <w:div w:id="152110654">
              <w:marLeft w:val="0"/>
              <w:marRight w:val="0"/>
              <w:marTop w:val="0"/>
              <w:marBottom w:val="0"/>
              <w:divBdr>
                <w:top w:val="none" w:sz="0" w:space="0" w:color="auto"/>
                <w:left w:val="none" w:sz="0" w:space="0" w:color="auto"/>
                <w:bottom w:val="none" w:sz="0" w:space="0" w:color="auto"/>
                <w:right w:val="none" w:sz="0" w:space="0" w:color="auto"/>
              </w:divBdr>
              <w:divsChild>
                <w:div w:id="10562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5479">
          <w:marLeft w:val="0"/>
          <w:marRight w:val="0"/>
          <w:marTop w:val="0"/>
          <w:marBottom w:val="0"/>
          <w:divBdr>
            <w:top w:val="none" w:sz="0" w:space="0" w:color="auto"/>
            <w:left w:val="none" w:sz="0" w:space="0" w:color="auto"/>
            <w:bottom w:val="none" w:sz="0" w:space="0" w:color="auto"/>
            <w:right w:val="none" w:sz="0" w:space="0" w:color="auto"/>
          </w:divBdr>
          <w:divsChild>
            <w:div w:id="1151294524">
              <w:marLeft w:val="0"/>
              <w:marRight w:val="0"/>
              <w:marTop w:val="0"/>
              <w:marBottom w:val="0"/>
              <w:divBdr>
                <w:top w:val="none" w:sz="0" w:space="0" w:color="auto"/>
                <w:left w:val="none" w:sz="0" w:space="0" w:color="auto"/>
                <w:bottom w:val="none" w:sz="0" w:space="0" w:color="auto"/>
                <w:right w:val="none" w:sz="0" w:space="0" w:color="auto"/>
              </w:divBdr>
              <w:divsChild>
                <w:div w:id="1006787168">
                  <w:marLeft w:val="0"/>
                  <w:marRight w:val="0"/>
                  <w:marTop w:val="0"/>
                  <w:marBottom w:val="0"/>
                  <w:divBdr>
                    <w:top w:val="none" w:sz="0" w:space="0" w:color="auto"/>
                    <w:left w:val="none" w:sz="0" w:space="0" w:color="auto"/>
                    <w:bottom w:val="none" w:sz="0" w:space="0" w:color="auto"/>
                    <w:right w:val="none" w:sz="0" w:space="0" w:color="auto"/>
                  </w:divBdr>
                  <w:divsChild>
                    <w:div w:id="96685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9488">
      <w:bodyDiv w:val="1"/>
      <w:marLeft w:val="0"/>
      <w:marRight w:val="0"/>
      <w:marTop w:val="0"/>
      <w:marBottom w:val="0"/>
      <w:divBdr>
        <w:top w:val="none" w:sz="0" w:space="0" w:color="auto"/>
        <w:left w:val="none" w:sz="0" w:space="0" w:color="auto"/>
        <w:bottom w:val="none" w:sz="0" w:space="0" w:color="auto"/>
        <w:right w:val="none" w:sz="0" w:space="0" w:color="auto"/>
      </w:divBdr>
    </w:div>
    <w:div w:id="661934775">
      <w:bodyDiv w:val="1"/>
      <w:marLeft w:val="0"/>
      <w:marRight w:val="0"/>
      <w:marTop w:val="0"/>
      <w:marBottom w:val="0"/>
      <w:divBdr>
        <w:top w:val="none" w:sz="0" w:space="0" w:color="auto"/>
        <w:left w:val="none" w:sz="0" w:space="0" w:color="auto"/>
        <w:bottom w:val="none" w:sz="0" w:space="0" w:color="auto"/>
        <w:right w:val="none" w:sz="0" w:space="0" w:color="auto"/>
      </w:divBdr>
    </w:div>
    <w:div w:id="662009687">
      <w:bodyDiv w:val="1"/>
      <w:marLeft w:val="0"/>
      <w:marRight w:val="0"/>
      <w:marTop w:val="0"/>
      <w:marBottom w:val="0"/>
      <w:divBdr>
        <w:top w:val="none" w:sz="0" w:space="0" w:color="auto"/>
        <w:left w:val="none" w:sz="0" w:space="0" w:color="auto"/>
        <w:bottom w:val="none" w:sz="0" w:space="0" w:color="auto"/>
        <w:right w:val="none" w:sz="0" w:space="0" w:color="auto"/>
      </w:divBdr>
    </w:div>
    <w:div w:id="667294296">
      <w:bodyDiv w:val="1"/>
      <w:marLeft w:val="0"/>
      <w:marRight w:val="0"/>
      <w:marTop w:val="0"/>
      <w:marBottom w:val="0"/>
      <w:divBdr>
        <w:top w:val="none" w:sz="0" w:space="0" w:color="auto"/>
        <w:left w:val="none" w:sz="0" w:space="0" w:color="auto"/>
        <w:bottom w:val="none" w:sz="0" w:space="0" w:color="auto"/>
        <w:right w:val="none" w:sz="0" w:space="0" w:color="auto"/>
      </w:divBdr>
    </w:div>
    <w:div w:id="667906949">
      <w:bodyDiv w:val="1"/>
      <w:marLeft w:val="0"/>
      <w:marRight w:val="0"/>
      <w:marTop w:val="0"/>
      <w:marBottom w:val="0"/>
      <w:divBdr>
        <w:top w:val="none" w:sz="0" w:space="0" w:color="auto"/>
        <w:left w:val="none" w:sz="0" w:space="0" w:color="auto"/>
        <w:bottom w:val="none" w:sz="0" w:space="0" w:color="auto"/>
        <w:right w:val="none" w:sz="0" w:space="0" w:color="auto"/>
      </w:divBdr>
    </w:div>
    <w:div w:id="667943689">
      <w:bodyDiv w:val="1"/>
      <w:marLeft w:val="0"/>
      <w:marRight w:val="0"/>
      <w:marTop w:val="0"/>
      <w:marBottom w:val="0"/>
      <w:divBdr>
        <w:top w:val="none" w:sz="0" w:space="0" w:color="auto"/>
        <w:left w:val="none" w:sz="0" w:space="0" w:color="auto"/>
        <w:bottom w:val="none" w:sz="0" w:space="0" w:color="auto"/>
        <w:right w:val="none" w:sz="0" w:space="0" w:color="auto"/>
      </w:divBdr>
    </w:div>
    <w:div w:id="668676607">
      <w:bodyDiv w:val="1"/>
      <w:marLeft w:val="0"/>
      <w:marRight w:val="0"/>
      <w:marTop w:val="0"/>
      <w:marBottom w:val="0"/>
      <w:divBdr>
        <w:top w:val="none" w:sz="0" w:space="0" w:color="auto"/>
        <w:left w:val="none" w:sz="0" w:space="0" w:color="auto"/>
        <w:bottom w:val="none" w:sz="0" w:space="0" w:color="auto"/>
        <w:right w:val="none" w:sz="0" w:space="0" w:color="auto"/>
      </w:divBdr>
    </w:div>
    <w:div w:id="668798709">
      <w:bodyDiv w:val="1"/>
      <w:marLeft w:val="0"/>
      <w:marRight w:val="0"/>
      <w:marTop w:val="0"/>
      <w:marBottom w:val="0"/>
      <w:divBdr>
        <w:top w:val="none" w:sz="0" w:space="0" w:color="auto"/>
        <w:left w:val="none" w:sz="0" w:space="0" w:color="auto"/>
        <w:bottom w:val="none" w:sz="0" w:space="0" w:color="auto"/>
        <w:right w:val="none" w:sz="0" w:space="0" w:color="auto"/>
      </w:divBdr>
    </w:div>
    <w:div w:id="677972691">
      <w:bodyDiv w:val="1"/>
      <w:marLeft w:val="0"/>
      <w:marRight w:val="0"/>
      <w:marTop w:val="0"/>
      <w:marBottom w:val="0"/>
      <w:divBdr>
        <w:top w:val="none" w:sz="0" w:space="0" w:color="auto"/>
        <w:left w:val="none" w:sz="0" w:space="0" w:color="auto"/>
        <w:bottom w:val="none" w:sz="0" w:space="0" w:color="auto"/>
        <w:right w:val="none" w:sz="0" w:space="0" w:color="auto"/>
      </w:divBdr>
    </w:div>
    <w:div w:id="679357688">
      <w:bodyDiv w:val="1"/>
      <w:marLeft w:val="0"/>
      <w:marRight w:val="0"/>
      <w:marTop w:val="0"/>
      <w:marBottom w:val="0"/>
      <w:divBdr>
        <w:top w:val="none" w:sz="0" w:space="0" w:color="auto"/>
        <w:left w:val="none" w:sz="0" w:space="0" w:color="auto"/>
        <w:bottom w:val="none" w:sz="0" w:space="0" w:color="auto"/>
        <w:right w:val="none" w:sz="0" w:space="0" w:color="auto"/>
      </w:divBdr>
    </w:div>
    <w:div w:id="682051131">
      <w:bodyDiv w:val="1"/>
      <w:marLeft w:val="0"/>
      <w:marRight w:val="0"/>
      <w:marTop w:val="0"/>
      <w:marBottom w:val="0"/>
      <w:divBdr>
        <w:top w:val="none" w:sz="0" w:space="0" w:color="auto"/>
        <w:left w:val="none" w:sz="0" w:space="0" w:color="auto"/>
        <w:bottom w:val="none" w:sz="0" w:space="0" w:color="auto"/>
        <w:right w:val="none" w:sz="0" w:space="0" w:color="auto"/>
      </w:divBdr>
    </w:div>
    <w:div w:id="684212741">
      <w:bodyDiv w:val="1"/>
      <w:marLeft w:val="0"/>
      <w:marRight w:val="0"/>
      <w:marTop w:val="0"/>
      <w:marBottom w:val="0"/>
      <w:divBdr>
        <w:top w:val="none" w:sz="0" w:space="0" w:color="auto"/>
        <w:left w:val="none" w:sz="0" w:space="0" w:color="auto"/>
        <w:bottom w:val="none" w:sz="0" w:space="0" w:color="auto"/>
        <w:right w:val="none" w:sz="0" w:space="0" w:color="auto"/>
      </w:divBdr>
    </w:div>
    <w:div w:id="684937735">
      <w:bodyDiv w:val="1"/>
      <w:marLeft w:val="0"/>
      <w:marRight w:val="0"/>
      <w:marTop w:val="0"/>
      <w:marBottom w:val="0"/>
      <w:divBdr>
        <w:top w:val="none" w:sz="0" w:space="0" w:color="auto"/>
        <w:left w:val="none" w:sz="0" w:space="0" w:color="auto"/>
        <w:bottom w:val="none" w:sz="0" w:space="0" w:color="auto"/>
        <w:right w:val="none" w:sz="0" w:space="0" w:color="auto"/>
      </w:divBdr>
    </w:div>
    <w:div w:id="686252163">
      <w:bodyDiv w:val="1"/>
      <w:marLeft w:val="0"/>
      <w:marRight w:val="0"/>
      <w:marTop w:val="0"/>
      <w:marBottom w:val="0"/>
      <w:divBdr>
        <w:top w:val="none" w:sz="0" w:space="0" w:color="auto"/>
        <w:left w:val="none" w:sz="0" w:space="0" w:color="auto"/>
        <w:bottom w:val="none" w:sz="0" w:space="0" w:color="auto"/>
        <w:right w:val="none" w:sz="0" w:space="0" w:color="auto"/>
      </w:divBdr>
    </w:div>
    <w:div w:id="687171875">
      <w:bodyDiv w:val="1"/>
      <w:marLeft w:val="0"/>
      <w:marRight w:val="0"/>
      <w:marTop w:val="0"/>
      <w:marBottom w:val="0"/>
      <w:divBdr>
        <w:top w:val="none" w:sz="0" w:space="0" w:color="auto"/>
        <w:left w:val="none" w:sz="0" w:space="0" w:color="auto"/>
        <w:bottom w:val="none" w:sz="0" w:space="0" w:color="auto"/>
        <w:right w:val="none" w:sz="0" w:space="0" w:color="auto"/>
      </w:divBdr>
    </w:div>
    <w:div w:id="688410680">
      <w:bodyDiv w:val="1"/>
      <w:marLeft w:val="0"/>
      <w:marRight w:val="0"/>
      <w:marTop w:val="0"/>
      <w:marBottom w:val="0"/>
      <w:divBdr>
        <w:top w:val="none" w:sz="0" w:space="0" w:color="auto"/>
        <w:left w:val="none" w:sz="0" w:space="0" w:color="auto"/>
        <w:bottom w:val="none" w:sz="0" w:space="0" w:color="auto"/>
        <w:right w:val="none" w:sz="0" w:space="0" w:color="auto"/>
      </w:divBdr>
    </w:div>
    <w:div w:id="689525935">
      <w:bodyDiv w:val="1"/>
      <w:marLeft w:val="0"/>
      <w:marRight w:val="0"/>
      <w:marTop w:val="0"/>
      <w:marBottom w:val="0"/>
      <w:divBdr>
        <w:top w:val="none" w:sz="0" w:space="0" w:color="auto"/>
        <w:left w:val="none" w:sz="0" w:space="0" w:color="auto"/>
        <w:bottom w:val="none" w:sz="0" w:space="0" w:color="auto"/>
        <w:right w:val="none" w:sz="0" w:space="0" w:color="auto"/>
      </w:divBdr>
    </w:div>
    <w:div w:id="690230024">
      <w:bodyDiv w:val="1"/>
      <w:marLeft w:val="0"/>
      <w:marRight w:val="0"/>
      <w:marTop w:val="0"/>
      <w:marBottom w:val="0"/>
      <w:divBdr>
        <w:top w:val="none" w:sz="0" w:space="0" w:color="auto"/>
        <w:left w:val="none" w:sz="0" w:space="0" w:color="auto"/>
        <w:bottom w:val="none" w:sz="0" w:space="0" w:color="auto"/>
        <w:right w:val="none" w:sz="0" w:space="0" w:color="auto"/>
      </w:divBdr>
    </w:div>
    <w:div w:id="690566915">
      <w:bodyDiv w:val="1"/>
      <w:marLeft w:val="0"/>
      <w:marRight w:val="0"/>
      <w:marTop w:val="0"/>
      <w:marBottom w:val="0"/>
      <w:divBdr>
        <w:top w:val="none" w:sz="0" w:space="0" w:color="auto"/>
        <w:left w:val="none" w:sz="0" w:space="0" w:color="auto"/>
        <w:bottom w:val="none" w:sz="0" w:space="0" w:color="auto"/>
        <w:right w:val="none" w:sz="0" w:space="0" w:color="auto"/>
      </w:divBdr>
    </w:div>
    <w:div w:id="692000732">
      <w:bodyDiv w:val="1"/>
      <w:marLeft w:val="0"/>
      <w:marRight w:val="0"/>
      <w:marTop w:val="0"/>
      <w:marBottom w:val="0"/>
      <w:divBdr>
        <w:top w:val="none" w:sz="0" w:space="0" w:color="auto"/>
        <w:left w:val="none" w:sz="0" w:space="0" w:color="auto"/>
        <w:bottom w:val="none" w:sz="0" w:space="0" w:color="auto"/>
        <w:right w:val="none" w:sz="0" w:space="0" w:color="auto"/>
      </w:divBdr>
    </w:div>
    <w:div w:id="693189599">
      <w:bodyDiv w:val="1"/>
      <w:marLeft w:val="0"/>
      <w:marRight w:val="0"/>
      <w:marTop w:val="0"/>
      <w:marBottom w:val="0"/>
      <w:divBdr>
        <w:top w:val="none" w:sz="0" w:space="0" w:color="auto"/>
        <w:left w:val="none" w:sz="0" w:space="0" w:color="auto"/>
        <w:bottom w:val="none" w:sz="0" w:space="0" w:color="auto"/>
        <w:right w:val="none" w:sz="0" w:space="0" w:color="auto"/>
      </w:divBdr>
    </w:div>
    <w:div w:id="694036254">
      <w:bodyDiv w:val="1"/>
      <w:marLeft w:val="0"/>
      <w:marRight w:val="0"/>
      <w:marTop w:val="0"/>
      <w:marBottom w:val="0"/>
      <w:divBdr>
        <w:top w:val="none" w:sz="0" w:space="0" w:color="auto"/>
        <w:left w:val="none" w:sz="0" w:space="0" w:color="auto"/>
        <w:bottom w:val="none" w:sz="0" w:space="0" w:color="auto"/>
        <w:right w:val="none" w:sz="0" w:space="0" w:color="auto"/>
      </w:divBdr>
    </w:div>
    <w:div w:id="696352692">
      <w:bodyDiv w:val="1"/>
      <w:marLeft w:val="0"/>
      <w:marRight w:val="0"/>
      <w:marTop w:val="0"/>
      <w:marBottom w:val="0"/>
      <w:divBdr>
        <w:top w:val="none" w:sz="0" w:space="0" w:color="auto"/>
        <w:left w:val="none" w:sz="0" w:space="0" w:color="auto"/>
        <w:bottom w:val="none" w:sz="0" w:space="0" w:color="auto"/>
        <w:right w:val="none" w:sz="0" w:space="0" w:color="auto"/>
      </w:divBdr>
    </w:div>
    <w:div w:id="698900274">
      <w:bodyDiv w:val="1"/>
      <w:marLeft w:val="0"/>
      <w:marRight w:val="0"/>
      <w:marTop w:val="0"/>
      <w:marBottom w:val="0"/>
      <w:divBdr>
        <w:top w:val="none" w:sz="0" w:space="0" w:color="auto"/>
        <w:left w:val="none" w:sz="0" w:space="0" w:color="auto"/>
        <w:bottom w:val="none" w:sz="0" w:space="0" w:color="auto"/>
        <w:right w:val="none" w:sz="0" w:space="0" w:color="auto"/>
      </w:divBdr>
    </w:div>
    <w:div w:id="699353954">
      <w:bodyDiv w:val="1"/>
      <w:marLeft w:val="0"/>
      <w:marRight w:val="0"/>
      <w:marTop w:val="0"/>
      <w:marBottom w:val="0"/>
      <w:divBdr>
        <w:top w:val="none" w:sz="0" w:space="0" w:color="auto"/>
        <w:left w:val="none" w:sz="0" w:space="0" w:color="auto"/>
        <w:bottom w:val="none" w:sz="0" w:space="0" w:color="auto"/>
        <w:right w:val="none" w:sz="0" w:space="0" w:color="auto"/>
      </w:divBdr>
      <w:divsChild>
        <w:div w:id="1035351973">
          <w:marLeft w:val="480"/>
          <w:marRight w:val="0"/>
          <w:marTop w:val="0"/>
          <w:marBottom w:val="120"/>
          <w:divBdr>
            <w:top w:val="none" w:sz="0" w:space="0" w:color="auto"/>
            <w:left w:val="none" w:sz="0" w:space="0" w:color="auto"/>
            <w:bottom w:val="none" w:sz="0" w:space="0" w:color="auto"/>
            <w:right w:val="none" w:sz="0" w:space="0" w:color="auto"/>
          </w:divBdr>
        </w:div>
        <w:div w:id="1457944454">
          <w:marLeft w:val="480"/>
          <w:marRight w:val="0"/>
          <w:marTop w:val="0"/>
          <w:marBottom w:val="120"/>
          <w:divBdr>
            <w:top w:val="none" w:sz="0" w:space="0" w:color="auto"/>
            <w:left w:val="none" w:sz="0" w:space="0" w:color="auto"/>
            <w:bottom w:val="none" w:sz="0" w:space="0" w:color="auto"/>
            <w:right w:val="none" w:sz="0" w:space="0" w:color="auto"/>
          </w:divBdr>
        </w:div>
        <w:div w:id="78915881">
          <w:marLeft w:val="480"/>
          <w:marRight w:val="0"/>
          <w:marTop w:val="0"/>
          <w:marBottom w:val="120"/>
          <w:divBdr>
            <w:top w:val="none" w:sz="0" w:space="0" w:color="auto"/>
            <w:left w:val="none" w:sz="0" w:space="0" w:color="auto"/>
            <w:bottom w:val="none" w:sz="0" w:space="0" w:color="auto"/>
            <w:right w:val="none" w:sz="0" w:space="0" w:color="auto"/>
          </w:divBdr>
        </w:div>
      </w:divsChild>
    </w:div>
    <w:div w:id="700982013">
      <w:bodyDiv w:val="1"/>
      <w:marLeft w:val="0"/>
      <w:marRight w:val="0"/>
      <w:marTop w:val="0"/>
      <w:marBottom w:val="0"/>
      <w:divBdr>
        <w:top w:val="none" w:sz="0" w:space="0" w:color="auto"/>
        <w:left w:val="none" w:sz="0" w:space="0" w:color="auto"/>
        <w:bottom w:val="none" w:sz="0" w:space="0" w:color="auto"/>
        <w:right w:val="none" w:sz="0" w:space="0" w:color="auto"/>
      </w:divBdr>
    </w:div>
    <w:div w:id="702442343">
      <w:bodyDiv w:val="1"/>
      <w:marLeft w:val="0"/>
      <w:marRight w:val="0"/>
      <w:marTop w:val="0"/>
      <w:marBottom w:val="0"/>
      <w:divBdr>
        <w:top w:val="none" w:sz="0" w:space="0" w:color="auto"/>
        <w:left w:val="none" w:sz="0" w:space="0" w:color="auto"/>
        <w:bottom w:val="none" w:sz="0" w:space="0" w:color="auto"/>
        <w:right w:val="none" w:sz="0" w:space="0" w:color="auto"/>
      </w:divBdr>
    </w:div>
    <w:div w:id="702752937">
      <w:bodyDiv w:val="1"/>
      <w:marLeft w:val="0"/>
      <w:marRight w:val="0"/>
      <w:marTop w:val="0"/>
      <w:marBottom w:val="0"/>
      <w:divBdr>
        <w:top w:val="none" w:sz="0" w:space="0" w:color="auto"/>
        <w:left w:val="none" w:sz="0" w:space="0" w:color="auto"/>
        <w:bottom w:val="none" w:sz="0" w:space="0" w:color="auto"/>
        <w:right w:val="none" w:sz="0" w:space="0" w:color="auto"/>
      </w:divBdr>
    </w:div>
    <w:div w:id="702897672">
      <w:bodyDiv w:val="1"/>
      <w:marLeft w:val="0"/>
      <w:marRight w:val="0"/>
      <w:marTop w:val="0"/>
      <w:marBottom w:val="0"/>
      <w:divBdr>
        <w:top w:val="none" w:sz="0" w:space="0" w:color="auto"/>
        <w:left w:val="none" w:sz="0" w:space="0" w:color="auto"/>
        <w:bottom w:val="none" w:sz="0" w:space="0" w:color="auto"/>
        <w:right w:val="none" w:sz="0" w:space="0" w:color="auto"/>
      </w:divBdr>
    </w:div>
    <w:div w:id="702898668">
      <w:bodyDiv w:val="1"/>
      <w:marLeft w:val="0"/>
      <w:marRight w:val="0"/>
      <w:marTop w:val="0"/>
      <w:marBottom w:val="0"/>
      <w:divBdr>
        <w:top w:val="none" w:sz="0" w:space="0" w:color="auto"/>
        <w:left w:val="none" w:sz="0" w:space="0" w:color="auto"/>
        <w:bottom w:val="none" w:sz="0" w:space="0" w:color="auto"/>
        <w:right w:val="none" w:sz="0" w:space="0" w:color="auto"/>
      </w:divBdr>
    </w:div>
    <w:div w:id="703478586">
      <w:bodyDiv w:val="1"/>
      <w:marLeft w:val="0"/>
      <w:marRight w:val="0"/>
      <w:marTop w:val="0"/>
      <w:marBottom w:val="0"/>
      <w:divBdr>
        <w:top w:val="none" w:sz="0" w:space="0" w:color="auto"/>
        <w:left w:val="none" w:sz="0" w:space="0" w:color="auto"/>
        <w:bottom w:val="none" w:sz="0" w:space="0" w:color="auto"/>
        <w:right w:val="none" w:sz="0" w:space="0" w:color="auto"/>
      </w:divBdr>
    </w:div>
    <w:div w:id="704403249">
      <w:bodyDiv w:val="1"/>
      <w:marLeft w:val="0"/>
      <w:marRight w:val="0"/>
      <w:marTop w:val="0"/>
      <w:marBottom w:val="0"/>
      <w:divBdr>
        <w:top w:val="none" w:sz="0" w:space="0" w:color="auto"/>
        <w:left w:val="none" w:sz="0" w:space="0" w:color="auto"/>
        <w:bottom w:val="none" w:sz="0" w:space="0" w:color="auto"/>
        <w:right w:val="none" w:sz="0" w:space="0" w:color="auto"/>
      </w:divBdr>
    </w:div>
    <w:div w:id="711271362">
      <w:bodyDiv w:val="1"/>
      <w:marLeft w:val="0"/>
      <w:marRight w:val="0"/>
      <w:marTop w:val="0"/>
      <w:marBottom w:val="0"/>
      <w:divBdr>
        <w:top w:val="none" w:sz="0" w:space="0" w:color="auto"/>
        <w:left w:val="none" w:sz="0" w:space="0" w:color="auto"/>
        <w:bottom w:val="none" w:sz="0" w:space="0" w:color="auto"/>
        <w:right w:val="none" w:sz="0" w:space="0" w:color="auto"/>
      </w:divBdr>
    </w:div>
    <w:div w:id="711810207">
      <w:bodyDiv w:val="1"/>
      <w:marLeft w:val="0"/>
      <w:marRight w:val="0"/>
      <w:marTop w:val="0"/>
      <w:marBottom w:val="0"/>
      <w:divBdr>
        <w:top w:val="none" w:sz="0" w:space="0" w:color="auto"/>
        <w:left w:val="none" w:sz="0" w:space="0" w:color="auto"/>
        <w:bottom w:val="none" w:sz="0" w:space="0" w:color="auto"/>
        <w:right w:val="none" w:sz="0" w:space="0" w:color="auto"/>
      </w:divBdr>
    </w:div>
    <w:div w:id="713769241">
      <w:bodyDiv w:val="1"/>
      <w:marLeft w:val="0"/>
      <w:marRight w:val="0"/>
      <w:marTop w:val="0"/>
      <w:marBottom w:val="0"/>
      <w:divBdr>
        <w:top w:val="none" w:sz="0" w:space="0" w:color="auto"/>
        <w:left w:val="none" w:sz="0" w:space="0" w:color="auto"/>
        <w:bottom w:val="none" w:sz="0" w:space="0" w:color="auto"/>
        <w:right w:val="none" w:sz="0" w:space="0" w:color="auto"/>
      </w:divBdr>
    </w:div>
    <w:div w:id="715659370">
      <w:bodyDiv w:val="1"/>
      <w:marLeft w:val="0"/>
      <w:marRight w:val="0"/>
      <w:marTop w:val="0"/>
      <w:marBottom w:val="0"/>
      <w:divBdr>
        <w:top w:val="none" w:sz="0" w:space="0" w:color="auto"/>
        <w:left w:val="none" w:sz="0" w:space="0" w:color="auto"/>
        <w:bottom w:val="none" w:sz="0" w:space="0" w:color="auto"/>
        <w:right w:val="none" w:sz="0" w:space="0" w:color="auto"/>
      </w:divBdr>
    </w:div>
    <w:div w:id="717362964">
      <w:bodyDiv w:val="1"/>
      <w:marLeft w:val="0"/>
      <w:marRight w:val="0"/>
      <w:marTop w:val="0"/>
      <w:marBottom w:val="0"/>
      <w:divBdr>
        <w:top w:val="none" w:sz="0" w:space="0" w:color="auto"/>
        <w:left w:val="none" w:sz="0" w:space="0" w:color="auto"/>
        <w:bottom w:val="none" w:sz="0" w:space="0" w:color="auto"/>
        <w:right w:val="none" w:sz="0" w:space="0" w:color="auto"/>
      </w:divBdr>
      <w:divsChild>
        <w:div w:id="750351696">
          <w:marLeft w:val="0"/>
          <w:marRight w:val="0"/>
          <w:marTop w:val="0"/>
          <w:marBottom w:val="0"/>
          <w:divBdr>
            <w:top w:val="none" w:sz="0" w:space="0" w:color="auto"/>
            <w:left w:val="none" w:sz="0" w:space="0" w:color="auto"/>
            <w:bottom w:val="none" w:sz="0" w:space="0" w:color="auto"/>
            <w:right w:val="none" w:sz="0" w:space="0" w:color="auto"/>
          </w:divBdr>
          <w:divsChild>
            <w:div w:id="461970775">
              <w:marLeft w:val="0"/>
              <w:marRight w:val="0"/>
              <w:marTop w:val="0"/>
              <w:marBottom w:val="0"/>
              <w:divBdr>
                <w:top w:val="none" w:sz="0" w:space="0" w:color="auto"/>
                <w:left w:val="none" w:sz="0" w:space="0" w:color="auto"/>
                <w:bottom w:val="none" w:sz="0" w:space="0" w:color="auto"/>
                <w:right w:val="none" w:sz="0" w:space="0" w:color="auto"/>
              </w:divBdr>
              <w:divsChild>
                <w:div w:id="1187984688">
                  <w:marLeft w:val="0"/>
                  <w:marRight w:val="0"/>
                  <w:marTop w:val="0"/>
                  <w:marBottom w:val="0"/>
                  <w:divBdr>
                    <w:top w:val="none" w:sz="0" w:space="0" w:color="auto"/>
                    <w:left w:val="none" w:sz="0" w:space="0" w:color="auto"/>
                    <w:bottom w:val="none" w:sz="0" w:space="0" w:color="auto"/>
                    <w:right w:val="none" w:sz="0" w:space="0" w:color="auto"/>
                  </w:divBdr>
                  <w:divsChild>
                    <w:div w:id="102413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20955">
          <w:marLeft w:val="0"/>
          <w:marRight w:val="0"/>
          <w:marTop w:val="0"/>
          <w:marBottom w:val="0"/>
          <w:divBdr>
            <w:top w:val="none" w:sz="0" w:space="0" w:color="auto"/>
            <w:left w:val="none" w:sz="0" w:space="0" w:color="auto"/>
            <w:bottom w:val="none" w:sz="0" w:space="0" w:color="auto"/>
            <w:right w:val="none" w:sz="0" w:space="0" w:color="auto"/>
          </w:divBdr>
          <w:divsChild>
            <w:div w:id="78910494">
              <w:marLeft w:val="0"/>
              <w:marRight w:val="0"/>
              <w:marTop w:val="0"/>
              <w:marBottom w:val="0"/>
              <w:divBdr>
                <w:top w:val="none" w:sz="0" w:space="0" w:color="auto"/>
                <w:left w:val="none" w:sz="0" w:space="0" w:color="auto"/>
                <w:bottom w:val="none" w:sz="0" w:space="0" w:color="auto"/>
                <w:right w:val="none" w:sz="0" w:space="0" w:color="auto"/>
              </w:divBdr>
              <w:divsChild>
                <w:div w:id="5555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65874">
      <w:bodyDiv w:val="1"/>
      <w:marLeft w:val="0"/>
      <w:marRight w:val="0"/>
      <w:marTop w:val="0"/>
      <w:marBottom w:val="0"/>
      <w:divBdr>
        <w:top w:val="none" w:sz="0" w:space="0" w:color="auto"/>
        <w:left w:val="none" w:sz="0" w:space="0" w:color="auto"/>
        <w:bottom w:val="none" w:sz="0" w:space="0" w:color="auto"/>
        <w:right w:val="none" w:sz="0" w:space="0" w:color="auto"/>
      </w:divBdr>
      <w:divsChild>
        <w:div w:id="187959167">
          <w:marLeft w:val="0"/>
          <w:marRight w:val="0"/>
          <w:marTop w:val="0"/>
          <w:marBottom w:val="0"/>
          <w:divBdr>
            <w:top w:val="none" w:sz="0" w:space="0" w:color="auto"/>
            <w:left w:val="none" w:sz="0" w:space="0" w:color="auto"/>
            <w:bottom w:val="none" w:sz="0" w:space="0" w:color="auto"/>
            <w:right w:val="none" w:sz="0" w:space="0" w:color="auto"/>
          </w:divBdr>
          <w:divsChild>
            <w:div w:id="1882784505">
              <w:marLeft w:val="0"/>
              <w:marRight w:val="0"/>
              <w:marTop w:val="0"/>
              <w:marBottom w:val="0"/>
              <w:divBdr>
                <w:top w:val="none" w:sz="0" w:space="0" w:color="auto"/>
                <w:left w:val="none" w:sz="0" w:space="0" w:color="auto"/>
                <w:bottom w:val="none" w:sz="0" w:space="0" w:color="auto"/>
                <w:right w:val="none" w:sz="0" w:space="0" w:color="auto"/>
              </w:divBdr>
              <w:divsChild>
                <w:div w:id="7436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55216">
      <w:bodyDiv w:val="1"/>
      <w:marLeft w:val="0"/>
      <w:marRight w:val="0"/>
      <w:marTop w:val="0"/>
      <w:marBottom w:val="0"/>
      <w:divBdr>
        <w:top w:val="none" w:sz="0" w:space="0" w:color="auto"/>
        <w:left w:val="none" w:sz="0" w:space="0" w:color="auto"/>
        <w:bottom w:val="none" w:sz="0" w:space="0" w:color="auto"/>
        <w:right w:val="none" w:sz="0" w:space="0" w:color="auto"/>
      </w:divBdr>
    </w:div>
    <w:div w:id="717820667">
      <w:bodyDiv w:val="1"/>
      <w:marLeft w:val="0"/>
      <w:marRight w:val="0"/>
      <w:marTop w:val="0"/>
      <w:marBottom w:val="0"/>
      <w:divBdr>
        <w:top w:val="none" w:sz="0" w:space="0" w:color="auto"/>
        <w:left w:val="none" w:sz="0" w:space="0" w:color="auto"/>
        <w:bottom w:val="none" w:sz="0" w:space="0" w:color="auto"/>
        <w:right w:val="none" w:sz="0" w:space="0" w:color="auto"/>
      </w:divBdr>
    </w:div>
    <w:div w:id="720444124">
      <w:bodyDiv w:val="1"/>
      <w:marLeft w:val="0"/>
      <w:marRight w:val="0"/>
      <w:marTop w:val="0"/>
      <w:marBottom w:val="0"/>
      <w:divBdr>
        <w:top w:val="none" w:sz="0" w:space="0" w:color="auto"/>
        <w:left w:val="none" w:sz="0" w:space="0" w:color="auto"/>
        <w:bottom w:val="none" w:sz="0" w:space="0" w:color="auto"/>
        <w:right w:val="none" w:sz="0" w:space="0" w:color="auto"/>
      </w:divBdr>
    </w:div>
    <w:div w:id="721246875">
      <w:bodyDiv w:val="1"/>
      <w:marLeft w:val="0"/>
      <w:marRight w:val="0"/>
      <w:marTop w:val="0"/>
      <w:marBottom w:val="0"/>
      <w:divBdr>
        <w:top w:val="none" w:sz="0" w:space="0" w:color="auto"/>
        <w:left w:val="none" w:sz="0" w:space="0" w:color="auto"/>
        <w:bottom w:val="none" w:sz="0" w:space="0" w:color="auto"/>
        <w:right w:val="none" w:sz="0" w:space="0" w:color="auto"/>
      </w:divBdr>
    </w:div>
    <w:div w:id="725379582">
      <w:bodyDiv w:val="1"/>
      <w:marLeft w:val="0"/>
      <w:marRight w:val="0"/>
      <w:marTop w:val="0"/>
      <w:marBottom w:val="0"/>
      <w:divBdr>
        <w:top w:val="none" w:sz="0" w:space="0" w:color="auto"/>
        <w:left w:val="none" w:sz="0" w:space="0" w:color="auto"/>
        <w:bottom w:val="none" w:sz="0" w:space="0" w:color="auto"/>
        <w:right w:val="none" w:sz="0" w:space="0" w:color="auto"/>
      </w:divBdr>
    </w:div>
    <w:div w:id="727150041">
      <w:bodyDiv w:val="1"/>
      <w:marLeft w:val="0"/>
      <w:marRight w:val="0"/>
      <w:marTop w:val="0"/>
      <w:marBottom w:val="0"/>
      <w:divBdr>
        <w:top w:val="none" w:sz="0" w:space="0" w:color="auto"/>
        <w:left w:val="none" w:sz="0" w:space="0" w:color="auto"/>
        <w:bottom w:val="none" w:sz="0" w:space="0" w:color="auto"/>
        <w:right w:val="none" w:sz="0" w:space="0" w:color="auto"/>
      </w:divBdr>
    </w:div>
    <w:div w:id="727998366">
      <w:bodyDiv w:val="1"/>
      <w:marLeft w:val="0"/>
      <w:marRight w:val="0"/>
      <w:marTop w:val="0"/>
      <w:marBottom w:val="0"/>
      <w:divBdr>
        <w:top w:val="none" w:sz="0" w:space="0" w:color="auto"/>
        <w:left w:val="none" w:sz="0" w:space="0" w:color="auto"/>
        <w:bottom w:val="none" w:sz="0" w:space="0" w:color="auto"/>
        <w:right w:val="none" w:sz="0" w:space="0" w:color="auto"/>
      </w:divBdr>
    </w:div>
    <w:div w:id="730038021">
      <w:bodyDiv w:val="1"/>
      <w:marLeft w:val="0"/>
      <w:marRight w:val="0"/>
      <w:marTop w:val="0"/>
      <w:marBottom w:val="0"/>
      <w:divBdr>
        <w:top w:val="none" w:sz="0" w:space="0" w:color="auto"/>
        <w:left w:val="none" w:sz="0" w:space="0" w:color="auto"/>
        <w:bottom w:val="none" w:sz="0" w:space="0" w:color="auto"/>
        <w:right w:val="none" w:sz="0" w:space="0" w:color="auto"/>
      </w:divBdr>
    </w:div>
    <w:div w:id="730469818">
      <w:bodyDiv w:val="1"/>
      <w:marLeft w:val="0"/>
      <w:marRight w:val="0"/>
      <w:marTop w:val="0"/>
      <w:marBottom w:val="0"/>
      <w:divBdr>
        <w:top w:val="none" w:sz="0" w:space="0" w:color="auto"/>
        <w:left w:val="none" w:sz="0" w:space="0" w:color="auto"/>
        <w:bottom w:val="none" w:sz="0" w:space="0" w:color="auto"/>
        <w:right w:val="none" w:sz="0" w:space="0" w:color="auto"/>
      </w:divBdr>
    </w:div>
    <w:div w:id="730810015">
      <w:bodyDiv w:val="1"/>
      <w:marLeft w:val="0"/>
      <w:marRight w:val="0"/>
      <w:marTop w:val="0"/>
      <w:marBottom w:val="0"/>
      <w:divBdr>
        <w:top w:val="none" w:sz="0" w:space="0" w:color="auto"/>
        <w:left w:val="none" w:sz="0" w:space="0" w:color="auto"/>
        <w:bottom w:val="none" w:sz="0" w:space="0" w:color="auto"/>
        <w:right w:val="none" w:sz="0" w:space="0" w:color="auto"/>
      </w:divBdr>
    </w:div>
    <w:div w:id="731466290">
      <w:bodyDiv w:val="1"/>
      <w:marLeft w:val="0"/>
      <w:marRight w:val="0"/>
      <w:marTop w:val="0"/>
      <w:marBottom w:val="0"/>
      <w:divBdr>
        <w:top w:val="none" w:sz="0" w:space="0" w:color="auto"/>
        <w:left w:val="none" w:sz="0" w:space="0" w:color="auto"/>
        <w:bottom w:val="none" w:sz="0" w:space="0" w:color="auto"/>
        <w:right w:val="none" w:sz="0" w:space="0" w:color="auto"/>
      </w:divBdr>
    </w:div>
    <w:div w:id="732510813">
      <w:bodyDiv w:val="1"/>
      <w:marLeft w:val="0"/>
      <w:marRight w:val="0"/>
      <w:marTop w:val="0"/>
      <w:marBottom w:val="0"/>
      <w:divBdr>
        <w:top w:val="none" w:sz="0" w:space="0" w:color="auto"/>
        <w:left w:val="none" w:sz="0" w:space="0" w:color="auto"/>
        <w:bottom w:val="none" w:sz="0" w:space="0" w:color="auto"/>
        <w:right w:val="none" w:sz="0" w:space="0" w:color="auto"/>
      </w:divBdr>
    </w:div>
    <w:div w:id="735131418">
      <w:bodyDiv w:val="1"/>
      <w:marLeft w:val="0"/>
      <w:marRight w:val="0"/>
      <w:marTop w:val="0"/>
      <w:marBottom w:val="0"/>
      <w:divBdr>
        <w:top w:val="none" w:sz="0" w:space="0" w:color="auto"/>
        <w:left w:val="none" w:sz="0" w:space="0" w:color="auto"/>
        <w:bottom w:val="none" w:sz="0" w:space="0" w:color="auto"/>
        <w:right w:val="none" w:sz="0" w:space="0" w:color="auto"/>
      </w:divBdr>
    </w:div>
    <w:div w:id="736049843">
      <w:bodyDiv w:val="1"/>
      <w:marLeft w:val="0"/>
      <w:marRight w:val="0"/>
      <w:marTop w:val="0"/>
      <w:marBottom w:val="0"/>
      <w:divBdr>
        <w:top w:val="none" w:sz="0" w:space="0" w:color="auto"/>
        <w:left w:val="none" w:sz="0" w:space="0" w:color="auto"/>
        <w:bottom w:val="none" w:sz="0" w:space="0" w:color="auto"/>
        <w:right w:val="none" w:sz="0" w:space="0" w:color="auto"/>
      </w:divBdr>
    </w:div>
    <w:div w:id="736515986">
      <w:bodyDiv w:val="1"/>
      <w:marLeft w:val="0"/>
      <w:marRight w:val="0"/>
      <w:marTop w:val="0"/>
      <w:marBottom w:val="0"/>
      <w:divBdr>
        <w:top w:val="none" w:sz="0" w:space="0" w:color="auto"/>
        <w:left w:val="none" w:sz="0" w:space="0" w:color="auto"/>
        <w:bottom w:val="none" w:sz="0" w:space="0" w:color="auto"/>
        <w:right w:val="none" w:sz="0" w:space="0" w:color="auto"/>
      </w:divBdr>
    </w:div>
    <w:div w:id="736900799">
      <w:bodyDiv w:val="1"/>
      <w:marLeft w:val="0"/>
      <w:marRight w:val="0"/>
      <w:marTop w:val="0"/>
      <w:marBottom w:val="0"/>
      <w:divBdr>
        <w:top w:val="none" w:sz="0" w:space="0" w:color="auto"/>
        <w:left w:val="none" w:sz="0" w:space="0" w:color="auto"/>
        <w:bottom w:val="none" w:sz="0" w:space="0" w:color="auto"/>
        <w:right w:val="none" w:sz="0" w:space="0" w:color="auto"/>
      </w:divBdr>
    </w:div>
    <w:div w:id="739325207">
      <w:bodyDiv w:val="1"/>
      <w:marLeft w:val="0"/>
      <w:marRight w:val="0"/>
      <w:marTop w:val="0"/>
      <w:marBottom w:val="0"/>
      <w:divBdr>
        <w:top w:val="none" w:sz="0" w:space="0" w:color="auto"/>
        <w:left w:val="none" w:sz="0" w:space="0" w:color="auto"/>
        <w:bottom w:val="none" w:sz="0" w:space="0" w:color="auto"/>
        <w:right w:val="none" w:sz="0" w:space="0" w:color="auto"/>
      </w:divBdr>
    </w:div>
    <w:div w:id="739333702">
      <w:bodyDiv w:val="1"/>
      <w:marLeft w:val="0"/>
      <w:marRight w:val="0"/>
      <w:marTop w:val="0"/>
      <w:marBottom w:val="0"/>
      <w:divBdr>
        <w:top w:val="none" w:sz="0" w:space="0" w:color="auto"/>
        <w:left w:val="none" w:sz="0" w:space="0" w:color="auto"/>
        <w:bottom w:val="none" w:sz="0" w:space="0" w:color="auto"/>
        <w:right w:val="none" w:sz="0" w:space="0" w:color="auto"/>
      </w:divBdr>
    </w:div>
    <w:div w:id="739409159">
      <w:bodyDiv w:val="1"/>
      <w:marLeft w:val="0"/>
      <w:marRight w:val="0"/>
      <w:marTop w:val="0"/>
      <w:marBottom w:val="0"/>
      <w:divBdr>
        <w:top w:val="none" w:sz="0" w:space="0" w:color="auto"/>
        <w:left w:val="none" w:sz="0" w:space="0" w:color="auto"/>
        <w:bottom w:val="none" w:sz="0" w:space="0" w:color="auto"/>
        <w:right w:val="none" w:sz="0" w:space="0" w:color="auto"/>
      </w:divBdr>
      <w:divsChild>
        <w:div w:id="1014768281">
          <w:marLeft w:val="0"/>
          <w:marRight w:val="0"/>
          <w:marTop w:val="75"/>
          <w:marBottom w:val="0"/>
          <w:divBdr>
            <w:top w:val="none" w:sz="0" w:space="0" w:color="auto"/>
            <w:left w:val="none" w:sz="0" w:space="0" w:color="auto"/>
            <w:bottom w:val="none" w:sz="0" w:space="0" w:color="auto"/>
            <w:right w:val="none" w:sz="0" w:space="0" w:color="auto"/>
          </w:divBdr>
        </w:div>
        <w:div w:id="1106117060">
          <w:marLeft w:val="0"/>
          <w:marRight w:val="0"/>
          <w:marTop w:val="0"/>
          <w:marBottom w:val="0"/>
          <w:divBdr>
            <w:top w:val="none" w:sz="0" w:space="0" w:color="auto"/>
            <w:left w:val="none" w:sz="0" w:space="0" w:color="auto"/>
            <w:bottom w:val="none" w:sz="0" w:space="0" w:color="auto"/>
            <w:right w:val="none" w:sz="0" w:space="0" w:color="auto"/>
          </w:divBdr>
          <w:divsChild>
            <w:div w:id="93982009">
              <w:marLeft w:val="0"/>
              <w:marRight w:val="0"/>
              <w:marTop w:val="0"/>
              <w:marBottom w:val="0"/>
              <w:divBdr>
                <w:top w:val="none" w:sz="0" w:space="0" w:color="auto"/>
                <w:left w:val="none" w:sz="0" w:space="0" w:color="auto"/>
                <w:bottom w:val="none" w:sz="0" w:space="0" w:color="auto"/>
                <w:right w:val="none" w:sz="0" w:space="0" w:color="auto"/>
              </w:divBdr>
            </w:div>
          </w:divsChild>
        </w:div>
        <w:div w:id="1736203338">
          <w:marLeft w:val="0"/>
          <w:marRight w:val="0"/>
          <w:marTop w:val="75"/>
          <w:marBottom w:val="0"/>
          <w:divBdr>
            <w:top w:val="none" w:sz="0" w:space="0" w:color="auto"/>
            <w:left w:val="none" w:sz="0" w:space="0" w:color="auto"/>
            <w:bottom w:val="none" w:sz="0" w:space="0" w:color="auto"/>
            <w:right w:val="none" w:sz="0" w:space="0" w:color="auto"/>
          </w:divBdr>
        </w:div>
      </w:divsChild>
    </w:div>
    <w:div w:id="741369346">
      <w:bodyDiv w:val="1"/>
      <w:marLeft w:val="0"/>
      <w:marRight w:val="0"/>
      <w:marTop w:val="0"/>
      <w:marBottom w:val="0"/>
      <w:divBdr>
        <w:top w:val="none" w:sz="0" w:space="0" w:color="auto"/>
        <w:left w:val="none" w:sz="0" w:space="0" w:color="auto"/>
        <w:bottom w:val="none" w:sz="0" w:space="0" w:color="auto"/>
        <w:right w:val="none" w:sz="0" w:space="0" w:color="auto"/>
      </w:divBdr>
    </w:div>
    <w:div w:id="741559048">
      <w:bodyDiv w:val="1"/>
      <w:marLeft w:val="0"/>
      <w:marRight w:val="0"/>
      <w:marTop w:val="0"/>
      <w:marBottom w:val="0"/>
      <w:divBdr>
        <w:top w:val="none" w:sz="0" w:space="0" w:color="auto"/>
        <w:left w:val="none" w:sz="0" w:space="0" w:color="auto"/>
        <w:bottom w:val="none" w:sz="0" w:space="0" w:color="auto"/>
        <w:right w:val="none" w:sz="0" w:space="0" w:color="auto"/>
      </w:divBdr>
    </w:div>
    <w:div w:id="742066531">
      <w:bodyDiv w:val="1"/>
      <w:marLeft w:val="0"/>
      <w:marRight w:val="0"/>
      <w:marTop w:val="0"/>
      <w:marBottom w:val="0"/>
      <w:divBdr>
        <w:top w:val="none" w:sz="0" w:space="0" w:color="auto"/>
        <w:left w:val="none" w:sz="0" w:space="0" w:color="auto"/>
        <w:bottom w:val="none" w:sz="0" w:space="0" w:color="auto"/>
        <w:right w:val="none" w:sz="0" w:space="0" w:color="auto"/>
      </w:divBdr>
    </w:div>
    <w:div w:id="742608667">
      <w:bodyDiv w:val="1"/>
      <w:marLeft w:val="0"/>
      <w:marRight w:val="0"/>
      <w:marTop w:val="0"/>
      <w:marBottom w:val="0"/>
      <w:divBdr>
        <w:top w:val="none" w:sz="0" w:space="0" w:color="auto"/>
        <w:left w:val="none" w:sz="0" w:space="0" w:color="auto"/>
        <w:bottom w:val="none" w:sz="0" w:space="0" w:color="auto"/>
        <w:right w:val="none" w:sz="0" w:space="0" w:color="auto"/>
      </w:divBdr>
    </w:div>
    <w:div w:id="746268663">
      <w:bodyDiv w:val="1"/>
      <w:marLeft w:val="0"/>
      <w:marRight w:val="0"/>
      <w:marTop w:val="0"/>
      <w:marBottom w:val="0"/>
      <w:divBdr>
        <w:top w:val="none" w:sz="0" w:space="0" w:color="auto"/>
        <w:left w:val="none" w:sz="0" w:space="0" w:color="auto"/>
        <w:bottom w:val="none" w:sz="0" w:space="0" w:color="auto"/>
        <w:right w:val="none" w:sz="0" w:space="0" w:color="auto"/>
      </w:divBdr>
    </w:div>
    <w:div w:id="746801327">
      <w:bodyDiv w:val="1"/>
      <w:marLeft w:val="0"/>
      <w:marRight w:val="0"/>
      <w:marTop w:val="0"/>
      <w:marBottom w:val="0"/>
      <w:divBdr>
        <w:top w:val="none" w:sz="0" w:space="0" w:color="auto"/>
        <w:left w:val="none" w:sz="0" w:space="0" w:color="auto"/>
        <w:bottom w:val="none" w:sz="0" w:space="0" w:color="auto"/>
        <w:right w:val="none" w:sz="0" w:space="0" w:color="auto"/>
      </w:divBdr>
    </w:div>
    <w:div w:id="747193564">
      <w:bodyDiv w:val="1"/>
      <w:marLeft w:val="0"/>
      <w:marRight w:val="0"/>
      <w:marTop w:val="0"/>
      <w:marBottom w:val="0"/>
      <w:divBdr>
        <w:top w:val="none" w:sz="0" w:space="0" w:color="auto"/>
        <w:left w:val="none" w:sz="0" w:space="0" w:color="auto"/>
        <w:bottom w:val="none" w:sz="0" w:space="0" w:color="auto"/>
        <w:right w:val="none" w:sz="0" w:space="0" w:color="auto"/>
      </w:divBdr>
      <w:divsChild>
        <w:div w:id="1582445410">
          <w:marLeft w:val="0"/>
          <w:marRight w:val="0"/>
          <w:marTop w:val="120"/>
          <w:marBottom w:val="0"/>
          <w:divBdr>
            <w:top w:val="none" w:sz="0" w:space="0" w:color="auto"/>
            <w:left w:val="none" w:sz="0" w:space="0" w:color="auto"/>
            <w:bottom w:val="none" w:sz="0" w:space="0" w:color="auto"/>
            <w:right w:val="none" w:sz="0" w:space="0" w:color="auto"/>
          </w:divBdr>
        </w:div>
        <w:div w:id="1053117513">
          <w:marLeft w:val="0"/>
          <w:marRight w:val="0"/>
          <w:marTop w:val="120"/>
          <w:marBottom w:val="0"/>
          <w:divBdr>
            <w:top w:val="none" w:sz="0" w:space="0" w:color="auto"/>
            <w:left w:val="none" w:sz="0" w:space="0" w:color="auto"/>
            <w:bottom w:val="none" w:sz="0" w:space="0" w:color="auto"/>
            <w:right w:val="none" w:sz="0" w:space="0" w:color="auto"/>
          </w:divBdr>
        </w:div>
      </w:divsChild>
    </w:div>
    <w:div w:id="747312997">
      <w:bodyDiv w:val="1"/>
      <w:marLeft w:val="0"/>
      <w:marRight w:val="0"/>
      <w:marTop w:val="0"/>
      <w:marBottom w:val="0"/>
      <w:divBdr>
        <w:top w:val="none" w:sz="0" w:space="0" w:color="auto"/>
        <w:left w:val="none" w:sz="0" w:space="0" w:color="auto"/>
        <w:bottom w:val="none" w:sz="0" w:space="0" w:color="auto"/>
        <w:right w:val="none" w:sz="0" w:space="0" w:color="auto"/>
      </w:divBdr>
    </w:div>
    <w:div w:id="750078263">
      <w:bodyDiv w:val="1"/>
      <w:marLeft w:val="0"/>
      <w:marRight w:val="0"/>
      <w:marTop w:val="0"/>
      <w:marBottom w:val="0"/>
      <w:divBdr>
        <w:top w:val="none" w:sz="0" w:space="0" w:color="auto"/>
        <w:left w:val="none" w:sz="0" w:space="0" w:color="auto"/>
        <w:bottom w:val="none" w:sz="0" w:space="0" w:color="auto"/>
        <w:right w:val="none" w:sz="0" w:space="0" w:color="auto"/>
      </w:divBdr>
    </w:div>
    <w:div w:id="754983807">
      <w:bodyDiv w:val="1"/>
      <w:marLeft w:val="0"/>
      <w:marRight w:val="0"/>
      <w:marTop w:val="0"/>
      <w:marBottom w:val="0"/>
      <w:divBdr>
        <w:top w:val="none" w:sz="0" w:space="0" w:color="auto"/>
        <w:left w:val="none" w:sz="0" w:space="0" w:color="auto"/>
        <w:bottom w:val="none" w:sz="0" w:space="0" w:color="auto"/>
        <w:right w:val="none" w:sz="0" w:space="0" w:color="auto"/>
      </w:divBdr>
    </w:div>
    <w:div w:id="755790913">
      <w:bodyDiv w:val="1"/>
      <w:marLeft w:val="0"/>
      <w:marRight w:val="0"/>
      <w:marTop w:val="0"/>
      <w:marBottom w:val="0"/>
      <w:divBdr>
        <w:top w:val="none" w:sz="0" w:space="0" w:color="auto"/>
        <w:left w:val="none" w:sz="0" w:space="0" w:color="auto"/>
        <w:bottom w:val="none" w:sz="0" w:space="0" w:color="auto"/>
        <w:right w:val="none" w:sz="0" w:space="0" w:color="auto"/>
      </w:divBdr>
    </w:div>
    <w:div w:id="759568386">
      <w:bodyDiv w:val="1"/>
      <w:marLeft w:val="0"/>
      <w:marRight w:val="0"/>
      <w:marTop w:val="0"/>
      <w:marBottom w:val="0"/>
      <w:divBdr>
        <w:top w:val="none" w:sz="0" w:space="0" w:color="auto"/>
        <w:left w:val="none" w:sz="0" w:space="0" w:color="auto"/>
        <w:bottom w:val="none" w:sz="0" w:space="0" w:color="auto"/>
        <w:right w:val="none" w:sz="0" w:space="0" w:color="auto"/>
      </w:divBdr>
    </w:div>
    <w:div w:id="760368537">
      <w:bodyDiv w:val="1"/>
      <w:marLeft w:val="0"/>
      <w:marRight w:val="0"/>
      <w:marTop w:val="0"/>
      <w:marBottom w:val="0"/>
      <w:divBdr>
        <w:top w:val="none" w:sz="0" w:space="0" w:color="auto"/>
        <w:left w:val="none" w:sz="0" w:space="0" w:color="auto"/>
        <w:bottom w:val="none" w:sz="0" w:space="0" w:color="auto"/>
        <w:right w:val="none" w:sz="0" w:space="0" w:color="auto"/>
      </w:divBdr>
    </w:div>
    <w:div w:id="766193460">
      <w:bodyDiv w:val="1"/>
      <w:marLeft w:val="0"/>
      <w:marRight w:val="0"/>
      <w:marTop w:val="0"/>
      <w:marBottom w:val="0"/>
      <w:divBdr>
        <w:top w:val="none" w:sz="0" w:space="0" w:color="auto"/>
        <w:left w:val="none" w:sz="0" w:space="0" w:color="auto"/>
        <w:bottom w:val="none" w:sz="0" w:space="0" w:color="auto"/>
        <w:right w:val="none" w:sz="0" w:space="0" w:color="auto"/>
      </w:divBdr>
    </w:div>
    <w:div w:id="769741758">
      <w:bodyDiv w:val="1"/>
      <w:marLeft w:val="0"/>
      <w:marRight w:val="0"/>
      <w:marTop w:val="0"/>
      <w:marBottom w:val="0"/>
      <w:divBdr>
        <w:top w:val="none" w:sz="0" w:space="0" w:color="auto"/>
        <w:left w:val="none" w:sz="0" w:space="0" w:color="auto"/>
        <w:bottom w:val="none" w:sz="0" w:space="0" w:color="auto"/>
        <w:right w:val="none" w:sz="0" w:space="0" w:color="auto"/>
      </w:divBdr>
    </w:div>
    <w:div w:id="770592593">
      <w:bodyDiv w:val="1"/>
      <w:marLeft w:val="0"/>
      <w:marRight w:val="0"/>
      <w:marTop w:val="0"/>
      <w:marBottom w:val="0"/>
      <w:divBdr>
        <w:top w:val="none" w:sz="0" w:space="0" w:color="auto"/>
        <w:left w:val="none" w:sz="0" w:space="0" w:color="auto"/>
        <w:bottom w:val="none" w:sz="0" w:space="0" w:color="auto"/>
        <w:right w:val="none" w:sz="0" w:space="0" w:color="auto"/>
      </w:divBdr>
    </w:div>
    <w:div w:id="771359965">
      <w:bodyDiv w:val="1"/>
      <w:marLeft w:val="0"/>
      <w:marRight w:val="0"/>
      <w:marTop w:val="0"/>
      <w:marBottom w:val="0"/>
      <w:divBdr>
        <w:top w:val="none" w:sz="0" w:space="0" w:color="auto"/>
        <w:left w:val="none" w:sz="0" w:space="0" w:color="auto"/>
        <w:bottom w:val="none" w:sz="0" w:space="0" w:color="auto"/>
        <w:right w:val="none" w:sz="0" w:space="0" w:color="auto"/>
      </w:divBdr>
    </w:div>
    <w:div w:id="771632414">
      <w:bodyDiv w:val="1"/>
      <w:marLeft w:val="0"/>
      <w:marRight w:val="0"/>
      <w:marTop w:val="0"/>
      <w:marBottom w:val="0"/>
      <w:divBdr>
        <w:top w:val="none" w:sz="0" w:space="0" w:color="auto"/>
        <w:left w:val="none" w:sz="0" w:space="0" w:color="auto"/>
        <w:bottom w:val="none" w:sz="0" w:space="0" w:color="auto"/>
        <w:right w:val="none" w:sz="0" w:space="0" w:color="auto"/>
      </w:divBdr>
      <w:divsChild>
        <w:div w:id="213733022">
          <w:marLeft w:val="0"/>
          <w:marRight w:val="0"/>
          <w:marTop w:val="0"/>
          <w:marBottom w:val="0"/>
          <w:divBdr>
            <w:top w:val="none" w:sz="0" w:space="0" w:color="auto"/>
            <w:left w:val="none" w:sz="0" w:space="0" w:color="auto"/>
            <w:bottom w:val="none" w:sz="0" w:space="0" w:color="auto"/>
            <w:right w:val="none" w:sz="0" w:space="0" w:color="auto"/>
          </w:divBdr>
          <w:divsChild>
            <w:div w:id="1438019936">
              <w:marLeft w:val="0"/>
              <w:marRight w:val="0"/>
              <w:marTop w:val="0"/>
              <w:marBottom w:val="0"/>
              <w:divBdr>
                <w:top w:val="none" w:sz="0" w:space="0" w:color="auto"/>
                <w:left w:val="none" w:sz="0" w:space="0" w:color="auto"/>
                <w:bottom w:val="none" w:sz="0" w:space="0" w:color="auto"/>
                <w:right w:val="none" w:sz="0" w:space="0" w:color="auto"/>
              </w:divBdr>
              <w:divsChild>
                <w:div w:id="604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15280">
          <w:marLeft w:val="0"/>
          <w:marRight w:val="0"/>
          <w:marTop w:val="0"/>
          <w:marBottom w:val="0"/>
          <w:divBdr>
            <w:top w:val="none" w:sz="0" w:space="0" w:color="auto"/>
            <w:left w:val="none" w:sz="0" w:space="0" w:color="auto"/>
            <w:bottom w:val="none" w:sz="0" w:space="0" w:color="auto"/>
            <w:right w:val="none" w:sz="0" w:space="0" w:color="auto"/>
          </w:divBdr>
          <w:divsChild>
            <w:div w:id="707994422">
              <w:marLeft w:val="0"/>
              <w:marRight w:val="0"/>
              <w:marTop w:val="0"/>
              <w:marBottom w:val="0"/>
              <w:divBdr>
                <w:top w:val="none" w:sz="0" w:space="0" w:color="auto"/>
                <w:left w:val="none" w:sz="0" w:space="0" w:color="auto"/>
                <w:bottom w:val="none" w:sz="0" w:space="0" w:color="auto"/>
                <w:right w:val="none" w:sz="0" w:space="0" w:color="auto"/>
              </w:divBdr>
              <w:divsChild>
                <w:div w:id="529680614">
                  <w:marLeft w:val="0"/>
                  <w:marRight w:val="0"/>
                  <w:marTop w:val="0"/>
                  <w:marBottom w:val="0"/>
                  <w:divBdr>
                    <w:top w:val="none" w:sz="0" w:space="0" w:color="auto"/>
                    <w:left w:val="none" w:sz="0" w:space="0" w:color="auto"/>
                    <w:bottom w:val="none" w:sz="0" w:space="0" w:color="auto"/>
                    <w:right w:val="none" w:sz="0" w:space="0" w:color="auto"/>
                  </w:divBdr>
                  <w:divsChild>
                    <w:div w:id="14578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0817">
      <w:bodyDiv w:val="1"/>
      <w:marLeft w:val="0"/>
      <w:marRight w:val="0"/>
      <w:marTop w:val="0"/>
      <w:marBottom w:val="0"/>
      <w:divBdr>
        <w:top w:val="none" w:sz="0" w:space="0" w:color="auto"/>
        <w:left w:val="none" w:sz="0" w:space="0" w:color="auto"/>
        <w:bottom w:val="none" w:sz="0" w:space="0" w:color="auto"/>
        <w:right w:val="none" w:sz="0" w:space="0" w:color="auto"/>
      </w:divBdr>
    </w:div>
    <w:div w:id="776023119">
      <w:bodyDiv w:val="1"/>
      <w:marLeft w:val="0"/>
      <w:marRight w:val="0"/>
      <w:marTop w:val="0"/>
      <w:marBottom w:val="0"/>
      <w:divBdr>
        <w:top w:val="none" w:sz="0" w:space="0" w:color="auto"/>
        <w:left w:val="none" w:sz="0" w:space="0" w:color="auto"/>
        <w:bottom w:val="none" w:sz="0" w:space="0" w:color="auto"/>
        <w:right w:val="none" w:sz="0" w:space="0" w:color="auto"/>
      </w:divBdr>
    </w:div>
    <w:div w:id="776487611">
      <w:bodyDiv w:val="1"/>
      <w:marLeft w:val="0"/>
      <w:marRight w:val="0"/>
      <w:marTop w:val="0"/>
      <w:marBottom w:val="0"/>
      <w:divBdr>
        <w:top w:val="none" w:sz="0" w:space="0" w:color="auto"/>
        <w:left w:val="none" w:sz="0" w:space="0" w:color="auto"/>
        <w:bottom w:val="none" w:sz="0" w:space="0" w:color="auto"/>
        <w:right w:val="none" w:sz="0" w:space="0" w:color="auto"/>
      </w:divBdr>
    </w:div>
    <w:div w:id="778644287">
      <w:bodyDiv w:val="1"/>
      <w:marLeft w:val="0"/>
      <w:marRight w:val="0"/>
      <w:marTop w:val="0"/>
      <w:marBottom w:val="0"/>
      <w:divBdr>
        <w:top w:val="none" w:sz="0" w:space="0" w:color="auto"/>
        <w:left w:val="none" w:sz="0" w:space="0" w:color="auto"/>
        <w:bottom w:val="none" w:sz="0" w:space="0" w:color="auto"/>
        <w:right w:val="none" w:sz="0" w:space="0" w:color="auto"/>
      </w:divBdr>
      <w:divsChild>
        <w:div w:id="461533766">
          <w:marLeft w:val="0"/>
          <w:marRight w:val="0"/>
          <w:marTop w:val="0"/>
          <w:marBottom w:val="0"/>
          <w:divBdr>
            <w:top w:val="none" w:sz="0" w:space="0" w:color="auto"/>
            <w:left w:val="none" w:sz="0" w:space="0" w:color="auto"/>
            <w:bottom w:val="none" w:sz="0" w:space="0" w:color="auto"/>
            <w:right w:val="none" w:sz="0" w:space="0" w:color="auto"/>
          </w:divBdr>
          <w:divsChild>
            <w:div w:id="980573902">
              <w:marLeft w:val="0"/>
              <w:marRight w:val="0"/>
              <w:marTop w:val="0"/>
              <w:marBottom w:val="0"/>
              <w:divBdr>
                <w:top w:val="none" w:sz="0" w:space="0" w:color="auto"/>
                <w:left w:val="none" w:sz="0" w:space="0" w:color="auto"/>
                <w:bottom w:val="none" w:sz="0" w:space="0" w:color="auto"/>
                <w:right w:val="none" w:sz="0" w:space="0" w:color="auto"/>
              </w:divBdr>
              <w:divsChild>
                <w:div w:id="1731462736">
                  <w:marLeft w:val="0"/>
                  <w:marRight w:val="0"/>
                  <w:marTop w:val="0"/>
                  <w:marBottom w:val="0"/>
                  <w:divBdr>
                    <w:top w:val="none" w:sz="0" w:space="0" w:color="auto"/>
                    <w:left w:val="none" w:sz="0" w:space="0" w:color="auto"/>
                    <w:bottom w:val="none" w:sz="0" w:space="0" w:color="auto"/>
                    <w:right w:val="none" w:sz="0" w:space="0" w:color="auto"/>
                  </w:divBdr>
                  <w:divsChild>
                    <w:div w:id="8818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70153">
          <w:marLeft w:val="0"/>
          <w:marRight w:val="0"/>
          <w:marTop w:val="0"/>
          <w:marBottom w:val="0"/>
          <w:divBdr>
            <w:top w:val="none" w:sz="0" w:space="0" w:color="auto"/>
            <w:left w:val="none" w:sz="0" w:space="0" w:color="auto"/>
            <w:bottom w:val="none" w:sz="0" w:space="0" w:color="auto"/>
            <w:right w:val="none" w:sz="0" w:space="0" w:color="auto"/>
          </w:divBdr>
          <w:divsChild>
            <w:div w:id="1238904920">
              <w:marLeft w:val="0"/>
              <w:marRight w:val="0"/>
              <w:marTop w:val="0"/>
              <w:marBottom w:val="0"/>
              <w:divBdr>
                <w:top w:val="none" w:sz="0" w:space="0" w:color="auto"/>
                <w:left w:val="none" w:sz="0" w:space="0" w:color="auto"/>
                <w:bottom w:val="none" w:sz="0" w:space="0" w:color="auto"/>
                <w:right w:val="none" w:sz="0" w:space="0" w:color="auto"/>
              </w:divBdr>
              <w:divsChild>
                <w:div w:id="4398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7766">
      <w:bodyDiv w:val="1"/>
      <w:marLeft w:val="0"/>
      <w:marRight w:val="0"/>
      <w:marTop w:val="0"/>
      <w:marBottom w:val="0"/>
      <w:divBdr>
        <w:top w:val="none" w:sz="0" w:space="0" w:color="auto"/>
        <w:left w:val="none" w:sz="0" w:space="0" w:color="auto"/>
        <w:bottom w:val="none" w:sz="0" w:space="0" w:color="auto"/>
        <w:right w:val="none" w:sz="0" w:space="0" w:color="auto"/>
      </w:divBdr>
    </w:div>
    <w:div w:id="781077692">
      <w:bodyDiv w:val="1"/>
      <w:marLeft w:val="0"/>
      <w:marRight w:val="0"/>
      <w:marTop w:val="0"/>
      <w:marBottom w:val="0"/>
      <w:divBdr>
        <w:top w:val="none" w:sz="0" w:space="0" w:color="auto"/>
        <w:left w:val="none" w:sz="0" w:space="0" w:color="auto"/>
        <w:bottom w:val="none" w:sz="0" w:space="0" w:color="auto"/>
        <w:right w:val="none" w:sz="0" w:space="0" w:color="auto"/>
      </w:divBdr>
    </w:div>
    <w:div w:id="781413329">
      <w:bodyDiv w:val="1"/>
      <w:marLeft w:val="0"/>
      <w:marRight w:val="0"/>
      <w:marTop w:val="0"/>
      <w:marBottom w:val="0"/>
      <w:divBdr>
        <w:top w:val="none" w:sz="0" w:space="0" w:color="auto"/>
        <w:left w:val="none" w:sz="0" w:space="0" w:color="auto"/>
        <w:bottom w:val="none" w:sz="0" w:space="0" w:color="auto"/>
        <w:right w:val="none" w:sz="0" w:space="0" w:color="auto"/>
      </w:divBdr>
      <w:divsChild>
        <w:div w:id="1911575606">
          <w:marLeft w:val="0"/>
          <w:marRight w:val="0"/>
          <w:marTop w:val="0"/>
          <w:marBottom w:val="0"/>
          <w:divBdr>
            <w:top w:val="none" w:sz="0" w:space="0" w:color="auto"/>
            <w:left w:val="none" w:sz="0" w:space="0" w:color="auto"/>
            <w:bottom w:val="none" w:sz="0" w:space="0" w:color="auto"/>
            <w:right w:val="none" w:sz="0" w:space="0" w:color="auto"/>
          </w:divBdr>
          <w:divsChild>
            <w:div w:id="1242716556">
              <w:marLeft w:val="0"/>
              <w:marRight w:val="0"/>
              <w:marTop w:val="0"/>
              <w:marBottom w:val="0"/>
              <w:divBdr>
                <w:top w:val="none" w:sz="0" w:space="0" w:color="auto"/>
                <w:left w:val="none" w:sz="0" w:space="0" w:color="auto"/>
                <w:bottom w:val="none" w:sz="0" w:space="0" w:color="auto"/>
                <w:right w:val="none" w:sz="0" w:space="0" w:color="auto"/>
              </w:divBdr>
              <w:divsChild>
                <w:div w:id="5037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6170">
      <w:bodyDiv w:val="1"/>
      <w:marLeft w:val="0"/>
      <w:marRight w:val="0"/>
      <w:marTop w:val="0"/>
      <w:marBottom w:val="0"/>
      <w:divBdr>
        <w:top w:val="none" w:sz="0" w:space="0" w:color="auto"/>
        <w:left w:val="none" w:sz="0" w:space="0" w:color="auto"/>
        <w:bottom w:val="none" w:sz="0" w:space="0" w:color="auto"/>
        <w:right w:val="none" w:sz="0" w:space="0" w:color="auto"/>
      </w:divBdr>
      <w:divsChild>
        <w:div w:id="556820095">
          <w:marLeft w:val="0"/>
          <w:marRight w:val="0"/>
          <w:marTop w:val="0"/>
          <w:marBottom w:val="0"/>
          <w:divBdr>
            <w:top w:val="none" w:sz="0" w:space="0" w:color="auto"/>
            <w:left w:val="none" w:sz="0" w:space="0" w:color="auto"/>
            <w:bottom w:val="none" w:sz="0" w:space="0" w:color="auto"/>
            <w:right w:val="none" w:sz="0" w:space="0" w:color="auto"/>
          </w:divBdr>
          <w:divsChild>
            <w:div w:id="1918711816">
              <w:marLeft w:val="0"/>
              <w:marRight w:val="0"/>
              <w:marTop w:val="0"/>
              <w:marBottom w:val="0"/>
              <w:divBdr>
                <w:top w:val="none" w:sz="0" w:space="0" w:color="auto"/>
                <w:left w:val="none" w:sz="0" w:space="0" w:color="auto"/>
                <w:bottom w:val="none" w:sz="0" w:space="0" w:color="auto"/>
                <w:right w:val="none" w:sz="0" w:space="0" w:color="auto"/>
              </w:divBdr>
              <w:divsChild>
                <w:div w:id="548687120">
                  <w:marLeft w:val="0"/>
                  <w:marRight w:val="0"/>
                  <w:marTop w:val="0"/>
                  <w:marBottom w:val="0"/>
                  <w:divBdr>
                    <w:top w:val="none" w:sz="0" w:space="0" w:color="auto"/>
                    <w:left w:val="none" w:sz="0" w:space="0" w:color="auto"/>
                    <w:bottom w:val="none" w:sz="0" w:space="0" w:color="auto"/>
                    <w:right w:val="none" w:sz="0" w:space="0" w:color="auto"/>
                  </w:divBdr>
                  <w:divsChild>
                    <w:div w:id="8198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0270">
          <w:marLeft w:val="0"/>
          <w:marRight w:val="0"/>
          <w:marTop w:val="0"/>
          <w:marBottom w:val="0"/>
          <w:divBdr>
            <w:top w:val="none" w:sz="0" w:space="0" w:color="auto"/>
            <w:left w:val="none" w:sz="0" w:space="0" w:color="auto"/>
            <w:bottom w:val="none" w:sz="0" w:space="0" w:color="auto"/>
            <w:right w:val="none" w:sz="0" w:space="0" w:color="auto"/>
          </w:divBdr>
          <w:divsChild>
            <w:div w:id="1009673062">
              <w:marLeft w:val="0"/>
              <w:marRight w:val="0"/>
              <w:marTop w:val="0"/>
              <w:marBottom w:val="0"/>
              <w:divBdr>
                <w:top w:val="none" w:sz="0" w:space="0" w:color="auto"/>
                <w:left w:val="none" w:sz="0" w:space="0" w:color="auto"/>
                <w:bottom w:val="none" w:sz="0" w:space="0" w:color="auto"/>
                <w:right w:val="none" w:sz="0" w:space="0" w:color="auto"/>
              </w:divBdr>
              <w:divsChild>
                <w:div w:id="13066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5925">
      <w:bodyDiv w:val="1"/>
      <w:marLeft w:val="0"/>
      <w:marRight w:val="0"/>
      <w:marTop w:val="0"/>
      <w:marBottom w:val="0"/>
      <w:divBdr>
        <w:top w:val="none" w:sz="0" w:space="0" w:color="auto"/>
        <w:left w:val="none" w:sz="0" w:space="0" w:color="auto"/>
        <w:bottom w:val="none" w:sz="0" w:space="0" w:color="auto"/>
        <w:right w:val="none" w:sz="0" w:space="0" w:color="auto"/>
      </w:divBdr>
    </w:div>
    <w:div w:id="784346630">
      <w:bodyDiv w:val="1"/>
      <w:marLeft w:val="0"/>
      <w:marRight w:val="0"/>
      <w:marTop w:val="0"/>
      <w:marBottom w:val="0"/>
      <w:divBdr>
        <w:top w:val="none" w:sz="0" w:space="0" w:color="auto"/>
        <w:left w:val="none" w:sz="0" w:space="0" w:color="auto"/>
        <w:bottom w:val="none" w:sz="0" w:space="0" w:color="auto"/>
        <w:right w:val="none" w:sz="0" w:space="0" w:color="auto"/>
      </w:divBdr>
    </w:div>
    <w:div w:id="785386176">
      <w:bodyDiv w:val="1"/>
      <w:marLeft w:val="0"/>
      <w:marRight w:val="0"/>
      <w:marTop w:val="0"/>
      <w:marBottom w:val="0"/>
      <w:divBdr>
        <w:top w:val="none" w:sz="0" w:space="0" w:color="auto"/>
        <w:left w:val="none" w:sz="0" w:space="0" w:color="auto"/>
        <w:bottom w:val="none" w:sz="0" w:space="0" w:color="auto"/>
        <w:right w:val="none" w:sz="0" w:space="0" w:color="auto"/>
      </w:divBdr>
    </w:div>
    <w:div w:id="785660428">
      <w:bodyDiv w:val="1"/>
      <w:marLeft w:val="0"/>
      <w:marRight w:val="0"/>
      <w:marTop w:val="0"/>
      <w:marBottom w:val="0"/>
      <w:divBdr>
        <w:top w:val="none" w:sz="0" w:space="0" w:color="auto"/>
        <w:left w:val="none" w:sz="0" w:space="0" w:color="auto"/>
        <w:bottom w:val="none" w:sz="0" w:space="0" w:color="auto"/>
        <w:right w:val="none" w:sz="0" w:space="0" w:color="auto"/>
      </w:divBdr>
    </w:div>
    <w:div w:id="787236375">
      <w:bodyDiv w:val="1"/>
      <w:marLeft w:val="0"/>
      <w:marRight w:val="0"/>
      <w:marTop w:val="0"/>
      <w:marBottom w:val="0"/>
      <w:divBdr>
        <w:top w:val="none" w:sz="0" w:space="0" w:color="auto"/>
        <w:left w:val="none" w:sz="0" w:space="0" w:color="auto"/>
        <w:bottom w:val="none" w:sz="0" w:space="0" w:color="auto"/>
        <w:right w:val="none" w:sz="0" w:space="0" w:color="auto"/>
      </w:divBdr>
    </w:div>
    <w:div w:id="789781974">
      <w:bodyDiv w:val="1"/>
      <w:marLeft w:val="0"/>
      <w:marRight w:val="0"/>
      <w:marTop w:val="0"/>
      <w:marBottom w:val="0"/>
      <w:divBdr>
        <w:top w:val="none" w:sz="0" w:space="0" w:color="auto"/>
        <w:left w:val="none" w:sz="0" w:space="0" w:color="auto"/>
        <w:bottom w:val="none" w:sz="0" w:space="0" w:color="auto"/>
        <w:right w:val="none" w:sz="0" w:space="0" w:color="auto"/>
      </w:divBdr>
    </w:div>
    <w:div w:id="790367414">
      <w:bodyDiv w:val="1"/>
      <w:marLeft w:val="0"/>
      <w:marRight w:val="0"/>
      <w:marTop w:val="0"/>
      <w:marBottom w:val="0"/>
      <w:divBdr>
        <w:top w:val="none" w:sz="0" w:space="0" w:color="auto"/>
        <w:left w:val="none" w:sz="0" w:space="0" w:color="auto"/>
        <w:bottom w:val="none" w:sz="0" w:space="0" w:color="auto"/>
        <w:right w:val="none" w:sz="0" w:space="0" w:color="auto"/>
      </w:divBdr>
    </w:div>
    <w:div w:id="792020089">
      <w:bodyDiv w:val="1"/>
      <w:marLeft w:val="0"/>
      <w:marRight w:val="0"/>
      <w:marTop w:val="0"/>
      <w:marBottom w:val="0"/>
      <w:divBdr>
        <w:top w:val="none" w:sz="0" w:space="0" w:color="auto"/>
        <w:left w:val="none" w:sz="0" w:space="0" w:color="auto"/>
        <w:bottom w:val="none" w:sz="0" w:space="0" w:color="auto"/>
        <w:right w:val="none" w:sz="0" w:space="0" w:color="auto"/>
      </w:divBdr>
    </w:div>
    <w:div w:id="795759396">
      <w:bodyDiv w:val="1"/>
      <w:marLeft w:val="0"/>
      <w:marRight w:val="0"/>
      <w:marTop w:val="0"/>
      <w:marBottom w:val="0"/>
      <w:divBdr>
        <w:top w:val="none" w:sz="0" w:space="0" w:color="auto"/>
        <w:left w:val="none" w:sz="0" w:space="0" w:color="auto"/>
        <w:bottom w:val="none" w:sz="0" w:space="0" w:color="auto"/>
        <w:right w:val="none" w:sz="0" w:space="0" w:color="auto"/>
      </w:divBdr>
    </w:div>
    <w:div w:id="797718928">
      <w:bodyDiv w:val="1"/>
      <w:marLeft w:val="0"/>
      <w:marRight w:val="0"/>
      <w:marTop w:val="0"/>
      <w:marBottom w:val="0"/>
      <w:divBdr>
        <w:top w:val="none" w:sz="0" w:space="0" w:color="auto"/>
        <w:left w:val="none" w:sz="0" w:space="0" w:color="auto"/>
        <w:bottom w:val="none" w:sz="0" w:space="0" w:color="auto"/>
        <w:right w:val="none" w:sz="0" w:space="0" w:color="auto"/>
      </w:divBdr>
    </w:div>
    <w:div w:id="802650104">
      <w:bodyDiv w:val="1"/>
      <w:marLeft w:val="0"/>
      <w:marRight w:val="0"/>
      <w:marTop w:val="0"/>
      <w:marBottom w:val="0"/>
      <w:divBdr>
        <w:top w:val="none" w:sz="0" w:space="0" w:color="auto"/>
        <w:left w:val="none" w:sz="0" w:space="0" w:color="auto"/>
        <w:bottom w:val="none" w:sz="0" w:space="0" w:color="auto"/>
        <w:right w:val="none" w:sz="0" w:space="0" w:color="auto"/>
      </w:divBdr>
    </w:div>
    <w:div w:id="803621571">
      <w:bodyDiv w:val="1"/>
      <w:marLeft w:val="0"/>
      <w:marRight w:val="0"/>
      <w:marTop w:val="0"/>
      <w:marBottom w:val="0"/>
      <w:divBdr>
        <w:top w:val="none" w:sz="0" w:space="0" w:color="auto"/>
        <w:left w:val="none" w:sz="0" w:space="0" w:color="auto"/>
        <w:bottom w:val="none" w:sz="0" w:space="0" w:color="auto"/>
        <w:right w:val="none" w:sz="0" w:space="0" w:color="auto"/>
      </w:divBdr>
    </w:div>
    <w:div w:id="805123354">
      <w:bodyDiv w:val="1"/>
      <w:marLeft w:val="0"/>
      <w:marRight w:val="0"/>
      <w:marTop w:val="0"/>
      <w:marBottom w:val="0"/>
      <w:divBdr>
        <w:top w:val="none" w:sz="0" w:space="0" w:color="auto"/>
        <w:left w:val="none" w:sz="0" w:space="0" w:color="auto"/>
        <w:bottom w:val="none" w:sz="0" w:space="0" w:color="auto"/>
        <w:right w:val="none" w:sz="0" w:space="0" w:color="auto"/>
      </w:divBdr>
    </w:div>
    <w:div w:id="806318052">
      <w:bodyDiv w:val="1"/>
      <w:marLeft w:val="0"/>
      <w:marRight w:val="0"/>
      <w:marTop w:val="0"/>
      <w:marBottom w:val="0"/>
      <w:divBdr>
        <w:top w:val="none" w:sz="0" w:space="0" w:color="auto"/>
        <w:left w:val="none" w:sz="0" w:space="0" w:color="auto"/>
        <w:bottom w:val="none" w:sz="0" w:space="0" w:color="auto"/>
        <w:right w:val="none" w:sz="0" w:space="0" w:color="auto"/>
      </w:divBdr>
    </w:div>
    <w:div w:id="806817089">
      <w:bodyDiv w:val="1"/>
      <w:marLeft w:val="0"/>
      <w:marRight w:val="0"/>
      <w:marTop w:val="0"/>
      <w:marBottom w:val="0"/>
      <w:divBdr>
        <w:top w:val="none" w:sz="0" w:space="0" w:color="auto"/>
        <w:left w:val="none" w:sz="0" w:space="0" w:color="auto"/>
        <w:bottom w:val="none" w:sz="0" w:space="0" w:color="auto"/>
        <w:right w:val="none" w:sz="0" w:space="0" w:color="auto"/>
      </w:divBdr>
    </w:div>
    <w:div w:id="808478142">
      <w:bodyDiv w:val="1"/>
      <w:marLeft w:val="0"/>
      <w:marRight w:val="0"/>
      <w:marTop w:val="0"/>
      <w:marBottom w:val="0"/>
      <w:divBdr>
        <w:top w:val="none" w:sz="0" w:space="0" w:color="auto"/>
        <w:left w:val="none" w:sz="0" w:space="0" w:color="auto"/>
        <w:bottom w:val="none" w:sz="0" w:space="0" w:color="auto"/>
        <w:right w:val="none" w:sz="0" w:space="0" w:color="auto"/>
      </w:divBdr>
    </w:div>
    <w:div w:id="809326429">
      <w:bodyDiv w:val="1"/>
      <w:marLeft w:val="0"/>
      <w:marRight w:val="0"/>
      <w:marTop w:val="0"/>
      <w:marBottom w:val="0"/>
      <w:divBdr>
        <w:top w:val="none" w:sz="0" w:space="0" w:color="auto"/>
        <w:left w:val="none" w:sz="0" w:space="0" w:color="auto"/>
        <w:bottom w:val="none" w:sz="0" w:space="0" w:color="auto"/>
        <w:right w:val="none" w:sz="0" w:space="0" w:color="auto"/>
      </w:divBdr>
    </w:div>
    <w:div w:id="809596854">
      <w:bodyDiv w:val="1"/>
      <w:marLeft w:val="0"/>
      <w:marRight w:val="0"/>
      <w:marTop w:val="0"/>
      <w:marBottom w:val="0"/>
      <w:divBdr>
        <w:top w:val="none" w:sz="0" w:space="0" w:color="auto"/>
        <w:left w:val="none" w:sz="0" w:space="0" w:color="auto"/>
        <w:bottom w:val="none" w:sz="0" w:space="0" w:color="auto"/>
        <w:right w:val="none" w:sz="0" w:space="0" w:color="auto"/>
      </w:divBdr>
    </w:div>
    <w:div w:id="809715781">
      <w:bodyDiv w:val="1"/>
      <w:marLeft w:val="0"/>
      <w:marRight w:val="0"/>
      <w:marTop w:val="0"/>
      <w:marBottom w:val="0"/>
      <w:divBdr>
        <w:top w:val="none" w:sz="0" w:space="0" w:color="auto"/>
        <w:left w:val="none" w:sz="0" w:space="0" w:color="auto"/>
        <w:bottom w:val="none" w:sz="0" w:space="0" w:color="auto"/>
        <w:right w:val="none" w:sz="0" w:space="0" w:color="auto"/>
      </w:divBdr>
    </w:div>
    <w:div w:id="810942868">
      <w:bodyDiv w:val="1"/>
      <w:marLeft w:val="0"/>
      <w:marRight w:val="0"/>
      <w:marTop w:val="0"/>
      <w:marBottom w:val="0"/>
      <w:divBdr>
        <w:top w:val="none" w:sz="0" w:space="0" w:color="auto"/>
        <w:left w:val="none" w:sz="0" w:space="0" w:color="auto"/>
        <w:bottom w:val="none" w:sz="0" w:space="0" w:color="auto"/>
        <w:right w:val="none" w:sz="0" w:space="0" w:color="auto"/>
      </w:divBdr>
    </w:div>
    <w:div w:id="811408156">
      <w:bodyDiv w:val="1"/>
      <w:marLeft w:val="0"/>
      <w:marRight w:val="0"/>
      <w:marTop w:val="0"/>
      <w:marBottom w:val="0"/>
      <w:divBdr>
        <w:top w:val="none" w:sz="0" w:space="0" w:color="auto"/>
        <w:left w:val="none" w:sz="0" w:space="0" w:color="auto"/>
        <w:bottom w:val="none" w:sz="0" w:space="0" w:color="auto"/>
        <w:right w:val="none" w:sz="0" w:space="0" w:color="auto"/>
      </w:divBdr>
    </w:div>
    <w:div w:id="811480037">
      <w:bodyDiv w:val="1"/>
      <w:marLeft w:val="0"/>
      <w:marRight w:val="0"/>
      <w:marTop w:val="0"/>
      <w:marBottom w:val="0"/>
      <w:divBdr>
        <w:top w:val="none" w:sz="0" w:space="0" w:color="auto"/>
        <w:left w:val="none" w:sz="0" w:space="0" w:color="auto"/>
        <w:bottom w:val="none" w:sz="0" w:space="0" w:color="auto"/>
        <w:right w:val="none" w:sz="0" w:space="0" w:color="auto"/>
      </w:divBdr>
    </w:div>
    <w:div w:id="811603715">
      <w:bodyDiv w:val="1"/>
      <w:marLeft w:val="0"/>
      <w:marRight w:val="0"/>
      <w:marTop w:val="0"/>
      <w:marBottom w:val="0"/>
      <w:divBdr>
        <w:top w:val="none" w:sz="0" w:space="0" w:color="auto"/>
        <w:left w:val="none" w:sz="0" w:space="0" w:color="auto"/>
        <w:bottom w:val="none" w:sz="0" w:space="0" w:color="auto"/>
        <w:right w:val="none" w:sz="0" w:space="0" w:color="auto"/>
      </w:divBdr>
    </w:div>
    <w:div w:id="812450107">
      <w:bodyDiv w:val="1"/>
      <w:marLeft w:val="0"/>
      <w:marRight w:val="0"/>
      <w:marTop w:val="0"/>
      <w:marBottom w:val="0"/>
      <w:divBdr>
        <w:top w:val="none" w:sz="0" w:space="0" w:color="auto"/>
        <w:left w:val="none" w:sz="0" w:space="0" w:color="auto"/>
        <w:bottom w:val="none" w:sz="0" w:space="0" w:color="auto"/>
        <w:right w:val="none" w:sz="0" w:space="0" w:color="auto"/>
      </w:divBdr>
    </w:div>
    <w:div w:id="812911656">
      <w:bodyDiv w:val="1"/>
      <w:marLeft w:val="0"/>
      <w:marRight w:val="0"/>
      <w:marTop w:val="0"/>
      <w:marBottom w:val="0"/>
      <w:divBdr>
        <w:top w:val="none" w:sz="0" w:space="0" w:color="auto"/>
        <w:left w:val="none" w:sz="0" w:space="0" w:color="auto"/>
        <w:bottom w:val="none" w:sz="0" w:space="0" w:color="auto"/>
        <w:right w:val="none" w:sz="0" w:space="0" w:color="auto"/>
      </w:divBdr>
    </w:div>
    <w:div w:id="813765262">
      <w:bodyDiv w:val="1"/>
      <w:marLeft w:val="0"/>
      <w:marRight w:val="0"/>
      <w:marTop w:val="0"/>
      <w:marBottom w:val="0"/>
      <w:divBdr>
        <w:top w:val="none" w:sz="0" w:space="0" w:color="auto"/>
        <w:left w:val="none" w:sz="0" w:space="0" w:color="auto"/>
        <w:bottom w:val="none" w:sz="0" w:space="0" w:color="auto"/>
        <w:right w:val="none" w:sz="0" w:space="0" w:color="auto"/>
      </w:divBdr>
    </w:div>
    <w:div w:id="814375188">
      <w:bodyDiv w:val="1"/>
      <w:marLeft w:val="0"/>
      <w:marRight w:val="0"/>
      <w:marTop w:val="0"/>
      <w:marBottom w:val="0"/>
      <w:divBdr>
        <w:top w:val="none" w:sz="0" w:space="0" w:color="auto"/>
        <w:left w:val="none" w:sz="0" w:space="0" w:color="auto"/>
        <w:bottom w:val="none" w:sz="0" w:space="0" w:color="auto"/>
        <w:right w:val="none" w:sz="0" w:space="0" w:color="auto"/>
      </w:divBdr>
    </w:div>
    <w:div w:id="815027180">
      <w:bodyDiv w:val="1"/>
      <w:marLeft w:val="0"/>
      <w:marRight w:val="0"/>
      <w:marTop w:val="0"/>
      <w:marBottom w:val="0"/>
      <w:divBdr>
        <w:top w:val="none" w:sz="0" w:space="0" w:color="auto"/>
        <w:left w:val="none" w:sz="0" w:space="0" w:color="auto"/>
        <w:bottom w:val="none" w:sz="0" w:space="0" w:color="auto"/>
        <w:right w:val="none" w:sz="0" w:space="0" w:color="auto"/>
      </w:divBdr>
    </w:div>
    <w:div w:id="816382505">
      <w:bodyDiv w:val="1"/>
      <w:marLeft w:val="0"/>
      <w:marRight w:val="0"/>
      <w:marTop w:val="0"/>
      <w:marBottom w:val="0"/>
      <w:divBdr>
        <w:top w:val="none" w:sz="0" w:space="0" w:color="auto"/>
        <w:left w:val="none" w:sz="0" w:space="0" w:color="auto"/>
        <w:bottom w:val="none" w:sz="0" w:space="0" w:color="auto"/>
        <w:right w:val="none" w:sz="0" w:space="0" w:color="auto"/>
      </w:divBdr>
    </w:div>
    <w:div w:id="818694572">
      <w:bodyDiv w:val="1"/>
      <w:marLeft w:val="0"/>
      <w:marRight w:val="0"/>
      <w:marTop w:val="0"/>
      <w:marBottom w:val="0"/>
      <w:divBdr>
        <w:top w:val="none" w:sz="0" w:space="0" w:color="auto"/>
        <w:left w:val="none" w:sz="0" w:space="0" w:color="auto"/>
        <w:bottom w:val="none" w:sz="0" w:space="0" w:color="auto"/>
        <w:right w:val="none" w:sz="0" w:space="0" w:color="auto"/>
      </w:divBdr>
    </w:div>
    <w:div w:id="820732203">
      <w:bodyDiv w:val="1"/>
      <w:marLeft w:val="0"/>
      <w:marRight w:val="0"/>
      <w:marTop w:val="0"/>
      <w:marBottom w:val="0"/>
      <w:divBdr>
        <w:top w:val="none" w:sz="0" w:space="0" w:color="auto"/>
        <w:left w:val="none" w:sz="0" w:space="0" w:color="auto"/>
        <w:bottom w:val="none" w:sz="0" w:space="0" w:color="auto"/>
        <w:right w:val="none" w:sz="0" w:space="0" w:color="auto"/>
      </w:divBdr>
    </w:div>
    <w:div w:id="820971887">
      <w:bodyDiv w:val="1"/>
      <w:marLeft w:val="0"/>
      <w:marRight w:val="0"/>
      <w:marTop w:val="0"/>
      <w:marBottom w:val="0"/>
      <w:divBdr>
        <w:top w:val="none" w:sz="0" w:space="0" w:color="auto"/>
        <w:left w:val="none" w:sz="0" w:space="0" w:color="auto"/>
        <w:bottom w:val="none" w:sz="0" w:space="0" w:color="auto"/>
        <w:right w:val="none" w:sz="0" w:space="0" w:color="auto"/>
      </w:divBdr>
    </w:div>
    <w:div w:id="828596424">
      <w:bodyDiv w:val="1"/>
      <w:marLeft w:val="0"/>
      <w:marRight w:val="0"/>
      <w:marTop w:val="0"/>
      <w:marBottom w:val="0"/>
      <w:divBdr>
        <w:top w:val="none" w:sz="0" w:space="0" w:color="auto"/>
        <w:left w:val="none" w:sz="0" w:space="0" w:color="auto"/>
        <w:bottom w:val="none" w:sz="0" w:space="0" w:color="auto"/>
        <w:right w:val="none" w:sz="0" w:space="0" w:color="auto"/>
      </w:divBdr>
    </w:div>
    <w:div w:id="832335036">
      <w:bodyDiv w:val="1"/>
      <w:marLeft w:val="0"/>
      <w:marRight w:val="0"/>
      <w:marTop w:val="0"/>
      <w:marBottom w:val="0"/>
      <w:divBdr>
        <w:top w:val="none" w:sz="0" w:space="0" w:color="auto"/>
        <w:left w:val="none" w:sz="0" w:space="0" w:color="auto"/>
        <w:bottom w:val="none" w:sz="0" w:space="0" w:color="auto"/>
        <w:right w:val="none" w:sz="0" w:space="0" w:color="auto"/>
      </w:divBdr>
    </w:div>
    <w:div w:id="833566920">
      <w:bodyDiv w:val="1"/>
      <w:marLeft w:val="0"/>
      <w:marRight w:val="0"/>
      <w:marTop w:val="0"/>
      <w:marBottom w:val="0"/>
      <w:divBdr>
        <w:top w:val="none" w:sz="0" w:space="0" w:color="auto"/>
        <w:left w:val="none" w:sz="0" w:space="0" w:color="auto"/>
        <w:bottom w:val="none" w:sz="0" w:space="0" w:color="auto"/>
        <w:right w:val="none" w:sz="0" w:space="0" w:color="auto"/>
      </w:divBdr>
    </w:div>
    <w:div w:id="836961857">
      <w:bodyDiv w:val="1"/>
      <w:marLeft w:val="0"/>
      <w:marRight w:val="0"/>
      <w:marTop w:val="0"/>
      <w:marBottom w:val="0"/>
      <w:divBdr>
        <w:top w:val="none" w:sz="0" w:space="0" w:color="auto"/>
        <w:left w:val="none" w:sz="0" w:space="0" w:color="auto"/>
        <w:bottom w:val="none" w:sz="0" w:space="0" w:color="auto"/>
        <w:right w:val="none" w:sz="0" w:space="0" w:color="auto"/>
      </w:divBdr>
    </w:div>
    <w:div w:id="841357486">
      <w:bodyDiv w:val="1"/>
      <w:marLeft w:val="0"/>
      <w:marRight w:val="0"/>
      <w:marTop w:val="0"/>
      <w:marBottom w:val="0"/>
      <w:divBdr>
        <w:top w:val="none" w:sz="0" w:space="0" w:color="auto"/>
        <w:left w:val="none" w:sz="0" w:space="0" w:color="auto"/>
        <w:bottom w:val="none" w:sz="0" w:space="0" w:color="auto"/>
        <w:right w:val="none" w:sz="0" w:space="0" w:color="auto"/>
      </w:divBdr>
    </w:div>
    <w:div w:id="843012413">
      <w:bodyDiv w:val="1"/>
      <w:marLeft w:val="0"/>
      <w:marRight w:val="0"/>
      <w:marTop w:val="0"/>
      <w:marBottom w:val="0"/>
      <w:divBdr>
        <w:top w:val="none" w:sz="0" w:space="0" w:color="auto"/>
        <w:left w:val="none" w:sz="0" w:space="0" w:color="auto"/>
        <w:bottom w:val="none" w:sz="0" w:space="0" w:color="auto"/>
        <w:right w:val="none" w:sz="0" w:space="0" w:color="auto"/>
      </w:divBdr>
    </w:div>
    <w:div w:id="843128997">
      <w:bodyDiv w:val="1"/>
      <w:marLeft w:val="0"/>
      <w:marRight w:val="0"/>
      <w:marTop w:val="0"/>
      <w:marBottom w:val="0"/>
      <w:divBdr>
        <w:top w:val="none" w:sz="0" w:space="0" w:color="auto"/>
        <w:left w:val="none" w:sz="0" w:space="0" w:color="auto"/>
        <w:bottom w:val="none" w:sz="0" w:space="0" w:color="auto"/>
        <w:right w:val="none" w:sz="0" w:space="0" w:color="auto"/>
      </w:divBdr>
    </w:div>
    <w:div w:id="843203574">
      <w:bodyDiv w:val="1"/>
      <w:marLeft w:val="0"/>
      <w:marRight w:val="0"/>
      <w:marTop w:val="0"/>
      <w:marBottom w:val="0"/>
      <w:divBdr>
        <w:top w:val="none" w:sz="0" w:space="0" w:color="auto"/>
        <w:left w:val="none" w:sz="0" w:space="0" w:color="auto"/>
        <w:bottom w:val="none" w:sz="0" w:space="0" w:color="auto"/>
        <w:right w:val="none" w:sz="0" w:space="0" w:color="auto"/>
      </w:divBdr>
    </w:div>
    <w:div w:id="843737933">
      <w:bodyDiv w:val="1"/>
      <w:marLeft w:val="0"/>
      <w:marRight w:val="0"/>
      <w:marTop w:val="0"/>
      <w:marBottom w:val="0"/>
      <w:divBdr>
        <w:top w:val="none" w:sz="0" w:space="0" w:color="auto"/>
        <w:left w:val="none" w:sz="0" w:space="0" w:color="auto"/>
        <w:bottom w:val="none" w:sz="0" w:space="0" w:color="auto"/>
        <w:right w:val="none" w:sz="0" w:space="0" w:color="auto"/>
      </w:divBdr>
    </w:div>
    <w:div w:id="844785938">
      <w:bodyDiv w:val="1"/>
      <w:marLeft w:val="0"/>
      <w:marRight w:val="0"/>
      <w:marTop w:val="0"/>
      <w:marBottom w:val="0"/>
      <w:divBdr>
        <w:top w:val="none" w:sz="0" w:space="0" w:color="auto"/>
        <w:left w:val="none" w:sz="0" w:space="0" w:color="auto"/>
        <w:bottom w:val="none" w:sz="0" w:space="0" w:color="auto"/>
        <w:right w:val="none" w:sz="0" w:space="0" w:color="auto"/>
      </w:divBdr>
    </w:div>
    <w:div w:id="847603749">
      <w:bodyDiv w:val="1"/>
      <w:marLeft w:val="0"/>
      <w:marRight w:val="0"/>
      <w:marTop w:val="0"/>
      <w:marBottom w:val="0"/>
      <w:divBdr>
        <w:top w:val="none" w:sz="0" w:space="0" w:color="auto"/>
        <w:left w:val="none" w:sz="0" w:space="0" w:color="auto"/>
        <w:bottom w:val="none" w:sz="0" w:space="0" w:color="auto"/>
        <w:right w:val="none" w:sz="0" w:space="0" w:color="auto"/>
      </w:divBdr>
    </w:div>
    <w:div w:id="848716117">
      <w:bodyDiv w:val="1"/>
      <w:marLeft w:val="0"/>
      <w:marRight w:val="0"/>
      <w:marTop w:val="0"/>
      <w:marBottom w:val="0"/>
      <w:divBdr>
        <w:top w:val="none" w:sz="0" w:space="0" w:color="auto"/>
        <w:left w:val="none" w:sz="0" w:space="0" w:color="auto"/>
        <w:bottom w:val="none" w:sz="0" w:space="0" w:color="auto"/>
        <w:right w:val="none" w:sz="0" w:space="0" w:color="auto"/>
      </w:divBdr>
      <w:divsChild>
        <w:div w:id="1549417531">
          <w:marLeft w:val="0"/>
          <w:marRight w:val="0"/>
          <w:marTop w:val="0"/>
          <w:marBottom w:val="0"/>
          <w:divBdr>
            <w:top w:val="none" w:sz="0" w:space="0" w:color="auto"/>
            <w:left w:val="none" w:sz="0" w:space="0" w:color="auto"/>
            <w:bottom w:val="none" w:sz="0" w:space="0" w:color="auto"/>
            <w:right w:val="none" w:sz="0" w:space="0" w:color="auto"/>
          </w:divBdr>
        </w:div>
      </w:divsChild>
    </w:div>
    <w:div w:id="850798886">
      <w:bodyDiv w:val="1"/>
      <w:marLeft w:val="0"/>
      <w:marRight w:val="0"/>
      <w:marTop w:val="0"/>
      <w:marBottom w:val="0"/>
      <w:divBdr>
        <w:top w:val="none" w:sz="0" w:space="0" w:color="auto"/>
        <w:left w:val="none" w:sz="0" w:space="0" w:color="auto"/>
        <w:bottom w:val="none" w:sz="0" w:space="0" w:color="auto"/>
        <w:right w:val="none" w:sz="0" w:space="0" w:color="auto"/>
      </w:divBdr>
    </w:div>
    <w:div w:id="853113373">
      <w:bodyDiv w:val="1"/>
      <w:marLeft w:val="0"/>
      <w:marRight w:val="0"/>
      <w:marTop w:val="0"/>
      <w:marBottom w:val="0"/>
      <w:divBdr>
        <w:top w:val="none" w:sz="0" w:space="0" w:color="auto"/>
        <w:left w:val="none" w:sz="0" w:space="0" w:color="auto"/>
        <w:bottom w:val="none" w:sz="0" w:space="0" w:color="auto"/>
        <w:right w:val="none" w:sz="0" w:space="0" w:color="auto"/>
      </w:divBdr>
    </w:div>
    <w:div w:id="857042777">
      <w:bodyDiv w:val="1"/>
      <w:marLeft w:val="0"/>
      <w:marRight w:val="0"/>
      <w:marTop w:val="0"/>
      <w:marBottom w:val="0"/>
      <w:divBdr>
        <w:top w:val="none" w:sz="0" w:space="0" w:color="auto"/>
        <w:left w:val="none" w:sz="0" w:space="0" w:color="auto"/>
        <w:bottom w:val="none" w:sz="0" w:space="0" w:color="auto"/>
        <w:right w:val="none" w:sz="0" w:space="0" w:color="auto"/>
      </w:divBdr>
    </w:div>
    <w:div w:id="859010307">
      <w:bodyDiv w:val="1"/>
      <w:marLeft w:val="0"/>
      <w:marRight w:val="0"/>
      <w:marTop w:val="0"/>
      <w:marBottom w:val="0"/>
      <w:divBdr>
        <w:top w:val="none" w:sz="0" w:space="0" w:color="auto"/>
        <w:left w:val="none" w:sz="0" w:space="0" w:color="auto"/>
        <w:bottom w:val="none" w:sz="0" w:space="0" w:color="auto"/>
        <w:right w:val="none" w:sz="0" w:space="0" w:color="auto"/>
      </w:divBdr>
    </w:div>
    <w:div w:id="859928908">
      <w:bodyDiv w:val="1"/>
      <w:marLeft w:val="0"/>
      <w:marRight w:val="0"/>
      <w:marTop w:val="0"/>
      <w:marBottom w:val="0"/>
      <w:divBdr>
        <w:top w:val="none" w:sz="0" w:space="0" w:color="auto"/>
        <w:left w:val="none" w:sz="0" w:space="0" w:color="auto"/>
        <w:bottom w:val="none" w:sz="0" w:space="0" w:color="auto"/>
        <w:right w:val="none" w:sz="0" w:space="0" w:color="auto"/>
      </w:divBdr>
    </w:div>
    <w:div w:id="860121866">
      <w:bodyDiv w:val="1"/>
      <w:marLeft w:val="0"/>
      <w:marRight w:val="0"/>
      <w:marTop w:val="0"/>
      <w:marBottom w:val="0"/>
      <w:divBdr>
        <w:top w:val="none" w:sz="0" w:space="0" w:color="auto"/>
        <w:left w:val="none" w:sz="0" w:space="0" w:color="auto"/>
        <w:bottom w:val="none" w:sz="0" w:space="0" w:color="auto"/>
        <w:right w:val="none" w:sz="0" w:space="0" w:color="auto"/>
      </w:divBdr>
    </w:div>
    <w:div w:id="861434596">
      <w:bodyDiv w:val="1"/>
      <w:marLeft w:val="0"/>
      <w:marRight w:val="0"/>
      <w:marTop w:val="0"/>
      <w:marBottom w:val="0"/>
      <w:divBdr>
        <w:top w:val="none" w:sz="0" w:space="0" w:color="auto"/>
        <w:left w:val="none" w:sz="0" w:space="0" w:color="auto"/>
        <w:bottom w:val="none" w:sz="0" w:space="0" w:color="auto"/>
        <w:right w:val="none" w:sz="0" w:space="0" w:color="auto"/>
      </w:divBdr>
      <w:divsChild>
        <w:div w:id="648094123">
          <w:marLeft w:val="0"/>
          <w:marRight w:val="0"/>
          <w:marTop w:val="0"/>
          <w:marBottom w:val="0"/>
          <w:divBdr>
            <w:top w:val="none" w:sz="0" w:space="0" w:color="auto"/>
            <w:left w:val="none" w:sz="0" w:space="0" w:color="auto"/>
            <w:bottom w:val="none" w:sz="0" w:space="0" w:color="auto"/>
            <w:right w:val="none" w:sz="0" w:space="0" w:color="auto"/>
          </w:divBdr>
        </w:div>
      </w:divsChild>
    </w:div>
    <w:div w:id="866063093">
      <w:bodyDiv w:val="1"/>
      <w:marLeft w:val="0"/>
      <w:marRight w:val="0"/>
      <w:marTop w:val="0"/>
      <w:marBottom w:val="0"/>
      <w:divBdr>
        <w:top w:val="none" w:sz="0" w:space="0" w:color="auto"/>
        <w:left w:val="none" w:sz="0" w:space="0" w:color="auto"/>
        <w:bottom w:val="none" w:sz="0" w:space="0" w:color="auto"/>
        <w:right w:val="none" w:sz="0" w:space="0" w:color="auto"/>
      </w:divBdr>
    </w:div>
    <w:div w:id="866144243">
      <w:bodyDiv w:val="1"/>
      <w:marLeft w:val="0"/>
      <w:marRight w:val="0"/>
      <w:marTop w:val="0"/>
      <w:marBottom w:val="0"/>
      <w:divBdr>
        <w:top w:val="none" w:sz="0" w:space="0" w:color="auto"/>
        <w:left w:val="none" w:sz="0" w:space="0" w:color="auto"/>
        <w:bottom w:val="none" w:sz="0" w:space="0" w:color="auto"/>
        <w:right w:val="none" w:sz="0" w:space="0" w:color="auto"/>
      </w:divBdr>
    </w:div>
    <w:div w:id="866722225">
      <w:bodyDiv w:val="1"/>
      <w:marLeft w:val="0"/>
      <w:marRight w:val="0"/>
      <w:marTop w:val="0"/>
      <w:marBottom w:val="0"/>
      <w:divBdr>
        <w:top w:val="none" w:sz="0" w:space="0" w:color="auto"/>
        <w:left w:val="none" w:sz="0" w:space="0" w:color="auto"/>
        <w:bottom w:val="none" w:sz="0" w:space="0" w:color="auto"/>
        <w:right w:val="none" w:sz="0" w:space="0" w:color="auto"/>
      </w:divBdr>
    </w:div>
    <w:div w:id="867565722">
      <w:bodyDiv w:val="1"/>
      <w:marLeft w:val="0"/>
      <w:marRight w:val="0"/>
      <w:marTop w:val="0"/>
      <w:marBottom w:val="0"/>
      <w:divBdr>
        <w:top w:val="none" w:sz="0" w:space="0" w:color="auto"/>
        <w:left w:val="none" w:sz="0" w:space="0" w:color="auto"/>
        <w:bottom w:val="none" w:sz="0" w:space="0" w:color="auto"/>
        <w:right w:val="none" w:sz="0" w:space="0" w:color="auto"/>
      </w:divBdr>
    </w:div>
    <w:div w:id="867723836">
      <w:bodyDiv w:val="1"/>
      <w:marLeft w:val="0"/>
      <w:marRight w:val="0"/>
      <w:marTop w:val="0"/>
      <w:marBottom w:val="0"/>
      <w:divBdr>
        <w:top w:val="none" w:sz="0" w:space="0" w:color="auto"/>
        <w:left w:val="none" w:sz="0" w:space="0" w:color="auto"/>
        <w:bottom w:val="none" w:sz="0" w:space="0" w:color="auto"/>
        <w:right w:val="none" w:sz="0" w:space="0" w:color="auto"/>
      </w:divBdr>
    </w:div>
    <w:div w:id="868419111">
      <w:bodyDiv w:val="1"/>
      <w:marLeft w:val="0"/>
      <w:marRight w:val="0"/>
      <w:marTop w:val="0"/>
      <w:marBottom w:val="0"/>
      <w:divBdr>
        <w:top w:val="none" w:sz="0" w:space="0" w:color="auto"/>
        <w:left w:val="none" w:sz="0" w:space="0" w:color="auto"/>
        <w:bottom w:val="none" w:sz="0" w:space="0" w:color="auto"/>
        <w:right w:val="none" w:sz="0" w:space="0" w:color="auto"/>
      </w:divBdr>
    </w:div>
    <w:div w:id="869149211">
      <w:bodyDiv w:val="1"/>
      <w:marLeft w:val="0"/>
      <w:marRight w:val="0"/>
      <w:marTop w:val="0"/>
      <w:marBottom w:val="0"/>
      <w:divBdr>
        <w:top w:val="none" w:sz="0" w:space="0" w:color="auto"/>
        <w:left w:val="none" w:sz="0" w:space="0" w:color="auto"/>
        <w:bottom w:val="none" w:sz="0" w:space="0" w:color="auto"/>
        <w:right w:val="none" w:sz="0" w:space="0" w:color="auto"/>
      </w:divBdr>
    </w:div>
    <w:div w:id="870608168">
      <w:bodyDiv w:val="1"/>
      <w:marLeft w:val="0"/>
      <w:marRight w:val="0"/>
      <w:marTop w:val="0"/>
      <w:marBottom w:val="0"/>
      <w:divBdr>
        <w:top w:val="none" w:sz="0" w:space="0" w:color="auto"/>
        <w:left w:val="none" w:sz="0" w:space="0" w:color="auto"/>
        <w:bottom w:val="none" w:sz="0" w:space="0" w:color="auto"/>
        <w:right w:val="none" w:sz="0" w:space="0" w:color="auto"/>
      </w:divBdr>
      <w:divsChild>
        <w:div w:id="335619846">
          <w:marLeft w:val="0"/>
          <w:marRight w:val="0"/>
          <w:marTop w:val="120"/>
          <w:marBottom w:val="0"/>
          <w:divBdr>
            <w:top w:val="none" w:sz="0" w:space="0" w:color="auto"/>
            <w:left w:val="none" w:sz="0" w:space="0" w:color="auto"/>
            <w:bottom w:val="none" w:sz="0" w:space="0" w:color="auto"/>
            <w:right w:val="none" w:sz="0" w:space="0" w:color="auto"/>
          </w:divBdr>
        </w:div>
        <w:div w:id="454636659">
          <w:marLeft w:val="0"/>
          <w:marRight w:val="0"/>
          <w:marTop w:val="120"/>
          <w:marBottom w:val="0"/>
          <w:divBdr>
            <w:top w:val="none" w:sz="0" w:space="0" w:color="auto"/>
            <w:left w:val="none" w:sz="0" w:space="0" w:color="auto"/>
            <w:bottom w:val="none" w:sz="0" w:space="0" w:color="auto"/>
            <w:right w:val="none" w:sz="0" w:space="0" w:color="auto"/>
          </w:divBdr>
        </w:div>
      </w:divsChild>
    </w:div>
    <w:div w:id="870646621">
      <w:bodyDiv w:val="1"/>
      <w:marLeft w:val="0"/>
      <w:marRight w:val="0"/>
      <w:marTop w:val="0"/>
      <w:marBottom w:val="0"/>
      <w:divBdr>
        <w:top w:val="none" w:sz="0" w:space="0" w:color="auto"/>
        <w:left w:val="none" w:sz="0" w:space="0" w:color="auto"/>
        <w:bottom w:val="none" w:sz="0" w:space="0" w:color="auto"/>
        <w:right w:val="none" w:sz="0" w:space="0" w:color="auto"/>
      </w:divBdr>
    </w:div>
    <w:div w:id="872771745">
      <w:bodyDiv w:val="1"/>
      <w:marLeft w:val="0"/>
      <w:marRight w:val="0"/>
      <w:marTop w:val="0"/>
      <w:marBottom w:val="0"/>
      <w:divBdr>
        <w:top w:val="none" w:sz="0" w:space="0" w:color="auto"/>
        <w:left w:val="none" w:sz="0" w:space="0" w:color="auto"/>
        <w:bottom w:val="none" w:sz="0" w:space="0" w:color="auto"/>
        <w:right w:val="none" w:sz="0" w:space="0" w:color="auto"/>
      </w:divBdr>
    </w:div>
    <w:div w:id="874125503">
      <w:bodyDiv w:val="1"/>
      <w:marLeft w:val="0"/>
      <w:marRight w:val="0"/>
      <w:marTop w:val="0"/>
      <w:marBottom w:val="0"/>
      <w:divBdr>
        <w:top w:val="none" w:sz="0" w:space="0" w:color="auto"/>
        <w:left w:val="none" w:sz="0" w:space="0" w:color="auto"/>
        <w:bottom w:val="none" w:sz="0" w:space="0" w:color="auto"/>
        <w:right w:val="none" w:sz="0" w:space="0" w:color="auto"/>
      </w:divBdr>
    </w:div>
    <w:div w:id="874344365">
      <w:bodyDiv w:val="1"/>
      <w:marLeft w:val="0"/>
      <w:marRight w:val="0"/>
      <w:marTop w:val="0"/>
      <w:marBottom w:val="0"/>
      <w:divBdr>
        <w:top w:val="none" w:sz="0" w:space="0" w:color="auto"/>
        <w:left w:val="none" w:sz="0" w:space="0" w:color="auto"/>
        <w:bottom w:val="none" w:sz="0" w:space="0" w:color="auto"/>
        <w:right w:val="none" w:sz="0" w:space="0" w:color="auto"/>
      </w:divBdr>
    </w:div>
    <w:div w:id="875387890">
      <w:bodyDiv w:val="1"/>
      <w:marLeft w:val="0"/>
      <w:marRight w:val="0"/>
      <w:marTop w:val="0"/>
      <w:marBottom w:val="0"/>
      <w:divBdr>
        <w:top w:val="none" w:sz="0" w:space="0" w:color="auto"/>
        <w:left w:val="none" w:sz="0" w:space="0" w:color="auto"/>
        <w:bottom w:val="none" w:sz="0" w:space="0" w:color="auto"/>
        <w:right w:val="none" w:sz="0" w:space="0" w:color="auto"/>
      </w:divBdr>
    </w:div>
    <w:div w:id="876353614">
      <w:bodyDiv w:val="1"/>
      <w:marLeft w:val="0"/>
      <w:marRight w:val="0"/>
      <w:marTop w:val="0"/>
      <w:marBottom w:val="0"/>
      <w:divBdr>
        <w:top w:val="none" w:sz="0" w:space="0" w:color="auto"/>
        <w:left w:val="none" w:sz="0" w:space="0" w:color="auto"/>
        <w:bottom w:val="none" w:sz="0" w:space="0" w:color="auto"/>
        <w:right w:val="none" w:sz="0" w:space="0" w:color="auto"/>
      </w:divBdr>
    </w:div>
    <w:div w:id="877666610">
      <w:bodyDiv w:val="1"/>
      <w:marLeft w:val="0"/>
      <w:marRight w:val="0"/>
      <w:marTop w:val="0"/>
      <w:marBottom w:val="0"/>
      <w:divBdr>
        <w:top w:val="none" w:sz="0" w:space="0" w:color="auto"/>
        <w:left w:val="none" w:sz="0" w:space="0" w:color="auto"/>
        <w:bottom w:val="none" w:sz="0" w:space="0" w:color="auto"/>
        <w:right w:val="none" w:sz="0" w:space="0" w:color="auto"/>
      </w:divBdr>
    </w:div>
    <w:div w:id="878594671">
      <w:bodyDiv w:val="1"/>
      <w:marLeft w:val="0"/>
      <w:marRight w:val="0"/>
      <w:marTop w:val="0"/>
      <w:marBottom w:val="0"/>
      <w:divBdr>
        <w:top w:val="none" w:sz="0" w:space="0" w:color="auto"/>
        <w:left w:val="none" w:sz="0" w:space="0" w:color="auto"/>
        <w:bottom w:val="none" w:sz="0" w:space="0" w:color="auto"/>
        <w:right w:val="none" w:sz="0" w:space="0" w:color="auto"/>
      </w:divBdr>
    </w:div>
    <w:div w:id="879509759">
      <w:bodyDiv w:val="1"/>
      <w:marLeft w:val="0"/>
      <w:marRight w:val="0"/>
      <w:marTop w:val="0"/>
      <w:marBottom w:val="0"/>
      <w:divBdr>
        <w:top w:val="none" w:sz="0" w:space="0" w:color="auto"/>
        <w:left w:val="none" w:sz="0" w:space="0" w:color="auto"/>
        <w:bottom w:val="none" w:sz="0" w:space="0" w:color="auto"/>
        <w:right w:val="none" w:sz="0" w:space="0" w:color="auto"/>
      </w:divBdr>
    </w:div>
    <w:div w:id="881014672">
      <w:bodyDiv w:val="1"/>
      <w:marLeft w:val="0"/>
      <w:marRight w:val="0"/>
      <w:marTop w:val="0"/>
      <w:marBottom w:val="0"/>
      <w:divBdr>
        <w:top w:val="none" w:sz="0" w:space="0" w:color="auto"/>
        <w:left w:val="none" w:sz="0" w:space="0" w:color="auto"/>
        <w:bottom w:val="none" w:sz="0" w:space="0" w:color="auto"/>
        <w:right w:val="none" w:sz="0" w:space="0" w:color="auto"/>
      </w:divBdr>
    </w:div>
    <w:div w:id="882599364">
      <w:bodyDiv w:val="1"/>
      <w:marLeft w:val="0"/>
      <w:marRight w:val="0"/>
      <w:marTop w:val="0"/>
      <w:marBottom w:val="0"/>
      <w:divBdr>
        <w:top w:val="none" w:sz="0" w:space="0" w:color="auto"/>
        <w:left w:val="none" w:sz="0" w:space="0" w:color="auto"/>
        <w:bottom w:val="none" w:sz="0" w:space="0" w:color="auto"/>
        <w:right w:val="none" w:sz="0" w:space="0" w:color="auto"/>
      </w:divBdr>
    </w:div>
    <w:div w:id="883060891">
      <w:bodyDiv w:val="1"/>
      <w:marLeft w:val="0"/>
      <w:marRight w:val="0"/>
      <w:marTop w:val="0"/>
      <w:marBottom w:val="0"/>
      <w:divBdr>
        <w:top w:val="none" w:sz="0" w:space="0" w:color="auto"/>
        <w:left w:val="none" w:sz="0" w:space="0" w:color="auto"/>
        <w:bottom w:val="none" w:sz="0" w:space="0" w:color="auto"/>
        <w:right w:val="none" w:sz="0" w:space="0" w:color="auto"/>
      </w:divBdr>
    </w:div>
    <w:div w:id="884217848">
      <w:bodyDiv w:val="1"/>
      <w:marLeft w:val="0"/>
      <w:marRight w:val="0"/>
      <w:marTop w:val="0"/>
      <w:marBottom w:val="0"/>
      <w:divBdr>
        <w:top w:val="none" w:sz="0" w:space="0" w:color="auto"/>
        <w:left w:val="none" w:sz="0" w:space="0" w:color="auto"/>
        <w:bottom w:val="none" w:sz="0" w:space="0" w:color="auto"/>
        <w:right w:val="none" w:sz="0" w:space="0" w:color="auto"/>
      </w:divBdr>
    </w:div>
    <w:div w:id="886601440">
      <w:bodyDiv w:val="1"/>
      <w:marLeft w:val="0"/>
      <w:marRight w:val="0"/>
      <w:marTop w:val="0"/>
      <w:marBottom w:val="0"/>
      <w:divBdr>
        <w:top w:val="none" w:sz="0" w:space="0" w:color="auto"/>
        <w:left w:val="none" w:sz="0" w:space="0" w:color="auto"/>
        <w:bottom w:val="none" w:sz="0" w:space="0" w:color="auto"/>
        <w:right w:val="none" w:sz="0" w:space="0" w:color="auto"/>
      </w:divBdr>
    </w:div>
    <w:div w:id="888148542">
      <w:bodyDiv w:val="1"/>
      <w:marLeft w:val="0"/>
      <w:marRight w:val="0"/>
      <w:marTop w:val="0"/>
      <w:marBottom w:val="0"/>
      <w:divBdr>
        <w:top w:val="none" w:sz="0" w:space="0" w:color="auto"/>
        <w:left w:val="none" w:sz="0" w:space="0" w:color="auto"/>
        <w:bottom w:val="none" w:sz="0" w:space="0" w:color="auto"/>
        <w:right w:val="none" w:sz="0" w:space="0" w:color="auto"/>
      </w:divBdr>
    </w:div>
    <w:div w:id="890117858">
      <w:bodyDiv w:val="1"/>
      <w:marLeft w:val="0"/>
      <w:marRight w:val="0"/>
      <w:marTop w:val="0"/>
      <w:marBottom w:val="0"/>
      <w:divBdr>
        <w:top w:val="none" w:sz="0" w:space="0" w:color="auto"/>
        <w:left w:val="none" w:sz="0" w:space="0" w:color="auto"/>
        <w:bottom w:val="none" w:sz="0" w:space="0" w:color="auto"/>
        <w:right w:val="none" w:sz="0" w:space="0" w:color="auto"/>
      </w:divBdr>
    </w:div>
    <w:div w:id="892810600">
      <w:bodyDiv w:val="1"/>
      <w:marLeft w:val="0"/>
      <w:marRight w:val="0"/>
      <w:marTop w:val="0"/>
      <w:marBottom w:val="0"/>
      <w:divBdr>
        <w:top w:val="none" w:sz="0" w:space="0" w:color="auto"/>
        <w:left w:val="none" w:sz="0" w:space="0" w:color="auto"/>
        <w:bottom w:val="none" w:sz="0" w:space="0" w:color="auto"/>
        <w:right w:val="none" w:sz="0" w:space="0" w:color="auto"/>
      </w:divBdr>
    </w:div>
    <w:div w:id="894389677">
      <w:bodyDiv w:val="1"/>
      <w:marLeft w:val="0"/>
      <w:marRight w:val="0"/>
      <w:marTop w:val="0"/>
      <w:marBottom w:val="0"/>
      <w:divBdr>
        <w:top w:val="none" w:sz="0" w:space="0" w:color="auto"/>
        <w:left w:val="none" w:sz="0" w:space="0" w:color="auto"/>
        <w:bottom w:val="none" w:sz="0" w:space="0" w:color="auto"/>
        <w:right w:val="none" w:sz="0" w:space="0" w:color="auto"/>
      </w:divBdr>
    </w:div>
    <w:div w:id="894698436">
      <w:bodyDiv w:val="1"/>
      <w:marLeft w:val="0"/>
      <w:marRight w:val="0"/>
      <w:marTop w:val="0"/>
      <w:marBottom w:val="0"/>
      <w:divBdr>
        <w:top w:val="none" w:sz="0" w:space="0" w:color="auto"/>
        <w:left w:val="none" w:sz="0" w:space="0" w:color="auto"/>
        <w:bottom w:val="none" w:sz="0" w:space="0" w:color="auto"/>
        <w:right w:val="none" w:sz="0" w:space="0" w:color="auto"/>
      </w:divBdr>
    </w:div>
    <w:div w:id="895701101">
      <w:bodyDiv w:val="1"/>
      <w:marLeft w:val="0"/>
      <w:marRight w:val="0"/>
      <w:marTop w:val="0"/>
      <w:marBottom w:val="0"/>
      <w:divBdr>
        <w:top w:val="none" w:sz="0" w:space="0" w:color="auto"/>
        <w:left w:val="none" w:sz="0" w:space="0" w:color="auto"/>
        <w:bottom w:val="none" w:sz="0" w:space="0" w:color="auto"/>
        <w:right w:val="none" w:sz="0" w:space="0" w:color="auto"/>
      </w:divBdr>
    </w:div>
    <w:div w:id="899901861">
      <w:bodyDiv w:val="1"/>
      <w:marLeft w:val="0"/>
      <w:marRight w:val="0"/>
      <w:marTop w:val="0"/>
      <w:marBottom w:val="0"/>
      <w:divBdr>
        <w:top w:val="none" w:sz="0" w:space="0" w:color="auto"/>
        <w:left w:val="none" w:sz="0" w:space="0" w:color="auto"/>
        <w:bottom w:val="none" w:sz="0" w:space="0" w:color="auto"/>
        <w:right w:val="none" w:sz="0" w:space="0" w:color="auto"/>
      </w:divBdr>
    </w:div>
    <w:div w:id="903032271">
      <w:bodyDiv w:val="1"/>
      <w:marLeft w:val="0"/>
      <w:marRight w:val="0"/>
      <w:marTop w:val="0"/>
      <w:marBottom w:val="0"/>
      <w:divBdr>
        <w:top w:val="none" w:sz="0" w:space="0" w:color="auto"/>
        <w:left w:val="none" w:sz="0" w:space="0" w:color="auto"/>
        <w:bottom w:val="none" w:sz="0" w:space="0" w:color="auto"/>
        <w:right w:val="none" w:sz="0" w:space="0" w:color="auto"/>
      </w:divBdr>
      <w:divsChild>
        <w:div w:id="414517390">
          <w:marLeft w:val="0"/>
          <w:marRight w:val="0"/>
          <w:marTop w:val="0"/>
          <w:marBottom w:val="0"/>
          <w:divBdr>
            <w:top w:val="none" w:sz="0" w:space="0" w:color="auto"/>
            <w:left w:val="none" w:sz="0" w:space="0" w:color="auto"/>
            <w:bottom w:val="none" w:sz="0" w:space="0" w:color="auto"/>
            <w:right w:val="none" w:sz="0" w:space="0" w:color="auto"/>
          </w:divBdr>
          <w:divsChild>
            <w:div w:id="2012101777">
              <w:marLeft w:val="0"/>
              <w:marRight w:val="0"/>
              <w:marTop w:val="0"/>
              <w:marBottom w:val="0"/>
              <w:divBdr>
                <w:top w:val="none" w:sz="0" w:space="0" w:color="auto"/>
                <w:left w:val="none" w:sz="0" w:space="0" w:color="auto"/>
                <w:bottom w:val="none" w:sz="0" w:space="0" w:color="auto"/>
                <w:right w:val="none" w:sz="0" w:space="0" w:color="auto"/>
              </w:divBdr>
              <w:divsChild>
                <w:div w:id="7425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9706">
          <w:marLeft w:val="0"/>
          <w:marRight w:val="0"/>
          <w:marTop w:val="0"/>
          <w:marBottom w:val="0"/>
          <w:divBdr>
            <w:top w:val="none" w:sz="0" w:space="0" w:color="auto"/>
            <w:left w:val="none" w:sz="0" w:space="0" w:color="auto"/>
            <w:bottom w:val="none" w:sz="0" w:space="0" w:color="auto"/>
            <w:right w:val="none" w:sz="0" w:space="0" w:color="auto"/>
          </w:divBdr>
          <w:divsChild>
            <w:div w:id="189295240">
              <w:marLeft w:val="0"/>
              <w:marRight w:val="0"/>
              <w:marTop w:val="0"/>
              <w:marBottom w:val="0"/>
              <w:divBdr>
                <w:top w:val="none" w:sz="0" w:space="0" w:color="auto"/>
                <w:left w:val="none" w:sz="0" w:space="0" w:color="auto"/>
                <w:bottom w:val="none" w:sz="0" w:space="0" w:color="auto"/>
                <w:right w:val="none" w:sz="0" w:space="0" w:color="auto"/>
              </w:divBdr>
              <w:divsChild>
                <w:div w:id="1137261429">
                  <w:marLeft w:val="0"/>
                  <w:marRight w:val="0"/>
                  <w:marTop w:val="0"/>
                  <w:marBottom w:val="0"/>
                  <w:divBdr>
                    <w:top w:val="none" w:sz="0" w:space="0" w:color="auto"/>
                    <w:left w:val="none" w:sz="0" w:space="0" w:color="auto"/>
                    <w:bottom w:val="none" w:sz="0" w:space="0" w:color="auto"/>
                    <w:right w:val="none" w:sz="0" w:space="0" w:color="auto"/>
                  </w:divBdr>
                  <w:divsChild>
                    <w:div w:id="2732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37170">
      <w:bodyDiv w:val="1"/>
      <w:marLeft w:val="0"/>
      <w:marRight w:val="0"/>
      <w:marTop w:val="0"/>
      <w:marBottom w:val="0"/>
      <w:divBdr>
        <w:top w:val="none" w:sz="0" w:space="0" w:color="auto"/>
        <w:left w:val="none" w:sz="0" w:space="0" w:color="auto"/>
        <w:bottom w:val="none" w:sz="0" w:space="0" w:color="auto"/>
        <w:right w:val="none" w:sz="0" w:space="0" w:color="auto"/>
      </w:divBdr>
    </w:div>
    <w:div w:id="904071951">
      <w:bodyDiv w:val="1"/>
      <w:marLeft w:val="0"/>
      <w:marRight w:val="0"/>
      <w:marTop w:val="0"/>
      <w:marBottom w:val="0"/>
      <w:divBdr>
        <w:top w:val="none" w:sz="0" w:space="0" w:color="auto"/>
        <w:left w:val="none" w:sz="0" w:space="0" w:color="auto"/>
        <w:bottom w:val="none" w:sz="0" w:space="0" w:color="auto"/>
        <w:right w:val="none" w:sz="0" w:space="0" w:color="auto"/>
      </w:divBdr>
      <w:divsChild>
        <w:div w:id="1147936454">
          <w:marLeft w:val="0"/>
          <w:marRight w:val="0"/>
          <w:marTop w:val="0"/>
          <w:marBottom w:val="0"/>
          <w:divBdr>
            <w:top w:val="none" w:sz="0" w:space="0" w:color="auto"/>
            <w:left w:val="none" w:sz="0" w:space="0" w:color="auto"/>
            <w:bottom w:val="none" w:sz="0" w:space="0" w:color="auto"/>
            <w:right w:val="none" w:sz="0" w:space="0" w:color="auto"/>
          </w:divBdr>
        </w:div>
      </w:divsChild>
    </w:div>
    <w:div w:id="905381311">
      <w:bodyDiv w:val="1"/>
      <w:marLeft w:val="0"/>
      <w:marRight w:val="0"/>
      <w:marTop w:val="0"/>
      <w:marBottom w:val="0"/>
      <w:divBdr>
        <w:top w:val="none" w:sz="0" w:space="0" w:color="auto"/>
        <w:left w:val="none" w:sz="0" w:space="0" w:color="auto"/>
        <w:bottom w:val="none" w:sz="0" w:space="0" w:color="auto"/>
        <w:right w:val="none" w:sz="0" w:space="0" w:color="auto"/>
      </w:divBdr>
      <w:divsChild>
        <w:div w:id="110826737">
          <w:marLeft w:val="0"/>
          <w:marRight w:val="0"/>
          <w:marTop w:val="0"/>
          <w:marBottom w:val="0"/>
          <w:divBdr>
            <w:top w:val="none" w:sz="0" w:space="0" w:color="auto"/>
            <w:left w:val="none" w:sz="0" w:space="0" w:color="auto"/>
            <w:bottom w:val="none" w:sz="0" w:space="0" w:color="auto"/>
            <w:right w:val="none" w:sz="0" w:space="0" w:color="auto"/>
          </w:divBdr>
        </w:div>
        <w:div w:id="1922446247">
          <w:marLeft w:val="0"/>
          <w:marRight w:val="0"/>
          <w:marTop w:val="0"/>
          <w:marBottom w:val="0"/>
          <w:divBdr>
            <w:top w:val="none" w:sz="0" w:space="0" w:color="auto"/>
            <w:left w:val="none" w:sz="0" w:space="0" w:color="auto"/>
            <w:bottom w:val="none" w:sz="0" w:space="0" w:color="auto"/>
            <w:right w:val="none" w:sz="0" w:space="0" w:color="auto"/>
          </w:divBdr>
        </w:div>
      </w:divsChild>
    </w:div>
    <w:div w:id="907693328">
      <w:bodyDiv w:val="1"/>
      <w:marLeft w:val="0"/>
      <w:marRight w:val="0"/>
      <w:marTop w:val="0"/>
      <w:marBottom w:val="0"/>
      <w:divBdr>
        <w:top w:val="none" w:sz="0" w:space="0" w:color="auto"/>
        <w:left w:val="none" w:sz="0" w:space="0" w:color="auto"/>
        <w:bottom w:val="none" w:sz="0" w:space="0" w:color="auto"/>
        <w:right w:val="none" w:sz="0" w:space="0" w:color="auto"/>
      </w:divBdr>
    </w:div>
    <w:div w:id="908275175">
      <w:bodyDiv w:val="1"/>
      <w:marLeft w:val="0"/>
      <w:marRight w:val="0"/>
      <w:marTop w:val="0"/>
      <w:marBottom w:val="0"/>
      <w:divBdr>
        <w:top w:val="none" w:sz="0" w:space="0" w:color="auto"/>
        <w:left w:val="none" w:sz="0" w:space="0" w:color="auto"/>
        <w:bottom w:val="none" w:sz="0" w:space="0" w:color="auto"/>
        <w:right w:val="none" w:sz="0" w:space="0" w:color="auto"/>
      </w:divBdr>
    </w:div>
    <w:div w:id="910774081">
      <w:bodyDiv w:val="1"/>
      <w:marLeft w:val="0"/>
      <w:marRight w:val="0"/>
      <w:marTop w:val="0"/>
      <w:marBottom w:val="0"/>
      <w:divBdr>
        <w:top w:val="none" w:sz="0" w:space="0" w:color="auto"/>
        <w:left w:val="none" w:sz="0" w:space="0" w:color="auto"/>
        <w:bottom w:val="none" w:sz="0" w:space="0" w:color="auto"/>
        <w:right w:val="none" w:sz="0" w:space="0" w:color="auto"/>
      </w:divBdr>
    </w:div>
    <w:div w:id="911433215">
      <w:bodyDiv w:val="1"/>
      <w:marLeft w:val="0"/>
      <w:marRight w:val="0"/>
      <w:marTop w:val="0"/>
      <w:marBottom w:val="0"/>
      <w:divBdr>
        <w:top w:val="none" w:sz="0" w:space="0" w:color="auto"/>
        <w:left w:val="none" w:sz="0" w:space="0" w:color="auto"/>
        <w:bottom w:val="none" w:sz="0" w:space="0" w:color="auto"/>
        <w:right w:val="none" w:sz="0" w:space="0" w:color="auto"/>
      </w:divBdr>
    </w:div>
    <w:div w:id="914054236">
      <w:bodyDiv w:val="1"/>
      <w:marLeft w:val="0"/>
      <w:marRight w:val="0"/>
      <w:marTop w:val="0"/>
      <w:marBottom w:val="0"/>
      <w:divBdr>
        <w:top w:val="none" w:sz="0" w:space="0" w:color="auto"/>
        <w:left w:val="none" w:sz="0" w:space="0" w:color="auto"/>
        <w:bottom w:val="none" w:sz="0" w:space="0" w:color="auto"/>
        <w:right w:val="none" w:sz="0" w:space="0" w:color="auto"/>
      </w:divBdr>
    </w:div>
    <w:div w:id="915358119">
      <w:bodyDiv w:val="1"/>
      <w:marLeft w:val="0"/>
      <w:marRight w:val="0"/>
      <w:marTop w:val="0"/>
      <w:marBottom w:val="0"/>
      <w:divBdr>
        <w:top w:val="none" w:sz="0" w:space="0" w:color="auto"/>
        <w:left w:val="none" w:sz="0" w:space="0" w:color="auto"/>
        <w:bottom w:val="none" w:sz="0" w:space="0" w:color="auto"/>
        <w:right w:val="none" w:sz="0" w:space="0" w:color="auto"/>
      </w:divBdr>
    </w:div>
    <w:div w:id="916016168">
      <w:bodyDiv w:val="1"/>
      <w:marLeft w:val="0"/>
      <w:marRight w:val="0"/>
      <w:marTop w:val="0"/>
      <w:marBottom w:val="0"/>
      <w:divBdr>
        <w:top w:val="none" w:sz="0" w:space="0" w:color="auto"/>
        <w:left w:val="none" w:sz="0" w:space="0" w:color="auto"/>
        <w:bottom w:val="none" w:sz="0" w:space="0" w:color="auto"/>
        <w:right w:val="none" w:sz="0" w:space="0" w:color="auto"/>
      </w:divBdr>
    </w:div>
    <w:div w:id="918561570">
      <w:bodyDiv w:val="1"/>
      <w:marLeft w:val="0"/>
      <w:marRight w:val="0"/>
      <w:marTop w:val="0"/>
      <w:marBottom w:val="0"/>
      <w:divBdr>
        <w:top w:val="none" w:sz="0" w:space="0" w:color="auto"/>
        <w:left w:val="none" w:sz="0" w:space="0" w:color="auto"/>
        <w:bottom w:val="none" w:sz="0" w:space="0" w:color="auto"/>
        <w:right w:val="none" w:sz="0" w:space="0" w:color="auto"/>
      </w:divBdr>
    </w:div>
    <w:div w:id="919098573">
      <w:bodyDiv w:val="1"/>
      <w:marLeft w:val="0"/>
      <w:marRight w:val="0"/>
      <w:marTop w:val="0"/>
      <w:marBottom w:val="0"/>
      <w:divBdr>
        <w:top w:val="none" w:sz="0" w:space="0" w:color="auto"/>
        <w:left w:val="none" w:sz="0" w:space="0" w:color="auto"/>
        <w:bottom w:val="none" w:sz="0" w:space="0" w:color="auto"/>
        <w:right w:val="none" w:sz="0" w:space="0" w:color="auto"/>
      </w:divBdr>
    </w:div>
    <w:div w:id="923761024">
      <w:bodyDiv w:val="1"/>
      <w:marLeft w:val="0"/>
      <w:marRight w:val="0"/>
      <w:marTop w:val="0"/>
      <w:marBottom w:val="0"/>
      <w:divBdr>
        <w:top w:val="none" w:sz="0" w:space="0" w:color="auto"/>
        <w:left w:val="none" w:sz="0" w:space="0" w:color="auto"/>
        <w:bottom w:val="none" w:sz="0" w:space="0" w:color="auto"/>
        <w:right w:val="none" w:sz="0" w:space="0" w:color="auto"/>
      </w:divBdr>
    </w:div>
    <w:div w:id="929579716">
      <w:bodyDiv w:val="1"/>
      <w:marLeft w:val="0"/>
      <w:marRight w:val="0"/>
      <w:marTop w:val="0"/>
      <w:marBottom w:val="0"/>
      <w:divBdr>
        <w:top w:val="none" w:sz="0" w:space="0" w:color="auto"/>
        <w:left w:val="none" w:sz="0" w:space="0" w:color="auto"/>
        <w:bottom w:val="none" w:sz="0" w:space="0" w:color="auto"/>
        <w:right w:val="none" w:sz="0" w:space="0" w:color="auto"/>
      </w:divBdr>
    </w:div>
    <w:div w:id="932013992">
      <w:bodyDiv w:val="1"/>
      <w:marLeft w:val="0"/>
      <w:marRight w:val="0"/>
      <w:marTop w:val="0"/>
      <w:marBottom w:val="0"/>
      <w:divBdr>
        <w:top w:val="none" w:sz="0" w:space="0" w:color="auto"/>
        <w:left w:val="none" w:sz="0" w:space="0" w:color="auto"/>
        <w:bottom w:val="none" w:sz="0" w:space="0" w:color="auto"/>
        <w:right w:val="none" w:sz="0" w:space="0" w:color="auto"/>
      </w:divBdr>
    </w:div>
    <w:div w:id="934441976">
      <w:bodyDiv w:val="1"/>
      <w:marLeft w:val="0"/>
      <w:marRight w:val="0"/>
      <w:marTop w:val="0"/>
      <w:marBottom w:val="0"/>
      <w:divBdr>
        <w:top w:val="none" w:sz="0" w:space="0" w:color="auto"/>
        <w:left w:val="none" w:sz="0" w:space="0" w:color="auto"/>
        <w:bottom w:val="none" w:sz="0" w:space="0" w:color="auto"/>
        <w:right w:val="none" w:sz="0" w:space="0" w:color="auto"/>
      </w:divBdr>
    </w:div>
    <w:div w:id="934510123">
      <w:bodyDiv w:val="1"/>
      <w:marLeft w:val="0"/>
      <w:marRight w:val="0"/>
      <w:marTop w:val="0"/>
      <w:marBottom w:val="0"/>
      <w:divBdr>
        <w:top w:val="none" w:sz="0" w:space="0" w:color="auto"/>
        <w:left w:val="none" w:sz="0" w:space="0" w:color="auto"/>
        <w:bottom w:val="none" w:sz="0" w:space="0" w:color="auto"/>
        <w:right w:val="none" w:sz="0" w:space="0" w:color="auto"/>
      </w:divBdr>
    </w:div>
    <w:div w:id="934676814">
      <w:bodyDiv w:val="1"/>
      <w:marLeft w:val="0"/>
      <w:marRight w:val="0"/>
      <w:marTop w:val="0"/>
      <w:marBottom w:val="0"/>
      <w:divBdr>
        <w:top w:val="none" w:sz="0" w:space="0" w:color="auto"/>
        <w:left w:val="none" w:sz="0" w:space="0" w:color="auto"/>
        <w:bottom w:val="none" w:sz="0" w:space="0" w:color="auto"/>
        <w:right w:val="none" w:sz="0" w:space="0" w:color="auto"/>
      </w:divBdr>
    </w:div>
    <w:div w:id="937717270">
      <w:bodyDiv w:val="1"/>
      <w:marLeft w:val="0"/>
      <w:marRight w:val="0"/>
      <w:marTop w:val="0"/>
      <w:marBottom w:val="0"/>
      <w:divBdr>
        <w:top w:val="none" w:sz="0" w:space="0" w:color="auto"/>
        <w:left w:val="none" w:sz="0" w:space="0" w:color="auto"/>
        <w:bottom w:val="none" w:sz="0" w:space="0" w:color="auto"/>
        <w:right w:val="none" w:sz="0" w:space="0" w:color="auto"/>
      </w:divBdr>
    </w:div>
    <w:div w:id="939215437">
      <w:bodyDiv w:val="1"/>
      <w:marLeft w:val="0"/>
      <w:marRight w:val="0"/>
      <w:marTop w:val="0"/>
      <w:marBottom w:val="0"/>
      <w:divBdr>
        <w:top w:val="none" w:sz="0" w:space="0" w:color="auto"/>
        <w:left w:val="none" w:sz="0" w:space="0" w:color="auto"/>
        <w:bottom w:val="none" w:sz="0" w:space="0" w:color="auto"/>
        <w:right w:val="none" w:sz="0" w:space="0" w:color="auto"/>
      </w:divBdr>
    </w:div>
    <w:div w:id="939796450">
      <w:bodyDiv w:val="1"/>
      <w:marLeft w:val="0"/>
      <w:marRight w:val="0"/>
      <w:marTop w:val="0"/>
      <w:marBottom w:val="0"/>
      <w:divBdr>
        <w:top w:val="none" w:sz="0" w:space="0" w:color="auto"/>
        <w:left w:val="none" w:sz="0" w:space="0" w:color="auto"/>
        <w:bottom w:val="none" w:sz="0" w:space="0" w:color="auto"/>
        <w:right w:val="none" w:sz="0" w:space="0" w:color="auto"/>
      </w:divBdr>
    </w:div>
    <w:div w:id="940137982">
      <w:bodyDiv w:val="1"/>
      <w:marLeft w:val="0"/>
      <w:marRight w:val="0"/>
      <w:marTop w:val="0"/>
      <w:marBottom w:val="0"/>
      <w:divBdr>
        <w:top w:val="none" w:sz="0" w:space="0" w:color="auto"/>
        <w:left w:val="none" w:sz="0" w:space="0" w:color="auto"/>
        <w:bottom w:val="none" w:sz="0" w:space="0" w:color="auto"/>
        <w:right w:val="none" w:sz="0" w:space="0" w:color="auto"/>
      </w:divBdr>
    </w:div>
    <w:div w:id="940914487">
      <w:bodyDiv w:val="1"/>
      <w:marLeft w:val="0"/>
      <w:marRight w:val="0"/>
      <w:marTop w:val="0"/>
      <w:marBottom w:val="0"/>
      <w:divBdr>
        <w:top w:val="none" w:sz="0" w:space="0" w:color="auto"/>
        <w:left w:val="none" w:sz="0" w:space="0" w:color="auto"/>
        <w:bottom w:val="none" w:sz="0" w:space="0" w:color="auto"/>
        <w:right w:val="none" w:sz="0" w:space="0" w:color="auto"/>
      </w:divBdr>
    </w:div>
    <w:div w:id="942692885">
      <w:bodyDiv w:val="1"/>
      <w:marLeft w:val="0"/>
      <w:marRight w:val="0"/>
      <w:marTop w:val="0"/>
      <w:marBottom w:val="0"/>
      <w:divBdr>
        <w:top w:val="none" w:sz="0" w:space="0" w:color="auto"/>
        <w:left w:val="none" w:sz="0" w:space="0" w:color="auto"/>
        <w:bottom w:val="none" w:sz="0" w:space="0" w:color="auto"/>
        <w:right w:val="none" w:sz="0" w:space="0" w:color="auto"/>
      </w:divBdr>
    </w:div>
    <w:div w:id="944000955">
      <w:bodyDiv w:val="1"/>
      <w:marLeft w:val="0"/>
      <w:marRight w:val="0"/>
      <w:marTop w:val="0"/>
      <w:marBottom w:val="0"/>
      <w:divBdr>
        <w:top w:val="none" w:sz="0" w:space="0" w:color="auto"/>
        <w:left w:val="none" w:sz="0" w:space="0" w:color="auto"/>
        <w:bottom w:val="none" w:sz="0" w:space="0" w:color="auto"/>
        <w:right w:val="none" w:sz="0" w:space="0" w:color="auto"/>
      </w:divBdr>
    </w:div>
    <w:div w:id="946280612">
      <w:bodyDiv w:val="1"/>
      <w:marLeft w:val="0"/>
      <w:marRight w:val="0"/>
      <w:marTop w:val="0"/>
      <w:marBottom w:val="0"/>
      <w:divBdr>
        <w:top w:val="none" w:sz="0" w:space="0" w:color="auto"/>
        <w:left w:val="none" w:sz="0" w:space="0" w:color="auto"/>
        <w:bottom w:val="none" w:sz="0" w:space="0" w:color="auto"/>
        <w:right w:val="none" w:sz="0" w:space="0" w:color="auto"/>
      </w:divBdr>
    </w:div>
    <w:div w:id="948778623">
      <w:bodyDiv w:val="1"/>
      <w:marLeft w:val="0"/>
      <w:marRight w:val="0"/>
      <w:marTop w:val="0"/>
      <w:marBottom w:val="0"/>
      <w:divBdr>
        <w:top w:val="none" w:sz="0" w:space="0" w:color="auto"/>
        <w:left w:val="none" w:sz="0" w:space="0" w:color="auto"/>
        <w:bottom w:val="none" w:sz="0" w:space="0" w:color="auto"/>
        <w:right w:val="none" w:sz="0" w:space="0" w:color="auto"/>
      </w:divBdr>
    </w:div>
    <w:div w:id="951521579">
      <w:bodyDiv w:val="1"/>
      <w:marLeft w:val="0"/>
      <w:marRight w:val="0"/>
      <w:marTop w:val="0"/>
      <w:marBottom w:val="0"/>
      <w:divBdr>
        <w:top w:val="none" w:sz="0" w:space="0" w:color="auto"/>
        <w:left w:val="none" w:sz="0" w:space="0" w:color="auto"/>
        <w:bottom w:val="none" w:sz="0" w:space="0" w:color="auto"/>
        <w:right w:val="none" w:sz="0" w:space="0" w:color="auto"/>
      </w:divBdr>
    </w:div>
    <w:div w:id="952442766">
      <w:bodyDiv w:val="1"/>
      <w:marLeft w:val="0"/>
      <w:marRight w:val="0"/>
      <w:marTop w:val="0"/>
      <w:marBottom w:val="0"/>
      <w:divBdr>
        <w:top w:val="none" w:sz="0" w:space="0" w:color="auto"/>
        <w:left w:val="none" w:sz="0" w:space="0" w:color="auto"/>
        <w:bottom w:val="none" w:sz="0" w:space="0" w:color="auto"/>
        <w:right w:val="none" w:sz="0" w:space="0" w:color="auto"/>
      </w:divBdr>
    </w:div>
    <w:div w:id="952784036">
      <w:bodyDiv w:val="1"/>
      <w:marLeft w:val="0"/>
      <w:marRight w:val="0"/>
      <w:marTop w:val="0"/>
      <w:marBottom w:val="0"/>
      <w:divBdr>
        <w:top w:val="none" w:sz="0" w:space="0" w:color="auto"/>
        <w:left w:val="none" w:sz="0" w:space="0" w:color="auto"/>
        <w:bottom w:val="none" w:sz="0" w:space="0" w:color="auto"/>
        <w:right w:val="none" w:sz="0" w:space="0" w:color="auto"/>
      </w:divBdr>
    </w:div>
    <w:div w:id="953172444">
      <w:bodyDiv w:val="1"/>
      <w:marLeft w:val="0"/>
      <w:marRight w:val="0"/>
      <w:marTop w:val="0"/>
      <w:marBottom w:val="0"/>
      <w:divBdr>
        <w:top w:val="none" w:sz="0" w:space="0" w:color="auto"/>
        <w:left w:val="none" w:sz="0" w:space="0" w:color="auto"/>
        <w:bottom w:val="none" w:sz="0" w:space="0" w:color="auto"/>
        <w:right w:val="none" w:sz="0" w:space="0" w:color="auto"/>
      </w:divBdr>
    </w:div>
    <w:div w:id="955916140">
      <w:bodyDiv w:val="1"/>
      <w:marLeft w:val="0"/>
      <w:marRight w:val="0"/>
      <w:marTop w:val="0"/>
      <w:marBottom w:val="0"/>
      <w:divBdr>
        <w:top w:val="none" w:sz="0" w:space="0" w:color="auto"/>
        <w:left w:val="none" w:sz="0" w:space="0" w:color="auto"/>
        <w:bottom w:val="none" w:sz="0" w:space="0" w:color="auto"/>
        <w:right w:val="none" w:sz="0" w:space="0" w:color="auto"/>
      </w:divBdr>
    </w:div>
    <w:div w:id="956063585">
      <w:bodyDiv w:val="1"/>
      <w:marLeft w:val="0"/>
      <w:marRight w:val="0"/>
      <w:marTop w:val="0"/>
      <w:marBottom w:val="0"/>
      <w:divBdr>
        <w:top w:val="none" w:sz="0" w:space="0" w:color="auto"/>
        <w:left w:val="none" w:sz="0" w:space="0" w:color="auto"/>
        <w:bottom w:val="none" w:sz="0" w:space="0" w:color="auto"/>
        <w:right w:val="none" w:sz="0" w:space="0" w:color="auto"/>
      </w:divBdr>
    </w:div>
    <w:div w:id="956792234">
      <w:bodyDiv w:val="1"/>
      <w:marLeft w:val="0"/>
      <w:marRight w:val="0"/>
      <w:marTop w:val="0"/>
      <w:marBottom w:val="0"/>
      <w:divBdr>
        <w:top w:val="none" w:sz="0" w:space="0" w:color="auto"/>
        <w:left w:val="none" w:sz="0" w:space="0" w:color="auto"/>
        <w:bottom w:val="none" w:sz="0" w:space="0" w:color="auto"/>
        <w:right w:val="none" w:sz="0" w:space="0" w:color="auto"/>
      </w:divBdr>
    </w:div>
    <w:div w:id="957100154">
      <w:bodyDiv w:val="1"/>
      <w:marLeft w:val="0"/>
      <w:marRight w:val="0"/>
      <w:marTop w:val="0"/>
      <w:marBottom w:val="0"/>
      <w:divBdr>
        <w:top w:val="none" w:sz="0" w:space="0" w:color="auto"/>
        <w:left w:val="none" w:sz="0" w:space="0" w:color="auto"/>
        <w:bottom w:val="none" w:sz="0" w:space="0" w:color="auto"/>
        <w:right w:val="none" w:sz="0" w:space="0" w:color="auto"/>
      </w:divBdr>
    </w:div>
    <w:div w:id="957638812">
      <w:bodyDiv w:val="1"/>
      <w:marLeft w:val="0"/>
      <w:marRight w:val="0"/>
      <w:marTop w:val="0"/>
      <w:marBottom w:val="0"/>
      <w:divBdr>
        <w:top w:val="none" w:sz="0" w:space="0" w:color="auto"/>
        <w:left w:val="none" w:sz="0" w:space="0" w:color="auto"/>
        <w:bottom w:val="none" w:sz="0" w:space="0" w:color="auto"/>
        <w:right w:val="none" w:sz="0" w:space="0" w:color="auto"/>
      </w:divBdr>
    </w:div>
    <w:div w:id="959263210">
      <w:bodyDiv w:val="1"/>
      <w:marLeft w:val="0"/>
      <w:marRight w:val="0"/>
      <w:marTop w:val="0"/>
      <w:marBottom w:val="0"/>
      <w:divBdr>
        <w:top w:val="none" w:sz="0" w:space="0" w:color="auto"/>
        <w:left w:val="none" w:sz="0" w:space="0" w:color="auto"/>
        <w:bottom w:val="none" w:sz="0" w:space="0" w:color="auto"/>
        <w:right w:val="none" w:sz="0" w:space="0" w:color="auto"/>
      </w:divBdr>
    </w:div>
    <w:div w:id="964233078">
      <w:bodyDiv w:val="1"/>
      <w:marLeft w:val="0"/>
      <w:marRight w:val="0"/>
      <w:marTop w:val="0"/>
      <w:marBottom w:val="0"/>
      <w:divBdr>
        <w:top w:val="none" w:sz="0" w:space="0" w:color="auto"/>
        <w:left w:val="none" w:sz="0" w:space="0" w:color="auto"/>
        <w:bottom w:val="none" w:sz="0" w:space="0" w:color="auto"/>
        <w:right w:val="none" w:sz="0" w:space="0" w:color="auto"/>
      </w:divBdr>
    </w:div>
    <w:div w:id="966008669">
      <w:bodyDiv w:val="1"/>
      <w:marLeft w:val="0"/>
      <w:marRight w:val="0"/>
      <w:marTop w:val="0"/>
      <w:marBottom w:val="0"/>
      <w:divBdr>
        <w:top w:val="none" w:sz="0" w:space="0" w:color="auto"/>
        <w:left w:val="none" w:sz="0" w:space="0" w:color="auto"/>
        <w:bottom w:val="none" w:sz="0" w:space="0" w:color="auto"/>
        <w:right w:val="none" w:sz="0" w:space="0" w:color="auto"/>
      </w:divBdr>
    </w:div>
    <w:div w:id="966816698">
      <w:bodyDiv w:val="1"/>
      <w:marLeft w:val="0"/>
      <w:marRight w:val="0"/>
      <w:marTop w:val="0"/>
      <w:marBottom w:val="0"/>
      <w:divBdr>
        <w:top w:val="none" w:sz="0" w:space="0" w:color="auto"/>
        <w:left w:val="none" w:sz="0" w:space="0" w:color="auto"/>
        <w:bottom w:val="none" w:sz="0" w:space="0" w:color="auto"/>
        <w:right w:val="none" w:sz="0" w:space="0" w:color="auto"/>
      </w:divBdr>
    </w:div>
    <w:div w:id="967006311">
      <w:bodyDiv w:val="1"/>
      <w:marLeft w:val="0"/>
      <w:marRight w:val="0"/>
      <w:marTop w:val="0"/>
      <w:marBottom w:val="0"/>
      <w:divBdr>
        <w:top w:val="none" w:sz="0" w:space="0" w:color="auto"/>
        <w:left w:val="none" w:sz="0" w:space="0" w:color="auto"/>
        <w:bottom w:val="none" w:sz="0" w:space="0" w:color="auto"/>
        <w:right w:val="none" w:sz="0" w:space="0" w:color="auto"/>
      </w:divBdr>
    </w:div>
    <w:div w:id="970129709">
      <w:bodyDiv w:val="1"/>
      <w:marLeft w:val="0"/>
      <w:marRight w:val="0"/>
      <w:marTop w:val="0"/>
      <w:marBottom w:val="0"/>
      <w:divBdr>
        <w:top w:val="none" w:sz="0" w:space="0" w:color="auto"/>
        <w:left w:val="none" w:sz="0" w:space="0" w:color="auto"/>
        <w:bottom w:val="none" w:sz="0" w:space="0" w:color="auto"/>
        <w:right w:val="none" w:sz="0" w:space="0" w:color="auto"/>
      </w:divBdr>
    </w:div>
    <w:div w:id="973145894">
      <w:bodyDiv w:val="1"/>
      <w:marLeft w:val="0"/>
      <w:marRight w:val="0"/>
      <w:marTop w:val="0"/>
      <w:marBottom w:val="0"/>
      <w:divBdr>
        <w:top w:val="none" w:sz="0" w:space="0" w:color="auto"/>
        <w:left w:val="none" w:sz="0" w:space="0" w:color="auto"/>
        <w:bottom w:val="none" w:sz="0" w:space="0" w:color="auto"/>
        <w:right w:val="none" w:sz="0" w:space="0" w:color="auto"/>
      </w:divBdr>
      <w:divsChild>
        <w:div w:id="1055620059">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sChild>
                <w:div w:id="1452355405">
                  <w:marLeft w:val="0"/>
                  <w:marRight w:val="0"/>
                  <w:marTop w:val="0"/>
                  <w:marBottom w:val="0"/>
                  <w:divBdr>
                    <w:top w:val="none" w:sz="0" w:space="0" w:color="auto"/>
                    <w:left w:val="none" w:sz="0" w:space="0" w:color="auto"/>
                    <w:bottom w:val="none" w:sz="0" w:space="0" w:color="auto"/>
                    <w:right w:val="none" w:sz="0" w:space="0" w:color="auto"/>
                  </w:divBdr>
                  <w:divsChild>
                    <w:div w:id="2666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3323">
          <w:marLeft w:val="0"/>
          <w:marRight w:val="0"/>
          <w:marTop w:val="0"/>
          <w:marBottom w:val="0"/>
          <w:divBdr>
            <w:top w:val="none" w:sz="0" w:space="0" w:color="auto"/>
            <w:left w:val="none" w:sz="0" w:space="0" w:color="auto"/>
            <w:bottom w:val="none" w:sz="0" w:space="0" w:color="auto"/>
            <w:right w:val="none" w:sz="0" w:space="0" w:color="auto"/>
          </w:divBdr>
          <w:divsChild>
            <w:div w:id="1411536891">
              <w:marLeft w:val="0"/>
              <w:marRight w:val="0"/>
              <w:marTop w:val="0"/>
              <w:marBottom w:val="0"/>
              <w:divBdr>
                <w:top w:val="none" w:sz="0" w:space="0" w:color="auto"/>
                <w:left w:val="none" w:sz="0" w:space="0" w:color="auto"/>
                <w:bottom w:val="none" w:sz="0" w:space="0" w:color="auto"/>
                <w:right w:val="none" w:sz="0" w:space="0" w:color="auto"/>
              </w:divBdr>
              <w:divsChild>
                <w:div w:id="8721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21607">
      <w:bodyDiv w:val="1"/>
      <w:marLeft w:val="0"/>
      <w:marRight w:val="0"/>
      <w:marTop w:val="0"/>
      <w:marBottom w:val="0"/>
      <w:divBdr>
        <w:top w:val="none" w:sz="0" w:space="0" w:color="auto"/>
        <w:left w:val="none" w:sz="0" w:space="0" w:color="auto"/>
        <w:bottom w:val="none" w:sz="0" w:space="0" w:color="auto"/>
        <w:right w:val="none" w:sz="0" w:space="0" w:color="auto"/>
      </w:divBdr>
    </w:div>
    <w:div w:id="976836498">
      <w:bodyDiv w:val="1"/>
      <w:marLeft w:val="0"/>
      <w:marRight w:val="0"/>
      <w:marTop w:val="0"/>
      <w:marBottom w:val="0"/>
      <w:divBdr>
        <w:top w:val="none" w:sz="0" w:space="0" w:color="auto"/>
        <w:left w:val="none" w:sz="0" w:space="0" w:color="auto"/>
        <w:bottom w:val="none" w:sz="0" w:space="0" w:color="auto"/>
        <w:right w:val="none" w:sz="0" w:space="0" w:color="auto"/>
      </w:divBdr>
    </w:div>
    <w:div w:id="980231947">
      <w:bodyDiv w:val="1"/>
      <w:marLeft w:val="0"/>
      <w:marRight w:val="0"/>
      <w:marTop w:val="0"/>
      <w:marBottom w:val="0"/>
      <w:divBdr>
        <w:top w:val="none" w:sz="0" w:space="0" w:color="auto"/>
        <w:left w:val="none" w:sz="0" w:space="0" w:color="auto"/>
        <w:bottom w:val="none" w:sz="0" w:space="0" w:color="auto"/>
        <w:right w:val="none" w:sz="0" w:space="0" w:color="auto"/>
      </w:divBdr>
      <w:divsChild>
        <w:div w:id="721441706">
          <w:marLeft w:val="0"/>
          <w:marRight w:val="0"/>
          <w:marTop w:val="0"/>
          <w:marBottom w:val="0"/>
          <w:divBdr>
            <w:top w:val="none" w:sz="0" w:space="0" w:color="auto"/>
            <w:left w:val="none" w:sz="0" w:space="0" w:color="auto"/>
            <w:bottom w:val="none" w:sz="0" w:space="0" w:color="auto"/>
            <w:right w:val="none" w:sz="0" w:space="0" w:color="auto"/>
          </w:divBdr>
        </w:div>
      </w:divsChild>
    </w:div>
    <w:div w:id="981883467">
      <w:bodyDiv w:val="1"/>
      <w:marLeft w:val="0"/>
      <w:marRight w:val="0"/>
      <w:marTop w:val="0"/>
      <w:marBottom w:val="0"/>
      <w:divBdr>
        <w:top w:val="none" w:sz="0" w:space="0" w:color="auto"/>
        <w:left w:val="none" w:sz="0" w:space="0" w:color="auto"/>
        <w:bottom w:val="none" w:sz="0" w:space="0" w:color="auto"/>
        <w:right w:val="none" w:sz="0" w:space="0" w:color="auto"/>
      </w:divBdr>
    </w:div>
    <w:div w:id="983395193">
      <w:bodyDiv w:val="1"/>
      <w:marLeft w:val="0"/>
      <w:marRight w:val="0"/>
      <w:marTop w:val="0"/>
      <w:marBottom w:val="0"/>
      <w:divBdr>
        <w:top w:val="none" w:sz="0" w:space="0" w:color="auto"/>
        <w:left w:val="none" w:sz="0" w:space="0" w:color="auto"/>
        <w:bottom w:val="none" w:sz="0" w:space="0" w:color="auto"/>
        <w:right w:val="none" w:sz="0" w:space="0" w:color="auto"/>
      </w:divBdr>
    </w:div>
    <w:div w:id="988823859">
      <w:bodyDiv w:val="1"/>
      <w:marLeft w:val="0"/>
      <w:marRight w:val="0"/>
      <w:marTop w:val="0"/>
      <w:marBottom w:val="0"/>
      <w:divBdr>
        <w:top w:val="none" w:sz="0" w:space="0" w:color="auto"/>
        <w:left w:val="none" w:sz="0" w:space="0" w:color="auto"/>
        <w:bottom w:val="none" w:sz="0" w:space="0" w:color="auto"/>
        <w:right w:val="none" w:sz="0" w:space="0" w:color="auto"/>
      </w:divBdr>
    </w:div>
    <w:div w:id="990406222">
      <w:bodyDiv w:val="1"/>
      <w:marLeft w:val="0"/>
      <w:marRight w:val="0"/>
      <w:marTop w:val="0"/>
      <w:marBottom w:val="0"/>
      <w:divBdr>
        <w:top w:val="none" w:sz="0" w:space="0" w:color="auto"/>
        <w:left w:val="none" w:sz="0" w:space="0" w:color="auto"/>
        <w:bottom w:val="none" w:sz="0" w:space="0" w:color="auto"/>
        <w:right w:val="none" w:sz="0" w:space="0" w:color="auto"/>
      </w:divBdr>
    </w:div>
    <w:div w:id="992835136">
      <w:bodyDiv w:val="1"/>
      <w:marLeft w:val="0"/>
      <w:marRight w:val="0"/>
      <w:marTop w:val="0"/>
      <w:marBottom w:val="0"/>
      <w:divBdr>
        <w:top w:val="none" w:sz="0" w:space="0" w:color="auto"/>
        <w:left w:val="none" w:sz="0" w:space="0" w:color="auto"/>
        <w:bottom w:val="none" w:sz="0" w:space="0" w:color="auto"/>
        <w:right w:val="none" w:sz="0" w:space="0" w:color="auto"/>
      </w:divBdr>
    </w:div>
    <w:div w:id="994530151">
      <w:bodyDiv w:val="1"/>
      <w:marLeft w:val="0"/>
      <w:marRight w:val="0"/>
      <w:marTop w:val="0"/>
      <w:marBottom w:val="0"/>
      <w:divBdr>
        <w:top w:val="none" w:sz="0" w:space="0" w:color="auto"/>
        <w:left w:val="none" w:sz="0" w:space="0" w:color="auto"/>
        <w:bottom w:val="none" w:sz="0" w:space="0" w:color="auto"/>
        <w:right w:val="none" w:sz="0" w:space="0" w:color="auto"/>
      </w:divBdr>
    </w:div>
    <w:div w:id="995688834">
      <w:bodyDiv w:val="1"/>
      <w:marLeft w:val="0"/>
      <w:marRight w:val="0"/>
      <w:marTop w:val="0"/>
      <w:marBottom w:val="0"/>
      <w:divBdr>
        <w:top w:val="none" w:sz="0" w:space="0" w:color="auto"/>
        <w:left w:val="none" w:sz="0" w:space="0" w:color="auto"/>
        <w:bottom w:val="none" w:sz="0" w:space="0" w:color="auto"/>
        <w:right w:val="none" w:sz="0" w:space="0" w:color="auto"/>
      </w:divBdr>
    </w:div>
    <w:div w:id="998386615">
      <w:bodyDiv w:val="1"/>
      <w:marLeft w:val="0"/>
      <w:marRight w:val="0"/>
      <w:marTop w:val="0"/>
      <w:marBottom w:val="0"/>
      <w:divBdr>
        <w:top w:val="none" w:sz="0" w:space="0" w:color="auto"/>
        <w:left w:val="none" w:sz="0" w:space="0" w:color="auto"/>
        <w:bottom w:val="none" w:sz="0" w:space="0" w:color="auto"/>
        <w:right w:val="none" w:sz="0" w:space="0" w:color="auto"/>
      </w:divBdr>
    </w:div>
    <w:div w:id="1001659389">
      <w:bodyDiv w:val="1"/>
      <w:marLeft w:val="0"/>
      <w:marRight w:val="0"/>
      <w:marTop w:val="0"/>
      <w:marBottom w:val="0"/>
      <w:divBdr>
        <w:top w:val="none" w:sz="0" w:space="0" w:color="auto"/>
        <w:left w:val="none" w:sz="0" w:space="0" w:color="auto"/>
        <w:bottom w:val="none" w:sz="0" w:space="0" w:color="auto"/>
        <w:right w:val="none" w:sz="0" w:space="0" w:color="auto"/>
      </w:divBdr>
    </w:div>
    <w:div w:id="1005404863">
      <w:bodyDiv w:val="1"/>
      <w:marLeft w:val="0"/>
      <w:marRight w:val="0"/>
      <w:marTop w:val="0"/>
      <w:marBottom w:val="0"/>
      <w:divBdr>
        <w:top w:val="none" w:sz="0" w:space="0" w:color="auto"/>
        <w:left w:val="none" w:sz="0" w:space="0" w:color="auto"/>
        <w:bottom w:val="none" w:sz="0" w:space="0" w:color="auto"/>
        <w:right w:val="none" w:sz="0" w:space="0" w:color="auto"/>
      </w:divBdr>
    </w:div>
    <w:div w:id="1005547945">
      <w:bodyDiv w:val="1"/>
      <w:marLeft w:val="0"/>
      <w:marRight w:val="0"/>
      <w:marTop w:val="0"/>
      <w:marBottom w:val="0"/>
      <w:divBdr>
        <w:top w:val="none" w:sz="0" w:space="0" w:color="auto"/>
        <w:left w:val="none" w:sz="0" w:space="0" w:color="auto"/>
        <w:bottom w:val="none" w:sz="0" w:space="0" w:color="auto"/>
        <w:right w:val="none" w:sz="0" w:space="0" w:color="auto"/>
      </w:divBdr>
    </w:div>
    <w:div w:id="1006907013">
      <w:bodyDiv w:val="1"/>
      <w:marLeft w:val="0"/>
      <w:marRight w:val="0"/>
      <w:marTop w:val="0"/>
      <w:marBottom w:val="0"/>
      <w:divBdr>
        <w:top w:val="none" w:sz="0" w:space="0" w:color="auto"/>
        <w:left w:val="none" w:sz="0" w:space="0" w:color="auto"/>
        <w:bottom w:val="none" w:sz="0" w:space="0" w:color="auto"/>
        <w:right w:val="none" w:sz="0" w:space="0" w:color="auto"/>
      </w:divBdr>
    </w:div>
    <w:div w:id="1007438015">
      <w:bodyDiv w:val="1"/>
      <w:marLeft w:val="0"/>
      <w:marRight w:val="0"/>
      <w:marTop w:val="0"/>
      <w:marBottom w:val="0"/>
      <w:divBdr>
        <w:top w:val="none" w:sz="0" w:space="0" w:color="auto"/>
        <w:left w:val="none" w:sz="0" w:space="0" w:color="auto"/>
        <w:bottom w:val="none" w:sz="0" w:space="0" w:color="auto"/>
        <w:right w:val="none" w:sz="0" w:space="0" w:color="auto"/>
      </w:divBdr>
    </w:div>
    <w:div w:id="1009408462">
      <w:bodyDiv w:val="1"/>
      <w:marLeft w:val="0"/>
      <w:marRight w:val="0"/>
      <w:marTop w:val="0"/>
      <w:marBottom w:val="0"/>
      <w:divBdr>
        <w:top w:val="none" w:sz="0" w:space="0" w:color="auto"/>
        <w:left w:val="none" w:sz="0" w:space="0" w:color="auto"/>
        <w:bottom w:val="none" w:sz="0" w:space="0" w:color="auto"/>
        <w:right w:val="none" w:sz="0" w:space="0" w:color="auto"/>
      </w:divBdr>
    </w:div>
    <w:div w:id="1009942077">
      <w:bodyDiv w:val="1"/>
      <w:marLeft w:val="0"/>
      <w:marRight w:val="0"/>
      <w:marTop w:val="0"/>
      <w:marBottom w:val="0"/>
      <w:divBdr>
        <w:top w:val="none" w:sz="0" w:space="0" w:color="auto"/>
        <w:left w:val="none" w:sz="0" w:space="0" w:color="auto"/>
        <w:bottom w:val="none" w:sz="0" w:space="0" w:color="auto"/>
        <w:right w:val="none" w:sz="0" w:space="0" w:color="auto"/>
      </w:divBdr>
    </w:div>
    <w:div w:id="1019354103">
      <w:bodyDiv w:val="1"/>
      <w:marLeft w:val="0"/>
      <w:marRight w:val="0"/>
      <w:marTop w:val="0"/>
      <w:marBottom w:val="0"/>
      <w:divBdr>
        <w:top w:val="none" w:sz="0" w:space="0" w:color="auto"/>
        <w:left w:val="none" w:sz="0" w:space="0" w:color="auto"/>
        <w:bottom w:val="none" w:sz="0" w:space="0" w:color="auto"/>
        <w:right w:val="none" w:sz="0" w:space="0" w:color="auto"/>
      </w:divBdr>
    </w:div>
    <w:div w:id="1019356106">
      <w:bodyDiv w:val="1"/>
      <w:marLeft w:val="0"/>
      <w:marRight w:val="0"/>
      <w:marTop w:val="0"/>
      <w:marBottom w:val="0"/>
      <w:divBdr>
        <w:top w:val="none" w:sz="0" w:space="0" w:color="auto"/>
        <w:left w:val="none" w:sz="0" w:space="0" w:color="auto"/>
        <w:bottom w:val="none" w:sz="0" w:space="0" w:color="auto"/>
        <w:right w:val="none" w:sz="0" w:space="0" w:color="auto"/>
      </w:divBdr>
      <w:divsChild>
        <w:div w:id="390157553">
          <w:marLeft w:val="0"/>
          <w:marRight w:val="0"/>
          <w:marTop w:val="0"/>
          <w:marBottom w:val="0"/>
          <w:divBdr>
            <w:top w:val="none" w:sz="0" w:space="0" w:color="auto"/>
            <w:left w:val="none" w:sz="0" w:space="0" w:color="auto"/>
            <w:bottom w:val="none" w:sz="0" w:space="0" w:color="auto"/>
            <w:right w:val="none" w:sz="0" w:space="0" w:color="auto"/>
          </w:divBdr>
          <w:divsChild>
            <w:div w:id="1285189667">
              <w:marLeft w:val="0"/>
              <w:marRight w:val="0"/>
              <w:marTop w:val="0"/>
              <w:marBottom w:val="0"/>
              <w:divBdr>
                <w:top w:val="none" w:sz="0" w:space="0" w:color="auto"/>
                <w:left w:val="none" w:sz="0" w:space="0" w:color="auto"/>
                <w:bottom w:val="none" w:sz="0" w:space="0" w:color="auto"/>
                <w:right w:val="none" w:sz="0" w:space="0" w:color="auto"/>
              </w:divBdr>
              <w:divsChild>
                <w:div w:id="190992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7968">
          <w:marLeft w:val="0"/>
          <w:marRight w:val="0"/>
          <w:marTop w:val="0"/>
          <w:marBottom w:val="0"/>
          <w:divBdr>
            <w:top w:val="none" w:sz="0" w:space="0" w:color="auto"/>
            <w:left w:val="none" w:sz="0" w:space="0" w:color="auto"/>
            <w:bottom w:val="none" w:sz="0" w:space="0" w:color="auto"/>
            <w:right w:val="none" w:sz="0" w:space="0" w:color="auto"/>
          </w:divBdr>
          <w:divsChild>
            <w:div w:id="131990072">
              <w:marLeft w:val="0"/>
              <w:marRight w:val="0"/>
              <w:marTop w:val="0"/>
              <w:marBottom w:val="0"/>
              <w:divBdr>
                <w:top w:val="none" w:sz="0" w:space="0" w:color="auto"/>
                <w:left w:val="none" w:sz="0" w:space="0" w:color="auto"/>
                <w:bottom w:val="none" w:sz="0" w:space="0" w:color="auto"/>
                <w:right w:val="none" w:sz="0" w:space="0" w:color="auto"/>
              </w:divBdr>
              <w:divsChild>
                <w:div w:id="566303532">
                  <w:marLeft w:val="0"/>
                  <w:marRight w:val="0"/>
                  <w:marTop w:val="0"/>
                  <w:marBottom w:val="0"/>
                  <w:divBdr>
                    <w:top w:val="none" w:sz="0" w:space="0" w:color="auto"/>
                    <w:left w:val="none" w:sz="0" w:space="0" w:color="auto"/>
                    <w:bottom w:val="none" w:sz="0" w:space="0" w:color="auto"/>
                    <w:right w:val="none" w:sz="0" w:space="0" w:color="auto"/>
                  </w:divBdr>
                  <w:divsChild>
                    <w:div w:id="124113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50117">
      <w:bodyDiv w:val="1"/>
      <w:marLeft w:val="0"/>
      <w:marRight w:val="0"/>
      <w:marTop w:val="0"/>
      <w:marBottom w:val="0"/>
      <w:divBdr>
        <w:top w:val="none" w:sz="0" w:space="0" w:color="auto"/>
        <w:left w:val="none" w:sz="0" w:space="0" w:color="auto"/>
        <w:bottom w:val="none" w:sz="0" w:space="0" w:color="auto"/>
        <w:right w:val="none" w:sz="0" w:space="0" w:color="auto"/>
      </w:divBdr>
    </w:div>
    <w:div w:id="1020742956">
      <w:bodyDiv w:val="1"/>
      <w:marLeft w:val="0"/>
      <w:marRight w:val="0"/>
      <w:marTop w:val="0"/>
      <w:marBottom w:val="0"/>
      <w:divBdr>
        <w:top w:val="none" w:sz="0" w:space="0" w:color="auto"/>
        <w:left w:val="none" w:sz="0" w:space="0" w:color="auto"/>
        <w:bottom w:val="none" w:sz="0" w:space="0" w:color="auto"/>
        <w:right w:val="none" w:sz="0" w:space="0" w:color="auto"/>
      </w:divBdr>
    </w:div>
    <w:div w:id="1021661089">
      <w:bodyDiv w:val="1"/>
      <w:marLeft w:val="0"/>
      <w:marRight w:val="0"/>
      <w:marTop w:val="0"/>
      <w:marBottom w:val="0"/>
      <w:divBdr>
        <w:top w:val="none" w:sz="0" w:space="0" w:color="auto"/>
        <w:left w:val="none" w:sz="0" w:space="0" w:color="auto"/>
        <w:bottom w:val="none" w:sz="0" w:space="0" w:color="auto"/>
        <w:right w:val="none" w:sz="0" w:space="0" w:color="auto"/>
      </w:divBdr>
    </w:div>
    <w:div w:id="1022392316">
      <w:bodyDiv w:val="1"/>
      <w:marLeft w:val="0"/>
      <w:marRight w:val="0"/>
      <w:marTop w:val="0"/>
      <w:marBottom w:val="0"/>
      <w:divBdr>
        <w:top w:val="none" w:sz="0" w:space="0" w:color="auto"/>
        <w:left w:val="none" w:sz="0" w:space="0" w:color="auto"/>
        <w:bottom w:val="none" w:sz="0" w:space="0" w:color="auto"/>
        <w:right w:val="none" w:sz="0" w:space="0" w:color="auto"/>
      </w:divBdr>
      <w:divsChild>
        <w:div w:id="1472333831">
          <w:marLeft w:val="0"/>
          <w:marRight w:val="0"/>
          <w:marTop w:val="0"/>
          <w:marBottom w:val="0"/>
          <w:divBdr>
            <w:top w:val="none" w:sz="0" w:space="0" w:color="auto"/>
            <w:left w:val="none" w:sz="0" w:space="0" w:color="auto"/>
            <w:bottom w:val="none" w:sz="0" w:space="0" w:color="auto"/>
            <w:right w:val="none" w:sz="0" w:space="0" w:color="auto"/>
          </w:divBdr>
        </w:div>
        <w:div w:id="2032753164">
          <w:marLeft w:val="0"/>
          <w:marRight w:val="0"/>
          <w:marTop w:val="75"/>
          <w:marBottom w:val="0"/>
          <w:divBdr>
            <w:top w:val="none" w:sz="0" w:space="0" w:color="auto"/>
            <w:left w:val="none" w:sz="0" w:space="0" w:color="auto"/>
            <w:bottom w:val="none" w:sz="0" w:space="0" w:color="auto"/>
            <w:right w:val="none" w:sz="0" w:space="0" w:color="auto"/>
          </w:divBdr>
        </w:div>
        <w:div w:id="802579765">
          <w:marLeft w:val="0"/>
          <w:marRight w:val="0"/>
          <w:marTop w:val="75"/>
          <w:marBottom w:val="0"/>
          <w:divBdr>
            <w:top w:val="none" w:sz="0" w:space="0" w:color="auto"/>
            <w:left w:val="none" w:sz="0" w:space="0" w:color="auto"/>
            <w:bottom w:val="none" w:sz="0" w:space="0" w:color="auto"/>
            <w:right w:val="none" w:sz="0" w:space="0" w:color="auto"/>
          </w:divBdr>
        </w:div>
      </w:divsChild>
    </w:div>
    <w:div w:id="1022901025">
      <w:bodyDiv w:val="1"/>
      <w:marLeft w:val="0"/>
      <w:marRight w:val="0"/>
      <w:marTop w:val="0"/>
      <w:marBottom w:val="0"/>
      <w:divBdr>
        <w:top w:val="none" w:sz="0" w:space="0" w:color="auto"/>
        <w:left w:val="none" w:sz="0" w:space="0" w:color="auto"/>
        <w:bottom w:val="none" w:sz="0" w:space="0" w:color="auto"/>
        <w:right w:val="none" w:sz="0" w:space="0" w:color="auto"/>
      </w:divBdr>
    </w:div>
    <w:div w:id="1024476094">
      <w:bodyDiv w:val="1"/>
      <w:marLeft w:val="0"/>
      <w:marRight w:val="0"/>
      <w:marTop w:val="0"/>
      <w:marBottom w:val="0"/>
      <w:divBdr>
        <w:top w:val="none" w:sz="0" w:space="0" w:color="auto"/>
        <w:left w:val="none" w:sz="0" w:space="0" w:color="auto"/>
        <w:bottom w:val="none" w:sz="0" w:space="0" w:color="auto"/>
        <w:right w:val="none" w:sz="0" w:space="0" w:color="auto"/>
      </w:divBdr>
      <w:divsChild>
        <w:div w:id="849180095">
          <w:marLeft w:val="0"/>
          <w:marRight w:val="0"/>
          <w:marTop w:val="0"/>
          <w:marBottom w:val="0"/>
          <w:divBdr>
            <w:top w:val="none" w:sz="0" w:space="0" w:color="auto"/>
            <w:left w:val="none" w:sz="0" w:space="0" w:color="auto"/>
            <w:bottom w:val="none" w:sz="0" w:space="0" w:color="auto"/>
            <w:right w:val="none" w:sz="0" w:space="0" w:color="auto"/>
          </w:divBdr>
          <w:divsChild>
            <w:div w:id="1960451429">
              <w:marLeft w:val="0"/>
              <w:marRight w:val="0"/>
              <w:marTop w:val="0"/>
              <w:marBottom w:val="0"/>
              <w:divBdr>
                <w:top w:val="none" w:sz="0" w:space="0" w:color="auto"/>
                <w:left w:val="none" w:sz="0" w:space="0" w:color="auto"/>
                <w:bottom w:val="none" w:sz="0" w:space="0" w:color="auto"/>
                <w:right w:val="none" w:sz="0" w:space="0" w:color="auto"/>
              </w:divBdr>
              <w:divsChild>
                <w:div w:id="1319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90593">
          <w:marLeft w:val="0"/>
          <w:marRight w:val="0"/>
          <w:marTop w:val="0"/>
          <w:marBottom w:val="0"/>
          <w:divBdr>
            <w:top w:val="none" w:sz="0" w:space="0" w:color="auto"/>
            <w:left w:val="none" w:sz="0" w:space="0" w:color="auto"/>
            <w:bottom w:val="none" w:sz="0" w:space="0" w:color="auto"/>
            <w:right w:val="none" w:sz="0" w:space="0" w:color="auto"/>
          </w:divBdr>
          <w:divsChild>
            <w:div w:id="1611625808">
              <w:marLeft w:val="0"/>
              <w:marRight w:val="0"/>
              <w:marTop w:val="0"/>
              <w:marBottom w:val="0"/>
              <w:divBdr>
                <w:top w:val="none" w:sz="0" w:space="0" w:color="auto"/>
                <w:left w:val="none" w:sz="0" w:space="0" w:color="auto"/>
                <w:bottom w:val="none" w:sz="0" w:space="0" w:color="auto"/>
                <w:right w:val="none" w:sz="0" w:space="0" w:color="auto"/>
              </w:divBdr>
              <w:divsChild>
                <w:div w:id="1874927360">
                  <w:marLeft w:val="0"/>
                  <w:marRight w:val="0"/>
                  <w:marTop w:val="0"/>
                  <w:marBottom w:val="0"/>
                  <w:divBdr>
                    <w:top w:val="none" w:sz="0" w:space="0" w:color="auto"/>
                    <w:left w:val="none" w:sz="0" w:space="0" w:color="auto"/>
                    <w:bottom w:val="none" w:sz="0" w:space="0" w:color="auto"/>
                    <w:right w:val="none" w:sz="0" w:space="0" w:color="auto"/>
                  </w:divBdr>
                  <w:divsChild>
                    <w:div w:id="1990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78901">
      <w:bodyDiv w:val="1"/>
      <w:marLeft w:val="0"/>
      <w:marRight w:val="0"/>
      <w:marTop w:val="0"/>
      <w:marBottom w:val="0"/>
      <w:divBdr>
        <w:top w:val="none" w:sz="0" w:space="0" w:color="auto"/>
        <w:left w:val="none" w:sz="0" w:space="0" w:color="auto"/>
        <w:bottom w:val="none" w:sz="0" w:space="0" w:color="auto"/>
        <w:right w:val="none" w:sz="0" w:space="0" w:color="auto"/>
      </w:divBdr>
    </w:div>
    <w:div w:id="1026054900">
      <w:bodyDiv w:val="1"/>
      <w:marLeft w:val="0"/>
      <w:marRight w:val="0"/>
      <w:marTop w:val="0"/>
      <w:marBottom w:val="0"/>
      <w:divBdr>
        <w:top w:val="none" w:sz="0" w:space="0" w:color="auto"/>
        <w:left w:val="none" w:sz="0" w:space="0" w:color="auto"/>
        <w:bottom w:val="none" w:sz="0" w:space="0" w:color="auto"/>
        <w:right w:val="none" w:sz="0" w:space="0" w:color="auto"/>
      </w:divBdr>
    </w:div>
    <w:div w:id="1028070804">
      <w:bodyDiv w:val="1"/>
      <w:marLeft w:val="0"/>
      <w:marRight w:val="0"/>
      <w:marTop w:val="0"/>
      <w:marBottom w:val="0"/>
      <w:divBdr>
        <w:top w:val="none" w:sz="0" w:space="0" w:color="auto"/>
        <w:left w:val="none" w:sz="0" w:space="0" w:color="auto"/>
        <w:bottom w:val="none" w:sz="0" w:space="0" w:color="auto"/>
        <w:right w:val="none" w:sz="0" w:space="0" w:color="auto"/>
      </w:divBdr>
    </w:div>
    <w:div w:id="1029378532">
      <w:bodyDiv w:val="1"/>
      <w:marLeft w:val="0"/>
      <w:marRight w:val="0"/>
      <w:marTop w:val="0"/>
      <w:marBottom w:val="0"/>
      <w:divBdr>
        <w:top w:val="none" w:sz="0" w:space="0" w:color="auto"/>
        <w:left w:val="none" w:sz="0" w:space="0" w:color="auto"/>
        <w:bottom w:val="none" w:sz="0" w:space="0" w:color="auto"/>
        <w:right w:val="none" w:sz="0" w:space="0" w:color="auto"/>
      </w:divBdr>
    </w:div>
    <w:div w:id="1029799811">
      <w:bodyDiv w:val="1"/>
      <w:marLeft w:val="0"/>
      <w:marRight w:val="0"/>
      <w:marTop w:val="0"/>
      <w:marBottom w:val="0"/>
      <w:divBdr>
        <w:top w:val="none" w:sz="0" w:space="0" w:color="auto"/>
        <w:left w:val="none" w:sz="0" w:space="0" w:color="auto"/>
        <w:bottom w:val="none" w:sz="0" w:space="0" w:color="auto"/>
        <w:right w:val="none" w:sz="0" w:space="0" w:color="auto"/>
      </w:divBdr>
    </w:div>
    <w:div w:id="1030032444">
      <w:bodyDiv w:val="1"/>
      <w:marLeft w:val="0"/>
      <w:marRight w:val="0"/>
      <w:marTop w:val="0"/>
      <w:marBottom w:val="0"/>
      <w:divBdr>
        <w:top w:val="none" w:sz="0" w:space="0" w:color="auto"/>
        <w:left w:val="none" w:sz="0" w:space="0" w:color="auto"/>
        <w:bottom w:val="none" w:sz="0" w:space="0" w:color="auto"/>
        <w:right w:val="none" w:sz="0" w:space="0" w:color="auto"/>
      </w:divBdr>
    </w:div>
    <w:div w:id="1031344611">
      <w:bodyDiv w:val="1"/>
      <w:marLeft w:val="0"/>
      <w:marRight w:val="0"/>
      <w:marTop w:val="0"/>
      <w:marBottom w:val="0"/>
      <w:divBdr>
        <w:top w:val="none" w:sz="0" w:space="0" w:color="auto"/>
        <w:left w:val="none" w:sz="0" w:space="0" w:color="auto"/>
        <w:bottom w:val="none" w:sz="0" w:space="0" w:color="auto"/>
        <w:right w:val="none" w:sz="0" w:space="0" w:color="auto"/>
      </w:divBdr>
    </w:div>
    <w:div w:id="1033338818">
      <w:bodyDiv w:val="1"/>
      <w:marLeft w:val="0"/>
      <w:marRight w:val="0"/>
      <w:marTop w:val="0"/>
      <w:marBottom w:val="0"/>
      <w:divBdr>
        <w:top w:val="none" w:sz="0" w:space="0" w:color="auto"/>
        <w:left w:val="none" w:sz="0" w:space="0" w:color="auto"/>
        <w:bottom w:val="none" w:sz="0" w:space="0" w:color="auto"/>
        <w:right w:val="none" w:sz="0" w:space="0" w:color="auto"/>
      </w:divBdr>
    </w:div>
    <w:div w:id="1034189867">
      <w:bodyDiv w:val="1"/>
      <w:marLeft w:val="0"/>
      <w:marRight w:val="0"/>
      <w:marTop w:val="0"/>
      <w:marBottom w:val="0"/>
      <w:divBdr>
        <w:top w:val="none" w:sz="0" w:space="0" w:color="auto"/>
        <w:left w:val="none" w:sz="0" w:space="0" w:color="auto"/>
        <w:bottom w:val="none" w:sz="0" w:space="0" w:color="auto"/>
        <w:right w:val="none" w:sz="0" w:space="0" w:color="auto"/>
      </w:divBdr>
    </w:div>
    <w:div w:id="1034307161">
      <w:bodyDiv w:val="1"/>
      <w:marLeft w:val="0"/>
      <w:marRight w:val="0"/>
      <w:marTop w:val="0"/>
      <w:marBottom w:val="0"/>
      <w:divBdr>
        <w:top w:val="none" w:sz="0" w:space="0" w:color="auto"/>
        <w:left w:val="none" w:sz="0" w:space="0" w:color="auto"/>
        <w:bottom w:val="none" w:sz="0" w:space="0" w:color="auto"/>
        <w:right w:val="none" w:sz="0" w:space="0" w:color="auto"/>
      </w:divBdr>
    </w:div>
    <w:div w:id="1035081416">
      <w:bodyDiv w:val="1"/>
      <w:marLeft w:val="0"/>
      <w:marRight w:val="0"/>
      <w:marTop w:val="0"/>
      <w:marBottom w:val="0"/>
      <w:divBdr>
        <w:top w:val="none" w:sz="0" w:space="0" w:color="auto"/>
        <w:left w:val="none" w:sz="0" w:space="0" w:color="auto"/>
        <w:bottom w:val="none" w:sz="0" w:space="0" w:color="auto"/>
        <w:right w:val="none" w:sz="0" w:space="0" w:color="auto"/>
      </w:divBdr>
    </w:div>
    <w:div w:id="1035470675">
      <w:bodyDiv w:val="1"/>
      <w:marLeft w:val="0"/>
      <w:marRight w:val="0"/>
      <w:marTop w:val="0"/>
      <w:marBottom w:val="0"/>
      <w:divBdr>
        <w:top w:val="none" w:sz="0" w:space="0" w:color="auto"/>
        <w:left w:val="none" w:sz="0" w:space="0" w:color="auto"/>
        <w:bottom w:val="none" w:sz="0" w:space="0" w:color="auto"/>
        <w:right w:val="none" w:sz="0" w:space="0" w:color="auto"/>
      </w:divBdr>
    </w:div>
    <w:div w:id="1039823759">
      <w:bodyDiv w:val="1"/>
      <w:marLeft w:val="0"/>
      <w:marRight w:val="0"/>
      <w:marTop w:val="0"/>
      <w:marBottom w:val="0"/>
      <w:divBdr>
        <w:top w:val="none" w:sz="0" w:space="0" w:color="auto"/>
        <w:left w:val="none" w:sz="0" w:space="0" w:color="auto"/>
        <w:bottom w:val="none" w:sz="0" w:space="0" w:color="auto"/>
        <w:right w:val="none" w:sz="0" w:space="0" w:color="auto"/>
      </w:divBdr>
    </w:div>
    <w:div w:id="1044720689">
      <w:bodyDiv w:val="1"/>
      <w:marLeft w:val="0"/>
      <w:marRight w:val="0"/>
      <w:marTop w:val="0"/>
      <w:marBottom w:val="0"/>
      <w:divBdr>
        <w:top w:val="none" w:sz="0" w:space="0" w:color="auto"/>
        <w:left w:val="none" w:sz="0" w:space="0" w:color="auto"/>
        <w:bottom w:val="none" w:sz="0" w:space="0" w:color="auto"/>
        <w:right w:val="none" w:sz="0" w:space="0" w:color="auto"/>
      </w:divBdr>
    </w:div>
    <w:div w:id="1048072292">
      <w:bodyDiv w:val="1"/>
      <w:marLeft w:val="0"/>
      <w:marRight w:val="0"/>
      <w:marTop w:val="0"/>
      <w:marBottom w:val="0"/>
      <w:divBdr>
        <w:top w:val="none" w:sz="0" w:space="0" w:color="auto"/>
        <w:left w:val="none" w:sz="0" w:space="0" w:color="auto"/>
        <w:bottom w:val="none" w:sz="0" w:space="0" w:color="auto"/>
        <w:right w:val="none" w:sz="0" w:space="0" w:color="auto"/>
      </w:divBdr>
    </w:div>
    <w:div w:id="1048265760">
      <w:bodyDiv w:val="1"/>
      <w:marLeft w:val="0"/>
      <w:marRight w:val="0"/>
      <w:marTop w:val="0"/>
      <w:marBottom w:val="0"/>
      <w:divBdr>
        <w:top w:val="none" w:sz="0" w:space="0" w:color="auto"/>
        <w:left w:val="none" w:sz="0" w:space="0" w:color="auto"/>
        <w:bottom w:val="none" w:sz="0" w:space="0" w:color="auto"/>
        <w:right w:val="none" w:sz="0" w:space="0" w:color="auto"/>
      </w:divBdr>
    </w:div>
    <w:div w:id="1049378010">
      <w:bodyDiv w:val="1"/>
      <w:marLeft w:val="0"/>
      <w:marRight w:val="0"/>
      <w:marTop w:val="0"/>
      <w:marBottom w:val="0"/>
      <w:divBdr>
        <w:top w:val="none" w:sz="0" w:space="0" w:color="auto"/>
        <w:left w:val="none" w:sz="0" w:space="0" w:color="auto"/>
        <w:bottom w:val="none" w:sz="0" w:space="0" w:color="auto"/>
        <w:right w:val="none" w:sz="0" w:space="0" w:color="auto"/>
      </w:divBdr>
    </w:div>
    <w:div w:id="1049844744">
      <w:bodyDiv w:val="1"/>
      <w:marLeft w:val="0"/>
      <w:marRight w:val="0"/>
      <w:marTop w:val="0"/>
      <w:marBottom w:val="0"/>
      <w:divBdr>
        <w:top w:val="none" w:sz="0" w:space="0" w:color="auto"/>
        <w:left w:val="none" w:sz="0" w:space="0" w:color="auto"/>
        <w:bottom w:val="none" w:sz="0" w:space="0" w:color="auto"/>
        <w:right w:val="none" w:sz="0" w:space="0" w:color="auto"/>
      </w:divBdr>
    </w:div>
    <w:div w:id="1050953669">
      <w:bodyDiv w:val="1"/>
      <w:marLeft w:val="0"/>
      <w:marRight w:val="0"/>
      <w:marTop w:val="0"/>
      <w:marBottom w:val="0"/>
      <w:divBdr>
        <w:top w:val="none" w:sz="0" w:space="0" w:color="auto"/>
        <w:left w:val="none" w:sz="0" w:space="0" w:color="auto"/>
        <w:bottom w:val="none" w:sz="0" w:space="0" w:color="auto"/>
        <w:right w:val="none" w:sz="0" w:space="0" w:color="auto"/>
      </w:divBdr>
    </w:div>
    <w:div w:id="1051997118">
      <w:bodyDiv w:val="1"/>
      <w:marLeft w:val="0"/>
      <w:marRight w:val="0"/>
      <w:marTop w:val="0"/>
      <w:marBottom w:val="0"/>
      <w:divBdr>
        <w:top w:val="none" w:sz="0" w:space="0" w:color="auto"/>
        <w:left w:val="none" w:sz="0" w:space="0" w:color="auto"/>
        <w:bottom w:val="none" w:sz="0" w:space="0" w:color="auto"/>
        <w:right w:val="none" w:sz="0" w:space="0" w:color="auto"/>
      </w:divBdr>
    </w:div>
    <w:div w:id="1056970735">
      <w:bodyDiv w:val="1"/>
      <w:marLeft w:val="0"/>
      <w:marRight w:val="0"/>
      <w:marTop w:val="0"/>
      <w:marBottom w:val="0"/>
      <w:divBdr>
        <w:top w:val="none" w:sz="0" w:space="0" w:color="auto"/>
        <w:left w:val="none" w:sz="0" w:space="0" w:color="auto"/>
        <w:bottom w:val="none" w:sz="0" w:space="0" w:color="auto"/>
        <w:right w:val="none" w:sz="0" w:space="0" w:color="auto"/>
      </w:divBdr>
      <w:divsChild>
        <w:div w:id="1404334396">
          <w:marLeft w:val="0"/>
          <w:marRight w:val="0"/>
          <w:marTop w:val="0"/>
          <w:marBottom w:val="0"/>
          <w:divBdr>
            <w:top w:val="none" w:sz="0" w:space="0" w:color="auto"/>
            <w:left w:val="none" w:sz="0" w:space="0" w:color="auto"/>
            <w:bottom w:val="none" w:sz="0" w:space="0" w:color="auto"/>
            <w:right w:val="none" w:sz="0" w:space="0" w:color="auto"/>
          </w:divBdr>
        </w:div>
      </w:divsChild>
    </w:div>
    <w:div w:id="1057431488">
      <w:bodyDiv w:val="1"/>
      <w:marLeft w:val="0"/>
      <w:marRight w:val="0"/>
      <w:marTop w:val="0"/>
      <w:marBottom w:val="0"/>
      <w:divBdr>
        <w:top w:val="none" w:sz="0" w:space="0" w:color="auto"/>
        <w:left w:val="none" w:sz="0" w:space="0" w:color="auto"/>
        <w:bottom w:val="none" w:sz="0" w:space="0" w:color="auto"/>
        <w:right w:val="none" w:sz="0" w:space="0" w:color="auto"/>
      </w:divBdr>
      <w:divsChild>
        <w:div w:id="789400224">
          <w:marLeft w:val="0"/>
          <w:marRight w:val="0"/>
          <w:marTop w:val="0"/>
          <w:marBottom w:val="0"/>
          <w:divBdr>
            <w:top w:val="none" w:sz="0" w:space="0" w:color="auto"/>
            <w:left w:val="none" w:sz="0" w:space="0" w:color="auto"/>
            <w:bottom w:val="none" w:sz="0" w:space="0" w:color="auto"/>
            <w:right w:val="none" w:sz="0" w:space="0" w:color="auto"/>
          </w:divBdr>
          <w:divsChild>
            <w:div w:id="1743987072">
              <w:marLeft w:val="0"/>
              <w:marRight w:val="0"/>
              <w:marTop w:val="0"/>
              <w:marBottom w:val="0"/>
              <w:divBdr>
                <w:top w:val="none" w:sz="0" w:space="0" w:color="auto"/>
                <w:left w:val="none" w:sz="0" w:space="0" w:color="auto"/>
                <w:bottom w:val="none" w:sz="0" w:space="0" w:color="auto"/>
                <w:right w:val="none" w:sz="0" w:space="0" w:color="auto"/>
              </w:divBdr>
              <w:divsChild>
                <w:div w:id="1123495782">
                  <w:marLeft w:val="0"/>
                  <w:marRight w:val="0"/>
                  <w:marTop w:val="0"/>
                  <w:marBottom w:val="0"/>
                  <w:divBdr>
                    <w:top w:val="none" w:sz="0" w:space="0" w:color="auto"/>
                    <w:left w:val="none" w:sz="0" w:space="0" w:color="auto"/>
                    <w:bottom w:val="none" w:sz="0" w:space="0" w:color="auto"/>
                    <w:right w:val="none" w:sz="0" w:space="0" w:color="auto"/>
                  </w:divBdr>
                  <w:divsChild>
                    <w:div w:id="3670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78178">
          <w:marLeft w:val="0"/>
          <w:marRight w:val="0"/>
          <w:marTop w:val="0"/>
          <w:marBottom w:val="0"/>
          <w:divBdr>
            <w:top w:val="none" w:sz="0" w:space="0" w:color="auto"/>
            <w:left w:val="none" w:sz="0" w:space="0" w:color="auto"/>
            <w:bottom w:val="none" w:sz="0" w:space="0" w:color="auto"/>
            <w:right w:val="none" w:sz="0" w:space="0" w:color="auto"/>
          </w:divBdr>
          <w:divsChild>
            <w:div w:id="318970405">
              <w:marLeft w:val="0"/>
              <w:marRight w:val="0"/>
              <w:marTop w:val="0"/>
              <w:marBottom w:val="0"/>
              <w:divBdr>
                <w:top w:val="none" w:sz="0" w:space="0" w:color="auto"/>
                <w:left w:val="none" w:sz="0" w:space="0" w:color="auto"/>
                <w:bottom w:val="none" w:sz="0" w:space="0" w:color="auto"/>
                <w:right w:val="none" w:sz="0" w:space="0" w:color="auto"/>
              </w:divBdr>
              <w:divsChild>
                <w:div w:id="21233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98718">
      <w:bodyDiv w:val="1"/>
      <w:marLeft w:val="0"/>
      <w:marRight w:val="0"/>
      <w:marTop w:val="0"/>
      <w:marBottom w:val="0"/>
      <w:divBdr>
        <w:top w:val="none" w:sz="0" w:space="0" w:color="auto"/>
        <w:left w:val="none" w:sz="0" w:space="0" w:color="auto"/>
        <w:bottom w:val="none" w:sz="0" w:space="0" w:color="auto"/>
        <w:right w:val="none" w:sz="0" w:space="0" w:color="auto"/>
      </w:divBdr>
    </w:div>
    <w:div w:id="1069353040">
      <w:bodyDiv w:val="1"/>
      <w:marLeft w:val="0"/>
      <w:marRight w:val="0"/>
      <w:marTop w:val="0"/>
      <w:marBottom w:val="0"/>
      <w:divBdr>
        <w:top w:val="none" w:sz="0" w:space="0" w:color="auto"/>
        <w:left w:val="none" w:sz="0" w:space="0" w:color="auto"/>
        <w:bottom w:val="none" w:sz="0" w:space="0" w:color="auto"/>
        <w:right w:val="none" w:sz="0" w:space="0" w:color="auto"/>
      </w:divBdr>
    </w:div>
    <w:div w:id="1072701899">
      <w:bodyDiv w:val="1"/>
      <w:marLeft w:val="0"/>
      <w:marRight w:val="0"/>
      <w:marTop w:val="0"/>
      <w:marBottom w:val="0"/>
      <w:divBdr>
        <w:top w:val="none" w:sz="0" w:space="0" w:color="auto"/>
        <w:left w:val="none" w:sz="0" w:space="0" w:color="auto"/>
        <w:bottom w:val="none" w:sz="0" w:space="0" w:color="auto"/>
        <w:right w:val="none" w:sz="0" w:space="0" w:color="auto"/>
      </w:divBdr>
      <w:divsChild>
        <w:div w:id="1213464803">
          <w:marLeft w:val="0"/>
          <w:marRight w:val="0"/>
          <w:marTop w:val="0"/>
          <w:marBottom w:val="0"/>
          <w:divBdr>
            <w:top w:val="none" w:sz="0" w:space="0" w:color="auto"/>
            <w:left w:val="none" w:sz="0" w:space="0" w:color="auto"/>
            <w:bottom w:val="none" w:sz="0" w:space="0" w:color="auto"/>
            <w:right w:val="none" w:sz="0" w:space="0" w:color="auto"/>
          </w:divBdr>
          <w:divsChild>
            <w:div w:id="1656452726">
              <w:marLeft w:val="0"/>
              <w:marRight w:val="0"/>
              <w:marTop w:val="0"/>
              <w:marBottom w:val="0"/>
              <w:divBdr>
                <w:top w:val="none" w:sz="0" w:space="0" w:color="auto"/>
                <w:left w:val="none" w:sz="0" w:space="0" w:color="auto"/>
                <w:bottom w:val="none" w:sz="0" w:space="0" w:color="auto"/>
                <w:right w:val="none" w:sz="0" w:space="0" w:color="auto"/>
              </w:divBdr>
              <w:divsChild>
                <w:div w:id="932663161">
                  <w:marLeft w:val="0"/>
                  <w:marRight w:val="0"/>
                  <w:marTop w:val="0"/>
                  <w:marBottom w:val="0"/>
                  <w:divBdr>
                    <w:top w:val="none" w:sz="0" w:space="0" w:color="auto"/>
                    <w:left w:val="none" w:sz="0" w:space="0" w:color="auto"/>
                    <w:bottom w:val="none" w:sz="0" w:space="0" w:color="auto"/>
                    <w:right w:val="none" w:sz="0" w:space="0" w:color="auto"/>
                  </w:divBdr>
                  <w:divsChild>
                    <w:div w:id="12936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92460">
          <w:marLeft w:val="0"/>
          <w:marRight w:val="0"/>
          <w:marTop w:val="0"/>
          <w:marBottom w:val="0"/>
          <w:divBdr>
            <w:top w:val="none" w:sz="0" w:space="0" w:color="auto"/>
            <w:left w:val="none" w:sz="0" w:space="0" w:color="auto"/>
            <w:bottom w:val="none" w:sz="0" w:space="0" w:color="auto"/>
            <w:right w:val="none" w:sz="0" w:space="0" w:color="auto"/>
          </w:divBdr>
          <w:divsChild>
            <w:div w:id="1815414775">
              <w:marLeft w:val="0"/>
              <w:marRight w:val="0"/>
              <w:marTop w:val="0"/>
              <w:marBottom w:val="0"/>
              <w:divBdr>
                <w:top w:val="none" w:sz="0" w:space="0" w:color="auto"/>
                <w:left w:val="none" w:sz="0" w:space="0" w:color="auto"/>
                <w:bottom w:val="none" w:sz="0" w:space="0" w:color="auto"/>
                <w:right w:val="none" w:sz="0" w:space="0" w:color="auto"/>
              </w:divBdr>
              <w:divsChild>
                <w:div w:id="5316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92523">
      <w:bodyDiv w:val="1"/>
      <w:marLeft w:val="0"/>
      <w:marRight w:val="0"/>
      <w:marTop w:val="0"/>
      <w:marBottom w:val="0"/>
      <w:divBdr>
        <w:top w:val="none" w:sz="0" w:space="0" w:color="auto"/>
        <w:left w:val="none" w:sz="0" w:space="0" w:color="auto"/>
        <w:bottom w:val="none" w:sz="0" w:space="0" w:color="auto"/>
        <w:right w:val="none" w:sz="0" w:space="0" w:color="auto"/>
      </w:divBdr>
      <w:divsChild>
        <w:div w:id="451218391">
          <w:marLeft w:val="0"/>
          <w:marRight w:val="0"/>
          <w:marTop w:val="0"/>
          <w:marBottom w:val="0"/>
          <w:divBdr>
            <w:top w:val="none" w:sz="0" w:space="0" w:color="auto"/>
            <w:left w:val="none" w:sz="0" w:space="0" w:color="auto"/>
            <w:bottom w:val="none" w:sz="0" w:space="0" w:color="auto"/>
            <w:right w:val="none" w:sz="0" w:space="0" w:color="auto"/>
          </w:divBdr>
        </w:div>
      </w:divsChild>
    </w:div>
    <w:div w:id="1073894349">
      <w:bodyDiv w:val="1"/>
      <w:marLeft w:val="0"/>
      <w:marRight w:val="0"/>
      <w:marTop w:val="0"/>
      <w:marBottom w:val="0"/>
      <w:divBdr>
        <w:top w:val="none" w:sz="0" w:space="0" w:color="auto"/>
        <w:left w:val="none" w:sz="0" w:space="0" w:color="auto"/>
        <w:bottom w:val="none" w:sz="0" w:space="0" w:color="auto"/>
        <w:right w:val="none" w:sz="0" w:space="0" w:color="auto"/>
      </w:divBdr>
    </w:div>
    <w:div w:id="1074551699">
      <w:bodyDiv w:val="1"/>
      <w:marLeft w:val="0"/>
      <w:marRight w:val="0"/>
      <w:marTop w:val="0"/>
      <w:marBottom w:val="0"/>
      <w:divBdr>
        <w:top w:val="none" w:sz="0" w:space="0" w:color="auto"/>
        <w:left w:val="none" w:sz="0" w:space="0" w:color="auto"/>
        <w:bottom w:val="none" w:sz="0" w:space="0" w:color="auto"/>
        <w:right w:val="none" w:sz="0" w:space="0" w:color="auto"/>
      </w:divBdr>
    </w:div>
    <w:div w:id="1075128236">
      <w:bodyDiv w:val="1"/>
      <w:marLeft w:val="0"/>
      <w:marRight w:val="0"/>
      <w:marTop w:val="0"/>
      <w:marBottom w:val="0"/>
      <w:divBdr>
        <w:top w:val="none" w:sz="0" w:space="0" w:color="auto"/>
        <w:left w:val="none" w:sz="0" w:space="0" w:color="auto"/>
        <w:bottom w:val="none" w:sz="0" w:space="0" w:color="auto"/>
        <w:right w:val="none" w:sz="0" w:space="0" w:color="auto"/>
      </w:divBdr>
    </w:div>
    <w:div w:id="1075934881">
      <w:bodyDiv w:val="1"/>
      <w:marLeft w:val="0"/>
      <w:marRight w:val="0"/>
      <w:marTop w:val="0"/>
      <w:marBottom w:val="0"/>
      <w:divBdr>
        <w:top w:val="none" w:sz="0" w:space="0" w:color="auto"/>
        <w:left w:val="none" w:sz="0" w:space="0" w:color="auto"/>
        <w:bottom w:val="none" w:sz="0" w:space="0" w:color="auto"/>
        <w:right w:val="none" w:sz="0" w:space="0" w:color="auto"/>
      </w:divBdr>
      <w:divsChild>
        <w:div w:id="161088577">
          <w:marLeft w:val="0"/>
          <w:marRight w:val="0"/>
          <w:marTop w:val="0"/>
          <w:marBottom w:val="0"/>
          <w:divBdr>
            <w:top w:val="none" w:sz="0" w:space="0" w:color="auto"/>
            <w:left w:val="none" w:sz="0" w:space="0" w:color="auto"/>
            <w:bottom w:val="none" w:sz="0" w:space="0" w:color="auto"/>
            <w:right w:val="none" w:sz="0" w:space="0" w:color="auto"/>
          </w:divBdr>
          <w:divsChild>
            <w:div w:id="143662909">
              <w:marLeft w:val="0"/>
              <w:marRight w:val="0"/>
              <w:marTop w:val="0"/>
              <w:marBottom w:val="0"/>
              <w:divBdr>
                <w:top w:val="none" w:sz="0" w:space="0" w:color="auto"/>
                <w:left w:val="none" w:sz="0" w:space="0" w:color="auto"/>
                <w:bottom w:val="none" w:sz="0" w:space="0" w:color="auto"/>
                <w:right w:val="none" w:sz="0" w:space="0" w:color="auto"/>
              </w:divBdr>
              <w:divsChild>
                <w:div w:id="558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4200">
          <w:marLeft w:val="0"/>
          <w:marRight w:val="0"/>
          <w:marTop w:val="0"/>
          <w:marBottom w:val="0"/>
          <w:divBdr>
            <w:top w:val="none" w:sz="0" w:space="0" w:color="auto"/>
            <w:left w:val="none" w:sz="0" w:space="0" w:color="auto"/>
            <w:bottom w:val="none" w:sz="0" w:space="0" w:color="auto"/>
            <w:right w:val="none" w:sz="0" w:space="0" w:color="auto"/>
          </w:divBdr>
          <w:divsChild>
            <w:div w:id="24059240">
              <w:marLeft w:val="0"/>
              <w:marRight w:val="0"/>
              <w:marTop w:val="0"/>
              <w:marBottom w:val="0"/>
              <w:divBdr>
                <w:top w:val="none" w:sz="0" w:space="0" w:color="auto"/>
                <w:left w:val="none" w:sz="0" w:space="0" w:color="auto"/>
                <w:bottom w:val="none" w:sz="0" w:space="0" w:color="auto"/>
                <w:right w:val="none" w:sz="0" w:space="0" w:color="auto"/>
              </w:divBdr>
              <w:divsChild>
                <w:div w:id="863903042">
                  <w:marLeft w:val="0"/>
                  <w:marRight w:val="0"/>
                  <w:marTop w:val="0"/>
                  <w:marBottom w:val="0"/>
                  <w:divBdr>
                    <w:top w:val="none" w:sz="0" w:space="0" w:color="auto"/>
                    <w:left w:val="none" w:sz="0" w:space="0" w:color="auto"/>
                    <w:bottom w:val="none" w:sz="0" w:space="0" w:color="auto"/>
                    <w:right w:val="none" w:sz="0" w:space="0" w:color="auto"/>
                  </w:divBdr>
                  <w:divsChild>
                    <w:div w:id="6419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021366">
      <w:bodyDiv w:val="1"/>
      <w:marLeft w:val="0"/>
      <w:marRight w:val="0"/>
      <w:marTop w:val="0"/>
      <w:marBottom w:val="0"/>
      <w:divBdr>
        <w:top w:val="none" w:sz="0" w:space="0" w:color="auto"/>
        <w:left w:val="none" w:sz="0" w:space="0" w:color="auto"/>
        <w:bottom w:val="none" w:sz="0" w:space="0" w:color="auto"/>
        <w:right w:val="none" w:sz="0" w:space="0" w:color="auto"/>
      </w:divBdr>
    </w:div>
    <w:div w:id="1078408356">
      <w:bodyDiv w:val="1"/>
      <w:marLeft w:val="0"/>
      <w:marRight w:val="0"/>
      <w:marTop w:val="0"/>
      <w:marBottom w:val="0"/>
      <w:divBdr>
        <w:top w:val="none" w:sz="0" w:space="0" w:color="auto"/>
        <w:left w:val="none" w:sz="0" w:space="0" w:color="auto"/>
        <w:bottom w:val="none" w:sz="0" w:space="0" w:color="auto"/>
        <w:right w:val="none" w:sz="0" w:space="0" w:color="auto"/>
      </w:divBdr>
    </w:div>
    <w:div w:id="1079211046">
      <w:bodyDiv w:val="1"/>
      <w:marLeft w:val="0"/>
      <w:marRight w:val="0"/>
      <w:marTop w:val="0"/>
      <w:marBottom w:val="0"/>
      <w:divBdr>
        <w:top w:val="none" w:sz="0" w:space="0" w:color="auto"/>
        <w:left w:val="none" w:sz="0" w:space="0" w:color="auto"/>
        <w:bottom w:val="none" w:sz="0" w:space="0" w:color="auto"/>
        <w:right w:val="none" w:sz="0" w:space="0" w:color="auto"/>
      </w:divBdr>
    </w:div>
    <w:div w:id="1080372730">
      <w:bodyDiv w:val="1"/>
      <w:marLeft w:val="0"/>
      <w:marRight w:val="0"/>
      <w:marTop w:val="0"/>
      <w:marBottom w:val="0"/>
      <w:divBdr>
        <w:top w:val="none" w:sz="0" w:space="0" w:color="auto"/>
        <w:left w:val="none" w:sz="0" w:space="0" w:color="auto"/>
        <w:bottom w:val="none" w:sz="0" w:space="0" w:color="auto"/>
        <w:right w:val="none" w:sz="0" w:space="0" w:color="auto"/>
      </w:divBdr>
    </w:div>
    <w:div w:id="1082489519">
      <w:bodyDiv w:val="1"/>
      <w:marLeft w:val="0"/>
      <w:marRight w:val="0"/>
      <w:marTop w:val="0"/>
      <w:marBottom w:val="0"/>
      <w:divBdr>
        <w:top w:val="none" w:sz="0" w:space="0" w:color="auto"/>
        <w:left w:val="none" w:sz="0" w:space="0" w:color="auto"/>
        <w:bottom w:val="none" w:sz="0" w:space="0" w:color="auto"/>
        <w:right w:val="none" w:sz="0" w:space="0" w:color="auto"/>
      </w:divBdr>
    </w:div>
    <w:div w:id="1084180396">
      <w:bodyDiv w:val="1"/>
      <w:marLeft w:val="0"/>
      <w:marRight w:val="0"/>
      <w:marTop w:val="0"/>
      <w:marBottom w:val="0"/>
      <w:divBdr>
        <w:top w:val="none" w:sz="0" w:space="0" w:color="auto"/>
        <w:left w:val="none" w:sz="0" w:space="0" w:color="auto"/>
        <w:bottom w:val="none" w:sz="0" w:space="0" w:color="auto"/>
        <w:right w:val="none" w:sz="0" w:space="0" w:color="auto"/>
      </w:divBdr>
      <w:divsChild>
        <w:div w:id="713844261">
          <w:marLeft w:val="0"/>
          <w:marRight w:val="0"/>
          <w:marTop w:val="0"/>
          <w:marBottom w:val="0"/>
          <w:divBdr>
            <w:top w:val="none" w:sz="0" w:space="0" w:color="auto"/>
            <w:left w:val="none" w:sz="0" w:space="0" w:color="auto"/>
            <w:bottom w:val="none" w:sz="0" w:space="0" w:color="auto"/>
            <w:right w:val="none" w:sz="0" w:space="0" w:color="auto"/>
          </w:divBdr>
          <w:divsChild>
            <w:div w:id="1184707815">
              <w:marLeft w:val="0"/>
              <w:marRight w:val="0"/>
              <w:marTop w:val="0"/>
              <w:marBottom w:val="0"/>
              <w:divBdr>
                <w:top w:val="none" w:sz="0" w:space="0" w:color="auto"/>
                <w:left w:val="none" w:sz="0" w:space="0" w:color="auto"/>
                <w:bottom w:val="none" w:sz="0" w:space="0" w:color="auto"/>
                <w:right w:val="none" w:sz="0" w:space="0" w:color="auto"/>
              </w:divBdr>
            </w:div>
          </w:divsChild>
        </w:div>
        <w:div w:id="1804617591">
          <w:marLeft w:val="0"/>
          <w:marRight w:val="0"/>
          <w:marTop w:val="0"/>
          <w:marBottom w:val="0"/>
          <w:divBdr>
            <w:top w:val="none" w:sz="0" w:space="0" w:color="auto"/>
            <w:left w:val="none" w:sz="0" w:space="0" w:color="auto"/>
            <w:bottom w:val="none" w:sz="0" w:space="0" w:color="auto"/>
            <w:right w:val="none" w:sz="0" w:space="0" w:color="auto"/>
          </w:divBdr>
          <w:divsChild>
            <w:div w:id="1386031360">
              <w:marLeft w:val="0"/>
              <w:marRight w:val="0"/>
              <w:marTop w:val="0"/>
              <w:marBottom w:val="0"/>
              <w:divBdr>
                <w:top w:val="none" w:sz="0" w:space="0" w:color="auto"/>
                <w:left w:val="none" w:sz="0" w:space="0" w:color="auto"/>
                <w:bottom w:val="none" w:sz="0" w:space="0" w:color="auto"/>
                <w:right w:val="none" w:sz="0" w:space="0" w:color="auto"/>
              </w:divBdr>
              <w:divsChild>
                <w:div w:id="11462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9997">
      <w:bodyDiv w:val="1"/>
      <w:marLeft w:val="0"/>
      <w:marRight w:val="0"/>
      <w:marTop w:val="0"/>
      <w:marBottom w:val="0"/>
      <w:divBdr>
        <w:top w:val="none" w:sz="0" w:space="0" w:color="auto"/>
        <w:left w:val="none" w:sz="0" w:space="0" w:color="auto"/>
        <w:bottom w:val="none" w:sz="0" w:space="0" w:color="auto"/>
        <w:right w:val="none" w:sz="0" w:space="0" w:color="auto"/>
      </w:divBdr>
    </w:div>
    <w:div w:id="1090782086">
      <w:bodyDiv w:val="1"/>
      <w:marLeft w:val="0"/>
      <w:marRight w:val="0"/>
      <w:marTop w:val="0"/>
      <w:marBottom w:val="0"/>
      <w:divBdr>
        <w:top w:val="none" w:sz="0" w:space="0" w:color="auto"/>
        <w:left w:val="none" w:sz="0" w:space="0" w:color="auto"/>
        <w:bottom w:val="none" w:sz="0" w:space="0" w:color="auto"/>
        <w:right w:val="none" w:sz="0" w:space="0" w:color="auto"/>
      </w:divBdr>
    </w:div>
    <w:div w:id="1095398274">
      <w:bodyDiv w:val="1"/>
      <w:marLeft w:val="0"/>
      <w:marRight w:val="0"/>
      <w:marTop w:val="0"/>
      <w:marBottom w:val="0"/>
      <w:divBdr>
        <w:top w:val="none" w:sz="0" w:space="0" w:color="auto"/>
        <w:left w:val="none" w:sz="0" w:space="0" w:color="auto"/>
        <w:bottom w:val="none" w:sz="0" w:space="0" w:color="auto"/>
        <w:right w:val="none" w:sz="0" w:space="0" w:color="auto"/>
      </w:divBdr>
    </w:div>
    <w:div w:id="1096050339">
      <w:bodyDiv w:val="1"/>
      <w:marLeft w:val="0"/>
      <w:marRight w:val="0"/>
      <w:marTop w:val="0"/>
      <w:marBottom w:val="0"/>
      <w:divBdr>
        <w:top w:val="none" w:sz="0" w:space="0" w:color="auto"/>
        <w:left w:val="none" w:sz="0" w:space="0" w:color="auto"/>
        <w:bottom w:val="none" w:sz="0" w:space="0" w:color="auto"/>
        <w:right w:val="none" w:sz="0" w:space="0" w:color="auto"/>
      </w:divBdr>
    </w:div>
    <w:div w:id="1097210896">
      <w:bodyDiv w:val="1"/>
      <w:marLeft w:val="0"/>
      <w:marRight w:val="0"/>
      <w:marTop w:val="0"/>
      <w:marBottom w:val="0"/>
      <w:divBdr>
        <w:top w:val="none" w:sz="0" w:space="0" w:color="auto"/>
        <w:left w:val="none" w:sz="0" w:space="0" w:color="auto"/>
        <w:bottom w:val="none" w:sz="0" w:space="0" w:color="auto"/>
        <w:right w:val="none" w:sz="0" w:space="0" w:color="auto"/>
      </w:divBdr>
      <w:divsChild>
        <w:div w:id="1727291529">
          <w:marLeft w:val="0"/>
          <w:marRight w:val="0"/>
          <w:marTop w:val="0"/>
          <w:marBottom w:val="0"/>
          <w:divBdr>
            <w:top w:val="none" w:sz="0" w:space="0" w:color="auto"/>
            <w:left w:val="none" w:sz="0" w:space="0" w:color="auto"/>
            <w:bottom w:val="none" w:sz="0" w:space="0" w:color="auto"/>
            <w:right w:val="none" w:sz="0" w:space="0" w:color="auto"/>
          </w:divBdr>
          <w:divsChild>
            <w:div w:id="329649526">
              <w:marLeft w:val="0"/>
              <w:marRight w:val="0"/>
              <w:marTop w:val="0"/>
              <w:marBottom w:val="0"/>
              <w:divBdr>
                <w:top w:val="none" w:sz="0" w:space="0" w:color="auto"/>
                <w:left w:val="none" w:sz="0" w:space="0" w:color="auto"/>
                <w:bottom w:val="none" w:sz="0" w:space="0" w:color="auto"/>
                <w:right w:val="none" w:sz="0" w:space="0" w:color="auto"/>
              </w:divBdr>
              <w:divsChild>
                <w:div w:id="1420836091">
                  <w:marLeft w:val="0"/>
                  <w:marRight w:val="0"/>
                  <w:marTop w:val="0"/>
                  <w:marBottom w:val="0"/>
                  <w:divBdr>
                    <w:top w:val="none" w:sz="0" w:space="0" w:color="auto"/>
                    <w:left w:val="none" w:sz="0" w:space="0" w:color="auto"/>
                    <w:bottom w:val="none" w:sz="0" w:space="0" w:color="auto"/>
                    <w:right w:val="none" w:sz="0" w:space="0" w:color="auto"/>
                  </w:divBdr>
                  <w:divsChild>
                    <w:div w:id="10474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75053">
          <w:marLeft w:val="0"/>
          <w:marRight w:val="0"/>
          <w:marTop w:val="0"/>
          <w:marBottom w:val="0"/>
          <w:divBdr>
            <w:top w:val="none" w:sz="0" w:space="0" w:color="auto"/>
            <w:left w:val="none" w:sz="0" w:space="0" w:color="auto"/>
            <w:bottom w:val="none" w:sz="0" w:space="0" w:color="auto"/>
            <w:right w:val="none" w:sz="0" w:space="0" w:color="auto"/>
          </w:divBdr>
          <w:divsChild>
            <w:div w:id="2049603455">
              <w:marLeft w:val="0"/>
              <w:marRight w:val="0"/>
              <w:marTop w:val="0"/>
              <w:marBottom w:val="0"/>
              <w:divBdr>
                <w:top w:val="none" w:sz="0" w:space="0" w:color="auto"/>
                <w:left w:val="none" w:sz="0" w:space="0" w:color="auto"/>
                <w:bottom w:val="none" w:sz="0" w:space="0" w:color="auto"/>
                <w:right w:val="none" w:sz="0" w:space="0" w:color="auto"/>
              </w:divBdr>
              <w:divsChild>
                <w:div w:id="2987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88941">
      <w:bodyDiv w:val="1"/>
      <w:marLeft w:val="0"/>
      <w:marRight w:val="0"/>
      <w:marTop w:val="0"/>
      <w:marBottom w:val="0"/>
      <w:divBdr>
        <w:top w:val="none" w:sz="0" w:space="0" w:color="auto"/>
        <w:left w:val="none" w:sz="0" w:space="0" w:color="auto"/>
        <w:bottom w:val="none" w:sz="0" w:space="0" w:color="auto"/>
        <w:right w:val="none" w:sz="0" w:space="0" w:color="auto"/>
      </w:divBdr>
    </w:div>
    <w:div w:id="1105003657">
      <w:bodyDiv w:val="1"/>
      <w:marLeft w:val="0"/>
      <w:marRight w:val="0"/>
      <w:marTop w:val="0"/>
      <w:marBottom w:val="0"/>
      <w:divBdr>
        <w:top w:val="none" w:sz="0" w:space="0" w:color="auto"/>
        <w:left w:val="none" w:sz="0" w:space="0" w:color="auto"/>
        <w:bottom w:val="none" w:sz="0" w:space="0" w:color="auto"/>
        <w:right w:val="none" w:sz="0" w:space="0" w:color="auto"/>
      </w:divBdr>
    </w:div>
    <w:div w:id="1105271464">
      <w:bodyDiv w:val="1"/>
      <w:marLeft w:val="0"/>
      <w:marRight w:val="0"/>
      <w:marTop w:val="0"/>
      <w:marBottom w:val="0"/>
      <w:divBdr>
        <w:top w:val="none" w:sz="0" w:space="0" w:color="auto"/>
        <w:left w:val="none" w:sz="0" w:space="0" w:color="auto"/>
        <w:bottom w:val="none" w:sz="0" w:space="0" w:color="auto"/>
        <w:right w:val="none" w:sz="0" w:space="0" w:color="auto"/>
      </w:divBdr>
    </w:div>
    <w:div w:id="1106383568">
      <w:bodyDiv w:val="1"/>
      <w:marLeft w:val="0"/>
      <w:marRight w:val="0"/>
      <w:marTop w:val="0"/>
      <w:marBottom w:val="0"/>
      <w:divBdr>
        <w:top w:val="none" w:sz="0" w:space="0" w:color="auto"/>
        <w:left w:val="none" w:sz="0" w:space="0" w:color="auto"/>
        <w:bottom w:val="none" w:sz="0" w:space="0" w:color="auto"/>
        <w:right w:val="none" w:sz="0" w:space="0" w:color="auto"/>
      </w:divBdr>
      <w:divsChild>
        <w:div w:id="62333932">
          <w:marLeft w:val="0"/>
          <w:marRight w:val="0"/>
          <w:marTop w:val="0"/>
          <w:marBottom w:val="0"/>
          <w:divBdr>
            <w:top w:val="none" w:sz="0" w:space="0" w:color="auto"/>
            <w:left w:val="none" w:sz="0" w:space="0" w:color="auto"/>
            <w:bottom w:val="none" w:sz="0" w:space="0" w:color="auto"/>
            <w:right w:val="none" w:sz="0" w:space="0" w:color="auto"/>
          </w:divBdr>
          <w:divsChild>
            <w:div w:id="613947937">
              <w:marLeft w:val="0"/>
              <w:marRight w:val="0"/>
              <w:marTop w:val="0"/>
              <w:marBottom w:val="0"/>
              <w:divBdr>
                <w:top w:val="none" w:sz="0" w:space="0" w:color="auto"/>
                <w:left w:val="none" w:sz="0" w:space="0" w:color="auto"/>
                <w:bottom w:val="none" w:sz="0" w:space="0" w:color="auto"/>
                <w:right w:val="none" w:sz="0" w:space="0" w:color="auto"/>
              </w:divBdr>
              <w:divsChild>
                <w:div w:id="33896770">
                  <w:marLeft w:val="0"/>
                  <w:marRight w:val="0"/>
                  <w:marTop w:val="0"/>
                  <w:marBottom w:val="0"/>
                  <w:divBdr>
                    <w:top w:val="none" w:sz="0" w:space="0" w:color="auto"/>
                    <w:left w:val="none" w:sz="0" w:space="0" w:color="auto"/>
                    <w:bottom w:val="none" w:sz="0" w:space="0" w:color="auto"/>
                    <w:right w:val="none" w:sz="0" w:space="0" w:color="auto"/>
                  </w:divBdr>
                  <w:divsChild>
                    <w:div w:id="12815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3849">
          <w:marLeft w:val="0"/>
          <w:marRight w:val="0"/>
          <w:marTop w:val="0"/>
          <w:marBottom w:val="0"/>
          <w:divBdr>
            <w:top w:val="none" w:sz="0" w:space="0" w:color="auto"/>
            <w:left w:val="none" w:sz="0" w:space="0" w:color="auto"/>
            <w:bottom w:val="none" w:sz="0" w:space="0" w:color="auto"/>
            <w:right w:val="none" w:sz="0" w:space="0" w:color="auto"/>
          </w:divBdr>
          <w:divsChild>
            <w:div w:id="1843887393">
              <w:marLeft w:val="0"/>
              <w:marRight w:val="0"/>
              <w:marTop w:val="0"/>
              <w:marBottom w:val="0"/>
              <w:divBdr>
                <w:top w:val="none" w:sz="0" w:space="0" w:color="auto"/>
                <w:left w:val="none" w:sz="0" w:space="0" w:color="auto"/>
                <w:bottom w:val="none" w:sz="0" w:space="0" w:color="auto"/>
                <w:right w:val="none" w:sz="0" w:space="0" w:color="auto"/>
              </w:divBdr>
              <w:divsChild>
                <w:div w:id="7076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68493">
      <w:bodyDiv w:val="1"/>
      <w:marLeft w:val="0"/>
      <w:marRight w:val="0"/>
      <w:marTop w:val="0"/>
      <w:marBottom w:val="0"/>
      <w:divBdr>
        <w:top w:val="none" w:sz="0" w:space="0" w:color="auto"/>
        <w:left w:val="none" w:sz="0" w:space="0" w:color="auto"/>
        <w:bottom w:val="none" w:sz="0" w:space="0" w:color="auto"/>
        <w:right w:val="none" w:sz="0" w:space="0" w:color="auto"/>
      </w:divBdr>
    </w:div>
    <w:div w:id="1109394585">
      <w:bodyDiv w:val="1"/>
      <w:marLeft w:val="0"/>
      <w:marRight w:val="0"/>
      <w:marTop w:val="0"/>
      <w:marBottom w:val="0"/>
      <w:divBdr>
        <w:top w:val="none" w:sz="0" w:space="0" w:color="auto"/>
        <w:left w:val="none" w:sz="0" w:space="0" w:color="auto"/>
        <w:bottom w:val="none" w:sz="0" w:space="0" w:color="auto"/>
        <w:right w:val="none" w:sz="0" w:space="0" w:color="auto"/>
      </w:divBdr>
    </w:div>
    <w:div w:id="1112014874">
      <w:bodyDiv w:val="1"/>
      <w:marLeft w:val="0"/>
      <w:marRight w:val="0"/>
      <w:marTop w:val="0"/>
      <w:marBottom w:val="0"/>
      <w:divBdr>
        <w:top w:val="none" w:sz="0" w:space="0" w:color="auto"/>
        <w:left w:val="none" w:sz="0" w:space="0" w:color="auto"/>
        <w:bottom w:val="none" w:sz="0" w:space="0" w:color="auto"/>
        <w:right w:val="none" w:sz="0" w:space="0" w:color="auto"/>
      </w:divBdr>
    </w:div>
    <w:div w:id="1113088416">
      <w:bodyDiv w:val="1"/>
      <w:marLeft w:val="0"/>
      <w:marRight w:val="0"/>
      <w:marTop w:val="0"/>
      <w:marBottom w:val="0"/>
      <w:divBdr>
        <w:top w:val="none" w:sz="0" w:space="0" w:color="auto"/>
        <w:left w:val="none" w:sz="0" w:space="0" w:color="auto"/>
        <w:bottom w:val="none" w:sz="0" w:space="0" w:color="auto"/>
        <w:right w:val="none" w:sz="0" w:space="0" w:color="auto"/>
      </w:divBdr>
    </w:div>
    <w:div w:id="1115564367">
      <w:bodyDiv w:val="1"/>
      <w:marLeft w:val="0"/>
      <w:marRight w:val="0"/>
      <w:marTop w:val="0"/>
      <w:marBottom w:val="0"/>
      <w:divBdr>
        <w:top w:val="none" w:sz="0" w:space="0" w:color="auto"/>
        <w:left w:val="none" w:sz="0" w:space="0" w:color="auto"/>
        <w:bottom w:val="none" w:sz="0" w:space="0" w:color="auto"/>
        <w:right w:val="none" w:sz="0" w:space="0" w:color="auto"/>
      </w:divBdr>
    </w:div>
    <w:div w:id="1119643908">
      <w:bodyDiv w:val="1"/>
      <w:marLeft w:val="0"/>
      <w:marRight w:val="0"/>
      <w:marTop w:val="0"/>
      <w:marBottom w:val="0"/>
      <w:divBdr>
        <w:top w:val="none" w:sz="0" w:space="0" w:color="auto"/>
        <w:left w:val="none" w:sz="0" w:space="0" w:color="auto"/>
        <w:bottom w:val="none" w:sz="0" w:space="0" w:color="auto"/>
        <w:right w:val="none" w:sz="0" w:space="0" w:color="auto"/>
      </w:divBdr>
    </w:div>
    <w:div w:id="1122462990">
      <w:bodyDiv w:val="1"/>
      <w:marLeft w:val="0"/>
      <w:marRight w:val="0"/>
      <w:marTop w:val="0"/>
      <w:marBottom w:val="0"/>
      <w:divBdr>
        <w:top w:val="none" w:sz="0" w:space="0" w:color="auto"/>
        <w:left w:val="none" w:sz="0" w:space="0" w:color="auto"/>
        <w:bottom w:val="none" w:sz="0" w:space="0" w:color="auto"/>
        <w:right w:val="none" w:sz="0" w:space="0" w:color="auto"/>
      </w:divBdr>
    </w:div>
    <w:div w:id="1123425223">
      <w:bodyDiv w:val="1"/>
      <w:marLeft w:val="0"/>
      <w:marRight w:val="0"/>
      <w:marTop w:val="0"/>
      <w:marBottom w:val="0"/>
      <w:divBdr>
        <w:top w:val="none" w:sz="0" w:space="0" w:color="auto"/>
        <w:left w:val="none" w:sz="0" w:space="0" w:color="auto"/>
        <w:bottom w:val="none" w:sz="0" w:space="0" w:color="auto"/>
        <w:right w:val="none" w:sz="0" w:space="0" w:color="auto"/>
      </w:divBdr>
    </w:div>
    <w:div w:id="1123965209">
      <w:bodyDiv w:val="1"/>
      <w:marLeft w:val="0"/>
      <w:marRight w:val="0"/>
      <w:marTop w:val="0"/>
      <w:marBottom w:val="0"/>
      <w:divBdr>
        <w:top w:val="none" w:sz="0" w:space="0" w:color="auto"/>
        <w:left w:val="none" w:sz="0" w:space="0" w:color="auto"/>
        <w:bottom w:val="none" w:sz="0" w:space="0" w:color="auto"/>
        <w:right w:val="none" w:sz="0" w:space="0" w:color="auto"/>
      </w:divBdr>
    </w:div>
    <w:div w:id="1127431216">
      <w:bodyDiv w:val="1"/>
      <w:marLeft w:val="0"/>
      <w:marRight w:val="0"/>
      <w:marTop w:val="0"/>
      <w:marBottom w:val="0"/>
      <w:divBdr>
        <w:top w:val="none" w:sz="0" w:space="0" w:color="auto"/>
        <w:left w:val="none" w:sz="0" w:space="0" w:color="auto"/>
        <w:bottom w:val="none" w:sz="0" w:space="0" w:color="auto"/>
        <w:right w:val="none" w:sz="0" w:space="0" w:color="auto"/>
      </w:divBdr>
    </w:div>
    <w:div w:id="1127510835">
      <w:bodyDiv w:val="1"/>
      <w:marLeft w:val="0"/>
      <w:marRight w:val="0"/>
      <w:marTop w:val="0"/>
      <w:marBottom w:val="0"/>
      <w:divBdr>
        <w:top w:val="none" w:sz="0" w:space="0" w:color="auto"/>
        <w:left w:val="none" w:sz="0" w:space="0" w:color="auto"/>
        <w:bottom w:val="none" w:sz="0" w:space="0" w:color="auto"/>
        <w:right w:val="none" w:sz="0" w:space="0" w:color="auto"/>
      </w:divBdr>
    </w:div>
    <w:div w:id="1128008912">
      <w:bodyDiv w:val="1"/>
      <w:marLeft w:val="0"/>
      <w:marRight w:val="0"/>
      <w:marTop w:val="0"/>
      <w:marBottom w:val="0"/>
      <w:divBdr>
        <w:top w:val="none" w:sz="0" w:space="0" w:color="auto"/>
        <w:left w:val="none" w:sz="0" w:space="0" w:color="auto"/>
        <w:bottom w:val="none" w:sz="0" w:space="0" w:color="auto"/>
        <w:right w:val="none" w:sz="0" w:space="0" w:color="auto"/>
      </w:divBdr>
    </w:div>
    <w:div w:id="1130174281">
      <w:bodyDiv w:val="1"/>
      <w:marLeft w:val="0"/>
      <w:marRight w:val="0"/>
      <w:marTop w:val="0"/>
      <w:marBottom w:val="0"/>
      <w:divBdr>
        <w:top w:val="none" w:sz="0" w:space="0" w:color="auto"/>
        <w:left w:val="none" w:sz="0" w:space="0" w:color="auto"/>
        <w:bottom w:val="none" w:sz="0" w:space="0" w:color="auto"/>
        <w:right w:val="none" w:sz="0" w:space="0" w:color="auto"/>
      </w:divBdr>
    </w:div>
    <w:div w:id="1132744784">
      <w:bodyDiv w:val="1"/>
      <w:marLeft w:val="0"/>
      <w:marRight w:val="0"/>
      <w:marTop w:val="0"/>
      <w:marBottom w:val="0"/>
      <w:divBdr>
        <w:top w:val="none" w:sz="0" w:space="0" w:color="auto"/>
        <w:left w:val="none" w:sz="0" w:space="0" w:color="auto"/>
        <w:bottom w:val="none" w:sz="0" w:space="0" w:color="auto"/>
        <w:right w:val="none" w:sz="0" w:space="0" w:color="auto"/>
      </w:divBdr>
    </w:div>
    <w:div w:id="1134250745">
      <w:bodyDiv w:val="1"/>
      <w:marLeft w:val="0"/>
      <w:marRight w:val="0"/>
      <w:marTop w:val="0"/>
      <w:marBottom w:val="0"/>
      <w:divBdr>
        <w:top w:val="none" w:sz="0" w:space="0" w:color="auto"/>
        <w:left w:val="none" w:sz="0" w:space="0" w:color="auto"/>
        <w:bottom w:val="none" w:sz="0" w:space="0" w:color="auto"/>
        <w:right w:val="none" w:sz="0" w:space="0" w:color="auto"/>
      </w:divBdr>
    </w:div>
    <w:div w:id="1135561471">
      <w:bodyDiv w:val="1"/>
      <w:marLeft w:val="0"/>
      <w:marRight w:val="0"/>
      <w:marTop w:val="0"/>
      <w:marBottom w:val="0"/>
      <w:divBdr>
        <w:top w:val="none" w:sz="0" w:space="0" w:color="auto"/>
        <w:left w:val="none" w:sz="0" w:space="0" w:color="auto"/>
        <w:bottom w:val="none" w:sz="0" w:space="0" w:color="auto"/>
        <w:right w:val="none" w:sz="0" w:space="0" w:color="auto"/>
      </w:divBdr>
    </w:div>
    <w:div w:id="1136490301">
      <w:bodyDiv w:val="1"/>
      <w:marLeft w:val="0"/>
      <w:marRight w:val="0"/>
      <w:marTop w:val="0"/>
      <w:marBottom w:val="0"/>
      <w:divBdr>
        <w:top w:val="none" w:sz="0" w:space="0" w:color="auto"/>
        <w:left w:val="none" w:sz="0" w:space="0" w:color="auto"/>
        <w:bottom w:val="none" w:sz="0" w:space="0" w:color="auto"/>
        <w:right w:val="none" w:sz="0" w:space="0" w:color="auto"/>
      </w:divBdr>
    </w:div>
    <w:div w:id="1138492175">
      <w:bodyDiv w:val="1"/>
      <w:marLeft w:val="0"/>
      <w:marRight w:val="0"/>
      <w:marTop w:val="0"/>
      <w:marBottom w:val="0"/>
      <w:divBdr>
        <w:top w:val="none" w:sz="0" w:space="0" w:color="auto"/>
        <w:left w:val="none" w:sz="0" w:space="0" w:color="auto"/>
        <w:bottom w:val="none" w:sz="0" w:space="0" w:color="auto"/>
        <w:right w:val="none" w:sz="0" w:space="0" w:color="auto"/>
      </w:divBdr>
    </w:div>
    <w:div w:id="1139035606">
      <w:bodyDiv w:val="1"/>
      <w:marLeft w:val="0"/>
      <w:marRight w:val="0"/>
      <w:marTop w:val="0"/>
      <w:marBottom w:val="0"/>
      <w:divBdr>
        <w:top w:val="none" w:sz="0" w:space="0" w:color="auto"/>
        <w:left w:val="none" w:sz="0" w:space="0" w:color="auto"/>
        <w:bottom w:val="none" w:sz="0" w:space="0" w:color="auto"/>
        <w:right w:val="none" w:sz="0" w:space="0" w:color="auto"/>
      </w:divBdr>
    </w:div>
    <w:div w:id="1144808822">
      <w:bodyDiv w:val="1"/>
      <w:marLeft w:val="0"/>
      <w:marRight w:val="0"/>
      <w:marTop w:val="0"/>
      <w:marBottom w:val="0"/>
      <w:divBdr>
        <w:top w:val="none" w:sz="0" w:space="0" w:color="auto"/>
        <w:left w:val="none" w:sz="0" w:space="0" w:color="auto"/>
        <w:bottom w:val="none" w:sz="0" w:space="0" w:color="auto"/>
        <w:right w:val="none" w:sz="0" w:space="0" w:color="auto"/>
      </w:divBdr>
    </w:div>
    <w:div w:id="1146823856">
      <w:bodyDiv w:val="1"/>
      <w:marLeft w:val="0"/>
      <w:marRight w:val="0"/>
      <w:marTop w:val="0"/>
      <w:marBottom w:val="0"/>
      <w:divBdr>
        <w:top w:val="none" w:sz="0" w:space="0" w:color="auto"/>
        <w:left w:val="none" w:sz="0" w:space="0" w:color="auto"/>
        <w:bottom w:val="none" w:sz="0" w:space="0" w:color="auto"/>
        <w:right w:val="none" w:sz="0" w:space="0" w:color="auto"/>
      </w:divBdr>
    </w:div>
    <w:div w:id="1148084588">
      <w:bodyDiv w:val="1"/>
      <w:marLeft w:val="0"/>
      <w:marRight w:val="0"/>
      <w:marTop w:val="0"/>
      <w:marBottom w:val="0"/>
      <w:divBdr>
        <w:top w:val="none" w:sz="0" w:space="0" w:color="auto"/>
        <w:left w:val="none" w:sz="0" w:space="0" w:color="auto"/>
        <w:bottom w:val="none" w:sz="0" w:space="0" w:color="auto"/>
        <w:right w:val="none" w:sz="0" w:space="0" w:color="auto"/>
      </w:divBdr>
    </w:div>
    <w:div w:id="1151751199">
      <w:bodyDiv w:val="1"/>
      <w:marLeft w:val="0"/>
      <w:marRight w:val="0"/>
      <w:marTop w:val="0"/>
      <w:marBottom w:val="0"/>
      <w:divBdr>
        <w:top w:val="none" w:sz="0" w:space="0" w:color="auto"/>
        <w:left w:val="none" w:sz="0" w:space="0" w:color="auto"/>
        <w:bottom w:val="none" w:sz="0" w:space="0" w:color="auto"/>
        <w:right w:val="none" w:sz="0" w:space="0" w:color="auto"/>
      </w:divBdr>
    </w:div>
    <w:div w:id="1153330683">
      <w:bodyDiv w:val="1"/>
      <w:marLeft w:val="0"/>
      <w:marRight w:val="0"/>
      <w:marTop w:val="0"/>
      <w:marBottom w:val="0"/>
      <w:divBdr>
        <w:top w:val="none" w:sz="0" w:space="0" w:color="auto"/>
        <w:left w:val="none" w:sz="0" w:space="0" w:color="auto"/>
        <w:bottom w:val="none" w:sz="0" w:space="0" w:color="auto"/>
        <w:right w:val="none" w:sz="0" w:space="0" w:color="auto"/>
      </w:divBdr>
    </w:div>
    <w:div w:id="1157847345">
      <w:bodyDiv w:val="1"/>
      <w:marLeft w:val="0"/>
      <w:marRight w:val="0"/>
      <w:marTop w:val="0"/>
      <w:marBottom w:val="0"/>
      <w:divBdr>
        <w:top w:val="none" w:sz="0" w:space="0" w:color="auto"/>
        <w:left w:val="none" w:sz="0" w:space="0" w:color="auto"/>
        <w:bottom w:val="none" w:sz="0" w:space="0" w:color="auto"/>
        <w:right w:val="none" w:sz="0" w:space="0" w:color="auto"/>
      </w:divBdr>
    </w:div>
    <w:div w:id="1159075152">
      <w:bodyDiv w:val="1"/>
      <w:marLeft w:val="0"/>
      <w:marRight w:val="0"/>
      <w:marTop w:val="0"/>
      <w:marBottom w:val="0"/>
      <w:divBdr>
        <w:top w:val="none" w:sz="0" w:space="0" w:color="auto"/>
        <w:left w:val="none" w:sz="0" w:space="0" w:color="auto"/>
        <w:bottom w:val="none" w:sz="0" w:space="0" w:color="auto"/>
        <w:right w:val="none" w:sz="0" w:space="0" w:color="auto"/>
      </w:divBdr>
    </w:div>
    <w:div w:id="1161315873">
      <w:bodyDiv w:val="1"/>
      <w:marLeft w:val="0"/>
      <w:marRight w:val="0"/>
      <w:marTop w:val="0"/>
      <w:marBottom w:val="0"/>
      <w:divBdr>
        <w:top w:val="none" w:sz="0" w:space="0" w:color="auto"/>
        <w:left w:val="none" w:sz="0" w:space="0" w:color="auto"/>
        <w:bottom w:val="none" w:sz="0" w:space="0" w:color="auto"/>
        <w:right w:val="none" w:sz="0" w:space="0" w:color="auto"/>
      </w:divBdr>
    </w:div>
    <w:div w:id="1163200497">
      <w:bodyDiv w:val="1"/>
      <w:marLeft w:val="0"/>
      <w:marRight w:val="0"/>
      <w:marTop w:val="0"/>
      <w:marBottom w:val="0"/>
      <w:divBdr>
        <w:top w:val="none" w:sz="0" w:space="0" w:color="auto"/>
        <w:left w:val="none" w:sz="0" w:space="0" w:color="auto"/>
        <w:bottom w:val="none" w:sz="0" w:space="0" w:color="auto"/>
        <w:right w:val="none" w:sz="0" w:space="0" w:color="auto"/>
      </w:divBdr>
    </w:div>
    <w:div w:id="1164082546">
      <w:bodyDiv w:val="1"/>
      <w:marLeft w:val="0"/>
      <w:marRight w:val="0"/>
      <w:marTop w:val="0"/>
      <w:marBottom w:val="0"/>
      <w:divBdr>
        <w:top w:val="none" w:sz="0" w:space="0" w:color="auto"/>
        <w:left w:val="none" w:sz="0" w:space="0" w:color="auto"/>
        <w:bottom w:val="none" w:sz="0" w:space="0" w:color="auto"/>
        <w:right w:val="none" w:sz="0" w:space="0" w:color="auto"/>
      </w:divBdr>
    </w:div>
    <w:div w:id="1164903058">
      <w:bodyDiv w:val="1"/>
      <w:marLeft w:val="0"/>
      <w:marRight w:val="0"/>
      <w:marTop w:val="0"/>
      <w:marBottom w:val="0"/>
      <w:divBdr>
        <w:top w:val="none" w:sz="0" w:space="0" w:color="auto"/>
        <w:left w:val="none" w:sz="0" w:space="0" w:color="auto"/>
        <w:bottom w:val="none" w:sz="0" w:space="0" w:color="auto"/>
        <w:right w:val="none" w:sz="0" w:space="0" w:color="auto"/>
      </w:divBdr>
    </w:div>
    <w:div w:id="1165318579">
      <w:bodyDiv w:val="1"/>
      <w:marLeft w:val="0"/>
      <w:marRight w:val="0"/>
      <w:marTop w:val="0"/>
      <w:marBottom w:val="0"/>
      <w:divBdr>
        <w:top w:val="none" w:sz="0" w:space="0" w:color="auto"/>
        <w:left w:val="none" w:sz="0" w:space="0" w:color="auto"/>
        <w:bottom w:val="none" w:sz="0" w:space="0" w:color="auto"/>
        <w:right w:val="none" w:sz="0" w:space="0" w:color="auto"/>
      </w:divBdr>
    </w:div>
    <w:div w:id="1173374348">
      <w:bodyDiv w:val="1"/>
      <w:marLeft w:val="0"/>
      <w:marRight w:val="0"/>
      <w:marTop w:val="0"/>
      <w:marBottom w:val="0"/>
      <w:divBdr>
        <w:top w:val="none" w:sz="0" w:space="0" w:color="auto"/>
        <w:left w:val="none" w:sz="0" w:space="0" w:color="auto"/>
        <w:bottom w:val="none" w:sz="0" w:space="0" w:color="auto"/>
        <w:right w:val="none" w:sz="0" w:space="0" w:color="auto"/>
      </w:divBdr>
    </w:div>
    <w:div w:id="1176919539">
      <w:bodyDiv w:val="1"/>
      <w:marLeft w:val="0"/>
      <w:marRight w:val="0"/>
      <w:marTop w:val="0"/>
      <w:marBottom w:val="0"/>
      <w:divBdr>
        <w:top w:val="none" w:sz="0" w:space="0" w:color="auto"/>
        <w:left w:val="none" w:sz="0" w:space="0" w:color="auto"/>
        <w:bottom w:val="none" w:sz="0" w:space="0" w:color="auto"/>
        <w:right w:val="none" w:sz="0" w:space="0" w:color="auto"/>
      </w:divBdr>
      <w:divsChild>
        <w:div w:id="912659232">
          <w:marLeft w:val="0"/>
          <w:marRight w:val="0"/>
          <w:marTop w:val="0"/>
          <w:marBottom w:val="0"/>
          <w:divBdr>
            <w:top w:val="none" w:sz="0" w:space="0" w:color="auto"/>
            <w:left w:val="none" w:sz="0" w:space="0" w:color="auto"/>
            <w:bottom w:val="none" w:sz="0" w:space="0" w:color="auto"/>
            <w:right w:val="none" w:sz="0" w:space="0" w:color="auto"/>
          </w:divBdr>
          <w:divsChild>
            <w:div w:id="115102690">
              <w:marLeft w:val="0"/>
              <w:marRight w:val="0"/>
              <w:marTop w:val="0"/>
              <w:marBottom w:val="0"/>
              <w:divBdr>
                <w:top w:val="none" w:sz="0" w:space="0" w:color="auto"/>
                <w:left w:val="none" w:sz="0" w:space="0" w:color="auto"/>
                <w:bottom w:val="none" w:sz="0" w:space="0" w:color="auto"/>
                <w:right w:val="none" w:sz="0" w:space="0" w:color="auto"/>
              </w:divBdr>
              <w:divsChild>
                <w:div w:id="5811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2846">
          <w:marLeft w:val="0"/>
          <w:marRight w:val="0"/>
          <w:marTop w:val="0"/>
          <w:marBottom w:val="0"/>
          <w:divBdr>
            <w:top w:val="none" w:sz="0" w:space="0" w:color="auto"/>
            <w:left w:val="none" w:sz="0" w:space="0" w:color="auto"/>
            <w:bottom w:val="none" w:sz="0" w:space="0" w:color="auto"/>
            <w:right w:val="none" w:sz="0" w:space="0" w:color="auto"/>
          </w:divBdr>
          <w:divsChild>
            <w:div w:id="2106219269">
              <w:marLeft w:val="0"/>
              <w:marRight w:val="0"/>
              <w:marTop w:val="0"/>
              <w:marBottom w:val="0"/>
              <w:divBdr>
                <w:top w:val="none" w:sz="0" w:space="0" w:color="auto"/>
                <w:left w:val="none" w:sz="0" w:space="0" w:color="auto"/>
                <w:bottom w:val="none" w:sz="0" w:space="0" w:color="auto"/>
                <w:right w:val="none" w:sz="0" w:space="0" w:color="auto"/>
              </w:divBdr>
              <w:divsChild>
                <w:div w:id="753940891">
                  <w:marLeft w:val="0"/>
                  <w:marRight w:val="0"/>
                  <w:marTop w:val="0"/>
                  <w:marBottom w:val="0"/>
                  <w:divBdr>
                    <w:top w:val="none" w:sz="0" w:space="0" w:color="auto"/>
                    <w:left w:val="none" w:sz="0" w:space="0" w:color="auto"/>
                    <w:bottom w:val="none" w:sz="0" w:space="0" w:color="auto"/>
                    <w:right w:val="none" w:sz="0" w:space="0" w:color="auto"/>
                  </w:divBdr>
                  <w:divsChild>
                    <w:div w:id="197205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19792">
      <w:bodyDiv w:val="1"/>
      <w:marLeft w:val="0"/>
      <w:marRight w:val="0"/>
      <w:marTop w:val="0"/>
      <w:marBottom w:val="0"/>
      <w:divBdr>
        <w:top w:val="none" w:sz="0" w:space="0" w:color="auto"/>
        <w:left w:val="none" w:sz="0" w:space="0" w:color="auto"/>
        <w:bottom w:val="none" w:sz="0" w:space="0" w:color="auto"/>
        <w:right w:val="none" w:sz="0" w:space="0" w:color="auto"/>
      </w:divBdr>
      <w:divsChild>
        <w:div w:id="422921039">
          <w:marLeft w:val="0"/>
          <w:marRight w:val="0"/>
          <w:marTop w:val="0"/>
          <w:marBottom w:val="0"/>
          <w:divBdr>
            <w:top w:val="none" w:sz="0" w:space="0" w:color="auto"/>
            <w:left w:val="none" w:sz="0" w:space="0" w:color="auto"/>
            <w:bottom w:val="none" w:sz="0" w:space="0" w:color="auto"/>
            <w:right w:val="none" w:sz="0" w:space="0" w:color="auto"/>
          </w:divBdr>
          <w:divsChild>
            <w:div w:id="1827895809">
              <w:marLeft w:val="0"/>
              <w:marRight w:val="0"/>
              <w:marTop w:val="0"/>
              <w:marBottom w:val="0"/>
              <w:divBdr>
                <w:top w:val="none" w:sz="0" w:space="0" w:color="auto"/>
                <w:left w:val="none" w:sz="0" w:space="0" w:color="auto"/>
                <w:bottom w:val="none" w:sz="0" w:space="0" w:color="auto"/>
                <w:right w:val="none" w:sz="0" w:space="0" w:color="auto"/>
              </w:divBdr>
              <w:divsChild>
                <w:div w:id="856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65876">
          <w:marLeft w:val="0"/>
          <w:marRight w:val="0"/>
          <w:marTop w:val="0"/>
          <w:marBottom w:val="0"/>
          <w:divBdr>
            <w:top w:val="none" w:sz="0" w:space="0" w:color="auto"/>
            <w:left w:val="none" w:sz="0" w:space="0" w:color="auto"/>
            <w:bottom w:val="none" w:sz="0" w:space="0" w:color="auto"/>
            <w:right w:val="none" w:sz="0" w:space="0" w:color="auto"/>
          </w:divBdr>
          <w:divsChild>
            <w:div w:id="351104004">
              <w:marLeft w:val="0"/>
              <w:marRight w:val="0"/>
              <w:marTop w:val="0"/>
              <w:marBottom w:val="0"/>
              <w:divBdr>
                <w:top w:val="none" w:sz="0" w:space="0" w:color="auto"/>
                <w:left w:val="none" w:sz="0" w:space="0" w:color="auto"/>
                <w:bottom w:val="none" w:sz="0" w:space="0" w:color="auto"/>
                <w:right w:val="none" w:sz="0" w:space="0" w:color="auto"/>
              </w:divBdr>
              <w:divsChild>
                <w:div w:id="80951867">
                  <w:marLeft w:val="0"/>
                  <w:marRight w:val="0"/>
                  <w:marTop w:val="0"/>
                  <w:marBottom w:val="0"/>
                  <w:divBdr>
                    <w:top w:val="none" w:sz="0" w:space="0" w:color="auto"/>
                    <w:left w:val="none" w:sz="0" w:space="0" w:color="auto"/>
                    <w:bottom w:val="none" w:sz="0" w:space="0" w:color="auto"/>
                    <w:right w:val="none" w:sz="0" w:space="0" w:color="auto"/>
                  </w:divBdr>
                  <w:divsChild>
                    <w:div w:id="18464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28873">
      <w:bodyDiv w:val="1"/>
      <w:marLeft w:val="0"/>
      <w:marRight w:val="0"/>
      <w:marTop w:val="0"/>
      <w:marBottom w:val="0"/>
      <w:divBdr>
        <w:top w:val="none" w:sz="0" w:space="0" w:color="auto"/>
        <w:left w:val="none" w:sz="0" w:space="0" w:color="auto"/>
        <w:bottom w:val="none" w:sz="0" w:space="0" w:color="auto"/>
        <w:right w:val="none" w:sz="0" w:space="0" w:color="auto"/>
      </w:divBdr>
    </w:div>
    <w:div w:id="1177767417">
      <w:bodyDiv w:val="1"/>
      <w:marLeft w:val="0"/>
      <w:marRight w:val="0"/>
      <w:marTop w:val="0"/>
      <w:marBottom w:val="0"/>
      <w:divBdr>
        <w:top w:val="none" w:sz="0" w:space="0" w:color="auto"/>
        <w:left w:val="none" w:sz="0" w:space="0" w:color="auto"/>
        <w:bottom w:val="none" w:sz="0" w:space="0" w:color="auto"/>
        <w:right w:val="none" w:sz="0" w:space="0" w:color="auto"/>
      </w:divBdr>
    </w:div>
    <w:div w:id="1180200738">
      <w:bodyDiv w:val="1"/>
      <w:marLeft w:val="0"/>
      <w:marRight w:val="0"/>
      <w:marTop w:val="0"/>
      <w:marBottom w:val="0"/>
      <w:divBdr>
        <w:top w:val="none" w:sz="0" w:space="0" w:color="auto"/>
        <w:left w:val="none" w:sz="0" w:space="0" w:color="auto"/>
        <w:bottom w:val="none" w:sz="0" w:space="0" w:color="auto"/>
        <w:right w:val="none" w:sz="0" w:space="0" w:color="auto"/>
      </w:divBdr>
    </w:div>
    <w:div w:id="1180661640">
      <w:bodyDiv w:val="1"/>
      <w:marLeft w:val="0"/>
      <w:marRight w:val="0"/>
      <w:marTop w:val="0"/>
      <w:marBottom w:val="0"/>
      <w:divBdr>
        <w:top w:val="none" w:sz="0" w:space="0" w:color="auto"/>
        <w:left w:val="none" w:sz="0" w:space="0" w:color="auto"/>
        <w:bottom w:val="none" w:sz="0" w:space="0" w:color="auto"/>
        <w:right w:val="none" w:sz="0" w:space="0" w:color="auto"/>
      </w:divBdr>
    </w:div>
    <w:div w:id="1181354023">
      <w:bodyDiv w:val="1"/>
      <w:marLeft w:val="0"/>
      <w:marRight w:val="0"/>
      <w:marTop w:val="0"/>
      <w:marBottom w:val="0"/>
      <w:divBdr>
        <w:top w:val="none" w:sz="0" w:space="0" w:color="auto"/>
        <w:left w:val="none" w:sz="0" w:space="0" w:color="auto"/>
        <w:bottom w:val="none" w:sz="0" w:space="0" w:color="auto"/>
        <w:right w:val="none" w:sz="0" w:space="0" w:color="auto"/>
      </w:divBdr>
    </w:div>
    <w:div w:id="1181354828">
      <w:bodyDiv w:val="1"/>
      <w:marLeft w:val="0"/>
      <w:marRight w:val="0"/>
      <w:marTop w:val="0"/>
      <w:marBottom w:val="0"/>
      <w:divBdr>
        <w:top w:val="none" w:sz="0" w:space="0" w:color="auto"/>
        <w:left w:val="none" w:sz="0" w:space="0" w:color="auto"/>
        <w:bottom w:val="none" w:sz="0" w:space="0" w:color="auto"/>
        <w:right w:val="none" w:sz="0" w:space="0" w:color="auto"/>
      </w:divBdr>
    </w:div>
    <w:div w:id="1181814693">
      <w:bodyDiv w:val="1"/>
      <w:marLeft w:val="0"/>
      <w:marRight w:val="0"/>
      <w:marTop w:val="0"/>
      <w:marBottom w:val="0"/>
      <w:divBdr>
        <w:top w:val="none" w:sz="0" w:space="0" w:color="auto"/>
        <w:left w:val="none" w:sz="0" w:space="0" w:color="auto"/>
        <w:bottom w:val="none" w:sz="0" w:space="0" w:color="auto"/>
        <w:right w:val="none" w:sz="0" w:space="0" w:color="auto"/>
      </w:divBdr>
    </w:div>
    <w:div w:id="1181897920">
      <w:bodyDiv w:val="1"/>
      <w:marLeft w:val="0"/>
      <w:marRight w:val="0"/>
      <w:marTop w:val="0"/>
      <w:marBottom w:val="0"/>
      <w:divBdr>
        <w:top w:val="none" w:sz="0" w:space="0" w:color="auto"/>
        <w:left w:val="none" w:sz="0" w:space="0" w:color="auto"/>
        <w:bottom w:val="none" w:sz="0" w:space="0" w:color="auto"/>
        <w:right w:val="none" w:sz="0" w:space="0" w:color="auto"/>
      </w:divBdr>
    </w:div>
    <w:div w:id="1184591966">
      <w:bodyDiv w:val="1"/>
      <w:marLeft w:val="0"/>
      <w:marRight w:val="0"/>
      <w:marTop w:val="0"/>
      <w:marBottom w:val="0"/>
      <w:divBdr>
        <w:top w:val="none" w:sz="0" w:space="0" w:color="auto"/>
        <w:left w:val="none" w:sz="0" w:space="0" w:color="auto"/>
        <w:bottom w:val="none" w:sz="0" w:space="0" w:color="auto"/>
        <w:right w:val="none" w:sz="0" w:space="0" w:color="auto"/>
      </w:divBdr>
    </w:div>
    <w:div w:id="1187209529">
      <w:bodyDiv w:val="1"/>
      <w:marLeft w:val="0"/>
      <w:marRight w:val="0"/>
      <w:marTop w:val="0"/>
      <w:marBottom w:val="0"/>
      <w:divBdr>
        <w:top w:val="none" w:sz="0" w:space="0" w:color="auto"/>
        <w:left w:val="none" w:sz="0" w:space="0" w:color="auto"/>
        <w:bottom w:val="none" w:sz="0" w:space="0" w:color="auto"/>
        <w:right w:val="none" w:sz="0" w:space="0" w:color="auto"/>
      </w:divBdr>
    </w:div>
    <w:div w:id="1190070129">
      <w:bodyDiv w:val="1"/>
      <w:marLeft w:val="0"/>
      <w:marRight w:val="0"/>
      <w:marTop w:val="0"/>
      <w:marBottom w:val="0"/>
      <w:divBdr>
        <w:top w:val="none" w:sz="0" w:space="0" w:color="auto"/>
        <w:left w:val="none" w:sz="0" w:space="0" w:color="auto"/>
        <w:bottom w:val="none" w:sz="0" w:space="0" w:color="auto"/>
        <w:right w:val="none" w:sz="0" w:space="0" w:color="auto"/>
      </w:divBdr>
    </w:div>
    <w:div w:id="1192651321">
      <w:bodyDiv w:val="1"/>
      <w:marLeft w:val="0"/>
      <w:marRight w:val="0"/>
      <w:marTop w:val="0"/>
      <w:marBottom w:val="0"/>
      <w:divBdr>
        <w:top w:val="none" w:sz="0" w:space="0" w:color="auto"/>
        <w:left w:val="none" w:sz="0" w:space="0" w:color="auto"/>
        <w:bottom w:val="none" w:sz="0" w:space="0" w:color="auto"/>
        <w:right w:val="none" w:sz="0" w:space="0" w:color="auto"/>
      </w:divBdr>
    </w:div>
    <w:div w:id="1193569212">
      <w:bodyDiv w:val="1"/>
      <w:marLeft w:val="0"/>
      <w:marRight w:val="0"/>
      <w:marTop w:val="0"/>
      <w:marBottom w:val="0"/>
      <w:divBdr>
        <w:top w:val="none" w:sz="0" w:space="0" w:color="auto"/>
        <w:left w:val="none" w:sz="0" w:space="0" w:color="auto"/>
        <w:bottom w:val="none" w:sz="0" w:space="0" w:color="auto"/>
        <w:right w:val="none" w:sz="0" w:space="0" w:color="auto"/>
      </w:divBdr>
    </w:div>
    <w:div w:id="1197045006">
      <w:bodyDiv w:val="1"/>
      <w:marLeft w:val="0"/>
      <w:marRight w:val="0"/>
      <w:marTop w:val="0"/>
      <w:marBottom w:val="0"/>
      <w:divBdr>
        <w:top w:val="none" w:sz="0" w:space="0" w:color="auto"/>
        <w:left w:val="none" w:sz="0" w:space="0" w:color="auto"/>
        <w:bottom w:val="none" w:sz="0" w:space="0" w:color="auto"/>
        <w:right w:val="none" w:sz="0" w:space="0" w:color="auto"/>
      </w:divBdr>
    </w:div>
    <w:div w:id="1198007730">
      <w:bodyDiv w:val="1"/>
      <w:marLeft w:val="0"/>
      <w:marRight w:val="0"/>
      <w:marTop w:val="0"/>
      <w:marBottom w:val="0"/>
      <w:divBdr>
        <w:top w:val="none" w:sz="0" w:space="0" w:color="auto"/>
        <w:left w:val="none" w:sz="0" w:space="0" w:color="auto"/>
        <w:bottom w:val="none" w:sz="0" w:space="0" w:color="auto"/>
        <w:right w:val="none" w:sz="0" w:space="0" w:color="auto"/>
      </w:divBdr>
    </w:div>
    <w:div w:id="1201750262">
      <w:bodyDiv w:val="1"/>
      <w:marLeft w:val="0"/>
      <w:marRight w:val="0"/>
      <w:marTop w:val="0"/>
      <w:marBottom w:val="0"/>
      <w:divBdr>
        <w:top w:val="none" w:sz="0" w:space="0" w:color="auto"/>
        <w:left w:val="none" w:sz="0" w:space="0" w:color="auto"/>
        <w:bottom w:val="none" w:sz="0" w:space="0" w:color="auto"/>
        <w:right w:val="none" w:sz="0" w:space="0" w:color="auto"/>
      </w:divBdr>
    </w:div>
    <w:div w:id="1202861830">
      <w:bodyDiv w:val="1"/>
      <w:marLeft w:val="0"/>
      <w:marRight w:val="0"/>
      <w:marTop w:val="0"/>
      <w:marBottom w:val="0"/>
      <w:divBdr>
        <w:top w:val="none" w:sz="0" w:space="0" w:color="auto"/>
        <w:left w:val="none" w:sz="0" w:space="0" w:color="auto"/>
        <w:bottom w:val="none" w:sz="0" w:space="0" w:color="auto"/>
        <w:right w:val="none" w:sz="0" w:space="0" w:color="auto"/>
      </w:divBdr>
    </w:div>
    <w:div w:id="1205211731">
      <w:bodyDiv w:val="1"/>
      <w:marLeft w:val="0"/>
      <w:marRight w:val="0"/>
      <w:marTop w:val="0"/>
      <w:marBottom w:val="0"/>
      <w:divBdr>
        <w:top w:val="none" w:sz="0" w:space="0" w:color="auto"/>
        <w:left w:val="none" w:sz="0" w:space="0" w:color="auto"/>
        <w:bottom w:val="none" w:sz="0" w:space="0" w:color="auto"/>
        <w:right w:val="none" w:sz="0" w:space="0" w:color="auto"/>
      </w:divBdr>
    </w:div>
    <w:div w:id="1207990003">
      <w:bodyDiv w:val="1"/>
      <w:marLeft w:val="0"/>
      <w:marRight w:val="0"/>
      <w:marTop w:val="0"/>
      <w:marBottom w:val="0"/>
      <w:divBdr>
        <w:top w:val="none" w:sz="0" w:space="0" w:color="auto"/>
        <w:left w:val="none" w:sz="0" w:space="0" w:color="auto"/>
        <w:bottom w:val="none" w:sz="0" w:space="0" w:color="auto"/>
        <w:right w:val="none" w:sz="0" w:space="0" w:color="auto"/>
      </w:divBdr>
      <w:divsChild>
        <w:div w:id="2030984157">
          <w:marLeft w:val="0"/>
          <w:marRight w:val="0"/>
          <w:marTop w:val="0"/>
          <w:marBottom w:val="0"/>
          <w:divBdr>
            <w:top w:val="none" w:sz="0" w:space="0" w:color="auto"/>
            <w:left w:val="none" w:sz="0" w:space="0" w:color="auto"/>
            <w:bottom w:val="none" w:sz="0" w:space="0" w:color="auto"/>
            <w:right w:val="none" w:sz="0" w:space="0" w:color="auto"/>
          </w:divBdr>
          <w:divsChild>
            <w:div w:id="1292441074">
              <w:marLeft w:val="0"/>
              <w:marRight w:val="0"/>
              <w:marTop w:val="0"/>
              <w:marBottom w:val="0"/>
              <w:divBdr>
                <w:top w:val="none" w:sz="0" w:space="0" w:color="auto"/>
                <w:left w:val="none" w:sz="0" w:space="0" w:color="auto"/>
                <w:bottom w:val="none" w:sz="0" w:space="0" w:color="auto"/>
                <w:right w:val="none" w:sz="0" w:space="0" w:color="auto"/>
              </w:divBdr>
              <w:divsChild>
                <w:div w:id="1013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04685">
      <w:bodyDiv w:val="1"/>
      <w:marLeft w:val="0"/>
      <w:marRight w:val="0"/>
      <w:marTop w:val="0"/>
      <w:marBottom w:val="0"/>
      <w:divBdr>
        <w:top w:val="none" w:sz="0" w:space="0" w:color="auto"/>
        <w:left w:val="none" w:sz="0" w:space="0" w:color="auto"/>
        <w:bottom w:val="none" w:sz="0" w:space="0" w:color="auto"/>
        <w:right w:val="none" w:sz="0" w:space="0" w:color="auto"/>
      </w:divBdr>
    </w:div>
    <w:div w:id="1209948188">
      <w:bodyDiv w:val="1"/>
      <w:marLeft w:val="0"/>
      <w:marRight w:val="0"/>
      <w:marTop w:val="0"/>
      <w:marBottom w:val="0"/>
      <w:divBdr>
        <w:top w:val="none" w:sz="0" w:space="0" w:color="auto"/>
        <w:left w:val="none" w:sz="0" w:space="0" w:color="auto"/>
        <w:bottom w:val="none" w:sz="0" w:space="0" w:color="auto"/>
        <w:right w:val="none" w:sz="0" w:space="0" w:color="auto"/>
      </w:divBdr>
    </w:div>
    <w:div w:id="1212107681">
      <w:bodyDiv w:val="1"/>
      <w:marLeft w:val="0"/>
      <w:marRight w:val="0"/>
      <w:marTop w:val="0"/>
      <w:marBottom w:val="0"/>
      <w:divBdr>
        <w:top w:val="none" w:sz="0" w:space="0" w:color="auto"/>
        <w:left w:val="none" w:sz="0" w:space="0" w:color="auto"/>
        <w:bottom w:val="none" w:sz="0" w:space="0" w:color="auto"/>
        <w:right w:val="none" w:sz="0" w:space="0" w:color="auto"/>
      </w:divBdr>
    </w:div>
    <w:div w:id="1213543749">
      <w:bodyDiv w:val="1"/>
      <w:marLeft w:val="0"/>
      <w:marRight w:val="0"/>
      <w:marTop w:val="0"/>
      <w:marBottom w:val="0"/>
      <w:divBdr>
        <w:top w:val="none" w:sz="0" w:space="0" w:color="auto"/>
        <w:left w:val="none" w:sz="0" w:space="0" w:color="auto"/>
        <w:bottom w:val="none" w:sz="0" w:space="0" w:color="auto"/>
        <w:right w:val="none" w:sz="0" w:space="0" w:color="auto"/>
      </w:divBdr>
    </w:div>
    <w:div w:id="1215579172">
      <w:bodyDiv w:val="1"/>
      <w:marLeft w:val="0"/>
      <w:marRight w:val="0"/>
      <w:marTop w:val="0"/>
      <w:marBottom w:val="0"/>
      <w:divBdr>
        <w:top w:val="none" w:sz="0" w:space="0" w:color="auto"/>
        <w:left w:val="none" w:sz="0" w:space="0" w:color="auto"/>
        <w:bottom w:val="none" w:sz="0" w:space="0" w:color="auto"/>
        <w:right w:val="none" w:sz="0" w:space="0" w:color="auto"/>
      </w:divBdr>
    </w:div>
    <w:div w:id="1216044953">
      <w:bodyDiv w:val="1"/>
      <w:marLeft w:val="0"/>
      <w:marRight w:val="0"/>
      <w:marTop w:val="0"/>
      <w:marBottom w:val="0"/>
      <w:divBdr>
        <w:top w:val="none" w:sz="0" w:space="0" w:color="auto"/>
        <w:left w:val="none" w:sz="0" w:space="0" w:color="auto"/>
        <w:bottom w:val="none" w:sz="0" w:space="0" w:color="auto"/>
        <w:right w:val="none" w:sz="0" w:space="0" w:color="auto"/>
      </w:divBdr>
    </w:div>
    <w:div w:id="1218010098">
      <w:bodyDiv w:val="1"/>
      <w:marLeft w:val="0"/>
      <w:marRight w:val="0"/>
      <w:marTop w:val="0"/>
      <w:marBottom w:val="0"/>
      <w:divBdr>
        <w:top w:val="none" w:sz="0" w:space="0" w:color="auto"/>
        <w:left w:val="none" w:sz="0" w:space="0" w:color="auto"/>
        <w:bottom w:val="none" w:sz="0" w:space="0" w:color="auto"/>
        <w:right w:val="none" w:sz="0" w:space="0" w:color="auto"/>
      </w:divBdr>
    </w:div>
    <w:div w:id="1218512526">
      <w:bodyDiv w:val="1"/>
      <w:marLeft w:val="0"/>
      <w:marRight w:val="0"/>
      <w:marTop w:val="0"/>
      <w:marBottom w:val="0"/>
      <w:divBdr>
        <w:top w:val="none" w:sz="0" w:space="0" w:color="auto"/>
        <w:left w:val="none" w:sz="0" w:space="0" w:color="auto"/>
        <w:bottom w:val="none" w:sz="0" w:space="0" w:color="auto"/>
        <w:right w:val="none" w:sz="0" w:space="0" w:color="auto"/>
      </w:divBdr>
    </w:div>
    <w:div w:id="1218708809">
      <w:bodyDiv w:val="1"/>
      <w:marLeft w:val="0"/>
      <w:marRight w:val="0"/>
      <w:marTop w:val="0"/>
      <w:marBottom w:val="0"/>
      <w:divBdr>
        <w:top w:val="none" w:sz="0" w:space="0" w:color="auto"/>
        <w:left w:val="none" w:sz="0" w:space="0" w:color="auto"/>
        <w:bottom w:val="none" w:sz="0" w:space="0" w:color="auto"/>
        <w:right w:val="none" w:sz="0" w:space="0" w:color="auto"/>
      </w:divBdr>
    </w:div>
    <w:div w:id="1219052104">
      <w:bodyDiv w:val="1"/>
      <w:marLeft w:val="0"/>
      <w:marRight w:val="0"/>
      <w:marTop w:val="0"/>
      <w:marBottom w:val="0"/>
      <w:divBdr>
        <w:top w:val="none" w:sz="0" w:space="0" w:color="auto"/>
        <w:left w:val="none" w:sz="0" w:space="0" w:color="auto"/>
        <w:bottom w:val="none" w:sz="0" w:space="0" w:color="auto"/>
        <w:right w:val="none" w:sz="0" w:space="0" w:color="auto"/>
      </w:divBdr>
    </w:div>
    <w:div w:id="1220093822">
      <w:bodyDiv w:val="1"/>
      <w:marLeft w:val="0"/>
      <w:marRight w:val="0"/>
      <w:marTop w:val="0"/>
      <w:marBottom w:val="0"/>
      <w:divBdr>
        <w:top w:val="none" w:sz="0" w:space="0" w:color="auto"/>
        <w:left w:val="none" w:sz="0" w:space="0" w:color="auto"/>
        <w:bottom w:val="none" w:sz="0" w:space="0" w:color="auto"/>
        <w:right w:val="none" w:sz="0" w:space="0" w:color="auto"/>
      </w:divBdr>
    </w:div>
    <w:div w:id="1220434356">
      <w:bodyDiv w:val="1"/>
      <w:marLeft w:val="0"/>
      <w:marRight w:val="0"/>
      <w:marTop w:val="0"/>
      <w:marBottom w:val="0"/>
      <w:divBdr>
        <w:top w:val="none" w:sz="0" w:space="0" w:color="auto"/>
        <w:left w:val="none" w:sz="0" w:space="0" w:color="auto"/>
        <w:bottom w:val="none" w:sz="0" w:space="0" w:color="auto"/>
        <w:right w:val="none" w:sz="0" w:space="0" w:color="auto"/>
      </w:divBdr>
    </w:div>
    <w:div w:id="1222524967">
      <w:bodyDiv w:val="1"/>
      <w:marLeft w:val="0"/>
      <w:marRight w:val="0"/>
      <w:marTop w:val="0"/>
      <w:marBottom w:val="0"/>
      <w:divBdr>
        <w:top w:val="none" w:sz="0" w:space="0" w:color="auto"/>
        <w:left w:val="none" w:sz="0" w:space="0" w:color="auto"/>
        <w:bottom w:val="none" w:sz="0" w:space="0" w:color="auto"/>
        <w:right w:val="none" w:sz="0" w:space="0" w:color="auto"/>
      </w:divBdr>
    </w:div>
    <w:div w:id="1224680006">
      <w:bodyDiv w:val="1"/>
      <w:marLeft w:val="0"/>
      <w:marRight w:val="0"/>
      <w:marTop w:val="0"/>
      <w:marBottom w:val="0"/>
      <w:divBdr>
        <w:top w:val="none" w:sz="0" w:space="0" w:color="auto"/>
        <w:left w:val="none" w:sz="0" w:space="0" w:color="auto"/>
        <w:bottom w:val="none" w:sz="0" w:space="0" w:color="auto"/>
        <w:right w:val="none" w:sz="0" w:space="0" w:color="auto"/>
      </w:divBdr>
    </w:div>
    <w:div w:id="1226530944">
      <w:bodyDiv w:val="1"/>
      <w:marLeft w:val="0"/>
      <w:marRight w:val="0"/>
      <w:marTop w:val="0"/>
      <w:marBottom w:val="0"/>
      <w:divBdr>
        <w:top w:val="none" w:sz="0" w:space="0" w:color="auto"/>
        <w:left w:val="none" w:sz="0" w:space="0" w:color="auto"/>
        <w:bottom w:val="none" w:sz="0" w:space="0" w:color="auto"/>
        <w:right w:val="none" w:sz="0" w:space="0" w:color="auto"/>
      </w:divBdr>
    </w:div>
    <w:div w:id="1227759702">
      <w:bodyDiv w:val="1"/>
      <w:marLeft w:val="0"/>
      <w:marRight w:val="0"/>
      <w:marTop w:val="0"/>
      <w:marBottom w:val="0"/>
      <w:divBdr>
        <w:top w:val="none" w:sz="0" w:space="0" w:color="auto"/>
        <w:left w:val="none" w:sz="0" w:space="0" w:color="auto"/>
        <w:bottom w:val="none" w:sz="0" w:space="0" w:color="auto"/>
        <w:right w:val="none" w:sz="0" w:space="0" w:color="auto"/>
      </w:divBdr>
    </w:div>
    <w:div w:id="1229464121">
      <w:bodyDiv w:val="1"/>
      <w:marLeft w:val="0"/>
      <w:marRight w:val="0"/>
      <w:marTop w:val="0"/>
      <w:marBottom w:val="0"/>
      <w:divBdr>
        <w:top w:val="none" w:sz="0" w:space="0" w:color="auto"/>
        <w:left w:val="none" w:sz="0" w:space="0" w:color="auto"/>
        <w:bottom w:val="none" w:sz="0" w:space="0" w:color="auto"/>
        <w:right w:val="none" w:sz="0" w:space="0" w:color="auto"/>
      </w:divBdr>
    </w:div>
    <w:div w:id="1235626817">
      <w:bodyDiv w:val="1"/>
      <w:marLeft w:val="0"/>
      <w:marRight w:val="0"/>
      <w:marTop w:val="0"/>
      <w:marBottom w:val="0"/>
      <w:divBdr>
        <w:top w:val="none" w:sz="0" w:space="0" w:color="auto"/>
        <w:left w:val="none" w:sz="0" w:space="0" w:color="auto"/>
        <w:bottom w:val="none" w:sz="0" w:space="0" w:color="auto"/>
        <w:right w:val="none" w:sz="0" w:space="0" w:color="auto"/>
      </w:divBdr>
      <w:divsChild>
        <w:div w:id="508174727">
          <w:marLeft w:val="0"/>
          <w:marRight w:val="0"/>
          <w:marTop w:val="332"/>
          <w:marBottom w:val="332"/>
          <w:divBdr>
            <w:top w:val="single" w:sz="6" w:space="17" w:color="EAC3AF"/>
            <w:left w:val="single" w:sz="6" w:space="17" w:color="EAC3AF"/>
            <w:bottom w:val="single" w:sz="6" w:space="17" w:color="EAC3AF"/>
            <w:right w:val="single" w:sz="6" w:space="17" w:color="EAC3AF"/>
          </w:divBdr>
        </w:div>
      </w:divsChild>
    </w:div>
    <w:div w:id="1239440038">
      <w:bodyDiv w:val="1"/>
      <w:marLeft w:val="0"/>
      <w:marRight w:val="0"/>
      <w:marTop w:val="0"/>
      <w:marBottom w:val="0"/>
      <w:divBdr>
        <w:top w:val="none" w:sz="0" w:space="0" w:color="auto"/>
        <w:left w:val="none" w:sz="0" w:space="0" w:color="auto"/>
        <w:bottom w:val="none" w:sz="0" w:space="0" w:color="auto"/>
        <w:right w:val="none" w:sz="0" w:space="0" w:color="auto"/>
      </w:divBdr>
    </w:div>
    <w:div w:id="1240140638">
      <w:bodyDiv w:val="1"/>
      <w:marLeft w:val="0"/>
      <w:marRight w:val="0"/>
      <w:marTop w:val="0"/>
      <w:marBottom w:val="0"/>
      <w:divBdr>
        <w:top w:val="none" w:sz="0" w:space="0" w:color="auto"/>
        <w:left w:val="none" w:sz="0" w:space="0" w:color="auto"/>
        <w:bottom w:val="none" w:sz="0" w:space="0" w:color="auto"/>
        <w:right w:val="none" w:sz="0" w:space="0" w:color="auto"/>
      </w:divBdr>
    </w:div>
    <w:div w:id="1242445663">
      <w:bodyDiv w:val="1"/>
      <w:marLeft w:val="0"/>
      <w:marRight w:val="0"/>
      <w:marTop w:val="0"/>
      <w:marBottom w:val="0"/>
      <w:divBdr>
        <w:top w:val="none" w:sz="0" w:space="0" w:color="auto"/>
        <w:left w:val="none" w:sz="0" w:space="0" w:color="auto"/>
        <w:bottom w:val="none" w:sz="0" w:space="0" w:color="auto"/>
        <w:right w:val="none" w:sz="0" w:space="0" w:color="auto"/>
      </w:divBdr>
    </w:div>
    <w:div w:id="1244677328">
      <w:bodyDiv w:val="1"/>
      <w:marLeft w:val="0"/>
      <w:marRight w:val="0"/>
      <w:marTop w:val="0"/>
      <w:marBottom w:val="0"/>
      <w:divBdr>
        <w:top w:val="none" w:sz="0" w:space="0" w:color="auto"/>
        <w:left w:val="none" w:sz="0" w:space="0" w:color="auto"/>
        <w:bottom w:val="none" w:sz="0" w:space="0" w:color="auto"/>
        <w:right w:val="none" w:sz="0" w:space="0" w:color="auto"/>
      </w:divBdr>
    </w:div>
    <w:div w:id="1245645954">
      <w:bodyDiv w:val="1"/>
      <w:marLeft w:val="0"/>
      <w:marRight w:val="0"/>
      <w:marTop w:val="0"/>
      <w:marBottom w:val="0"/>
      <w:divBdr>
        <w:top w:val="none" w:sz="0" w:space="0" w:color="auto"/>
        <w:left w:val="none" w:sz="0" w:space="0" w:color="auto"/>
        <w:bottom w:val="none" w:sz="0" w:space="0" w:color="auto"/>
        <w:right w:val="none" w:sz="0" w:space="0" w:color="auto"/>
      </w:divBdr>
    </w:div>
    <w:div w:id="1246182450">
      <w:bodyDiv w:val="1"/>
      <w:marLeft w:val="0"/>
      <w:marRight w:val="0"/>
      <w:marTop w:val="0"/>
      <w:marBottom w:val="0"/>
      <w:divBdr>
        <w:top w:val="none" w:sz="0" w:space="0" w:color="auto"/>
        <w:left w:val="none" w:sz="0" w:space="0" w:color="auto"/>
        <w:bottom w:val="none" w:sz="0" w:space="0" w:color="auto"/>
        <w:right w:val="none" w:sz="0" w:space="0" w:color="auto"/>
      </w:divBdr>
    </w:div>
    <w:div w:id="1247181178">
      <w:bodyDiv w:val="1"/>
      <w:marLeft w:val="0"/>
      <w:marRight w:val="0"/>
      <w:marTop w:val="0"/>
      <w:marBottom w:val="0"/>
      <w:divBdr>
        <w:top w:val="none" w:sz="0" w:space="0" w:color="auto"/>
        <w:left w:val="none" w:sz="0" w:space="0" w:color="auto"/>
        <w:bottom w:val="none" w:sz="0" w:space="0" w:color="auto"/>
        <w:right w:val="none" w:sz="0" w:space="0" w:color="auto"/>
      </w:divBdr>
    </w:div>
    <w:div w:id="1250114496">
      <w:bodyDiv w:val="1"/>
      <w:marLeft w:val="0"/>
      <w:marRight w:val="0"/>
      <w:marTop w:val="0"/>
      <w:marBottom w:val="0"/>
      <w:divBdr>
        <w:top w:val="none" w:sz="0" w:space="0" w:color="auto"/>
        <w:left w:val="none" w:sz="0" w:space="0" w:color="auto"/>
        <w:bottom w:val="none" w:sz="0" w:space="0" w:color="auto"/>
        <w:right w:val="none" w:sz="0" w:space="0" w:color="auto"/>
      </w:divBdr>
    </w:div>
    <w:div w:id="1251310701">
      <w:bodyDiv w:val="1"/>
      <w:marLeft w:val="0"/>
      <w:marRight w:val="0"/>
      <w:marTop w:val="0"/>
      <w:marBottom w:val="0"/>
      <w:divBdr>
        <w:top w:val="none" w:sz="0" w:space="0" w:color="auto"/>
        <w:left w:val="none" w:sz="0" w:space="0" w:color="auto"/>
        <w:bottom w:val="none" w:sz="0" w:space="0" w:color="auto"/>
        <w:right w:val="none" w:sz="0" w:space="0" w:color="auto"/>
      </w:divBdr>
    </w:div>
    <w:div w:id="1252540922">
      <w:bodyDiv w:val="1"/>
      <w:marLeft w:val="0"/>
      <w:marRight w:val="0"/>
      <w:marTop w:val="0"/>
      <w:marBottom w:val="0"/>
      <w:divBdr>
        <w:top w:val="none" w:sz="0" w:space="0" w:color="auto"/>
        <w:left w:val="none" w:sz="0" w:space="0" w:color="auto"/>
        <w:bottom w:val="none" w:sz="0" w:space="0" w:color="auto"/>
        <w:right w:val="none" w:sz="0" w:space="0" w:color="auto"/>
      </w:divBdr>
    </w:div>
    <w:div w:id="1252815610">
      <w:bodyDiv w:val="1"/>
      <w:marLeft w:val="0"/>
      <w:marRight w:val="0"/>
      <w:marTop w:val="0"/>
      <w:marBottom w:val="0"/>
      <w:divBdr>
        <w:top w:val="none" w:sz="0" w:space="0" w:color="auto"/>
        <w:left w:val="none" w:sz="0" w:space="0" w:color="auto"/>
        <w:bottom w:val="none" w:sz="0" w:space="0" w:color="auto"/>
        <w:right w:val="none" w:sz="0" w:space="0" w:color="auto"/>
      </w:divBdr>
    </w:div>
    <w:div w:id="1254120236">
      <w:bodyDiv w:val="1"/>
      <w:marLeft w:val="0"/>
      <w:marRight w:val="0"/>
      <w:marTop w:val="0"/>
      <w:marBottom w:val="0"/>
      <w:divBdr>
        <w:top w:val="none" w:sz="0" w:space="0" w:color="auto"/>
        <w:left w:val="none" w:sz="0" w:space="0" w:color="auto"/>
        <w:bottom w:val="none" w:sz="0" w:space="0" w:color="auto"/>
        <w:right w:val="none" w:sz="0" w:space="0" w:color="auto"/>
      </w:divBdr>
    </w:div>
    <w:div w:id="1254893626">
      <w:bodyDiv w:val="1"/>
      <w:marLeft w:val="0"/>
      <w:marRight w:val="0"/>
      <w:marTop w:val="0"/>
      <w:marBottom w:val="0"/>
      <w:divBdr>
        <w:top w:val="none" w:sz="0" w:space="0" w:color="auto"/>
        <w:left w:val="none" w:sz="0" w:space="0" w:color="auto"/>
        <w:bottom w:val="none" w:sz="0" w:space="0" w:color="auto"/>
        <w:right w:val="none" w:sz="0" w:space="0" w:color="auto"/>
      </w:divBdr>
    </w:div>
    <w:div w:id="1257519446">
      <w:bodyDiv w:val="1"/>
      <w:marLeft w:val="0"/>
      <w:marRight w:val="0"/>
      <w:marTop w:val="0"/>
      <w:marBottom w:val="0"/>
      <w:divBdr>
        <w:top w:val="none" w:sz="0" w:space="0" w:color="auto"/>
        <w:left w:val="none" w:sz="0" w:space="0" w:color="auto"/>
        <w:bottom w:val="none" w:sz="0" w:space="0" w:color="auto"/>
        <w:right w:val="none" w:sz="0" w:space="0" w:color="auto"/>
      </w:divBdr>
    </w:div>
    <w:div w:id="1264261437">
      <w:bodyDiv w:val="1"/>
      <w:marLeft w:val="0"/>
      <w:marRight w:val="0"/>
      <w:marTop w:val="0"/>
      <w:marBottom w:val="0"/>
      <w:divBdr>
        <w:top w:val="none" w:sz="0" w:space="0" w:color="auto"/>
        <w:left w:val="none" w:sz="0" w:space="0" w:color="auto"/>
        <w:bottom w:val="none" w:sz="0" w:space="0" w:color="auto"/>
        <w:right w:val="none" w:sz="0" w:space="0" w:color="auto"/>
      </w:divBdr>
    </w:div>
    <w:div w:id="1267691696">
      <w:bodyDiv w:val="1"/>
      <w:marLeft w:val="0"/>
      <w:marRight w:val="0"/>
      <w:marTop w:val="0"/>
      <w:marBottom w:val="0"/>
      <w:divBdr>
        <w:top w:val="none" w:sz="0" w:space="0" w:color="auto"/>
        <w:left w:val="none" w:sz="0" w:space="0" w:color="auto"/>
        <w:bottom w:val="none" w:sz="0" w:space="0" w:color="auto"/>
        <w:right w:val="none" w:sz="0" w:space="0" w:color="auto"/>
      </w:divBdr>
    </w:div>
    <w:div w:id="1272399433">
      <w:bodyDiv w:val="1"/>
      <w:marLeft w:val="0"/>
      <w:marRight w:val="0"/>
      <w:marTop w:val="0"/>
      <w:marBottom w:val="0"/>
      <w:divBdr>
        <w:top w:val="none" w:sz="0" w:space="0" w:color="auto"/>
        <w:left w:val="none" w:sz="0" w:space="0" w:color="auto"/>
        <w:bottom w:val="none" w:sz="0" w:space="0" w:color="auto"/>
        <w:right w:val="none" w:sz="0" w:space="0" w:color="auto"/>
      </w:divBdr>
      <w:divsChild>
        <w:div w:id="1661423128">
          <w:marLeft w:val="0"/>
          <w:marRight w:val="0"/>
          <w:marTop w:val="0"/>
          <w:marBottom w:val="0"/>
          <w:divBdr>
            <w:top w:val="none" w:sz="0" w:space="0" w:color="auto"/>
            <w:left w:val="none" w:sz="0" w:space="0" w:color="auto"/>
            <w:bottom w:val="none" w:sz="0" w:space="0" w:color="auto"/>
            <w:right w:val="none" w:sz="0" w:space="0" w:color="auto"/>
          </w:divBdr>
          <w:divsChild>
            <w:div w:id="1042292444">
              <w:marLeft w:val="0"/>
              <w:marRight w:val="0"/>
              <w:marTop w:val="0"/>
              <w:marBottom w:val="0"/>
              <w:divBdr>
                <w:top w:val="none" w:sz="0" w:space="0" w:color="auto"/>
                <w:left w:val="none" w:sz="0" w:space="0" w:color="auto"/>
                <w:bottom w:val="none" w:sz="0" w:space="0" w:color="auto"/>
                <w:right w:val="none" w:sz="0" w:space="0" w:color="auto"/>
              </w:divBdr>
              <w:divsChild>
                <w:div w:id="896086411">
                  <w:marLeft w:val="0"/>
                  <w:marRight w:val="0"/>
                  <w:marTop w:val="0"/>
                  <w:marBottom w:val="0"/>
                  <w:divBdr>
                    <w:top w:val="none" w:sz="0" w:space="0" w:color="auto"/>
                    <w:left w:val="none" w:sz="0" w:space="0" w:color="auto"/>
                    <w:bottom w:val="none" w:sz="0" w:space="0" w:color="auto"/>
                    <w:right w:val="none" w:sz="0" w:space="0" w:color="auto"/>
                  </w:divBdr>
                  <w:divsChild>
                    <w:div w:id="66231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9454">
          <w:marLeft w:val="0"/>
          <w:marRight w:val="0"/>
          <w:marTop w:val="0"/>
          <w:marBottom w:val="0"/>
          <w:divBdr>
            <w:top w:val="none" w:sz="0" w:space="0" w:color="auto"/>
            <w:left w:val="none" w:sz="0" w:space="0" w:color="auto"/>
            <w:bottom w:val="none" w:sz="0" w:space="0" w:color="auto"/>
            <w:right w:val="none" w:sz="0" w:space="0" w:color="auto"/>
          </w:divBdr>
          <w:divsChild>
            <w:div w:id="2101830499">
              <w:marLeft w:val="0"/>
              <w:marRight w:val="0"/>
              <w:marTop w:val="0"/>
              <w:marBottom w:val="0"/>
              <w:divBdr>
                <w:top w:val="none" w:sz="0" w:space="0" w:color="auto"/>
                <w:left w:val="none" w:sz="0" w:space="0" w:color="auto"/>
                <w:bottom w:val="none" w:sz="0" w:space="0" w:color="auto"/>
                <w:right w:val="none" w:sz="0" w:space="0" w:color="auto"/>
              </w:divBdr>
              <w:divsChild>
                <w:div w:id="3199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8991">
      <w:bodyDiv w:val="1"/>
      <w:marLeft w:val="0"/>
      <w:marRight w:val="0"/>
      <w:marTop w:val="0"/>
      <w:marBottom w:val="0"/>
      <w:divBdr>
        <w:top w:val="none" w:sz="0" w:space="0" w:color="auto"/>
        <w:left w:val="none" w:sz="0" w:space="0" w:color="auto"/>
        <w:bottom w:val="none" w:sz="0" w:space="0" w:color="auto"/>
        <w:right w:val="none" w:sz="0" w:space="0" w:color="auto"/>
      </w:divBdr>
      <w:divsChild>
        <w:div w:id="52242395">
          <w:marLeft w:val="0"/>
          <w:marRight w:val="0"/>
          <w:marTop w:val="0"/>
          <w:marBottom w:val="0"/>
          <w:divBdr>
            <w:top w:val="none" w:sz="0" w:space="0" w:color="auto"/>
            <w:left w:val="none" w:sz="0" w:space="0" w:color="auto"/>
            <w:bottom w:val="none" w:sz="0" w:space="0" w:color="auto"/>
            <w:right w:val="none" w:sz="0" w:space="0" w:color="auto"/>
          </w:divBdr>
        </w:div>
        <w:div w:id="19937137">
          <w:marLeft w:val="0"/>
          <w:marRight w:val="0"/>
          <w:marTop w:val="0"/>
          <w:marBottom w:val="0"/>
          <w:divBdr>
            <w:top w:val="none" w:sz="0" w:space="0" w:color="auto"/>
            <w:left w:val="none" w:sz="0" w:space="0" w:color="auto"/>
            <w:bottom w:val="none" w:sz="0" w:space="0" w:color="auto"/>
            <w:right w:val="none" w:sz="0" w:space="0" w:color="auto"/>
          </w:divBdr>
        </w:div>
        <w:div w:id="110127247">
          <w:marLeft w:val="0"/>
          <w:marRight w:val="0"/>
          <w:marTop w:val="0"/>
          <w:marBottom w:val="0"/>
          <w:divBdr>
            <w:top w:val="none" w:sz="0" w:space="0" w:color="auto"/>
            <w:left w:val="none" w:sz="0" w:space="0" w:color="auto"/>
            <w:bottom w:val="none" w:sz="0" w:space="0" w:color="auto"/>
            <w:right w:val="none" w:sz="0" w:space="0" w:color="auto"/>
          </w:divBdr>
        </w:div>
        <w:div w:id="1524127084">
          <w:marLeft w:val="0"/>
          <w:marRight w:val="0"/>
          <w:marTop w:val="0"/>
          <w:marBottom w:val="0"/>
          <w:divBdr>
            <w:top w:val="none" w:sz="0" w:space="0" w:color="auto"/>
            <w:left w:val="none" w:sz="0" w:space="0" w:color="auto"/>
            <w:bottom w:val="none" w:sz="0" w:space="0" w:color="auto"/>
            <w:right w:val="none" w:sz="0" w:space="0" w:color="auto"/>
          </w:divBdr>
        </w:div>
        <w:div w:id="706494634">
          <w:marLeft w:val="0"/>
          <w:marRight w:val="0"/>
          <w:marTop w:val="0"/>
          <w:marBottom w:val="0"/>
          <w:divBdr>
            <w:top w:val="none" w:sz="0" w:space="0" w:color="auto"/>
            <w:left w:val="none" w:sz="0" w:space="0" w:color="auto"/>
            <w:bottom w:val="none" w:sz="0" w:space="0" w:color="auto"/>
            <w:right w:val="none" w:sz="0" w:space="0" w:color="auto"/>
          </w:divBdr>
        </w:div>
        <w:div w:id="1688631717">
          <w:marLeft w:val="0"/>
          <w:marRight w:val="0"/>
          <w:marTop w:val="0"/>
          <w:marBottom w:val="0"/>
          <w:divBdr>
            <w:top w:val="none" w:sz="0" w:space="0" w:color="auto"/>
            <w:left w:val="none" w:sz="0" w:space="0" w:color="auto"/>
            <w:bottom w:val="none" w:sz="0" w:space="0" w:color="auto"/>
            <w:right w:val="none" w:sz="0" w:space="0" w:color="auto"/>
          </w:divBdr>
        </w:div>
      </w:divsChild>
    </w:div>
    <w:div w:id="1274704464">
      <w:bodyDiv w:val="1"/>
      <w:marLeft w:val="0"/>
      <w:marRight w:val="0"/>
      <w:marTop w:val="0"/>
      <w:marBottom w:val="0"/>
      <w:divBdr>
        <w:top w:val="none" w:sz="0" w:space="0" w:color="auto"/>
        <w:left w:val="none" w:sz="0" w:space="0" w:color="auto"/>
        <w:bottom w:val="none" w:sz="0" w:space="0" w:color="auto"/>
        <w:right w:val="none" w:sz="0" w:space="0" w:color="auto"/>
      </w:divBdr>
    </w:div>
    <w:div w:id="1276668114">
      <w:bodyDiv w:val="1"/>
      <w:marLeft w:val="0"/>
      <w:marRight w:val="0"/>
      <w:marTop w:val="0"/>
      <w:marBottom w:val="0"/>
      <w:divBdr>
        <w:top w:val="none" w:sz="0" w:space="0" w:color="auto"/>
        <w:left w:val="none" w:sz="0" w:space="0" w:color="auto"/>
        <w:bottom w:val="none" w:sz="0" w:space="0" w:color="auto"/>
        <w:right w:val="none" w:sz="0" w:space="0" w:color="auto"/>
      </w:divBdr>
    </w:div>
    <w:div w:id="1282496730">
      <w:bodyDiv w:val="1"/>
      <w:marLeft w:val="0"/>
      <w:marRight w:val="0"/>
      <w:marTop w:val="0"/>
      <w:marBottom w:val="0"/>
      <w:divBdr>
        <w:top w:val="none" w:sz="0" w:space="0" w:color="auto"/>
        <w:left w:val="none" w:sz="0" w:space="0" w:color="auto"/>
        <w:bottom w:val="none" w:sz="0" w:space="0" w:color="auto"/>
        <w:right w:val="none" w:sz="0" w:space="0" w:color="auto"/>
      </w:divBdr>
    </w:div>
    <w:div w:id="1282568855">
      <w:bodyDiv w:val="1"/>
      <w:marLeft w:val="0"/>
      <w:marRight w:val="0"/>
      <w:marTop w:val="0"/>
      <w:marBottom w:val="0"/>
      <w:divBdr>
        <w:top w:val="none" w:sz="0" w:space="0" w:color="auto"/>
        <w:left w:val="none" w:sz="0" w:space="0" w:color="auto"/>
        <w:bottom w:val="none" w:sz="0" w:space="0" w:color="auto"/>
        <w:right w:val="none" w:sz="0" w:space="0" w:color="auto"/>
      </w:divBdr>
    </w:div>
    <w:div w:id="1282610810">
      <w:bodyDiv w:val="1"/>
      <w:marLeft w:val="0"/>
      <w:marRight w:val="0"/>
      <w:marTop w:val="0"/>
      <w:marBottom w:val="0"/>
      <w:divBdr>
        <w:top w:val="none" w:sz="0" w:space="0" w:color="auto"/>
        <w:left w:val="none" w:sz="0" w:space="0" w:color="auto"/>
        <w:bottom w:val="none" w:sz="0" w:space="0" w:color="auto"/>
        <w:right w:val="none" w:sz="0" w:space="0" w:color="auto"/>
      </w:divBdr>
    </w:div>
    <w:div w:id="1283852382">
      <w:bodyDiv w:val="1"/>
      <w:marLeft w:val="0"/>
      <w:marRight w:val="0"/>
      <w:marTop w:val="0"/>
      <w:marBottom w:val="0"/>
      <w:divBdr>
        <w:top w:val="none" w:sz="0" w:space="0" w:color="auto"/>
        <w:left w:val="none" w:sz="0" w:space="0" w:color="auto"/>
        <w:bottom w:val="none" w:sz="0" w:space="0" w:color="auto"/>
        <w:right w:val="none" w:sz="0" w:space="0" w:color="auto"/>
      </w:divBdr>
    </w:div>
    <w:div w:id="1286277816">
      <w:bodyDiv w:val="1"/>
      <w:marLeft w:val="0"/>
      <w:marRight w:val="0"/>
      <w:marTop w:val="0"/>
      <w:marBottom w:val="0"/>
      <w:divBdr>
        <w:top w:val="none" w:sz="0" w:space="0" w:color="auto"/>
        <w:left w:val="none" w:sz="0" w:space="0" w:color="auto"/>
        <w:bottom w:val="none" w:sz="0" w:space="0" w:color="auto"/>
        <w:right w:val="none" w:sz="0" w:space="0" w:color="auto"/>
      </w:divBdr>
    </w:div>
    <w:div w:id="1289776896">
      <w:bodyDiv w:val="1"/>
      <w:marLeft w:val="0"/>
      <w:marRight w:val="0"/>
      <w:marTop w:val="0"/>
      <w:marBottom w:val="0"/>
      <w:divBdr>
        <w:top w:val="none" w:sz="0" w:space="0" w:color="auto"/>
        <w:left w:val="none" w:sz="0" w:space="0" w:color="auto"/>
        <w:bottom w:val="none" w:sz="0" w:space="0" w:color="auto"/>
        <w:right w:val="none" w:sz="0" w:space="0" w:color="auto"/>
      </w:divBdr>
    </w:div>
    <w:div w:id="1290630427">
      <w:bodyDiv w:val="1"/>
      <w:marLeft w:val="0"/>
      <w:marRight w:val="0"/>
      <w:marTop w:val="0"/>
      <w:marBottom w:val="0"/>
      <w:divBdr>
        <w:top w:val="none" w:sz="0" w:space="0" w:color="auto"/>
        <w:left w:val="none" w:sz="0" w:space="0" w:color="auto"/>
        <w:bottom w:val="none" w:sz="0" w:space="0" w:color="auto"/>
        <w:right w:val="none" w:sz="0" w:space="0" w:color="auto"/>
      </w:divBdr>
    </w:div>
    <w:div w:id="1290865760">
      <w:bodyDiv w:val="1"/>
      <w:marLeft w:val="0"/>
      <w:marRight w:val="0"/>
      <w:marTop w:val="0"/>
      <w:marBottom w:val="0"/>
      <w:divBdr>
        <w:top w:val="none" w:sz="0" w:space="0" w:color="auto"/>
        <w:left w:val="none" w:sz="0" w:space="0" w:color="auto"/>
        <w:bottom w:val="none" w:sz="0" w:space="0" w:color="auto"/>
        <w:right w:val="none" w:sz="0" w:space="0" w:color="auto"/>
      </w:divBdr>
    </w:div>
    <w:div w:id="1291282049">
      <w:bodyDiv w:val="1"/>
      <w:marLeft w:val="0"/>
      <w:marRight w:val="0"/>
      <w:marTop w:val="0"/>
      <w:marBottom w:val="0"/>
      <w:divBdr>
        <w:top w:val="none" w:sz="0" w:space="0" w:color="auto"/>
        <w:left w:val="none" w:sz="0" w:space="0" w:color="auto"/>
        <w:bottom w:val="none" w:sz="0" w:space="0" w:color="auto"/>
        <w:right w:val="none" w:sz="0" w:space="0" w:color="auto"/>
      </w:divBdr>
    </w:div>
    <w:div w:id="1291744450">
      <w:bodyDiv w:val="1"/>
      <w:marLeft w:val="0"/>
      <w:marRight w:val="0"/>
      <w:marTop w:val="0"/>
      <w:marBottom w:val="0"/>
      <w:divBdr>
        <w:top w:val="none" w:sz="0" w:space="0" w:color="auto"/>
        <w:left w:val="none" w:sz="0" w:space="0" w:color="auto"/>
        <w:bottom w:val="none" w:sz="0" w:space="0" w:color="auto"/>
        <w:right w:val="none" w:sz="0" w:space="0" w:color="auto"/>
      </w:divBdr>
    </w:div>
    <w:div w:id="1295067455">
      <w:bodyDiv w:val="1"/>
      <w:marLeft w:val="0"/>
      <w:marRight w:val="0"/>
      <w:marTop w:val="0"/>
      <w:marBottom w:val="0"/>
      <w:divBdr>
        <w:top w:val="none" w:sz="0" w:space="0" w:color="auto"/>
        <w:left w:val="none" w:sz="0" w:space="0" w:color="auto"/>
        <w:bottom w:val="none" w:sz="0" w:space="0" w:color="auto"/>
        <w:right w:val="none" w:sz="0" w:space="0" w:color="auto"/>
      </w:divBdr>
    </w:div>
    <w:div w:id="1295793847">
      <w:bodyDiv w:val="1"/>
      <w:marLeft w:val="0"/>
      <w:marRight w:val="0"/>
      <w:marTop w:val="0"/>
      <w:marBottom w:val="0"/>
      <w:divBdr>
        <w:top w:val="none" w:sz="0" w:space="0" w:color="auto"/>
        <w:left w:val="none" w:sz="0" w:space="0" w:color="auto"/>
        <w:bottom w:val="none" w:sz="0" w:space="0" w:color="auto"/>
        <w:right w:val="none" w:sz="0" w:space="0" w:color="auto"/>
      </w:divBdr>
    </w:div>
    <w:div w:id="1296259238">
      <w:bodyDiv w:val="1"/>
      <w:marLeft w:val="0"/>
      <w:marRight w:val="0"/>
      <w:marTop w:val="0"/>
      <w:marBottom w:val="0"/>
      <w:divBdr>
        <w:top w:val="none" w:sz="0" w:space="0" w:color="auto"/>
        <w:left w:val="none" w:sz="0" w:space="0" w:color="auto"/>
        <w:bottom w:val="none" w:sz="0" w:space="0" w:color="auto"/>
        <w:right w:val="none" w:sz="0" w:space="0" w:color="auto"/>
      </w:divBdr>
    </w:div>
    <w:div w:id="1297491427">
      <w:bodyDiv w:val="1"/>
      <w:marLeft w:val="0"/>
      <w:marRight w:val="0"/>
      <w:marTop w:val="0"/>
      <w:marBottom w:val="0"/>
      <w:divBdr>
        <w:top w:val="none" w:sz="0" w:space="0" w:color="auto"/>
        <w:left w:val="none" w:sz="0" w:space="0" w:color="auto"/>
        <w:bottom w:val="none" w:sz="0" w:space="0" w:color="auto"/>
        <w:right w:val="none" w:sz="0" w:space="0" w:color="auto"/>
      </w:divBdr>
    </w:div>
    <w:div w:id="1299412724">
      <w:bodyDiv w:val="1"/>
      <w:marLeft w:val="0"/>
      <w:marRight w:val="0"/>
      <w:marTop w:val="0"/>
      <w:marBottom w:val="0"/>
      <w:divBdr>
        <w:top w:val="none" w:sz="0" w:space="0" w:color="auto"/>
        <w:left w:val="none" w:sz="0" w:space="0" w:color="auto"/>
        <w:bottom w:val="none" w:sz="0" w:space="0" w:color="auto"/>
        <w:right w:val="none" w:sz="0" w:space="0" w:color="auto"/>
      </w:divBdr>
    </w:div>
    <w:div w:id="1300377770">
      <w:bodyDiv w:val="1"/>
      <w:marLeft w:val="0"/>
      <w:marRight w:val="0"/>
      <w:marTop w:val="0"/>
      <w:marBottom w:val="0"/>
      <w:divBdr>
        <w:top w:val="none" w:sz="0" w:space="0" w:color="auto"/>
        <w:left w:val="none" w:sz="0" w:space="0" w:color="auto"/>
        <w:bottom w:val="none" w:sz="0" w:space="0" w:color="auto"/>
        <w:right w:val="none" w:sz="0" w:space="0" w:color="auto"/>
      </w:divBdr>
    </w:div>
    <w:div w:id="1303389393">
      <w:bodyDiv w:val="1"/>
      <w:marLeft w:val="0"/>
      <w:marRight w:val="0"/>
      <w:marTop w:val="0"/>
      <w:marBottom w:val="0"/>
      <w:divBdr>
        <w:top w:val="none" w:sz="0" w:space="0" w:color="auto"/>
        <w:left w:val="none" w:sz="0" w:space="0" w:color="auto"/>
        <w:bottom w:val="none" w:sz="0" w:space="0" w:color="auto"/>
        <w:right w:val="none" w:sz="0" w:space="0" w:color="auto"/>
      </w:divBdr>
    </w:div>
    <w:div w:id="1304695165">
      <w:bodyDiv w:val="1"/>
      <w:marLeft w:val="0"/>
      <w:marRight w:val="0"/>
      <w:marTop w:val="0"/>
      <w:marBottom w:val="0"/>
      <w:divBdr>
        <w:top w:val="none" w:sz="0" w:space="0" w:color="auto"/>
        <w:left w:val="none" w:sz="0" w:space="0" w:color="auto"/>
        <w:bottom w:val="none" w:sz="0" w:space="0" w:color="auto"/>
        <w:right w:val="none" w:sz="0" w:space="0" w:color="auto"/>
      </w:divBdr>
    </w:div>
    <w:div w:id="1306356235">
      <w:bodyDiv w:val="1"/>
      <w:marLeft w:val="0"/>
      <w:marRight w:val="0"/>
      <w:marTop w:val="0"/>
      <w:marBottom w:val="0"/>
      <w:divBdr>
        <w:top w:val="none" w:sz="0" w:space="0" w:color="auto"/>
        <w:left w:val="none" w:sz="0" w:space="0" w:color="auto"/>
        <w:bottom w:val="none" w:sz="0" w:space="0" w:color="auto"/>
        <w:right w:val="none" w:sz="0" w:space="0" w:color="auto"/>
      </w:divBdr>
    </w:div>
    <w:div w:id="1307391693">
      <w:bodyDiv w:val="1"/>
      <w:marLeft w:val="0"/>
      <w:marRight w:val="0"/>
      <w:marTop w:val="0"/>
      <w:marBottom w:val="0"/>
      <w:divBdr>
        <w:top w:val="none" w:sz="0" w:space="0" w:color="auto"/>
        <w:left w:val="none" w:sz="0" w:space="0" w:color="auto"/>
        <w:bottom w:val="none" w:sz="0" w:space="0" w:color="auto"/>
        <w:right w:val="none" w:sz="0" w:space="0" w:color="auto"/>
      </w:divBdr>
    </w:div>
    <w:div w:id="1308851180">
      <w:bodyDiv w:val="1"/>
      <w:marLeft w:val="0"/>
      <w:marRight w:val="0"/>
      <w:marTop w:val="0"/>
      <w:marBottom w:val="0"/>
      <w:divBdr>
        <w:top w:val="none" w:sz="0" w:space="0" w:color="auto"/>
        <w:left w:val="none" w:sz="0" w:space="0" w:color="auto"/>
        <w:bottom w:val="none" w:sz="0" w:space="0" w:color="auto"/>
        <w:right w:val="none" w:sz="0" w:space="0" w:color="auto"/>
      </w:divBdr>
    </w:div>
    <w:div w:id="1308897725">
      <w:bodyDiv w:val="1"/>
      <w:marLeft w:val="0"/>
      <w:marRight w:val="0"/>
      <w:marTop w:val="0"/>
      <w:marBottom w:val="0"/>
      <w:divBdr>
        <w:top w:val="none" w:sz="0" w:space="0" w:color="auto"/>
        <w:left w:val="none" w:sz="0" w:space="0" w:color="auto"/>
        <w:bottom w:val="none" w:sz="0" w:space="0" w:color="auto"/>
        <w:right w:val="none" w:sz="0" w:space="0" w:color="auto"/>
      </w:divBdr>
      <w:divsChild>
        <w:div w:id="633098359">
          <w:marLeft w:val="0"/>
          <w:marRight w:val="0"/>
          <w:marTop w:val="0"/>
          <w:marBottom w:val="0"/>
          <w:divBdr>
            <w:top w:val="none" w:sz="0" w:space="0" w:color="auto"/>
            <w:left w:val="none" w:sz="0" w:space="0" w:color="auto"/>
            <w:bottom w:val="none" w:sz="0" w:space="0" w:color="auto"/>
            <w:right w:val="none" w:sz="0" w:space="0" w:color="auto"/>
          </w:divBdr>
          <w:divsChild>
            <w:div w:id="1459182456">
              <w:marLeft w:val="0"/>
              <w:marRight w:val="0"/>
              <w:marTop w:val="0"/>
              <w:marBottom w:val="0"/>
              <w:divBdr>
                <w:top w:val="none" w:sz="0" w:space="0" w:color="auto"/>
                <w:left w:val="none" w:sz="0" w:space="0" w:color="auto"/>
                <w:bottom w:val="none" w:sz="0" w:space="0" w:color="auto"/>
                <w:right w:val="none" w:sz="0" w:space="0" w:color="auto"/>
              </w:divBdr>
              <w:divsChild>
                <w:div w:id="648560106">
                  <w:marLeft w:val="0"/>
                  <w:marRight w:val="0"/>
                  <w:marTop w:val="0"/>
                  <w:marBottom w:val="0"/>
                  <w:divBdr>
                    <w:top w:val="none" w:sz="0" w:space="0" w:color="auto"/>
                    <w:left w:val="none" w:sz="0" w:space="0" w:color="auto"/>
                    <w:bottom w:val="none" w:sz="0" w:space="0" w:color="auto"/>
                    <w:right w:val="none" w:sz="0" w:space="0" w:color="auto"/>
                  </w:divBdr>
                  <w:divsChild>
                    <w:div w:id="12851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04912">
          <w:marLeft w:val="0"/>
          <w:marRight w:val="0"/>
          <w:marTop w:val="0"/>
          <w:marBottom w:val="0"/>
          <w:divBdr>
            <w:top w:val="none" w:sz="0" w:space="0" w:color="auto"/>
            <w:left w:val="none" w:sz="0" w:space="0" w:color="auto"/>
            <w:bottom w:val="none" w:sz="0" w:space="0" w:color="auto"/>
            <w:right w:val="none" w:sz="0" w:space="0" w:color="auto"/>
          </w:divBdr>
          <w:divsChild>
            <w:div w:id="1766271411">
              <w:marLeft w:val="0"/>
              <w:marRight w:val="0"/>
              <w:marTop w:val="0"/>
              <w:marBottom w:val="0"/>
              <w:divBdr>
                <w:top w:val="none" w:sz="0" w:space="0" w:color="auto"/>
                <w:left w:val="none" w:sz="0" w:space="0" w:color="auto"/>
                <w:bottom w:val="none" w:sz="0" w:space="0" w:color="auto"/>
                <w:right w:val="none" w:sz="0" w:space="0" w:color="auto"/>
              </w:divBdr>
              <w:divsChild>
                <w:div w:id="21231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94503">
      <w:bodyDiv w:val="1"/>
      <w:marLeft w:val="0"/>
      <w:marRight w:val="0"/>
      <w:marTop w:val="0"/>
      <w:marBottom w:val="0"/>
      <w:divBdr>
        <w:top w:val="none" w:sz="0" w:space="0" w:color="auto"/>
        <w:left w:val="none" w:sz="0" w:space="0" w:color="auto"/>
        <w:bottom w:val="none" w:sz="0" w:space="0" w:color="auto"/>
        <w:right w:val="none" w:sz="0" w:space="0" w:color="auto"/>
      </w:divBdr>
    </w:div>
    <w:div w:id="1310207162">
      <w:bodyDiv w:val="1"/>
      <w:marLeft w:val="0"/>
      <w:marRight w:val="0"/>
      <w:marTop w:val="0"/>
      <w:marBottom w:val="0"/>
      <w:divBdr>
        <w:top w:val="none" w:sz="0" w:space="0" w:color="auto"/>
        <w:left w:val="none" w:sz="0" w:space="0" w:color="auto"/>
        <w:bottom w:val="none" w:sz="0" w:space="0" w:color="auto"/>
        <w:right w:val="none" w:sz="0" w:space="0" w:color="auto"/>
      </w:divBdr>
    </w:div>
    <w:div w:id="1315177797">
      <w:bodyDiv w:val="1"/>
      <w:marLeft w:val="0"/>
      <w:marRight w:val="0"/>
      <w:marTop w:val="0"/>
      <w:marBottom w:val="0"/>
      <w:divBdr>
        <w:top w:val="none" w:sz="0" w:space="0" w:color="auto"/>
        <w:left w:val="none" w:sz="0" w:space="0" w:color="auto"/>
        <w:bottom w:val="none" w:sz="0" w:space="0" w:color="auto"/>
        <w:right w:val="none" w:sz="0" w:space="0" w:color="auto"/>
      </w:divBdr>
    </w:div>
    <w:div w:id="1317877587">
      <w:bodyDiv w:val="1"/>
      <w:marLeft w:val="0"/>
      <w:marRight w:val="0"/>
      <w:marTop w:val="0"/>
      <w:marBottom w:val="0"/>
      <w:divBdr>
        <w:top w:val="none" w:sz="0" w:space="0" w:color="auto"/>
        <w:left w:val="none" w:sz="0" w:space="0" w:color="auto"/>
        <w:bottom w:val="none" w:sz="0" w:space="0" w:color="auto"/>
        <w:right w:val="none" w:sz="0" w:space="0" w:color="auto"/>
      </w:divBdr>
    </w:div>
    <w:div w:id="1317951780">
      <w:bodyDiv w:val="1"/>
      <w:marLeft w:val="0"/>
      <w:marRight w:val="0"/>
      <w:marTop w:val="0"/>
      <w:marBottom w:val="0"/>
      <w:divBdr>
        <w:top w:val="none" w:sz="0" w:space="0" w:color="auto"/>
        <w:left w:val="none" w:sz="0" w:space="0" w:color="auto"/>
        <w:bottom w:val="none" w:sz="0" w:space="0" w:color="auto"/>
        <w:right w:val="none" w:sz="0" w:space="0" w:color="auto"/>
      </w:divBdr>
    </w:div>
    <w:div w:id="1320234211">
      <w:bodyDiv w:val="1"/>
      <w:marLeft w:val="0"/>
      <w:marRight w:val="0"/>
      <w:marTop w:val="0"/>
      <w:marBottom w:val="0"/>
      <w:divBdr>
        <w:top w:val="none" w:sz="0" w:space="0" w:color="auto"/>
        <w:left w:val="none" w:sz="0" w:space="0" w:color="auto"/>
        <w:bottom w:val="none" w:sz="0" w:space="0" w:color="auto"/>
        <w:right w:val="none" w:sz="0" w:space="0" w:color="auto"/>
      </w:divBdr>
    </w:div>
    <w:div w:id="1321615669">
      <w:bodyDiv w:val="1"/>
      <w:marLeft w:val="0"/>
      <w:marRight w:val="0"/>
      <w:marTop w:val="0"/>
      <w:marBottom w:val="0"/>
      <w:divBdr>
        <w:top w:val="none" w:sz="0" w:space="0" w:color="auto"/>
        <w:left w:val="none" w:sz="0" w:space="0" w:color="auto"/>
        <w:bottom w:val="none" w:sz="0" w:space="0" w:color="auto"/>
        <w:right w:val="none" w:sz="0" w:space="0" w:color="auto"/>
      </w:divBdr>
    </w:div>
    <w:div w:id="1321693144">
      <w:bodyDiv w:val="1"/>
      <w:marLeft w:val="0"/>
      <w:marRight w:val="0"/>
      <w:marTop w:val="0"/>
      <w:marBottom w:val="0"/>
      <w:divBdr>
        <w:top w:val="none" w:sz="0" w:space="0" w:color="auto"/>
        <w:left w:val="none" w:sz="0" w:space="0" w:color="auto"/>
        <w:bottom w:val="none" w:sz="0" w:space="0" w:color="auto"/>
        <w:right w:val="none" w:sz="0" w:space="0" w:color="auto"/>
      </w:divBdr>
    </w:div>
    <w:div w:id="1322350846">
      <w:bodyDiv w:val="1"/>
      <w:marLeft w:val="0"/>
      <w:marRight w:val="0"/>
      <w:marTop w:val="0"/>
      <w:marBottom w:val="0"/>
      <w:divBdr>
        <w:top w:val="none" w:sz="0" w:space="0" w:color="auto"/>
        <w:left w:val="none" w:sz="0" w:space="0" w:color="auto"/>
        <w:bottom w:val="none" w:sz="0" w:space="0" w:color="auto"/>
        <w:right w:val="none" w:sz="0" w:space="0" w:color="auto"/>
      </w:divBdr>
    </w:div>
    <w:div w:id="1322655015">
      <w:bodyDiv w:val="1"/>
      <w:marLeft w:val="0"/>
      <w:marRight w:val="0"/>
      <w:marTop w:val="0"/>
      <w:marBottom w:val="0"/>
      <w:divBdr>
        <w:top w:val="none" w:sz="0" w:space="0" w:color="auto"/>
        <w:left w:val="none" w:sz="0" w:space="0" w:color="auto"/>
        <w:bottom w:val="none" w:sz="0" w:space="0" w:color="auto"/>
        <w:right w:val="none" w:sz="0" w:space="0" w:color="auto"/>
      </w:divBdr>
    </w:div>
    <w:div w:id="1326586278">
      <w:bodyDiv w:val="1"/>
      <w:marLeft w:val="0"/>
      <w:marRight w:val="0"/>
      <w:marTop w:val="0"/>
      <w:marBottom w:val="0"/>
      <w:divBdr>
        <w:top w:val="none" w:sz="0" w:space="0" w:color="auto"/>
        <w:left w:val="none" w:sz="0" w:space="0" w:color="auto"/>
        <w:bottom w:val="none" w:sz="0" w:space="0" w:color="auto"/>
        <w:right w:val="none" w:sz="0" w:space="0" w:color="auto"/>
      </w:divBdr>
    </w:div>
    <w:div w:id="1326935701">
      <w:bodyDiv w:val="1"/>
      <w:marLeft w:val="0"/>
      <w:marRight w:val="0"/>
      <w:marTop w:val="0"/>
      <w:marBottom w:val="0"/>
      <w:divBdr>
        <w:top w:val="none" w:sz="0" w:space="0" w:color="auto"/>
        <w:left w:val="none" w:sz="0" w:space="0" w:color="auto"/>
        <w:bottom w:val="none" w:sz="0" w:space="0" w:color="auto"/>
        <w:right w:val="none" w:sz="0" w:space="0" w:color="auto"/>
      </w:divBdr>
    </w:div>
    <w:div w:id="1327052141">
      <w:bodyDiv w:val="1"/>
      <w:marLeft w:val="0"/>
      <w:marRight w:val="0"/>
      <w:marTop w:val="0"/>
      <w:marBottom w:val="0"/>
      <w:divBdr>
        <w:top w:val="none" w:sz="0" w:space="0" w:color="auto"/>
        <w:left w:val="none" w:sz="0" w:space="0" w:color="auto"/>
        <w:bottom w:val="none" w:sz="0" w:space="0" w:color="auto"/>
        <w:right w:val="none" w:sz="0" w:space="0" w:color="auto"/>
      </w:divBdr>
    </w:div>
    <w:div w:id="1330324477">
      <w:bodyDiv w:val="1"/>
      <w:marLeft w:val="0"/>
      <w:marRight w:val="0"/>
      <w:marTop w:val="0"/>
      <w:marBottom w:val="0"/>
      <w:divBdr>
        <w:top w:val="none" w:sz="0" w:space="0" w:color="auto"/>
        <w:left w:val="none" w:sz="0" w:space="0" w:color="auto"/>
        <w:bottom w:val="none" w:sz="0" w:space="0" w:color="auto"/>
        <w:right w:val="none" w:sz="0" w:space="0" w:color="auto"/>
      </w:divBdr>
    </w:div>
    <w:div w:id="1332103826">
      <w:bodyDiv w:val="1"/>
      <w:marLeft w:val="0"/>
      <w:marRight w:val="0"/>
      <w:marTop w:val="0"/>
      <w:marBottom w:val="0"/>
      <w:divBdr>
        <w:top w:val="none" w:sz="0" w:space="0" w:color="auto"/>
        <w:left w:val="none" w:sz="0" w:space="0" w:color="auto"/>
        <w:bottom w:val="none" w:sz="0" w:space="0" w:color="auto"/>
        <w:right w:val="none" w:sz="0" w:space="0" w:color="auto"/>
      </w:divBdr>
    </w:div>
    <w:div w:id="1337727927">
      <w:bodyDiv w:val="1"/>
      <w:marLeft w:val="0"/>
      <w:marRight w:val="0"/>
      <w:marTop w:val="0"/>
      <w:marBottom w:val="0"/>
      <w:divBdr>
        <w:top w:val="none" w:sz="0" w:space="0" w:color="auto"/>
        <w:left w:val="none" w:sz="0" w:space="0" w:color="auto"/>
        <w:bottom w:val="none" w:sz="0" w:space="0" w:color="auto"/>
        <w:right w:val="none" w:sz="0" w:space="0" w:color="auto"/>
      </w:divBdr>
    </w:div>
    <w:div w:id="1337732258">
      <w:bodyDiv w:val="1"/>
      <w:marLeft w:val="0"/>
      <w:marRight w:val="0"/>
      <w:marTop w:val="0"/>
      <w:marBottom w:val="0"/>
      <w:divBdr>
        <w:top w:val="none" w:sz="0" w:space="0" w:color="auto"/>
        <w:left w:val="none" w:sz="0" w:space="0" w:color="auto"/>
        <w:bottom w:val="none" w:sz="0" w:space="0" w:color="auto"/>
        <w:right w:val="none" w:sz="0" w:space="0" w:color="auto"/>
      </w:divBdr>
    </w:div>
    <w:div w:id="1338724938">
      <w:bodyDiv w:val="1"/>
      <w:marLeft w:val="0"/>
      <w:marRight w:val="0"/>
      <w:marTop w:val="0"/>
      <w:marBottom w:val="0"/>
      <w:divBdr>
        <w:top w:val="none" w:sz="0" w:space="0" w:color="auto"/>
        <w:left w:val="none" w:sz="0" w:space="0" w:color="auto"/>
        <w:bottom w:val="none" w:sz="0" w:space="0" w:color="auto"/>
        <w:right w:val="none" w:sz="0" w:space="0" w:color="auto"/>
      </w:divBdr>
    </w:div>
    <w:div w:id="1341547057">
      <w:bodyDiv w:val="1"/>
      <w:marLeft w:val="0"/>
      <w:marRight w:val="0"/>
      <w:marTop w:val="0"/>
      <w:marBottom w:val="0"/>
      <w:divBdr>
        <w:top w:val="none" w:sz="0" w:space="0" w:color="auto"/>
        <w:left w:val="none" w:sz="0" w:space="0" w:color="auto"/>
        <w:bottom w:val="none" w:sz="0" w:space="0" w:color="auto"/>
        <w:right w:val="none" w:sz="0" w:space="0" w:color="auto"/>
      </w:divBdr>
    </w:div>
    <w:div w:id="1342010692">
      <w:bodyDiv w:val="1"/>
      <w:marLeft w:val="0"/>
      <w:marRight w:val="0"/>
      <w:marTop w:val="0"/>
      <w:marBottom w:val="0"/>
      <w:divBdr>
        <w:top w:val="none" w:sz="0" w:space="0" w:color="auto"/>
        <w:left w:val="none" w:sz="0" w:space="0" w:color="auto"/>
        <w:bottom w:val="none" w:sz="0" w:space="0" w:color="auto"/>
        <w:right w:val="none" w:sz="0" w:space="0" w:color="auto"/>
      </w:divBdr>
    </w:div>
    <w:div w:id="1343170243">
      <w:bodyDiv w:val="1"/>
      <w:marLeft w:val="0"/>
      <w:marRight w:val="0"/>
      <w:marTop w:val="0"/>
      <w:marBottom w:val="0"/>
      <w:divBdr>
        <w:top w:val="none" w:sz="0" w:space="0" w:color="auto"/>
        <w:left w:val="none" w:sz="0" w:space="0" w:color="auto"/>
        <w:bottom w:val="none" w:sz="0" w:space="0" w:color="auto"/>
        <w:right w:val="none" w:sz="0" w:space="0" w:color="auto"/>
      </w:divBdr>
    </w:div>
    <w:div w:id="1347290037">
      <w:bodyDiv w:val="1"/>
      <w:marLeft w:val="0"/>
      <w:marRight w:val="0"/>
      <w:marTop w:val="0"/>
      <w:marBottom w:val="0"/>
      <w:divBdr>
        <w:top w:val="none" w:sz="0" w:space="0" w:color="auto"/>
        <w:left w:val="none" w:sz="0" w:space="0" w:color="auto"/>
        <w:bottom w:val="none" w:sz="0" w:space="0" w:color="auto"/>
        <w:right w:val="none" w:sz="0" w:space="0" w:color="auto"/>
      </w:divBdr>
    </w:div>
    <w:div w:id="1347634814">
      <w:bodyDiv w:val="1"/>
      <w:marLeft w:val="0"/>
      <w:marRight w:val="0"/>
      <w:marTop w:val="0"/>
      <w:marBottom w:val="0"/>
      <w:divBdr>
        <w:top w:val="none" w:sz="0" w:space="0" w:color="auto"/>
        <w:left w:val="none" w:sz="0" w:space="0" w:color="auto"/>
        <w:bottom w:val="none" w:sz="0" w:space="0" w:color="auto"/>
        <w:right w:val="none" w:sz="0" w:space="0" w:color="auto"/>
      </w:divBdr>
    </w:div>
    <w:div w:id="1349287000">
      <w:bodyDiv w:val="1"/>
      <w:marLeft w:val="0"/>
      <w:marRight w:val="0"/>
      <w:marTop w:val="0"/>
      <w:marBottom w:val="0"/>
      <w:divBdr>
        <w:top w:val="none" w:sz="0" w:space="0" w:color="auto"/>
        <w:left w:val="none" w:sz="0" w:space="0" w:color="auto"/>
        <w:bottom w:val="none" w:sz="0" w:space="0" w:color="auto"/>
        <w:right w:val="none" w:sz="0" w:space="0" w:color="auto"/>
      </w:divBdr>
    </w:div>
    <w:div w:id="1352031407">
      <w:bodyDiv w:val="1"/>
      <w:marLeft w:val="0"/>
      <w:marRight w:val="0"/>
      <w:marTop w:val="0"/>
      <w:marBottom w:val="0"/>
      <w:divBdr>
        <w:top w:val="none" w:sz="0" w:space="0" w:color="auto"/>
        <w:left w:val="none" w:sz="0" w:space="0" w:color="auto"/>
        <w:bottom w:val="none" w:sz="0" w:space="0" w:color="auto"/>
        <w:right w:val="none" w:sz="0" w:space="0" w:color="auto"/>
      </w:divBdr>
    </w:div>
    <w:div w:id="1352494623">
      <w:bodyDiv w:val="1"/>
      <w:marLeft w:val="0"/>
      <w:marRight w:val="0"/>
      <w:marTop w:val="0"/>
      <w:marBottom w:val="0"/>
      <w:divBdr>
        <w:top w:val="none" w:sz="0" w:space="0" w:color="auto"/>
        <w:left w:val="none" w:sz="0" w:space="0" w:color="auto"/>
        <w:bottom w:val="none" w:sz="0" w:space="0" w:color="auto"/>
        <w:right w:val="none" w:sz="0" w:space="0" w:color="auto"/>
      </w:divBdr>
    </w:div>
    <w:div w:id="1356736132">
      <w:bodyDiv w:val="1"/>
      <w:marLeft w:val="0"/>
      <w:marRight w:val="0"/>
      <w:marTop w:val="0"/>
      <w:marBottom w:val="0"/>
      <w:divBdr>
        <w:top w:val="none" w:sz="0" w:space="0" w:color="auto"/>
        <w:left w:val="none" w:sz="0" w:space="0" w:color="auto"/>
        <w:bottom w:val="none" w:sz="0" w:space="0" w:color="auto"/>
        <w:right w:val="none" w:sz="0" w:space="0" w:color="auto"/>
      </w:divBdr>
    </w:div>
    <w:div w:id="1357777392">
      <w:bodyDiv w:val="1"/>
      <w:marLeft w:val="0"/>
      <w:marRight w:val="0"/>
      <w:marTop w:val="0"/>
      <w:marBottom w:val="0"/>
      <w:divBdr>
        <w:top w:val="none" w:sz="0" w:space="0" w:color="auto"/>
        <w:left w:val="none" w:sz="0" w:space="0" w:color="auto"/>
        <w:bottom w:val="none" w:sz="0" w:space="0" w:color="auto"/>
        <w:right w:val="none" w:sz="0" w:space="0" w:color="auto"/>
      </w:divBdr>
    </w:div>
    <w:div w:id="1357855324">
      <w:bodyDiv w:val="1"/>
      <w:marLeft w:val="0"/>
      <w:marRight w:val="0"/>
      <w:marTop w:val="0"/>
      <w:marBottom w:val="0"/>
      <w:divBdr>
        <w:top w:val="none" w:sz="0" w:space="0" w:color="auto"/>
        <w:left w:val="none" w:sz="0" w:space="0" w:color="auto"/>
        <w:bottom w:val="none" w:sz="0" w:space="0" w:color="auto"/>
        <w:right w:val="none" w:sz="0" w:space="0" w:color="auto"/>
      </w:divBdr>
    </w:div>
    <w:div w:id="1365864943">
      <w:bodyDiv w:val="1"/>
      <w:marLeft w:val="0"/>
      <w:marRight w:val="0"/>
      <w:marTop w:val="0"/>
      <w:marBottom w:val="0"/>
      <w:divBdr>
        <w:top w:val="none" w:sz="0" w:space="0" w:color="auto"/>
        <w:left w:val="none" w:sz="0" w:space="0" w:color="auto"/>
        <w:bottom w:val="none" w:sz="0" w:space="0" w:color="auto"/>
        <w:right w:val="none" w:sz="0" w:space="0" w:color="auto"/>
      </w:divBdr>
    </w:div>
    <w:div w:id="1366448665">
      <w:bodyDiv w:val="1"/>
      <w:marLeft w:val="0"/>
      <w:marRight w:val="0"/>
      <w:marTop w:val="0"/>
      <w:marBottom w:val="0"/>
      <w:divBdr>
        <w:top w:val="none" w:sz="0" w:space="0" w:color="auto"/>
        <w:left w:val="none" w:sz="0" w:space="0" w:color="auto"/>
        <w:bottom w:val="none" w:sz="0" w:space="0" w:color="auto"/>
        <w:right w:val="none" w:sz="0" w:space="0" w:color="auto"/>
      </w:divBdr>
    </w:div>
    <w:div w:id="1367170876">
      <w:bodyDiv w:val="1"/>
      <w:marLeft w:val="0"/>
      <w:marRight w:val="0"/>
      <w:marTop w:val="0"/>
      <w:marBottom w:val="0"/>
      <w:divBdr>
        <w:top w:val="none" w:sz="0" w:space="0" w:color="auto"/>
        <w:left w:val="none" w:sz="0" w:space="0" w:color="auto"/>
        <w:bottom w:val="none" w:sz="0" w:space="0" w:color="auto"/>
        <w:right w:val="none" w:sz="0" w:space="0" w:color="auto"/>
      </w:divBdr>
    </w:div>
    <w:div w:id="1371540385">
      <w:bodyDiv w:val="1"/>
      <w:marLeft w:val="0"/>
      <w:marRight w:val="0"/>
      <w:marTop w:val="0"/>
      <w:marBottom w:val="0"/>
      <w:divBdr>
        <w:top w:val="none" w:sz="0" w:space="0" w:color="auto"/>
        <w:left w:val="none" w:sz="0" w:space="0" w:color="auto"/>
        <w:bottom w:val="none" w:sz="0" w:space="0" w:color="auto"/>
        <w:right w:val="none" w:sz="0" w:space="0" w:color="auto"/>
      </w:divBdr>
    </w:div>
    <w:div w:id="1372612209">
      <w:bodyDiv w:val="1"/>
      <w:marLeft w:val="0"/>
      <w:marRight w:val="0"/>
      <w:marTop w:val="0"/>
      <w:marBottom w:val="0"/>
      <w:divBdr>
        <w:top w:val="none" w:sz="0" w:space="0" w:color="auto"/>
        <w:left w:val="none" w:sz="0" w:space="0" w:color="auto"/>
        <w:bottom w:val="none" w:sz="0" w:space="0" w:color="auto"/>
        <w:right w:val="none" w:sz="0" w:space="0" w:color="auto"/>
      </w:divBdr>
    </w:div>
    <w:div w:id="1372654139">
      <w:bodyDiv w:val="1"/>
      <w:marLeft w:val="0"/>
      <w:marRight w:val="0"/>
      <w:marTop w:val="0"/>
      <w:marBottom w:val="0"/>
      <w:divBdr>
        <w:top w:val="none" w:sz="0" w:space="0" w:color="auto"/>
        <w:left w:val="none" w:sz="0" w:space="0" w:color="auto"/>
        <w:bottom w:val="none" w:sz="0" w:space="0" w:color="auto"/>
        <w:right w:val="none" w:sz="0" w:space="0" w:color="auto"/>
      </w:divBdr>
    </w:div>
    <w:div w:id="1373458978">
      <w:bodyDiv w:val="1"/>
      <w:marLeft w:val="0"/>
      <w:marRight w:val="0"/>
      <w:marTop w:val="0"/>
      <w:marBottom w:val="0"/>
      <w:divBdr>
        <w:top w:val="none" w:sz="0" w:space="0" w:color="auto"/>
        <w:left w:val="none" w:sz="0" w:space="0" w:color="auto"/>
        <w:bottom w:val="none" w:sz="0" w:space="0" w:color="auto"/>
        <w:right w:val="none" w:sz="0" w:space="0" w:color="auto"/>
      </w:divBdr>
    </w:div>
    <w:div w:id="1374190864">
      <w:bodyDiv w:val="1"/>
      <w:marLeft w:val="0"/>
      <w:marRight w:val="0"/>
      <w:marTop w:val="0"/>
      <w:marBottom w:val="0"/>
      <w:divBdr>
        <w:top w:val="none" w:sz="0" w:space="0" w:color="auto"/>
        <w:left w:val="none" w:sz="0" w:space="0" w:color="auto"/>
        <w:bottom w:val="none" w:sz="0" w:space="0" w:color="auto"/>
        <w:right w:val="none" w:sz="0" w:space="0" w:color="auto"/>
      </w:divBdr>
    </w:div>
    <w:div w:id="1375883931">
      <w:bodyDiv w:val="1"/>
      <w:marLeft w:val="0"/>
      <w:marRight w:val="0"/>
      <w:marTop w:val="0"/>
      <w:marBottom w:val="0"/>
      <w:divBdr>
        <w:top w:val="none" w:sz="0" w:space="0" w:color="auto"/>
        <w:left w:val="none" w:sz="0" w:space="0" w:color="auto"/>
        <w:bottom w:val="none" w:sz="0" w:space="0" w:color="auto"/>
        <w:right w:val="none" w:sz="0" w:space="0" w:color="auto"/>
      </w:divBdr>
    </w:div>
    <w:div w:id="1378965777">
      <w:bodyDiv w:val="1"/>
      <w:marLeft w:val="0"/>
      <w:marRight w:val="0"/>
      <w:marTop w:val="0"/>
      <w:marBottom w:val="0"/>
      <w:divBdr>
        <w:top w:val="none" w:sz="0" w:space="0" w:color="auto"/>
        <w:left w:val="none" w:sz="0" w:space="0" w:color="auto"/>
        <w:bottom w:val="none" w:sz="0" w:space="0" w:color="auto"/>
        <w:right w:val="none" w:sz="0" w:space="0" w:color="auto"/>
      </w:divBdr>
    </w:div>
    <w:div w:id="1381713075">
      <w:bodyDiv w:val="1"/>
      <w:marLeft w:val="0"/>
      <w:marRight w:val="0"/>
      <w:marTop w:val="0"/>
      <w:marBottom w:val="0"/>
      <w:divBdr>
        <w:top w:val="none" w:sz="0" w:space="0" w:color="auto"/>
        <w:left w:val="none" w:sz="0" w:space="0" w:color="auto"/>
        <w:bottom w:val="none" w:sz="0" w:space="0" w:color="auto"/>
        <w:right w:val="none" w:sz="0" w:space="0" w:color="auto"/>
      </w:divBdr>
    </w:div>
    <w:div w:id="1381975100">
      <w:bodyDiv w:val="1"/>
      <w:marLeft w:val="0"/>
      <w:marRight w:val="0"/>
      <w:marTop w:val="0"/>
      <w:marBottom w:val="0"/>
      <w:divBdr>
        <w:top w:val="none" w:sz="0" w:space="0" w:color="auto"/>
        <w:left w:val="none" w:sz="0" w:space="0" w:color="auto"/>
        <w:bottom w:val="none" w:sz="0" w:space="0" w:color="auto"/>
        <w:right w:val="none" w:sz="0" w:space="0" w:color="auto"/>
      </w:divBdr>
    </w:div>
    <w:div w:id="1382630471">
      <w:bodyDiv w:val="1"/>
      <w:marLeft w:val="0"/>
      <w:marRight w:val="0"/>
      <w:marTop w:val="0"/>
      <w:marBottom w:val="0"/>
      <w:divBdr>
        <w:top w:val="none" w:sz="0" w:space="0" w:color="auto"/>
        <w:left w:val="none" w:sz="0" w:space="0" w:color="auto"/>
        <w:bottom w:val="none" w:sz="0" w:space="0" w:color="auto"/>
        <w:right w:val="none" w:sz="0" w:space="0" w:color="auto"/>
      </w:divBdr>
    </w:div>
    <w:div w:id="1383090415">
      <w:bodyDiv w:val="1"/>
      <w:marLeft w:val="0"/>
      <w:marRight w:val="0"/>
      <w:marTop w:val="0"/>
      <w:marBottom w:val="0"/>
      <w:divBdr>
        <w:top w:val="none" w:sz="0" w:space="0" w:color="auto"/>
        <w:left w:val="none" w:sz="0" w:space="0" w:color="auto"/>
        <w:bottom w:val="none" w:sz="0" w:space="0" w:color="auto"/>
        <w:right w:val="none" w:sz="0" w:space="0" w:color="auto"/>
      </w:divBdr>
    </w:div>
    <w:div w:id="1383094221">
      <w:bodyDiv w:val="1"/>
      <w:marLeft w:val="0"/>
      <w:marRight w:val="0"/>
      <w:marTop w:val="0"/>
      <w:marBottom w:val="0"/>
      <w:divBdr>
        <w:top w:val="none" w:sz="0" w:space="0" w:color="auto"/>
        <w:left w:val="none" w:sz="0" w:space="0" w:color="auto"/>
        <w:bottom w:val="none" w:sz="0" w:space="0" w:color="auto"/>
        <w:right w:val="none" w:sz="0" w:space="0" w:color="auto"/>
      </w:divBdr>
    </w:div>
    <w:div w:id="1383557047">
      <w:bodyDiv w:val="1"/>
      <w:marLeft w:val="0"/>
      <w:marRight w:val="0"/>
      <w:marTop w:val="0"/>
      <w:marBottom w:val="0"/>
      <w:divBdr>
        <w:top w:val="none" w:sz="0" w:space="0" w:color="auto"/>
        <w:left w:val="none" w:sz="0" w:space="0" w:color="auto"/>
        <w:bottom w:val="none" w:sz="0" w:space="0" w:color="auto"/>
        <w:right w:val="none" w:sz="0" w:space="0" w:color="auto"/>
      </w:divBdr>
    </w:div>
    <w:div w:id="1383671034">
      <w:bodyDiv w:val="1"/>
      <w:marLeft w:val="0"/>
      <w:marRight w:val="0"/>
      <w:marTop w:val="0"/>
      <w:marBottom w:val="0"/>
      <w:divBdr>
        <w:top w:val="none" w:sz="0" w:space="0" w:color="auto"/>
        <w:left w:val="none" w:sz="0" w:space="0" w:color="auto"/>
        <w:bottom w:val="none" w:sz="0" w:space="0" w:color="auto"/>
        <w:right w:val="none" w:sz="0" w:space="0" w:color="auto"/>
      </w:divBdr>
    </w:div>
    <w:div w:id="1385522316">
      <w:bodyDiv w:val="1"/>
      <w:marLeft w:val="0"/>
      <w:marRight w:val="0"/>
      <w:marTop w:val="0"/>
      <w:marBottom w:val="0"/>
      <w:divBdr>
        <w:top w:val="none" w:sz="0" w:space="0" w:color="auto"/>
        <w:left w:val="none" w:sz="0" w:space="0" w:color="auto"/>
        <w:bottom w:val="none" w:sz="0" w:space="0" w:color="auto"/>
        <w:right w:val="none" w:sz="0" w:space="0" w:color="auto"/>
      </w:divBdr>
    </w:div>
    <w:div w:id="1386174825">
      <w:bodyDiv w:val="1"/>
      <w:marLeft w:val="0"/>
      <w:marRight w:val="0"/>
      <w:marTop w:val="0"/>
      <w:marBottom w:val="0"/>
      <w:divBdr>
        <w:top w:val="none" w:sz="0" w:space="0" w:color="auto"/>
        <w:left w:val="none" w:sz="0" w:space="0" w:color="auto"/>
        <w:bottom w:val="none" w:sz="0" w:space="0" w:color="auto"/>
        <w:right w:val="none" w:sz="0" w:space="0" w:color="auto"/>
      </w:divBdr>
    </w:div>
    <w:div w:id="1386485447">
      <w:bodyDiv w:val="1"/>
      <w:marLeft w:val="0"/>
      <w:marRight w:val="0"/>
      <w:marTop w:val="0"/>
      <w:marBottom w:val="0"/>
      <w:divBdr>
        <w:top w:val="none" w:sz="0" w:space="0" w:color="auto"/>
        <w:left w:val="none" w:sz="0" w:space="0" w:color="auto"/>
        <w:bottom w:val="none" w:sz="0" w:space="0" w:color="auto"/>
        <w:right w:val="none" w:sz="0" w:space="0" w:color="auto"/>
      </w:divBdr>
    </w:div>
    <w:div w:id="1387340308">
      <w:bodyDiv w:val="1"/>
      <w:marLeft w:val="0"/>
      <w:marRight w:val="0"/>
      <w:marTop w:val="0"/>
      <w:marBottom w:val="0"/>
      <w:divBdr>
        <w:top w:val="none" w:sz="0" w:space="0" w:color="auto"/>
        <w:left w:val="none" w:sz="0" w:space="0" w:color="auto"/>
        <w:bottom w:val="none" w:sz="0" w:space="0" w:color="auto"/>
        <w:right w:val="none" w:sz="0" w:space="0" w:color="auto"/>
      </w:divBdr>
    </w:div>
    <w:div w:id="1393037534">
      <w:bodyDiv w:val="1"/>
      <w:marLeft w:val="0"/>
      <w:marRight w:val="0"/>
      <w:marTop w:val="0"/>
      <w:marBottom w:val="0"/>
      <w:divBdr>
        <w:top w:val="none" w:sz="0" w:space="0" w:color="auto"/>
        <w:left w:val="none" w:sz="0" w:space="0" w:color="auto"/>
        <w:bottom w:val="none" w:sz="0" w:space="0" w:color="auto"/>
        <w:right w:val="none" w:sz="0" w:space="0" w:color="auto"/>
      </w:divBdr>
    </w:div>
    <w:div w:id="1393961644">
      <w:bodyDiv w:val="1"/>
      <w:marLeft w:val="0"/>
      <w:marRight w:val="0"/>
      <w:marTop w:val="0"/>
      <w:marBottom w:val="0"/>
      <w:divBdr>
        <w:top w:val="none" w:sz="0" w:space="0" w:color="auto"/>
        <w:left w:val="none" w:sz="0" w:space="0" w:color="auto"/>
        <w:bottom w:val="none" w:sz="0" w:space="0" w:color="auto"/>
        <w:right w:val="none" w:sz="0" w:space="0" w:color="auto"/>
      </w:divBdr>
    </w:div>
    <w:div w:id="1395205266">
      <w:bodyDiv w:val="1"/>
      <w:marLeft w:val="0"/>
      <w:marRight w:val="0"/>
      <w:marTop w:val="0"/>
      <w:marBottom w:val="0"/>
      <w:divBdr>
        <w:top w:val="none" w:sz="0" w:space="0" w:color="auto"/>
        <w:left w:val="none" w:sz="0" w:space="0" w:color="auto"/>
        <w:bottom w:val="none" w:sz="0" w:space="0" w:color="auto"/>
        <w:right w:val="none" w:sz="0" w:space="0" w:color="auto"/>
      </w:divBdr>
    </w:div>
    <w:div w:id="1396852699">
      <w:bodyDiv w:val="1"/>
      <w:marLeft w:val="0"/>
      <w:marRight w:val="0"/>
      <w:marTop w:val="0"/>
      <w:marBottom w:val="0"/>
      <w:divBdr>
        <w:top w:val="none" w:sz="0" w:space="0" w:color="auto"/>
        <w:left w:val="none" w:sz="0" w:space="0" w:color="auto"/>
        <w:bottom w:val="none" w:sz="0" w:space="0" w:color="auto"/>
        <w:right w:val="none" w:sz="0" w:space="0" w:color="auto"/>
      </w:divBdr>
    </w:div>
    <w:div w:id="1397126242">
      <w:bodyDiv w:val="1"/>
      <w:marLeft w:val="0"/>
      <w:marRight w:val="0"/>
      <w:marTop w:val="0"/>
      <w:marBottom w:val="0"/>
      <w:divBdr>
        <w:top w:val="none" w:sz="0" w:space="0" w:color="auto"/>
        <w:left w:val="none" w:sz="0" w:space="0" w:color="auto"/>
        <w:bottom w:val="none" w:sz="0" w:space="0" w:color="auto"/>
        <w:right w:val="none" w:sz="0" w:space="0" w:color="auto"/>
      </w:divBdr>
      <w:divsChild>
        <w:div w:id="333726744">
          <w:marLeft w:val="0"/>
          <w:marRight w:val="0"/>
          <w:marTop w:val="0"/>
          <w:marBottom w:val="0"/>
          <w:divBdr>
            <w:top w:val="none" w:sz="0" w:space="0" w:color="auto"/>
            <w:left w:val="none" w:sz="0" w:space="0" w:color="auto"/>
            <w:bottom w:val="none" w:sz="0" w:space="0" w:color="auto"/>
            <w:right w:val="none" w:sz="0" w:space="0" w:color="auto"/>
          </w:divBdr>
          <w:divsChild>
            <w:div w:id="267391848">
              <w:marLeft w:val="0"/>
              <w:marRight w:val="0"/>
              <w:marTop w:val="0"/>
              <w:marBottom w:val="0"/>
              <w:divBdr>
                <w:top w:val="none" w:sz="0" w:space="0" w:color="auto"/>
                <w:left w:val="none" w:sz="0" w:space="0" w:color="auto"/>
                <w:bottom w:val="none" w:sz="0" w:space="0" w:color="auto"/>
                <w:right w:val="none" w:sz="0" w:space="0" w:color="auto"/>
              </w:divBdr>
              <w:divsChild>
                <w:div w:id="451442997">
                  <w:marLeft w:val="0"/>
                  <w:marRight w:val="0"/>
                  <w:marTop w:val="0"/>
                  <w:marBottom w:val="0"/>
                  <w:divBdr>
                    <w:top w:val="none" w:sz="0" w:space="0" w:color="auto"/>
                    <w:left w:val="none" w:sz="0" w:space="0" w:color="auto"/>
                    <w:bottom w:val="none" w:sz="0" w:space="0" w:color="auto"/>
                    <w:right w:val="none" w:sz="0" w:space="0" w:color="auto"/>
                  </w:divBdr>
                  <w:divsChild>
                    <w:div w:id="19305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97975">
          <w:marLeft w:val="0"/>
          <w:marRight w:val="0"/>
          <w:marTop w:val="0"/>
          <w:marBottom w:val="0"/>
          <w:divBdr>
            <w:top w:val="none" w:sz="0" w:space="0" w:color="auto"/>
            <w:left w:val="none" w:sz="0" w:space="0" w:color="auto"/>
            <w:bottom w:val="none" w:sz="0" w:space="0" w:color="auto"/>
            <w:right w:val="none" w:sz="0" w:space="0" w:color="auto"/>
          </w:divBdr>
          <w:divsChild>
            <w:div w:id="1502236921">
              <w:marLeft w:val="0"/>
              <w:marRight w:val="0"/>
              <w:marTop w:val="0"/>
              <w:marBottom w:val="0"/>
              <w:divBdr>
                <w:top w:val="none" w:sz="0" w:space="0" w:color="auto"/>
                <w:left w:val="none" w:sz="0" w:space="0" w:color="auto"/>
                <w:bottom w:val="none" w:sz="0" w:space="0" w:color="auto"/>
                <w:right w:val="none" w:sz="0" w:space="0" w:color="auto"/>
              </w:divBdr>
              <w:divsChild>
                <w:div w:id="15624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5109">
      <w:bodyDiv w:val="1"/>
      <w:marLeft w:val="0"/>
      <w:marRight w:val="0"/>
      <w:marTop w:val="0"/>
      <w:marBottom w:val="0"/>
      <w:divBdr>
        <w:top w:val="none" w:sz="0" w:space="0" w:color="auto"/>
        <w:left w:val="none" w:sz="0" w:space="0" w:color="auto"/>
        <w:bottom w:val="none" w:sz="0" w:space="0" w:color="auto"/>
        <w:right w:val="none" w:sz="0" w:space="0" w:color="auto"/>
      </w:divBdr>
    </w:div>
    <w:div w:id="1399786217">
      <w:bodyDiv w:val="1"/>
      <w:marLeft w:val="0"/>
      <w:marRight w:val="0"/>
      <w:marTop w:val="0"/>
      <w:marBottom w:val="0"/>
      <w:divBdr>
        <w:top w:val="none" w:sz="0" w:space="0" w:color="auto"/>
        <w:left w:val="none" w:sz="0" w:space="0" w:color="auto"/>
        <w:bottom w:val="none" w:sz="0" w:space="0" w:color="auto"/>
        <w:right w:val="none" w:sz="0" w:space="0" w:color="auto"/>
      </w:divBdr>
    </w:div>
    <w:div w:id="1400401980">
      <w:bodyDiv w:val="1"/>
      <w:marLeft w:val="0"/>
      <w:marRight w:val="0"/>
      <w:marTop w:val="0"/>
      <w:marBottom w:val="0"/>
      <w:divBdr>
        <w:top w:val="none" w:sz="0" w:space="0" w:color="auto"/>
        <w:left w:val="none" w:sz="0" w:space="0" w:color="auto"/>
        <w:bottom w:val="none" w:sz="0" w:space="0" w:color="auto"/>
        <w:right w:val="none" w:sz="0" w:space="0" w:color="auto"/>
      </w:divBdr>
    </w:div>
    <w:div w:id="1403017251">
      <w:bodyDiv w:val="1"/>
      <w:marLeft w:val="0"/>
      <w:marRight w:val="0"/>
      <w:marTop w:val="0"/>
      <w:marBottom w:val="0"/>
      <w:divBdr>
        <w:top w:val="none" w:sz="0" w:space="0" w:color="auto"/>
        <w:left w:val="none" w:sz="0" w:space="0" w:color="auto"/>
        <w:bottom w:val="none" w:sz="0" w:space="0" w:color="auto"/>
        <w:right w:val="none" w:sz="0" w:space="0" w:color="auto"/>
      </w:divBdr>
    </w:div>
    <w:div w:id="1404182121">
      <w:bodyDiv w:val="1"/>
      <w:marLeft w:val="0"/>
      <w:marRight w:val="0"/>
      <w:marTop w:val="0"/>
      <w:marBottom w:val="0"/>
      <w:divBdr>
        <w:top w:val="none" w:sz="0" w:space="0" w:color="auto"/>
        <w:left w:val="none" w:sz="0" w:space="0" w:color="auto"/>
        <w:bottom w:val="none" w:sz="0" w:space="0" w:color="auto"/>
        <w:right w:val="none" w:sz="0" w:space="0" w:color="auto"/>
      </w:divBdr>
    </w:div>
    <w:div w:id="1405906411">
      <w:bodyDiv w:val="1"/>
      <w:marLeft w:val="0"/>
      <w:marRight w:val="0"/>
      <w:marTop w:val="0"/>
      <w:marBottom w:val="0"/>
      <w:divBdr>
        <w:top w:val="none" w:sz="0" w:space="0" w:color="auto"/>
        <w:left w:val="none" w:sz="0" w:space="0" w:color="auto"/>
        <w:bottom w:val="none" w:sz="0" w:space="0" w:color="auto"/>
        <w:right w:val="none" w:sz="0" w:space="0" w:color="auto"/>
      </w:divBdr>
    </w:div>
    <w:div w:id="1406535111">
      <w:bodyDiv w:val="1"/>
      <w:marLeft w:val="0"/>
      <w:marRight w:val="0"/>
      <w:marTop w:val="0"/>
      <w:marBottom w:val="0"/>
      <w:divBdr>
        <w:top w:val="none" w:sz="0" w:space="0" w:color="auto"/>
        <w:left w:val="none" w:sz="0" w:space="0" w:color="auto"/>
        <w:bottom w:val="none" w:sz="0" w:space="0" w:color="auto"/>
        <w:right w:val="none" w:sz="0" w:space="0" w:color="auto"/>
      </w:divBdr>
    </w:div>
    <w:div w:id="1408305890">
      <w:bodyDiv w:val="1"/>
      <w:marLeft w:val="0"/>
      <w:marRight w:val="0"/>
      <w:marTop w:val="0"/>
      <w:marBottom w:val="0"/>
      <w:divBdr>
        <w:top w:val="none" w:sz="0" w:space="0" w:color="auto"/>
        <w:left w:val="none" w:sz="0" w:space="0" w:color="auto"/>
        <w:bottom w:val="none" w:sz="0" w:space="0" w:color="auto"/>
        <w:right w:val="none" w:sz="0" w:space="0" w:color="auto"/>
      </w:divBdr>
    </w:div>
    <w:div w:id="1413427096">
      <w:bodyDiv w:val="1"/>
      <w:marLeft w:val="0"/>
      <w:marRight w:val="0"/>
      <w:marTop w:val="0"/>
      <w:marBottom w:val="0"/>
      <w:divBdr>
        <w:top w:val="none" w:sz="0" w:space="0" w:color="auto"/>
        <w:left w:val="none" w:sz="0" w:space="0" w:color="auto"/>
        <w:bottom w:val="none" w:sz="0" w:space="0" w:color="auto"/>
        <w:right w:val="none" w:sz="0" w:space="0" w:color="auto"/>
      </w:divBdr>
    </w:div>
    <w:div w:id="1414929742">
      <w:bodyDiv w:val="1"/>
      <w:marLeft w:val="0"/>
      <w:marRight w:val="0"/>
      <w:marTop w:val="0"/>
      <w:marBottom w:val="0"/>
      <w:divBdr>
        <w:top w:val="none" w:sz="0" w:space="0" w:color="auto"/>
        <w:left w:val="none" w:sz="0" w:space="0" w:color="auto"/>
        <w:bottom w:val="none" w:sz="0" w:space="0" w:color="auto"/>
        <w:right w:val="none" w:sz="0" w:space="0" w:color="auto"/>
      </w:divBdr>
      <w:divsChild>
        <w:div w:id="1558516356">
          <w:marLeft w:val="0"/>
          <w:marRight w:val="0"/>
          <w:marTop w:val="120"/>
          <w:marBottom w:val="0"/>
          <w:divBdr>
            <w:top w:val="none" w:sz="0" w:space="0" w:color="auto"/>
            <w:left w:val="none" w:sz="0" w:space="0" w:color="auto"/>
            <w:bottom w:val="none" w:sz="0" w:space="0" w:color="auto"/>
            <w:right w:val="none" w:sz="0" w:space="0" w:color="auto"/>
          </w:divBdr>
        </w:div>
        <w:div w:id="1507476617">
          <w:marLeft w:val="0"/>
          <w:marRight w:val="0"/>
          <w:marTop w:val="120"/>
          <w:marBottom w:val="0"/>
          <w:divBdr>
            <w:top w:val="none" w:sz="0" w:space="0" w:color="auto"/>
            <w:left w:val="none" w:sz="0" w:space="0" w:color="auto"/>
            <w:bottom w:val="none" w:sz="0" w:space="0" w:color="auto"/>
            <w:right w:val="none" w:sz="0" w:space="0" w:color="auto"/>
          </w:divBdr>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
    <w:div w:id="1421414496">
      <w:bodyDiv w:val="1"/>
      <w:marLeft w:val="0"/>
      <w:marRight w:val="0"/>
      <w:marTop w:val="0"/>
      <w:marBottom w:val="0"/>
      <w:divBdr>
        <w:top w:val="none" w:sz="0" w:space="0" w:color="auto"/>
        <w:left w:val="none" w:sz="0" w:space="0" w:color="auto"/>
        <w:bottom w:val="none" w:sz="0" w:space="0" w:color="auto"/>
        <w:right w:val="none" w:sz="0" w:space="0" w:color="auto"/>
      </w:divBdr>
    </w:div>
    <w:div w:id="1427578643">
      <w:bodyDiv w:val="1"/>
      <w:marLeft w:val="0"/>
      <w:marRight w:val="0"/>
      <w:marTop w:val="0"/>
      <w:marBottom w:val="0"/>
      <w:divBdr>
        <w:top w:val="none" w:sz="0" w:space="0" w:color="auto"/>
        <w:left w:val="none" w:sz="0" w:space="0" w:color="auto"/>
        <w:bottom w:val="none" w:sz="0" w:space="0" w:color="auto"/>
        <w:right w:val="none" w:sz="0" w:space="0" w:color="auto"/>
      </w:divBdr>
    </w:div>
    <w:div w:id="1430199877">
      <w:bodyDiv w:val="1"/>
      <w:marLeft w:val="0"/>
      <w:marRight w:val="0"/>
      <w:marTop w:val="0"/>
      <w:marBottom w:val="0"/>
      <w:divBdr>
        <w:top w:val="none" w:sz="0" w:space="0" w:color="auto"/>
        <w:left w:val="none" w:sz="0" w:space="0" w:color="auto"/>
        <w:bottom w:val="none" w:sz="0" w:space="0" w:color="auto"/>
        <w:right w:val="none" w:sz="0" w:space="0" w:color="auto"/>
      </w:divBdr>
    </w:div>
    <w:div w:id="1430664756">
      <w:bodyDiv w:val="1"/>
      <w:marLeft w:val="0"/>
      <w:marRight w:val="0"/>
      <w:marTop w:val="0"/>
      <w:marBottom w:val="0"/>
      <w:divBdr>
        <w:top w:val="none" w:sz="0" w:space="0" w:color="auto"/>
        <w:left w:val="none" w:sz="0" w:space="0" w:color="auto"/>
        <w:bottom w:val="none" w:sz="0" w:space="0" w:color="auto"/>
        <w:right w:val="none" w:sz="0" w:space="0" w:color="auto"/>
      </w:divBdr>
    </w:div>
    <w:div w:id="1431200249">
      <w:bodyDiv w:val="1"/>
      <w:marLeft w:val="0"/>
      <w:marRight w:val="0"/>
      <w:marTop w:val="0"/>
      <w:marBottom w:val="0"/>
      <w:divBdr>
        <w:top w:val="none" w:sz="0" w:space="0" w:color="auto"/>
        <w:left w:val="none" w:sz="0" w:space="0" w:color="auto"/>
        <w:bottom w:val="none" w:sz="0" w:space="0" w:color="auto"/>
        <w:right w:val="none" w:sz="0" w:space="0" w:color="auto"/>
      </w:divBdr>
    </w:div>
    <w:div w:id="1432168535">
      <w:bodyDiv w:val="1"/>
      <w:marLeft w:val="0"/>
      <w:marRight w:val="0"/>
      <w:marTop w:val="0"/>
      <w:marBottom w:val="0"/>
      <w:divBdr>
        <w:top w:val="none" w:sz="0" w:space="0" w:color="auto"/>
        <w:left w:val="none" w:sz="0" w:space="0" w:color="auto"/>
        <w:bottom w:val="none" w:sz="0" w:space="0" w:color="auto"/>
        <w:right w:val="none" w:sz="0" w:space="0" w:color="auto"/>
      </w:divBdr>
    </w:div>
    <w:div w:id="1434670958">
      <w:bodyDiv w:val="1"/>
      <w:marLeft w:val="0"/>
      <w:marRight w:val="0"/>
      <w:marTop w:val="0"/>
      <w:marBottom w:val="0"/>
      <w:divBdr>
        <w:top w:val="none" w:sz="0" w:space="0" w:color="auto"/>
        <w:left w:val="none" w:sz="0" w:space="0" w:color="auto"/>
        <w:bottom w:val="none" w:sz="0" w:space="0" w:color="auto"/>
        <w:right w:val="none" w:sz="0" w:space="0" w:color="auto"/>
      </w:divBdr>
    </w:div>
    <w:div w:id="1436094230">
      <w:bodyDiv w:val="1"/>
      <w:marLeft w:val="0"/>
      <w:marRight w:val="0"/>
      <w:marTop w:val="0"/>
      <w:marBottom w:val="0"/>
      <w:divBdr>
        <w:top w:val="none" w:sz="0" w:space="0" w:color="auto"/>
        <w:left w:val="none" w:sz="0" w:space="0" w:color="auto"/>
        <w:bottom w:val="none" w:sz="0" w:space="0" w:color="auto"/>
        <w:right w:val="none" w:sz="0" w:space="0" w:color="auto"/>
      </w:divBdr>
    </w:div>
    <w:div w:id="1436556019">
      <w:bodyDiv w:val="1"/>
      <w:marLeft w:val="0"/>
      <w:marRight w:val="0"/>
      <w:marTop w:val="0"/>
      <w:marBottom w:val="0"/>
      <w:divBdr>
        <w:top w:val="none" w:sz="0" w:space="0" w:color="auto"/>
        <w:left w:val="none" w:sz="0" w:space="0" w:color="auto"/>
        <w:bottom w:val="none" w:sz="0" w:space="0" w:color="auto"/>
        <w:right w:val="none" w:sz="0" w:space="0" w:color="auto"/>
      </w:divBdr>
    </w:div>
    <w:div w:id="1436974666">
      <w:bodyDiv w:val="1"/>
      <w:marLeft w:val="0"/>
      <w:marRight w:val="0"/>
      <w:marTop w:val="0"/>
      <w:marBottom w:val="0"/>
      <w:divBdr>
        <w:top w:val="none" w:sz="0" w:space="0" w:color="auto"/>
        <w:left w:val="none" w:sz="0" w:space="0" w:color="auto"/>
        <w:bottom w:val="none" w:sz="0" w:space="0" w:color="auto"/>
        <w:right w:val="none" w:sz="0" w:space="0" w:color="auto"/>
      </w:divBdr>
    </w:div>
    <w:div w:id="1438208751">
      <w:bodyDiv w:val="1"/>
      <w:marLeft w:val="0"/>
      <w:marRight w:val="0"/>
      <w:marTop w:val="0"/>
      <w:marBottom w:val="0"/>
      <w:divBdr>
        <w:top w:val="none" w:sz="0" w:space="0" w:color="auto"/>
        <w:left w:val="none" w:sz="0" w:space="0" w:color="auto"/>
        <w:bottom w:val="none" w:sz="0" w:space="0" w:color="auto"/>
        <w:right w:val="none" w:sz="0" w:space="0" w:color="auto"/>
      </w:divBdr>
    </w:div>
    <w:div w:id="1442264267">
      <w:bodyDiv w:val="1"/>
      <w:marLeft w:val="0"/>
      <w:marRight w:val="0"/>
      <w:marTop w:val="0"/>
      <w:marBottom w:val="0"/>
      <w:divBdr>
        <w:top w:val="none" w:sz="0" w:space="0" w:color="auto"/>
        <w:left w:val="none" w:sz="0" w:space="0" w:color="auto"/>
        <w:bottom w:val="none" w:sz="0" w:space="0" w:color="auto"/>
        <w:right w:val="none" w:sz="0" w:space="0" w:color="auto"/>
      </w:divBdr>
      <w:divsChild>
        <w:div w:id="788857452">
          <w:marLeft w:val="0"/>
          <w:marRight w:val="0"/>
          <w:marTop w:val="0"/>
          <w:marBottom w:val="0"/>
          <w:divBdr>
            <w:top w:val="none" w:sz="0" w:space="0" w:color="auto"/>
            <w:left w:val="none" w:sz="0" w:space="0" w:color="auto"/>
            <w:bottom w:val="none" w:sz="0" w:space="0" w:color="auto"/>
            <w:right w:val="none" w:sz="0" w:space="0" w:color="auto"/>
          </w:divBdr>
          <w:divsChild>
            <w:div w:id="2047558171">
              <w:marLeft w:val="0"/>
              <w:marRight w:val="0"/>
              <w:marTop w:val="0"/>
              <w:marBottom w:val="0"/>
              <w:divBdr>
                <w:top w:val="none" w:sz="0" w:space="0" w:color="auto"/>
                <w:left w:val="none" w:sz="0" w:space="0" w:color="auto"/>
                <w:bottom w:val="none" w:sz="0" w:space="0" w:color="auto"/>
                <w:right w:val="none" w:sz="0" w:space="0" w:color="auto"/>
              </w:divBdr>
              <w:divsChild>
                <w:div w:id="2000038858">
                  <w:marLeft w:val="0"/>
                  <w:marRight w:val="0"/>
                  <w:marTop w:val="0"/>
                  <w:marBottom w:val="0"/>
                  <w:divBdr>
                    <w:top w:val="none" w:sz="0" w:space="0" w:color="auto"/>
                    <w:left w:val="none" w:sz="0" w:space="0" w:color="auto"/>
                    <w:bottom w:val="none" w:sz="0" w:space="0" w:color="auto"/>
                    <w:right w:val="none" w:sz="0" w:space="0" w:color="auto"/>
                  </w:divBdr>
                  <w:divsChild>
                    <w:div w:id="2132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7873">
          <w:marLeft w:val="0"/>
          <w:marRight w:val="0"/>
          <w:marTop w:val="0"/>
          <w:marBottom w:val="0"/>
          <w:divBdr>
            <w:top w:val="none" w:sz="0" w:space="0" w:color="auto"/>
            <w:left w:val="none" w:sz="0" w:space="0" w:color="auto"/>
            <w:bottom w:val="none" w:sz="0" w:space="0" w:color="auto"/>
            <w:right w:val="none" w:sz="0" w:space="0" w:color="auto"/>
          </w:divBdr>
          <w:divsChild>
            <w:div w:id="420417772">
              <w:marLeft w:val="0"/>
              <w:marRight w:val="0"/>
              <w:marTop w:val="0"/>
              <w:marBottom w:val="0"/>
              <w:divBdr>
                <w:top w:val="none" w:sz="0" w:space="0" w:color="auto"/>
                <w:left w:val="none" w:sz="0" w:space="0" w:color="auto"/>
                <w:bottom w:val="none" w:sz="0" w:space="0" w:color="auto"/>
                <w:right w:val="none" w:sz="0" w:space="0" w:color="auto"/>
              </w:divBdr>
              <w:divsChild>
                <w:div w:id="18686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3693">
      <w:bodyDiv w:val="1"/>
      <w:marLeft w:val="0"/>
      <w:marRight w:val="0"/>
      <w:marTop w:val="0"/>
      <w:marBottom w:val="0"/>
      <w:divBdr>
        <w:top w:val="none" w:sz="0" w:space="0" w:color="auto"/>
        <w:left w:val="none" w:sz="0" w:space="0" w:color="auto"/>
        <w:bottom w:val="none" w:sz="0" w:space="0" w:color="auto"/>
        <w:right w:val="none" w:sz="0" w:space="0" w:color="auto"/>
      </w:divBdr>
    </w:div>
    <w:div w:id="1446273769">
      <w:bodyDiv w:val="1"/>
      <w:marLeft w:val="0"/>
      <w:marRight w:val="0"/>
      <w:marTop w:val="0"/>
      <w:marBottom w:val="0"/>
      <w:divBdr>
        <w:top w:val="none" w:sz="0" w:space="0" w:color="auto"/>
        <w:left w:val="none" w:sz="0" w:space="0" w:color="auto"/>
        <w:bottom w:val="none" w:sz="0" w:space="0" w:color="auto"/>
        <w:right w:val="none" w:sz="0" w:space="0" w:color="auto"/>
      </w:divBdr>
    </w:div>
    <w:div w:id="1446460544">
      <w:bodyDiv w:val="1"/>
      <w:marLeft w:val="0"/>
      <w:marRight w:val="0"/>
      <w:marTop w:val="0"/>
      <w:marBottom w:val="0"/>
      <w:divBdr>
        <w:top w:val="none" w:sz="0" w:space="0" w:color="auto"/>
        <w:left w:val="none" w:sz="0" w:space="0" w:color="auto"/>
        <w:bottom w:val="none" w:sz="0" w:space="0" w:color="auto"/>
        <w:right w:val="none" w:sz="0" w:space="0" w:color="auto"/>
      </w:divBdr>
    </w:div>
    <w:div w:id="1449276154">
      <w:bodyDiv w:val="1"/>
      <w:marLeft w:val="0"/>
      <w:marRight w:val="0"/>
      <w:marTop w:val="0"/>
      <w:marBottom w:val="0"/>
      <w:divBdr>
        <w:top w:val="none" w:sz="0" w:space="0" w:color="auto"/>
        <w:left w:val="none" w:sz="0" w:space="0" w:color="auto"/>
        <w:bottom w:val="none" w:sz="0" w:space="0" w:color="auto"/>
        <w:right w:val="none" w:sz="0" w:space="0" w:color="auto"/>
      </w:divBdr>
      <w:divsChild>
        <w:div w:id="1215311007">
          <w:marLeft w:val="0"/>
          <w:marRight w:val="0"/>
          <w:marTop w:val="0"/>
          <w:marBottom w:val="0"/>
          <w:divBdr>
            <w:top w:val="none" w:sz="0" w:space="0" w:color="auto"/>
            <w:left w:val="none" w:sz="0" w:space="0" w:color="auto"/>
            <w:bottom w:val="none" w:sz="0" w:space="0" w:color="auto"/>
            <w:right w:val="none" w:sz="0" w:space="0" w:color="auto"/>
          </w:divBdr>
          <w:divsChild>
            <w:div w:id="784931613">
              <w:marLeft w:val="0"/>
              <w:marRight w:val="0"/>
              <w:marTop w:val="0"/>
              <w:marBottom w:val="0"/>
              <w:divBdr>
                <w:top w:val="none" w:sz="0" w:space="0" w:color="auto"/>
                <w:left w:val="none" w:sz="0" w:space="0" w:color="auto"/>
                <w:bottom w:val="none" w:sz="0" w:space="0" w:color="auto"/>
                <w:right w:val="none" w:sz="0" w:space="0" w:color="auto"/>
              </w:divBdr>
              <w:divsChild>
                <w:div w:id="16972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03610">
      <w:bodyDiv w:val="1"/>
      <w:marLeft w:val="0"/>
      <w:marRight w:val="0"/>
      <w:marTop w:val="0"/>
      <w:marBottom w:val="0"/>
      <w:divBdr>
        <w:top w:val="none" w:sz="0" w:space="0" w:color="auto"/>
        <w:left w:val="none" w:sz="0" w:space="0" w:color="auto"/>
        <w:bottom w:val="none" w:sz="0" w:space="0" w:color="auto"/>
        <w:right w:val="none" w:sz="0" w:space="0" w:color="auto"/>
      </w:divBdr>
    </w:div>
    <w:div w:id="1453131837">
      <w:bodyDiv w:val="1"/>
      <w:marLeft w:val="0"/>
      <w:marRight w:val="0"/>
      <w:marTop w:val="0"/>
      <w:marBottom w:val="0"/>
      <w:divBdr>
        <w:top w:val="none" w:sz="0" w:space="0" w:color="auto"/>
        <w:left w:val="none" w:sz="0" w:space="0" w:color="auto"/>
        <w:bottom w:val="none" w:sz="0" w:space="0" w:color="auto"/>
        <w:right w:val="none" w:sz="0" w:space="0" w:color="auto"/>
      </w:divBdr>
    </w:div>
    <w:div w:id="1453355386">
      <w:bodyDiv w:val="1"/>
      <w:marLeft w:val="0"/>
      <w:marRight w:val="0"/>
      <w:marTop w:val="0"/>
      <w:marBottom w:val="0"/>
      <w:divBdr>
        <w:top w:val="none" w:sz="0" w:space="0" w:color="auto"/>
        <w:left w:val="none" w:sz="0" w:space="0" w:color="auto"/>
        <w:bottom w:val="none" w:sz="0" w:space="0" w:color="auto"/>
        <w:right w:val="none" w:sz="0" w:space="0" w:color="auto"/>
      </w:divBdr>
    </w:div>
    <w:div w:id="1454204472">
      <w:bodyDiv w:val="1"/>
      <w:marLeft w:val="0"/>
      <w:marRight w:val="0"/>
      <w:marTop w:val="0"/>
      <w:marBottom w:val="0"/>
      <w:divBdr>
        <w:top w:val="none" w:sz="0" w:space="0" w:color="auto"/>
        <w:left w:val="none" w:sz="0" w:space="0" w:color="auto"/>
        <w:bottom w:val="none" w:sz="0" w:space="0" w:color="auto"/>
        <w:right w:val="none" w:sz="0" w:space="0" w:color="auto"/>
      </w:divBdr>
    </w:div>
    <w:div w:id="1454400009">
      <w:bodyDiv w:val="1"/>
      <w:marLeft w:val="0"/>
      <w:marRight w:val="0"/>
      <w:marTop w:val="0"/>
      <w:marBottom w:val="0"/>
      <w:divBdr>
        <w:top w:val="none" w:sz="0" w:space="0" w:color="auto"/>
        <w:left w:val="none" w:sz="0" w:space="0" w:color="auto"/>
        <w:bottom w:val="none" w:sz="0" w:space="0" w:color="auto"/>
        <w:right w:val="none" w:sz="0" w:space="0" w:color="auto"/>
      </w:divBdr>
    </w:div>
    <w:div w:id="1454902645">
      <w:bodyDiv w:val="1"/>
      <w:marLeft w:val="0"/>
      <w:marRight w:val="0"/>
      <w:marTop w:val="0"/>
      <w:marBottom w:val="0"/>
      <w:divBdr>
        <w:top w:val="none" w:sz="0" w:space="0" w:color="auto"/>
        <w:left w:val="none" w:sz="0" w:space="0" w:color="auto"/>
        <w:bottom w:val="none" w:sz="0" w:space="0" w:color="auto"/>
        <w:right w:val="none" w:sz="0" w:space="0" w:color="auto"/>
      </w:divBdr>
    </w:div>
    <w:div w:id="1456752450">
      <w:bodyDiv w:val="1"/>
      <w:marLeft w:val="0"/>
      <w:marRight w:val="0"/>
      <w:marTop w:val="0"/>
      <w:marBottom w:val="0"/>
      <w:divBdr>
        <w:top w:val="none" w:sz="0" w:space="0" w:color="auto"/>
        <w:left w:val="none" w:sz="0" w:space="0" w:color="auto"/>
        <w:bottom w:val="none" w:sz="0" w:space="0" w:color="auto"/>
        <w:right w:val="none" w:sz="0" w:space="0" w:color="auto"/>
      </w:divBdr>
      <w:divsChild>
        <w:div w:id="375470909">
          <w:marLeft w:val="0"/>
          <w:marRight w:val="0"/>
          <w:marTop w:val="0"/>
          <w:marBottom w:val="0"/>
          <w:divBdr>
            <w:top w:val="none" w:sz="0" w:space="0" w:color="auto"/>
            <w:left w:val="none" w:sz="0" w:space="0" w:color="auto"/>
            <w:bottom w:val="none" w:sz="0" w:space="0" w:color="auto"/>
            <w:right w:val="none" w:sz="0" w:space="0" w:color="auto"/>
          </w:divBdr>
          <w:divsChild>
            <w:div w:id="1764841479">
              <w:marLeft w:val="0"/>
              <w:marRight w:val="0"/>
              <w:marTop w:val="0"/>
              <w:marBottom w:val="0"/>
              <w:divBdr>
                <w:top w:val="none" w:sz="0" w:space="0" w:color="auto"/>
                <w:left w:val="none" w:sz="0" w:space="0" w:color="auto"/>
                <w:bottom w:val="none" w:sz="0" w:space="0" w:color="auto"/>
                <w:right w:val="none" w:sz="0" w:space="0" w:color="auto"/>
              </w:divBdr>
              <w:divsChild>
                <w:div w:id="1670209005">
                  <w:marLeft w:val="0"/>
                  <w:marRight w:val="0"/>
                  <w:marTop w:val="0"/>
                  <w:marBottom w:val="0"/>
                  <w:divBdr>
                    <w:top w:val="none" w:sz="0" w:space="0" w:color="auto"/>
                    <w:left w:val="none" w:sz="0" w:space="0" w:color="auto"/>
                    <w:bottom w:val="none" w:sz="0" w:space="0" w:color="auto"/>
                    <w:right w:val="none" w:sz="0" w:space="0" w:color="auto"/>
                  </w:divBdr>
                  <w:divsChild>
                    <w:div w:id="5294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05906">
          <w:marLeft w:val="0"/>
          <w:marRight w:val="0"/>
          <w:marTop w:val="0"/>
          <w:marBottom w:val="0"/>
          <w:divBdr>
            <w:top w:val="none" w:sz="0" w:space="0" w:color="auto"/>
            <w:left w:val="none" w:sz="0" w:space="0" w:color="auto"/>
            <w:bottom w:val="none" w:sz="0" w:space="0" w:color="auto"/>
            <w:right w:val="none" w:sz="0" w:space="0" w:color="auto"/>
          </w:divBdr>
          <w:divsChild>
            <w:div w:id="1268731915">
              <w:marLeft w:val="0"/>
              <w:marRight w:val="0"/>
              <w:marTop w:val="0"/>
              <w:marBottom w:val="0"/>
              <w:divBdr>
                <w:top w:val="none" w:sz="0" w:space="0" w:color="auto"/>
                <w:left w:val="none" w:sz="0" w:space="0" w:color="auto"/>
                <w:bottom w:val="none" w:sz="0" w:space="0" w:color="auto"/>
                <w:right w:val="none" w:sz="0" w:space="0" w:color="auto"/>
              </w:divBdr>
              <w:divsChild>
                <w:div w:id="6068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2151">
      <w:bodyDiv w:val="1"/>
      <w:marLeft w:val="0"/>
      <w:marRight w:val="0"/>
      <w:marTop w:val="0"/>
      <w:marBottom w:val="0"/>
      <w:divBdr>
        <w:top w:val="none" w:sz="0" w:space="0" w:color="auto"/>
        <w:left w:val="none" w:sz="0" w:space="0" w:color="auto"/>
        <w:bottom w:val="none" w:sz="0" w:space="0" w:color="auto"/>
        <w:right w:val="none" w:sz="0" w:space="0" w:color="auto"/>
      </w:divBdr>
    </w:div>
    <w:div w:id="1466118185">
      <w:bodyDiv w:val="1"/>
      <w:marLeft w:val="0"/>
      <w:marRight w:val="0"/>
      <w:marTop w:val="0"/>
      <w:marBottom w:val="0"/>
      <w:divBdr>
        <w:top w:val="none" w:sz="0" w:space="0" w:color="auto"/>
        <w:left w:val="none" w:sz="0" w:space="0" w:color="auto"/>
        <w:bottom w:val="none" w:sz="0" w:space="0" w:color="auto"/>
        <w:right w:val="none" w:sz="0" w:space="0" w:color="auto"/>
      </w:divBdr>
    </w:div>
    <w:div w:id="1467577830">
      <w:bodyDiv w:val="1"/>
      <w:marLeft w:val="0"/>
      <w:marRight w:val="0"/>
      <w:marTop w:val="0"/>
      <w:marBottom w:val="0"/>
      <w:divBdr>
        <w:top w:val="none" w:sz="0" w:space="0" w:color="auto"/>
        <w:left w:val="none" w:sz="0" w:space="0" w:color="auto"/>
        <w:bottom w:val="none" w:sz="0" w:space="0" w:color="auto"/>
        <w:right w:val="none" w:sz="0" w:space="0" w:color="auto"/>
      </w:divBdr>
    </w:div>
    <w:div w:id="1467814204">
      <w:bodyDiv w:val="1"/>
      <w:marLeft w:val="0"/>
      <w:marRight w:val="0"/>
      <w:marTop w:val="0"/>
      <w:marBottom w:val="0"/>
      <w:divBdr>
        <w:top w:val="none" w:sz="0" w:space="0" w:color="auto"/>
        <w:left w:val="none" w:sz="0" w:space="0" w:color="auto"/>
        <w:bottom w:val="none" w:sz="0" w:space="0" w:color="auto"/>
        <w:right w:val="none" w:sz="0" w:space="0" w:color="auto"/>
      </w:divBdr>
    </w:div>
    <w:div w:id="1469740310">
      <w:bodyDiv w:val="1"/>
      <w:marLeft w:val="0"/>
      <w:marRight w:val="0"/>
      <w:marTop w:val="0"/>
      <w:marBottom w:val="0"/>
      <w:divBdr>
        <w:top w:val="none" w:sz="0" w:space="0" w:color="auto"/>
        <w:left w:val="none" w:sz="0" w:space="0" w:color="auto"/>
        <w:bottom w:val="none" w:sz="0" w:space="0" w:color="auto"/>
        <w:right w:val="none" w:sz="0" w:space="0" w:color="auto"/>
      </w:divBdr>
    </w:div>
    <w:div w:id="1470249182">
      <w:bodyDiv w:val="1"/>
      <w:marLeft w:val="0"/>
      <w:marRight w:val="0"/>
      <w:marTop w:val="0"/>
      <w:marBottom w:val="0"/>
      <w:divBdr>
        <w:top w:val="none" w:sz="0" w:space="0" w:color="auto"/>
        <w:left w:val="none" w:sz="0" w:space="0" w:color="auto"/>
        <w:bottom w:val="none" w:sz="0" w:space="0" w:color="auto"/>
        <w:right w:val="none" w:sz="0" w:space="0" w:color="auto"/>
      </w:divBdr>
    </w:div>
    <w:div w:id="1472480191">
      <w:bodyDiv w:val="1"/>
      <w:marLeft w:val="0"/>
      <w:marRight w:val="0"/>
      <w:marTop w:val="0"/>
      <w:marBottom w:val="0"/>
      <w:divBdr>
        <w:top w:val="none" w:sz="0" w:space="0" w:color="auto"/>
        <w:left w:val="none" w:sz="0" w:space="0" w:color="auto"/>
        <w:bottom w:val="none" w:sz="0" w:space="0" w:color="auto"/>
        <w:right w:val="none" w:sz="0" w:space="0" w:color="auto"/>
      </w:divBdr>
    </w:div>
    <w:div w:id="1473324835">
      <w:bodyDiv w:val="1"/>
      <w:marLeft w:val="0"/>
      <w:marRight w:val="0"/>
      <w:marTop w:val="0"/>
      <w:marBottom w:val="0"/>
      <w:divBdr>
        <w:top w:val="none" w:sz="0" w:space="0" w:color="auto"/>
        <w:left w:val="none" w:sz="0" w:space="0" w:color="auto"/>
        <w:bottom w:val="none" w:sz="0" w:space="0" w:color="auto"/>
        <w:right w:val="none" w:sz="0" w:space="0" w:color="auto"/>
      </w:divBdr>
    </w:div>
    <w:div w:id="1473524195">
      <w:bodyDiv w:val="1"/>
      <w:marLeft w:val="0"/>
      <w:marRight w:val="0"/>
      <w:marTop w:val="0"/>
      <w:marBottom w:val="0"/>
      <w:divBdr>
        <w:top w:val="none" w:sz="0" w:space="0" w:color="auto"/>
        <w:left w:val="none" w:sz="0" w:space="0" w:color="auto"/>
        <w:bottom w:val="none" w:sz="0" w:space="0" w:color="auto"/>
        <w:right w:val="none" w:sz="0" w:space="0" w:color="auto"/>
      </w:divBdr>
    </w:div>
    <w:div w:id="1478299650">
      <w:bodyDiv w:val="1"/>
      <w:marLeft w:val="0"/>
      <w:marRight w:val="0"/>
      <w:marTop w:val="0"/>
      <w:marBottom w:val="0"/>
      <w:divBdr>
        <w:top w:val="none" w:sz="0" w:space="0" w:color="auto"/>
        <w:left w:val="none" w:sz="0" w:space="0" w:color="auto"/>
        <w:bottom w:val="none" w:sz="0" w:space="0" w:color="auto"/>
        <w:right w:val="none" w:sz="0" w:space="0" w:color="auto"/>
      </w:divBdr>
    </w:div>
    <w:div w:id="1483231825">
      <w:bodyDiv w:val="1"/>
      <w:marLeft w:val="0"/>
      <w:marRight w:val="0"/>
      <w:marTop w:val="0"/>
      <w:marBottom w:val="0"/>
      <w:divBdr>
        <w:top w:val="none" w:sz="0" w:space="0" w:color="auto"/>
        <w:left w:val="none" w:sz="0" w:space="0" w:color="auto"/>
        <w:bottom w:val="none" w:sz="0" w:space="0" w:color="auto"/>
        <w:right w:val="none" w:sz="0" w:space="0" w:color="auto"/>
      </w:divBdr>
    </w:div>
    <w:div w:id="1485783426">
      <w:bodyDiv w:val="1"/>
      <w:marLeft w:val="0"/>
      <w:marRight w:val="0"/>
      <w:marTop w:val="0"/>
      <w:marBottom w:val="0"/>
      <w:divBdr>
        <w:top w:val="none" w:sz="0" w:space="0" w:color="auto"/>
        <w:left w:val="none" w:sz="0" w:space="0" w:color="auto"/>
        <w:bottom w:val="none" w:sz="0" w:space="0" w:color="auto"/>
        <w:right w:val="none" w:sz="0" w:space="0" w:color="auto"/>
      </w:divBdr>
    </w:div>
    <w:div w:id="1485924866">
      <w:bodyDiv w:val="1"/>
      <w:marLeft w:val="0"/>
      <w:marRight w:val="0"/>
      <w:marTop w:val="0"/>
      <w:marBottom w:val="0"/>
      <w:divBdr>
        <w:top w:val="none" w:sz="0" w:space="0" w:color="auto"/>
        <w:left w:val="none" w:sz="0" w:space="0" w:color="auto"/>
        <w:bottom w:val="none" w:sz="0" w:space="0" w:color="auto"/>
        <w:right w:val="none" w:sz="0" w:space="0" w:color="auto"/>
      </w:divBdr>
    </w:div>
    <w:div w:id="1488204398">
      <w:bodyDiv w:val="1"/>
      <w:marLeft w:val="0"/>
      <w:marRight w:val="0"/>
      <w:marTop w:val="0"/>
      <w:marBottom w:val="0"/>
      <w:divBdr>
        <w:top w:val="none" w:sz="0" w:space="0" w:color="auto"/>
        <w:left w:val="none" w:sz="0" w:space="0" w:color="auto"/>
        <w:bottom w:val="none" w:sz="0" w:space="0" w:color="auto"/>
        <w:right w:val="none" w:sz="0" w:space="0" w:color="auto"/>
      </w:divBdr>
    </w:div>
    <w:div w:id="1488278601">
      <w:bodyDiv w:val="1"/>
      <w:marLeft w:val="0"/>
      <w:marRight w:val="0"/>
      <w:marTop w:val="0"/>
      <w:marBottom w:val="0"/>
      <w:divBdr>
        <w:top w:val="none" w:sz="0" w:space="0" w:color="auto"/>
        <w:left w:val="none" w:sz="0" w:space="0" w:color="auto"/>
        <w:bottom w:val="none" w:sz="0" w:space="0" w:color="auto"/>
        <w:right w:val="none" w:sz="0" w:space="0" w:color="auto"/>
      </w:divBdr>
    </w:div>
    <w:div w:id="1489713734">
      <w:bodyDiv w:val="1"/>
      <w:marLeft w:val="0"/>
      <w:marRight w:val="0"/>
      <w:marTop w:val="0"/>
      <w:marBottom w:val="0"/>
      <w:divBdr>
        <w:top w:val="none" w:sz="0" w:space="0" w:color="auto"/>
        <w:left w:val="none" w:sz="0" w:space="0" w:color="auto"/>
        <w:bottom w:val="none" w:sz="0" w:space="0" w:color="auto"/>
        <w:right w:val="none" w:sz="0" w:space="0" w:color="auto"/>
      </w:divBdr>
    </w:div>
    <w:div w:id="1494101576">
      <w:bodyDiv w:val="1"/>
      <w:marLeft w:val="0"/>
      <w:marRight w:val="0"/>
      <w:marTop w:val="0"/>
      <w:marBottom w:val="0"/>
      <w:divBdr>
        <w:top w:val="none" w:sz="0" w:space="0" w:color="auto"/>
        <w:left w:val="none" w:sz="0" w:space="0" w:color="auto"/>
        <w:bottom w:val="none" w:sz="0" w:space="0" w:color="auto"/>
        <w:right w:val="none" w:sz="0" w:space="0" w:color="auto"/>
      </w:divBdr>
      <w:divsChild>
        <w:div w:id="254364896">
          <w:marLeft w:val="0"/>
          <w:marRight w:val="0"/>
          <w:marTop w:val="0"/>
          <w:marBottom w:val="0"/>
          <w:divBdr>
            <w:top w:val="none" w:sz="0" w:space="0" w:color="auto"/>
            <w:left w:val="none" w:sz="0" w:space="0" w:color="auto"/>
            <w:bottom w:val="none" w:sz="0" w:space="0" w:color="auto"/>
            <w:right w:val="none" w:sz="0" w:space="0" w:color="auto"/>
          </w:divBdr>
          <w:divsChild>
            <w:div w:id="1976717495">
              <w:marLeft w:val="0"/>
              <w:marRight w:val="0"/>
              <w:marTop w:val="0"/>
              <w:marBottom w:val="0"/>
              <w:divBdr>
                <w:top w:val="none" w:sz="0" w:space="0" w:color="auto"/>
                <w:left w:val="none" w:sz="0" w:space="0" w:color="auto"/>
                <w:bottom w:val="none" w:sz="0" w:space="0" w:color="auto"/>
                <w:right w:val="none" w:sz="0" w:space="0" w:color="auto"/>
              </w:divBdr>
              <w:divsChild>
                <w:div w:id="265617678">
                  <w:marLeft w:val="0"/>
                  <w:marRight w:val="0"/>
                  <w:marTop w:val="0"/>
                  <w:marBottom w:val="0"/>
                  <w:divBdr>
                    <w:top w:val="none" w:sz="0" w:space="0" w:color="auto"/>
                    <w:left w:val="none" w:sz="0" w:space="0" w:color="auto"/>
                    <w:bottom w:val="none" w:sz="0" w:space="0" w:color="auto"/>
                    <w:right w:val="none" w:sz="0" w:space="0" w:color="auto"/>
                  </w:divBdr>
                  <w:divsChild>
                    <w:div w:id="8726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95930">
          <w:marLeft w:val="0"/>
          <w:marRight w:val="0"/>
          <w:marTop w:val="0"/>
          <w:marBottom w:val="0"/>
          <w:divBdr>
            <w:top w:val="none" w:sz="0" w:space="0" w:color="auto"/>
            <w:left w:val="none" w:sz="0" w:space="0" w:color="auto"/>
            <w:bottom w:val="none" w:sz="0" w:space="0" w:color="auto"/>
            <w:right w:val="none" w:sz="0" w:space="0" w:color="auto"/>
          </w:divBdr>
          <w:divsChild>
            <w:div w:id="1169247923">
              <w:marLeft w:val="0"/>
              <w:marRight w:val="0"/>
              <w:marTop w:val="0"/>
              <w:marBottom w:val="0"/>
              <w:divBdr>
                <w:top w:val="none" w:sz="0" w:space="0" w:color="auto"/>
                <w:left w:val="none" w:sz="0" w:space="0" w:color="auto"/>
                <w:bottom w:val="none" w:sz="0" w:space="0" w:color="auto"/>
                <w:right w:val="none" w:sz="0" w:space="0" w:color="auto"/>
              </w:divBdr>
              <w:divsChild>
                <w:div w:id="10569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97271">
      <w:bodyDiv w:val="1"/>
      <w:marLeft w:val="0"/>
      <w:marRight w:val="0"/>
      <w:marTop w:val="0"/>
      <w:marBottom w:val="0"/>
      <w:divBdr>
        <w:top w:val="none" w:sz="0" w:space="0" w:color="auto"/>
        <w:left w:val="none" w:sz="0" w:space="0" w:color="auto"/>
        <w:bottom w:val="none" w:sz="0" w:space="0" w:color="auto"/>
        <w:right w:val="none" w:sz="0" w:space="0" w:color="auto"/>
      </w:divBdr>
    </w:div>
    <w:div w:id="1500652499">
      <w:bodyDiv w:val="1"/>
      <w:marLeft w:val="0"/>
      <w:marRight w:val="0"/>
      <w:marTop w:val="0"/>
      <w:marBottom w:val="0"/>
      <w:divBdr>
        <w:top w:val="none" w:sz="0" w:space="0" w:color="auto"/>
        <w:left w:val="none" w:sz="0" w:space="0" w:color="auto"/>
        <w:bottom w:val="none" w:sz="0" w:space="0" w:color="auto"/>
        <w:right w:val="none" w:sz="0" w:space="0" w:color="auto"/>
      </w:divBdr>
    </w:div>
    <w:div w:id="1502113955">
      <w:bodyDiv w:val="1"/>
      <w:marLeft w:val="0"/>
      <w:marRight w:val="0"/>
      <w:marTop w:val="0"/>
      <w:marBottom w:val="0"/>
      <w:divBdr>
        <w:top w:val="none" w:sz="0" w:space="0" w:color="auto"/>
        <w:left w:val="none" w:sz="0" w:space="0" w:color="auto"/>
        <w:bottom w:val="none" w:sz="0" w:space="0" w:color="auto"/>
        <w:right w:val="none" w:sz="0" w:space="0" w:color="auto"/>
      </w:divBdr>
      <w:divsChild>
        <w:div w:id="209615189">
          <w:marLeft w:val="0"/>
          <w:marRight w:val="0"/>
          <w:marTop w:val="0"/>
          <w:marBottom w:val="0"/>
          <w:divBdr>
            <w:top w:val="none" w:sz="0" w:space="0" w:color="auto"/>
            <w:left w:val="none" w:sz="0" w:space="0" w:color="auto"/>
            <w:bottom w:val="none" w:sz="0" w:space="0" w:color="auto"/>
            <w:right w:val="none" w:sz="0" w:space="0" w:color="auto"/>
          </w:divBdr>
          <w:divsChild>
            <w:div w:id="1544558694">
              <w:marLeft w:val="0"/>
              <w:marRight w:val="0"/>
              <w:marTop w:val="0"/>
              <w:marBottom w:val="0"/>
              <w:divBdr>
                <w:top w:val="none" w:sz="0" w:space="0" w:color="auto"/>
                <w:left w:val="none" w:sz="0" w:space="0" w:color="auto"/>
                <w:bottom w:val="none" w:sz="0" w:space="0" w:color="auto"/>
                <w:right w:val="none" w:sz="0" w:space="0" w:color="auto"/>
              </w:divBdr>
              <w:divsChild>
                <w:div w:id="6837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88849">
      <w:bodyDiv w:val="1"/>
      <w:marLeft w:val="0"/>
      <w:marRight w:val="0"/>
      <w:marTop w:val="0"/>
      <w:marBottom w:val="0"/>
      <w:divBdr>
        <w:top w:val="none" w:sz="0" w:space="0" w:color="auto"/>
        <w:left w:val="none" w:sz="0" w:space="0" w:color="auto"/>
        <w:bottom w:val="none" w:sz="0" w:space="0" w:color="auto"/>
        <w:right w:val="none" w:sz="0" w:space="0" w:color="auto"/>
      </w:divBdr>
    </w:div>
    <w:div w:id="1506284087">
      <w:bodyDiv w:val="1"/>
      <w:marLeft w:val="0"/>
      <w:marRight w:val="0"/>
      <w:marTop w:val="0"/>
      <w:marBottom w:val="0"/>
      <w:divBdr>
        <w:top w:val="none" w:sz="0" w:space="0" w:color="auto"/>
        <w:left w:val="none" w:sz="0" w:space="0" w:color="auto"/>
        <w:bottom w:val="none" w:sz="0" w:space="0" w:color="auto"/>
        <w:right w:val="none" w:sz="0" w:space="0" w:color="auto"/>
      </w:divBdr>
      <w:divsChild>
        <w:div w:id="569579674">
          <w:marLeft w:val="0"/>
          <w:marRight w:val="0"/>
          <w:marTop w:val="0"/>
          <w:marBottom w:val="0"/>
          <w:divBdr>
            <w:top w:val="none" w:sz="0" w:space="0" w:color="auto"/>
            <w:left w:val="none" w:sz="0" w:space="0" w:color="auto"/>
            <w:bottom w:val="none" w:sz="0" w:space="0" w:color="auto"/>
            <w:right w:val="none" w:sz="0" w:space="0" w:color="auto"/>
          </w:divBdr>
          <w:divsChild>
            <w:div w:id="1698656508">
              <w:marLeft w:val="0"/>
              <w:marRight w:val="0"/>
              <w:marTop w:val="0"/>
              <w:marBottom w:val="0"/>
              <w:divBdr>
                <w:top w:val="none" w:sz="0" w:space="0" w:color="auto"/>
                <w:left w:val="none" w:sz="0" w:space="0" w:color="auto"/>
                <w:bottom w:val="none" w:sz="0" w:space="0" w:color="auto"/>
                <w:right w:val="none" w:sz="0" w:space="0" w:color="auto"/>
              </w:divBdr>
              <w:divsChild>
                <w:div w:id="11623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3786">
          <w:marLeft w:val="0"/>
          <w:marRight w:val="0"/>
          <w:marTop w:val="0"/>
          <w:marBottom w:val="0"/>
          <w:divBdr>
            <w:top w:val="none" w:sz="0" w:space="0" w:color="auto"/>
            <w:left w:val="none" w:sz="0" w:space="0" w:color="auto"/>
            <w:bottom w:val="none" w:sz="0" w:space="0" w:color="auto"/>
            <w:right w:val="none" w:sz="0" w:space="0" w:color="auto"/>
          </w:divBdr>
          <w:divsChild>
            <w:div w:id="1361589901">
              <w:marLeft w:val="0"/>
              <w:marRight w:val="0"/>
              <w:marTop w:val="0"/>
              <w:marBottom w:val="0"/>
              <w:divBdr>
                <w:top w:val="none" w:sz="0" w:space="0" w:color="auto"/>
                <w:left w:val="none" w:sz="0" w:space="0" w:color="auto"/>
                <w:bottom w:val="none" w:sz="0" w:space="0" w:color="auto"/>
                <w:right w:val="none" w:sz="0" w:space="0" w:color="auto"/>
              </w:divBdr>
              <w:divsChild>
                <w:div w:id="919754193">
                  <w:marLeft w:val="0"/>
                  <w:marRight w:val="0"/>
                  <w:marTop w:val="0"/>
                  <w:marBottom w:val="0"/>
                  <w:divBdr>
                    <w:top w:val="none" w:sz="0" w:space="0" w:color="auto"/>
                    <w:left w:val="none" w:sz="0" w:space="0" w:color="auto"/>
                    <w:bottom w:val="none" w:sz="0" w:space="0" w:color="auto"/>
                    <w:right w:val="none" w:sz="0" w:space="0" w:color="auto"/>
                  </w:divBdr>
                  <w:divsChild>
                    <w:div w:id="196018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477495">
      <w:bodyDiv w:val="1"/>
      <w:marLeft w:val="0"/>
      <w:marRight w:val="0"/>
      <w:marTop w:val="0"/>
      <w:marBottom w:val="0"/>
      <w:divBdr>
        <w:top w:val="none" w:sz="0" w:space="0" w:color="auto"/>
        <w:left w:val="none" w:sz="0" w:space="0" w:color="auto"/>
        <w:bottom w:val="none" w:sz="0" w:space="0" w:color="auto"/>
        <w:right w:val="none" w:sz="0" w:space="0" w:color="auto"/>
      </w:divBdr>
    </w:div>
    <w:div w:id="1507672640">
      <w:bodyDiv w:val="1"/>
      <w:marLeft w:val="0"/>
      <w:marRight w:val="0"/>
      <w:marTop w:val="0"/>
      <w:marBottom w:val="0"/>
      <w:divBdr>
        <w:top w:val="none" w:sz="0" w:space="0" w:color="auto"/>
        <w:left w:val="none" w:sz="0" w:space="0" w:color="auto"/>
        <w:bottom w:val="none" w:sz="0" w:space="0" w:color="auto"/>
        <w:right w:val="none" w:sz="0" w:space="0" w:color="auto"/>
      </w:divBdr>
    </w:div>
    <w:div w:id="1508714864">
      <w:bodyDiv w:val="1"/>
      <w:marLeft w:val="0"/>
      <w:marRight w:val="0"/>
      <w:marTop w:val="0"/>
      <w:marBottom w:val="0"/>
      <w:divBdr>
        <w:top w:val="none" w:sz="0" w:space="0" w:color="auto"/>
        <w:left w:val="none" w:sz="0" w:space="0" w:color="auto"/>
        <w:bottom w:val="none" w:sz="0" w:space="0" w:color="auto"/>
        <w:right w:val="none" w:sz="0" w:space="0" w:color="auto"/>
      </w:divBdr>
    </w:div>
    <w:div w:id="1510677618">
      <w:bodyDiv w:val="1"/>
      <w:marLeft w:val="0"/>
      <w:marRight w:val="0"/>
      <w:marTop w:val="0"/>
      <w:marBottom w:val="0"/>
      <w:divBdr>
        <w:top w:val="none" w:sz="0" w:space="0" w:color="auto"/>
        <w:left w:val="none" w:sz="0" w:space="0" w:color="auto"/>
        <w:bottom w:val="none" w:sz="0" w:space="0" w:color="auto"/>
        <w:right w:val="none" w:sz="0" w:space="0" w:color="auto"/>
      </w:divBdr>
    </w:div>
    <w:div w:id="1511018467">
      <w:bodyDiv w:val="1"/>
      <w:marLeft w:val="0"/>
      <w:marRight w:val="0"/>
      <w:marTop w:val="0"/>
      <w:marBottom w:val="0"/>
      <w:divBdr>
        <w:top w:val="none" w:sz="0" w:space="0" w:color="auto"/>
        <w:left w:val="none" w:sz="0" w:space="0" w:color="auto"/>
        <w:bottom w:val="none" w:sz="0" w:space="0" w:color="auto"/>
        <w:right w:val="none" w:sz="0" w:space="0" w:color="auto"/>
      </w:divBdr>
    </w:div>
    <w:div w:id="1513298209">
      <w:bodyDiv w:val="1"/>
      <w:marLeft w:val="0"/>
      <w:marRight w:val="0"/>
      <w:marTop w:val="0"/>
      <w:marBottom w:val="0"/>
      <w:divBdr>
        <w:top w:val="none" w:sz="0" w:space="0" w:color="auto"/>
        <w:left w:val="none" w:sz="0" w:space="0" w:color="auto"/>
        <w:bottom w:val="none" w:sz="0" w:space="0" w:color="auto"/>
        <w:right w:val="none" w:sz="0" w:space="0" w:color="auto"/>
      </w:divBdr>
    </w:div>
    <w:div w:id="1519812492">
      <w:bodyDiv w:val="1"/>
      <w:marLeft w:val="0"/>
      <w:marRight w:val="0"/>
      <w:marTop w:val="0"/>
      <w:marBottom w:val="0"/>
      <w:divBdr>
        <w:top w:val="none" w:sz="0" w:space="0" w:color="auto"/>
        <w:left w:val="none" w:sz="0" w:space="0" w:color="auto"/>
        <w:bottom w:val="none" w:sz="0" w:space="0" w:color="auto"/>
        <w:right w:val="none" w:sz="0" w:space="0" w:color="auto"/>
      </w:divBdr>
    </w:div>
    <w:div w:id="1519923375">
      <w:bodyDiv w:val="1"/>
      <w:marLeft w:val="0"/>
      <w:marRight w:val="0"/>
      <w:marTop w:val="0"/>
      <w:marBottom w:val="0"/>
      <w:divBdr>
        <w:top w:val="none" w:sz="0" w:space="0" w:color="auto"/>
        <w:left w:val="none" w:sz="0" w:space="0" w:color="auto"/>
        <w:bottom w:val="none" w:sz="0" w:space="0" w:color="auto"/>
        <w:right w:val="none" w:sz="0" w:space="0" w:color="auto"/>
      </w:divBdr>
    </w:div>
    <w:div w:id="1520122480">
      <w:bodyDiv w:val="1"/>
      <w:marLeft w:val="0"/>
      <w:marRight w:val="0"/>
      <w:marTop w:val="0"/>
      <w:marBottom w:val="0"/>
      <w:divBdr>
        <w:top w:val="none" w:sz="0" w:space="0" w:color="auto"/>
        <w:left w:val="none" w:sz="0" w:space="0" w:color="auto"/>
        <w:bottom w:val="none" w:sz="0" w:space="0" w:color="auto"/>
        <w:right w:val="none" w:sz="0" w:space="0" w:color="auto"/>
      </w:divBdr>
    </w:div>
    <w:div w:id="1520241766">
      <w:bodyDiv w:val="1"/>
      <w:marLeft w:val="0"/>
      <w:marRight w:val="0"/>
      <w:marTop w:val="0"/>
      <w:marBottom w:val="0"/>
      <w:divBdr>
        <w:top w:val="none" w:sz="0" w:space="0" w:color="auto"/>
        <w:left w:val="none" w:sz="0" w:space="0" w:color="auto"/>
        <w:bottom w:val="none" w:sz="0" w:space="0" w:color="auto"/>
        <w:right w:val="none" w:sz="0" w:space="0" w:color="auto"/>
      </w:divBdr>
    </w:div>
    <w:div w:id="1521356557">
      <w:bodyDiv w:val="1"/>
      <w:marLeft w:val="0"/>
      <w:marRight w:val="0"/>
      <w:marTop w:val="0"/>
      <w:marBottom w:val="0"/>
      <w:divBdr>
        <w:top w:val="none" w:sz="0" w:space="0" w:color="auto"/>
        <w:left w:val="none" w:sz="0" w:space="0" w:color="auto"/>
        <w:bottom w:val="none" w:sz="0" w:space="0" w:color="auto"/>
        <w:right w:val="none" w:sz="0" w:space="0" w:color="auto"/>
      </w:divBdr>
    </w:div>
    <w:div w:id="1522279167">
      <w:bodyDiv w:val="1"/>
      <w:marLeft w:val="0"/>
      <w:marRight w:val="0"/>
      <w:marTop w:val="0"/>
      <w:marBottom w:val="0"/>
      <w:divBdr>
        <w:top w:val="none" w:sz="0" w:space="0" w:color="auto"/>
        <w:left w:val="none" w:sz="0" w:space="0" w:color="auto"/>
        <w:bottom w:val="none" w:sz="0" w:space="0" w:color="auto"/>
        <w:right w:val="none" w:sz="0" w:space="0" w:color="auto"/>
      </w:divBdr>
    </w:div>
    <w:div w:id="1523713698">
      <w:bodyDiv w:val="1"/>
      <w:marLeft w:val="0"/>
      <w:marRight w:val="0"/>
      <w:marTop w:val="0"/>
      <w:marBottom w:val="0"/>
      <w:divBdr>
        <w:top w:val="none" w:sz="0" w:space="0" w:color="auto"/>
        <w:left w:val="none" w:sz="0" w:space="0" w:color="auto"/>
        <w:bottom w:val="none" w:sz="0" w:space="0" w:color="auto"/>
        <w:right w:val="none" w:sz="0" w:space="0" w:color="auto"/>
      </w:divBdr>
    </w:div>
    <w:div w:id="1531532464">
      <w:bodyDiv w:val="1"/>
      <w:marLeft w:val="0"/>
      <w:marRight w:val="0"/>
      <w:marTop w:val="0"/>
      <w:marBottom w:val="0"/>
      <w:divBdr>
        <w:top w:val="none" w:sz="0" w:space="0" w:color="auto"/>
        <w:left w:val="none" w:sz="0" w:space="0" w:color="auto"/>
        <w:bottom w:val="none" w:sz="0" w:space="0" w:color="auto"/>
        <w:right w:val="none" w:sz="0" w:space="0" w:color="auto"/>
      </w:divBdr>
    </w:div>
    <w:div w:id="1534263931">
      <w:bodyDiv w:val="1"/>
      <w:marLeft w:val="0"/>
      <w:marRight w:val="0"/>
      <w:marTop w:val="0"/>
      <w:marBottom w:val="0"/>
      <w:divBdr>
        <w:top w:val="none" w:sz="0" w:space="0" w:color="auto"/>
        <w:left w:val="none" w:sz="0" w:space="0" w:color="auto"/>
        <w:bottom w:val="none" w:sz="0" w:space="0" w:color="auto"/>
        <w:right w:val="none" w:sz="0" w:space="0" w:color="auto"/>
      </w:divBdr>
    </w:div>
    <w:div w:id="1538006736">
      <w:bodyDiv w:val="1"/>
      <w:marLeft w:val="0"/>
      <w:marRight w:val="0"/>
      <w:marTop w:val="0"/>
      <w:marBottom w:val="0"/>
      <w:divBdr>
        <w:top w:val="none" w:sz="0" w:space="0" w:color="auto"/>
        <w:left w:val="none" w:sz="0" w:space="0" w:color="auto"/>
        <w:bottom w:val="none" w:sz="0" w:space="0" w:color="auto"/>
        <w:right w:val="none" w:sz="0" w:space="0" w:color="auto"/>
      </w:divBdr>
    </w:div>
    <w:div w:id="1540123738">
      <w:bodyDiv w:val="1"/>
      <w:marLeft w:val="0"/>
      <w:marRight w:val="0"/>
      <w:marTop w:val="0"/>
      <w:marBottom w:val="0"/>
      <w:divBdr>
        <w:top w:val="none" w:sz="0" w:space="0" w:color="auto"/>
        <w:left w:val="none" w:sz="0" w:space="0" w:color="auto"/>
        <w:bottom w:val="none" w:sz="0" w:space="0" w:color="auto"/>
        <w:right w:val="none" w:sz="0" w:space="0" w:color="auto"/>
      </w:divBdr>
    </w:div>
    <w:div w:id="1541893093">
      <w:bodyDiv w:val="1"/>
      <w:marLeft w:val="0"/>
      <w:marRight w:val="0"/>
      <w:marTop w:val="0"/>
      <w:marBottom w:val="0"/>
      <w:divBdr>
        <w:top w:val="none" w:sz="0" w:space="0" w:color="auto"/>
        <w:left w:val="none" w:sz="0" w:space="0" w:color="auto"/>
        <w:bottom w:val="none" w:sz="0" w:space="0" w:color="auto"/>
        <w:right w:val="none" w:sz="0" w:space="0" w:color="auto"/>
      </w:divBdr>
    </w:div>
    <w:div w:id="1542399576">
      <w:bodyDiv w:val="1"/>
      <w:marLeft w:val="0"/>
      <w:marRight w:val="0"/>
      <w:marTop w:val="0"/>
      <w:marBottom w:val="0"/>
      <w:divBdr>
        <w:top w:val="none" w:sz="0" w:space="0" w:color="auto"/>
        <w:left w:val="none" w:sz="0" w:space="0" w:color="auto"/>
        <w:bottom w:val="none" w:sz="0" w:space="0" w:color="auto"/>
        <w:right w:val="none" w:sz="0" w:space="0" w:color="auto"/>
      </w:divBdr>
    </w:div>
    <w:div w:id="1543590405">
      <w:bodyDiv w:val="1"/>
      <w:marLeft w:val="0"/>
      <w:marRight w:val="0"/>
      <w:marTop w:val="0"/>
      <w:marBottom w:val="0"/>
      <w:divBdr>
        <w:top w:val="none" w:sz="0" w:space="0" w:color="auto"/>
        <w:left w:val="none" w:sz="0" w:space="0" w:color="auto"/>
        <w:bottom w:val="none" w:sz="0" w:space="0" w:color="auto"/>
        <w:right w:val="none" w:sz="0" w:space="0" w:color="auto"/>
      </w:divBdr>
    </w:div>
    <w:div w:id="1544291964">
      <w:bodyDiv w:val="1"/>
      <w:marLeft w:val="0"/>
      <w:marRight w:val="0"/>
      <w:marTop w:val="0"/>
      <w:marBottom w:val="0"/>
      <w:divBdr>
        <w:top w:val="none" w:sz="0" w:space="0" w:color="auto"/>
        <w:left w:val="none" w:sz="0" w:space="0" w:color="auto"/>
        <w:bottom w:val="none" w:sz="0" w:space="0" w:color="auto"/>
        <w:right w:val="none" w:sz="0" w:space="0" w:color="auto"/>
      </w:divBdr>
    </w:div>
    <w:div w:id="1545484658">
      <w:bodyDiv w:val="1"/>
      <w:marLeft w:val="0"/>
      <w:marRight w:val="0"/>
      <w:marTop w:val="0"/>
      <w:marBottom w:val="0"/>
      <w:divBdr>
        <w:top w:val="none" w:sz="0" w:space="0" w:color="auto"/>
        <w:left w:val="none" w:sz="0" w:space="0" w:color="auto"/>
        <w:bottom w:val="none" w:sz="0" w:space="0" w:color="auto"/>
        <w:right w:val="none" w:sz="0" w:space="0" w:color="auto"/>
      </w:divBdr>
    </w:div>
    <w:div w:id="1547448442">
      <w:bodyDiv w:val="1"/>
      <w:marLeft w:val="0"/>
      <w:marRight w:val="0"/>
      <w:marTop w:val="0"/>
      <w:marBottom w:val="0"/>
      <w:divBdr>
        <w:top w:val="none" w:sz="0" w:space="0" w:color="auto"/>
        <w:left w:val="none" w:sz="0" w:space="0" w:color="auto"/>
        <w:bottom w:val="none" w:sz="0" w:space="0" w:color="auto"/>
        <w:right w:val="none" w:sz="0" w:space="0" w:color="auto"/>
      </w:divBdr>
    </w:div>
    <w:div w:id="1547718909">
      <w:bodyDiv w:val="1"/>
      <w:marLeft w:val="0"/>
      <w:marRight w:val="0"/>
      <w:marTop w:val="0"/>
      <w:marBottom w:val="0"/>
      <w:divBdr>
        <w:top w:val="none" w:sz="0" w:space="0" w:color="auto"/>
        <w:left w:val="none" w:sz="0" w:space="0" w:color="auto"/>
        <w:bottom w:val="none" w:sz="0" w:space="0" w:color="auto"/>
        <w:right w:val="none" w:sz="0" w:space="0" w:color="auto"/>
      </w:divBdr>
    </w:div>
    <w:div w:id="1548099959">
      <w:bodyDiv w:val="1"/>
      <w:marLeft w:val="0"/>
      <w:marRight w:val="0"/>
      <w:marTop w:val="0"/>
      <w:marBottom w:val="0"/>
      <w:divBdr>
        <w:top w:val="none" w:sz="0" w:space="0" w:color="auto"/>
        <w:left w:val="none" w:sz="0" w:space="0" w:color="auto"/>
        <w:bottom w:val="none" w:sz="0" w:space="0" w:color="auto"/>
        <w:right w:val="none" w:sz="0" w:space="0" w:color="auto"/>
      </w:divBdr>
    </w:div>
    <w:div w:id="1553931499">
      <w:bodyDiv w:val="1"/>
      <w:marLeft w:val="0"/>
      <w:marRight w:val="0"/>
      <w:marTop w:val="0"/>
      <w:marBottom w:val="0"/>
      <w:divBdr>
        <w:top w:val="none" w:sz="0" w:space="0" w:color="auto"/>
        <w:left w:val="none" w:sz="0" w:space="0" w:color="auto"/>
        <w:bottom w:val="none" w:sz="0" w:space="0" w:color="auto"/>
        <w:right w:val="none" w:sz="0" w:space="0" w:color="auto"/>
      </w:divBdr>
    </w:div>
    <w:div w:id="1555772792">
      <w:bodyDiv w:val="1"/>
      <w:marLeft w:val="0"/>
      <w:marRight w:val="0"/>
      <w:marTop w:val="0"/>
      <w:marBottom w:val="0"/>
      <w:divBdr>
        <w:top w:val="none" w:sz="0" w:space="0" w:color="auto"/>
        <w:left w:val="none" w:sz="0" w:space="0" w:color="auto"/>
        <w:bottom w:val="none" w:sz="0" w:space="0" w:color="auto"/>
        <w:right w:val="none" w:sz="0" w:space="0" w:color="auto"/>
      </w:divBdr>
    </w:div>
    <w:div w:id="1557352776">
      <w:bodyDiv w:val="1"/>
      <w:marLeft w:val="0"/>
      <w:marRight w:val="0"/>
      <w:marTop w:val="0"/>
      <w:marBottom w:val="0"/>
      <w:divBdr>
        <w:top w:val="none" w:sz="0" w:space="0" w:color="auto"/>
        <w:left w:val="none" w:sz="0" w:space="0" w:color="auto"/>
        <w:bottom w:val="none" w:sz="0" w:space="0" w:color="auto"/>
        <w:right w:val="none" w:sz="0" w:space="0" w:color="auto"/>
      </w:divBdr>
    </w:div>
    <w:div w:id="1557664970">
      <w:bodyDiv w:val="1"/>
      <w:marLeft w:val="0"/>
      <w:marRight w:val="0"/>
      <w:marTop w:val="0"/>
      <w:marBottom w:val="0"/>
      <w:divBdr>
        <w:top w:val="none" w:sz="0" w:space="0" w:color="auto"/>
        <w:left w:val="none" w:sz="0" w:space="0" w:color="auto"/>
        <w:bottom w:val="none" w:sz="0" w:space="0" w:color="auto"/>
        <w:right w:val="none" w:sz="0" w:space="0" w:color="auto"/>
      </w:divBdr>
    </w:div>
    <w:div w:id="1559585119">
      <w:bodyDiv w:val="1"/>
      <w:marLeft w:val="0"/>
      <w:marRight w:val="0"/>
      <w:marTop w:val="0"/>
      <w:marBottom w:val="0"/>
      <w:divBdr>
        <w:top w:val="none" w:sz="0" w:space="0" w:color="auto"/>
        <w:left w:val="none" w:sz="0" w:space="0" w:color="auto"/>
        <w:bottom w:val="none" w:sz="0" w:space="0" w:color="auto"/>
        <w:right w:val="none" w:sz="0" w:space="0" w:color="auto"/>
      </w:divBdr>
    </w:div>
    <w:div w:id="1560049598">
      <w:bodyDiv w:val="1"/>
      <w:marLeft w:val="0"/>
      <w:marRight w:val="0"/>
      <w:marTop w:val="0"/>
      <w:marBottom w:val="0"/>
      <w:divBdr>
        <w:top w:val="none" w:sz="0" w:space="0" w:color="auto"/>
        <w:left w:val="none" w:sz="0" w:space="0" w:color="auto"/>
        <w:bottom w:val="none" w:sz="0" w:space="0" w:color="auto"/>
        <w:right w:val="none" w:sz="0" w:space="0" w:color="auto"/>
      </w:divBdr>
    </w:div>
    <w:div w:id="1562206143">
      <w:bodyDiv w:val="1"/>
      <w:marLeft w:val="0"/>
      <w:marRight w:val="0"/>
      <w:marTop w:val="0"/>
      <w:marBottom w:val="0"/>
      <w:divBdr>
        <w:top w:val="none" w:sz="0" w:space="0" w:color="auto"/>
        <w:left w:val="none" w:sz="0" w:space="0" w:color="auto"/>
        <w:bottom w:val="none" w:sz="0" w:space="0" w:color="auto"/>
        <w:right w:val="none" w:sz="0" w:space="0" w:color="auto"/>
      </w:divBdr>
    </w:div>
    <w:div w:id="1562448337">
      <w:bodyDiv w:val="1"/>
      <w:marLeft w:val="0"/>
      <w:marRight w:val="0"/>
      <w:marTop w:val="0"/>
      <w:marBottom w:val="0"/>
      <w:divBdr>
        <w:top w:val="none" w:sz="0" w:space="0" w:color="auto"/>
        <w:left w:val="none" w:sz="0" w:space="0" w:color="auto"/>
        <w:bottom w:val="none" w:sz="0" w:space="0" w:color="auto"/>
        <w:right w:val="none" w:sz="0" w:space="0" w:color="auto"/>
      </w:divBdr>
    </w:div>
    <w:div w:id="1565792295">
      <w:bodyDiv w:val="1"/>
      <w:marLeft w:val="0"/>
      <w:marRight w:val="0"/>
      <w:marTop w:val="0"/>
      <w:marBottom w:val="0"/>
      <w:divBdr>
        <w:top w:val="none" w:sz="0" w:space="0" w:color="auto"/>
        <w:left w:val="none" w:sz="0" w:space="0" w:color="auto"/>
        <w:bottom w:val="none" w:sz="0" w:space="0" w:color="auto"/>
        <w:right w:val="none" w:sz="0" w:space="0" w:color="auto"/>
      </w:divBdr>
    </w:div>
    <w:div w:id="1566598302">
      <w:bodyDiv w:val="1"/>
      <w:marLeft w:val="0"/>
      <w:marRight w:val="0"/>
      <w:marTop w:val="0"/>
      <w:marBottom w:val="0"/>
      <w:divBdr>
        <w:top w:val="none" w:sz="0" w:space="0" w:color="auto"/>
        <w:left w:val="none" w:sz="0" w:space="0" w:color="auto"/>
        <w:bottom w:val="none" w:sz="0" w:space="0" w:color="auto"/>
        <w:right w:val="none" w:sz="0" w:space="0" w:color="auto"/>
      </w:divBdr>
    </w:div>
    <w:div w:id="1567060853">
      <w:bodyDiv w:val="1"/>
      <w:marLeft w:val="0"/>
      <w:marRight w:val="0"/>
      <w:marTop w:val="0"/>
      <w:marBottom w:val="0"/>
      <w:divBdr>
        <w:top w:val="none" w:sz="0" w:space="0" w:color="auto"/>
        <w:left w:val="none" w:sz="0" w:space="0" w:color="auto"/>
        <w:bottom w:val="none" w:sz="0" w:space="0" w:color="auto"/>
        <w:right w:val="none" w:sz="0" w:space="0" w:color="auto"/>
      </w:divBdr>
    </w:div>
    <w:div w:id="1567451681">
      <w:bodyDiv w:val="1"/>
      <w:marLeft w:val="0"/>
      <w:marRight w:val="0"/>
      <w:marTop w:val="0"/>
      <w:marBottom w:val="0"/>
      <w:divBdr>
        <w:top w:val="none" w:sz="0" w:space="0" w:color="auto"/>
        <w:left w:val="none" w:sz="0" w:space="0" w:color="auto"/>
        <w:bottom w:val="none" w:sz="0" w:space="0" w:color="auto"/>
        <w:right w:val="none" w:sz="0" w:space="0" w:color="auto"/>
      </w:divBdr>
      <w:divsChild>
        <w:div w:id="279726114">
          <w:marLeft w:val="0"/>
          <w:marRight w:val="0"/>
          <w:marTop w:val="0"/>
          <w:marBottom w:val="0"/>
          <w:divBdr>
            <w:top w:val="none" w:sz="0" w:space="0" w:color="auto"/>
            <w:left w:val="none" w:sz="0" w:space="0" w:color="auto"/>
            <w:bottom w:val="none" w:sz="0" w:space="0" w:color="auto"/>
            <w:right w:val="none" w:sz="0" w:space="0" w:color="auto"/>
          </w:divBdr>
          <w:divsChild>
            <w:div w:id="19497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4125">
      <w:bodyDiv w:val="1"/>
      <w:marLeft w:val="0"/>
      <w:marRight w:val="0"/>
      <w:marTop w:val="0"/>
      <w:marBottom w:val="0"/>
      <w:divBdr>
        <w:top w:val="none" w:sz="0" w:space="0" w:color="auto"/>
        <w:left w:val="none" w:sz="0" w:space="0" w:color="auto"/>
        <w:bottom w:val="none" w:sz="0" w:space="0" w:color="auto"/>
        <w:right w:val="none" w:sz="0" w:space="0" w:color="auto"/>
      </w:divBdr>
      <w:divsChild>
        <w:div w:id="1132361958">
          <w:marLeft w:val="0"/>
          <w:marRight w:val="0"/>
          <w:marTop w:val="166"/>
          <w:marBottom w:val="166"/>
          <w:divBdr>
            <w:top w:val="none" w:sz="0" w:space="0" w:color="auto"/>
            <w:left w:val="none" w:sz="0" w:space="0" w:color="auto"/>
            <w:bottom w:val="none" w:sz="0" w:space="0" w:color="auto"/>
            <w:right w:val="none" w:sz="0" w:space="0" w:color="auto"/>
          </w:divBdr>
        </w:div>
        <w:div w:id="730733188">
          <w:marLeft w:val="0"/>
          <w:marRight w:val="0"/>
          <w:marTop w:val="166"/>
          <w:marBottom w:val="166"/>
          <w:divBdr>
            <w:top w:val="none" w:sz="0" w:space="0" w:color="auto"/>
            <w:left w:val="none" w:sz="0" w:space="0" w:color="auto"/>
            <w:bottom w:val="none" w:sz="0" w:space="0" w:color="auto"/>
            <w:right w:val="none" w:sz="0" w:space="0" w:color="auto"/>
          </w:divBdr>
        </w:div>
        <w:div w:id="1556238137">
          <w:marLeft w:val="0"/>
          <w:marRight w:val="0"/>
          <w:marTop w:val="166"/>
          <w:marBottom w:val="166"/>
          <w:divBdr>
            <w:top w:val="none" w:sz="0" w:space="0" w:color="auto"/>
            <w:left w:val="none" w:sz="0" w:space="0" w:color="auto"/>
            <w:bottom w:val="none" w:sz="0" w:space="0" w:color="auto"/>
            <w:right w:val="none" w:sz="0" w:space="0" w:color="auto"/>
          </w:divBdr>
        </w:div>
        <w:div w:id="1309749136">
          <w:marLeft w:val="0"/>
          <w:marRight w:val="0"/>
          <w:marTop w:val="166"/>
          <w:marBottom w:val="166"/>
          <w:divBdr>
            <w:top w:val="none" w:sz="0" w:space="0" w:color="auto"/>
            <w:left w:val="none" w:sz="0" w:space="0" w:color="auto"/>
            <w:bottom w:val="none" w:sz="0" w:space="0" w:color="auto"/>
            <w:right w:val="none" w:sz="0" w:space="0" w:color="auto"/>
          </w:divBdr>
        </w:div>
        <w:div w:id="966861712">
          <w:marLeft w:val="0"/>
          <w:marRight w:val="0"/>
          <w:marTop w:val="166"/>
          <w:marBottom w:val="166"/>
          <w:divBdr>
            <w:top w:val="none" w:sz="0" w:space="0" w:color="auto"/>
            <w:left w:val="none" w:sz="0" w:space="0" w:color="auto"/>
            <w:bottom w:val="none" w:sz="0" w:space="0" w:color="auto"/>
            <w:right w:val="none" w:sz="0" w:space="0" w:color="auto"/>
          </w:divBdr>
        </w:div>
      </w:divsChild>
    </w:div>
    <w:div w:id="1568491723">
      <w:bodyDiv w:val="1"/>
      <w:marLeft w:val="0"/>
      <w:marRight w:val="0"/>
      <w:marTop w:val="0"/>
      <w:marBottom w:val="0"/>
      <w:divBdr>
        <w:top w:val="none" w:sz="0" w:space="0" w:color="auto"/>
        <w:left w:val="none" w:sz="0" w:space="0" w:color="auto"/>
        <w:bottom w:val="none" w:sz="0" w:space="0" w:color="auto"/>
        <w:right w:val="none" w:sz="0" w:space="0" w:color="auto"/>
      </w:divBdr>
    </w:div>
    <w:div w:id="1569027747">
      <w:bodyDiv w:val="1"/>
      <w:marLeft w:val="0"/>
      <w:marRight w:val="0"/>
      <w:marTop w:val="0"/>
      <w:marBottom w:val="0"/>
      <w:divBdr>
        <w:top w:val="none" w:sz="0" w:space="0" w:color="auto"/>
        <w:left w:val="none" w:sz="0" w:space="0" w:color="auto"/>
        <w:bottom w:val="none" w:sz="0" w:space="0" w:color="auto"/>
        <w:right w:val="none" w:sz="0" w:space="0" w:color="auto"/>
      </w:divBdr>
    </w:div>
    <w:div w:id="1569028786">
      <w:bodyDiv w:val="1"/>
      <w:marLeft w:val="0"/>
      <w:marRight w:val="0"/>
      <w:marTop w:val="0"/>
      <w:marBottom w:val="0"/>
      <w:divBdr>
        <w:top w:val="none" w:sz="0" w:space="0" w:color="auto"/>
        <w:left w:val="none" w:sz="0" w:space="0" w:color="auto"/>
        <w:bottom w:val="none" w:sz="0" w:space="0" w:color="auto"/>
        <w:right w:val="none" w:sz="0" w:space="0" w:color="auto"/>
      </w:divBdr>
    </w:div>
    <w:div w:id="1569263898">
      <w:bodyDiv w:val="1"/>
      <w:marLeft w:val="0"/>
      <w:marRight w:val="0"/>
      <w:marTop w:val="0"/>
      <w:marBottom w:val="0"/>
      <w:divBdr>
        <w:top w:val="none" w:sz="0" w:space="0" w:color="auto"/>
        <w:left w:val="none" w:sz="0" w:space="0" w:color="auto"/>
        <w:bottom w:val="none" w:sz="0" w:space="0" w:color="auto"/>
        <w:right w:val="none" w:sz="0" w:space="0" w:color="auto"/>
      </w:divBdr>
    </w:div>
    <w:div w:id="1570074114">
      <w:bodyDiv w:val="1"/>
      <w:marLeft w:val="0"/>
      <w:marRight w:val="0"/>
      <w:marTop w:val="0"/>
      <w:marBottom w:val="0"/>
      <w:divBdr>
        <w:top w:val="none" w:sz="0" w:space="0" w:color="auto"/>
        <w:left w:val="none" w:sz="0" w:space="0" w:color="auto"/>
        <w:bottom w:val="none" w:sz="0" w:space="0" w:color="auto"/>
        <w:right w:val="none" w:sz="0" w:space="0" w:color="auto"/>
      </w:divBdr>
    </w:div>
    <w:div w:id="1570647485">
      <w:bodyDiv w:val="1"/>
      <w:marLeft w:val="0"/>
      <w:marRight w:val="0"/>
      <w:marTop w:val="0"/>
      <w:marBottom w:val="0"/>
      <w:divBdr>
        <w:top w:val="none" w:sz="0" w:space="0" w:color="auto"/>
        <w:left w:val="none" w:sz="0" w:space="0" w:color="auto"/>
        <w:bottom w:val="none" w:sz="0" w:space="0" w:color="auto"/>
        <w:right w:val="none" w:sz="0" w:space="0" w:color="auto"/>
      </w:divBdr>
    </w:div>
    <w:div w:id="1571161595">
      <w:bodyDiv w:val="1"/>
      <w:marLeft w:val="0"/>
      <w:marRight w:val="0"/>
      <w:marTop w:val="0"/>
      <w:marBottom w:val="0"/>
      <w:divBdr>
        <w:top w:val="none" w:sz="0" w:space="0" w:color="auto"/>
        <w:left w:val="none" w:sz="0" w:space="0" w:color="auto"/>
        <w:bottom w:val="none" w:sz="0" w:space="0" w:color="auto"/>
        <w:right w:val="none" w:sz="0" w:space="0" w:color="auto"/>
      </w:divBdr>
      <w:divsChild>
        <w:div w:id="1889023896">
          <w:marLeft w:val="0"/>
          <w:marRight w:val="0"/>
          <w:marTop w:val="0"/>
          <w:marBottom w:val="0"/>
          <w:divBdr>
            <w:top w:val="none" w:sz="0" w:space="0" w:color="auto"/>
            <w:left w:val="none" w:sz="0" w:space="0" w:color="auto"/>
            <w:bottom w:val="none" w:sz="0" w:space="0" w:color="auto"/>
            <w:right w:val="none" w:sz="0" w:space="0" w:color="auto"/>
          </w:divBdr>
          <w:divsChild>
            <w:div w:id="1613174118">
              <w:marLeft w:val="0"/>
              <w:marRight w:val="0"/>
              <w:marTop w:val="0"/>
              <w:marBottom w:val="0"/>
              <w:divBdr>
                <w:top w:val="none" w:sz="0" w:space="0" w:color="auto"/>
                <w:left w:val="none" w:sz="0" w:space="0" w:color="auto"/>
                <w:bottom w:val="none" w:sz="0" w:space="0" w:color="auto"/>
                <w:right w:val="none" w:sz="0" w:space="0" w:color="auto"/>
              </w:divBdr>
              <w:divsChild>
                <w:div w:id="6385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6296">
      <w:bodyDiv w:val="1"/>
      <w:marLeft w:val="0"/>
      <w:marRight w:val="0"/>
      <w:marTop w:val="0"/>
      <w:marBottom w:val="0"/>
      <w:divBdr>
        <w:top w:val="none" w:sz="0" w:space="0" w:color="auto"/>
        <w:left w:val="none" w:sz="0" w:space="0" w:color="auto"/>
        <w:bottom w:val="none" w:sz="0" w:space="0" w:color="auto"/>
        <w:right w:val="none" w:sz="0" w:space="0" w:color="auto"/>
      </w:divBdr>
    </w:div>
    <w:div w:id="1573193323">
      <w:bodyDiv w:val="1"/>
      <w:marLeft w:val="0"/>
      <w:marRight w:val="0"/>
      <w:marTop w:val="0"/>
      <w:marBottom w:val="0"/>
      <w:divBdr>
        <w:top w:val="none" w:sz="0" w:space="0" w:color="auto"/>
        <w:left w:val="none" w:sz="0" w:space="0" w:color="auto"/>
        <w:bottom w:val="none" w:sz="0" w:space="0" w:color="auto"/>
        <w:right w:val="none" w:sz="0" w:space="0" w:color="auto"/>
      </w:divBdr>
    </w:div>
    <w:div w:id="1578321416">
      <w:bodyDiv w:val="1"/>
      <w:marLeft w:val="0"/>
      <w:marRight w:val="0"/>
      <w:marTop w:val="0"/>
      <w:marBottom w:val="0"/>
      <w:divBdr>
        <w:top w:val="none" w:sz="0" w:space="0" w:color="auto"/>
        <w:left w:val="none" w:sz="0" w:space="0" w:color="auto"/>
        <w:bottom w:val="none" w:sz="0" w:space="0" w:color="auto"/>
        <w:right w:val="none" w:sz="0" w:space="0" w:color="auto"/>
      </w:divBdr>
    </w:div>
    <w:div w:id="1579437936">
      <w:bodyDiv w:val="1"/>
      <w:marLeft w:val="0"/>
      <w:marRight w:val="0"/>
      <w:marTop w:val="0"/>
      <w:marBottom w:val="0"/>
      <w:divBdr>
        <w:top w:val="none" w:sz="0" w:space="0" w:color="auto"/>
        <w:left w:val="none" w:sz="0" w:space="0" w:color="auto"/>
        <w:bottom w:val="none" w:sz="0" w:space="0" w:color="auto"/>
        <w:right w:val="none" w:sz="0" w:space="0" w:color="auto"/>
      </w:divBdr>
    </w:div>
    <w:div w:id="1580364019">
      <w:bodyDiv w:val="1"/>
      <w:marLeft w:val="0"/>
      <w:marRight w:val="0"/>
      <w:marTop w:val="0"/>
      <w:marBottom w:val="0"/>
      <w:divBdr>
        <w:top w:val="none" w:sz="0" w:space="0" w:color="auto"/>
        <w:left w:val="none" w:sz="0" w:space="0" w:color="auto"/>
        <w:bottom w:val="none" w:sz="0" w:space="0" w:color="auto"/>
        <w:right w:val="none" w:sz="0" w:space="0" w:color="auto"/>
      </w:divBdr>
    </w:div>
    <w:div w:id="1581134167">
      <w:bodyDiv w:val="1"/>
      <w:marLeft w:val="0"/>
      <w:marRight w:val="0"/>
      <w:marTop w:val="0"/>
      <w:marBottom w:val="0"/>
      <w:divBdr>
        <w:top w:val="none" w:sz="0" w:space="0" w:color="auto"/>
        <w:left w:val="none" w:sz="0" w:space="0" w:color="auto"/>
        <w:bottom w:val="none" w:sz="0" w:space="0" w:color="auto"/>
        <w:right w:val="none" w:sz="0" w:space="0" w:color="auto"/>
      </w:divBdr>
    </w:div>
    <w:div w:id="1582569253">
      <w:bodyDiv w:val="1"/>
      <w:marLeft w:val="0"/>
      <w:marRight w:val="0"/>
      <w:marTop w:val="0"/>
      <w:marBottom w:val="0"/>
      <w:divBdr>
        <w:top w:val="none" w:sz="0" w:space="0" w:color="auto"/>
        <w:left w:val="none" w:sz="0" w:space="0" w:color="auto"/>
        <w:bottom w:val="none" w:sz="0" w:space="0" w:color="auto"/>
        <w:right w:val="none" w:sz="0" w:space="0" w:color="auto"/>
      </w:divBdr>
    </w:div>
    <w:div w:id="1586722270">
      <w:bodyDiv w:val="1"/>
      <w:marLeft w:val="0"/>
      <w:marRight w:val="0"/>
      <w:marTop w:val="0"/>
      <w:marBottom w:val="0"/>
      <w:divBdr>
        <w:top w:val="none" w:sz="0" w:space="0" w:color="auto"/>
        <w:left w:val="none" w:sz="0" w:space="0" w:color="auto"/>
        <w:bottom w:val="none" w:sz="0" w:space="0" w:color="auto"/>
        <w:right w:val="none" w:sz="0" w:space="0" w:color="auto"/>
      </w:divBdr>
    </w:div>
    <w:div w:id="1590430952">
      <w:bodyDiv w:val="1"/>
      <w:marLeft w:val="0"/>
      <w:marRight w:val="0"/>
      <w:marTop w:val="0"/>
      <w:marBottom w:val="0"/>
      <w:divBdr>
        <w:top w:val="none" w:sz="0" w:space="0" w:color="auto"/>
        <w:left w:val="none" w:sz="0" w:space="0" w:color="auto"/>
        <w:bottom w:val="none" w:sz="0" w:space="0" w:color="auto"/>
        <w:right w:val="none" w:sz="0" w:space="0" w:color="auto"/>
      </w:divBdr>
    </w:div>
    <w:div w:id="1592354334">
      <w:bodyDiv w:val="1"/>
      <w:marLeft w:val="0"/>
      <w:marRight w:val="0"/>
      <w:marTop w:val="0"/>
      <w:marBottom w:val="0"/>
      <w:divBdr>
        <w:top w:val="none" w:sz="0" w:space="0" w:color="auto"/>
        <w:left w:val="none" w:sz="0" w:space="0" w:color="auto"/>
        <w:bottom w:val="none" w:sz="0" w:space="0" w:color="auto"/>
        <w:right w:val="none" w:sz="0" w:space="0" w:color="auto"/>
      </w:divBdr>
      <w:divsChild>
        <w:div w:id="723218209">
          <w:marLeft w:val="0"/>
          <w:marRight w:val="0"/>
          <w:marTop w:val="0"/>
          <w:marBottom w:val="0"/>
          <w:divBdr>
            <w:top w:val="none" w:sz="0" w:space="0" w:color="auto"/>
            <w:left w:val="none" w:sz="0" w:space="0" w:color="auto"/>
            <w:bottom w:val="none" w:sz="0" w:space="0" w:color="auto"/>
            <w:right w:val="none" w:sz="0" w:space="0" w:color="auto"/>
          </w:divBdr>
          <w:divsChild>
            <w:div w:id="1014763979">
              <w:marLeft w:val="0"/>
              <w:marRight w:val="0"/>
              <w:marTop w:val="0"/>
              <w:marBottom w:val="0"/>
              <w:divBdr>
                <w:top w:val="none" w:sz="0" w:space="0" w:color="auto"/>
                <w:left w:val="none" w:sz="0" w:space="0" w:color="auto"/>
                <w:bottom w:val="none" w:sz="0" w:space="0" w:color="auto"/>
                <w:right w:val="none" w:sz="0" w:space="0" w:color="auto"/>
              </w:divBdr>
              <w:divsChild>
                <w:div w:id="15262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090">
          <w:marLeft w:val="0"/>
          <w:marRight w:val="0"/>
          <w:marTop w:val="0"/>
          <w:marBottom w:val="0"/>
          <w:divBdr>
            <w:top w:val="none" w:sz="0" w:space="0" w:color="auto"/>
            <w:left w:val="none" w:sz="0" w:space="0" w:color="auto"/>
            <w:bottom w:val="none" w:sz="0" w:space="0" w:color="auto"/>
            <w:right w:val="none" w:sz="0" w:space="0" w:color="auto"/>
          </w:divBdr>
          <w:divsChild>
            <w:div w:id="308678786">
              <w:marLeft w:val="0"/>
              <w:marRight w:val="0"/>
              <w:marTop w:val="0"/>
              <w:marBottom w:val="0"/>
              <w:divBdr>
                <w:top w:val="none" w:sz="0" w:space="0" w:color="auto"/>
                <w:left w:val="none" w:sz="0" w:space="0" w:color="auto"/>
                <w:bottom w:val="none" w:sz="0" w:space="0" w:color="auto"/>
                <w:right w:val="none" w:sz="0" w:space="0" w:color="auto"/>
              </w:divBdr>
              <w:divsChild>
                <w:div w:id="974220122">
                  <w:marLeft w:val="0"/>
                  <w:marRight w:val="0"/>
                  <w:marTop w:val="0"/>
                  <w:marBottom w:val="0"/>
                  <w:divBdr>
                    <w:top w:val="none" w:sz="0" w:space="0" w:color="auto"/>
                    <w:left w:val="none" w:sz="0" w:space="0" w:color="auto"/>
                    <w:bottom w:val="none" w:sz="0" w:space="0" w:color="auto"/>
                    <w:right w:val="none" w:sz="0" w:space="0" w:color="auto"/>
                  </w:divBdr>
                  <w:divsChild>
                    <w:div w:id="1314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94925">
      <w:bodyDiv w:val="1"/>
      <w:marLeft w:val="0"/>
      <w:marRight w:val="0"/>
      <w:marTop w:val="0"/>
      <w:marBottom w:val="0"/>
      <w:divBdr>
        <w:top w:val="none" w:sz="0" w:space="0" w:color="auto"/>
        <w:left w:val="none" w:sz="0" w:space="0" w:color="auto"/>
        <w:bottom w:val="none" w:sz="0" w:space="0" w:color="auto"/>
        <w:right w:val="none" w:sz="0" w:space="0" w:color="auto"/>
      </w:divBdr>
    </w:div>
    <w:div w:id="1594241081">
      <w:bodyDiv w:val="1"/>
      <w:marLeft w:val="0"/>
      <w:marRight w:val="0"/>
      <w:marTop w:val="0"/>
      <w:marBottom w:val="0"/>
      <w:divBdr>
        <w:top w:val="none" w:sz="0" w:space="0" w:color="auto"/>
        <w:left w:val="none" w:sz="0" w:space="0" w:color="auto"/>
        <w:bottom w:val="none" w:sz="0" w:space="0" w:color="auto"/>
        <w:right w:val="none" w:sz="0" w:space="0" w:color="auto"/>
      </w:divBdr>
    </w:div>
    <w:div w:id="1597012046">
      <w:bodyDiv w:val="1"/>
      <w:marLeft w:val="0"/>
      <w:marRight w:val="0"/>
      <w:marTop w:val="0"/>
      <w:marBottom w:val="0"/>
      <w:divBdr>
        <w:top w:val="none" w:sz="0" w:space="0" w:color="auto"/>
        <w:left w:val="none" w:sz="0" w:space="0" w:color="auto"/>
        <w:bottom w:val="none" w:sz="0" w:space="0" w:color="auto"/>
        <w:right w:val="none" w:sz="0" w:space="0" w:color="auto"/>
      </w:divBdr>
    </w:div>
    <w:div w:id="1597859894">
      <w:bodyDiv w:val="1"/>
      <w:marLeft w:val="0"/>
      <w:marRight w:val="0"/>
      <w:marTop w:val="0"/>
      <w:marBottom w:val="0"/>
      <w:divBdr>
        <w:top w:val="none" w:sz="0" w:space="0" w:color="auto"/>
        <w:left w:val="none" w:sz="0" w:space="0" w:color="auto"/>
        <w:bottom w:val="none" w:sz="0" w:space="0" w:color="auto"/>
        <w:right w:val="none" w:sz="0" w:space="0" w:color="auto"/>
      </w:divBdr>
    </w:div>
    <w:div w:id="1597907762">
      <w:bodyDiv w:val="1"/>
      <w:marLeft w:val="0"/>
      <w:marRight w:val="0"/>
      <w:marTop w:val="0"/>
      <w:marBottom w:val="0"/>
      <w:divBdr>
        <w:top w:val="none" w:sz="0" w:space="0" w:color="auto"/>
        <w:left w:val="none" w:sz="0" w:space="0" w:color="auto"/>
        <w:bottom w:val="none" w:sz="0" w:space="0" w:color="auto"/>
        <w:right w:val="none" w:sz="0" w:space="0" w:color="auto"/>
      </w:divBdr>
    </w:div>
    <w:div w:id="1600796407">
      <w:bodyDiv w:val="1"/>
      <w:marLeft w:val="0"/>
      <w:marRight w:val="0"/>
      <w:marTop w:val="0"/>
      <w:marBottom w:val="0"/>
      <w:divBdr>
        <w:top w:val="none" w:sz="0" w:space="0" w:color="auto"/>
        <w:left w:val="none" w:sz="0" w:space="0" w:color="auto"/>
        <w:bottom w:val="none" w:sz="0" w:space="0" w:color="auto"/>
        <w:right w:val="none" w:sz="0" w:space="0" w:color="auto"/>
      </w:divBdr>
    </w:div>
    <w:div w:id="1603295273">
      <w:bodyDiv w:val="1"/>
      <w:marLeft w:val="0"/>
      <w:marRight w:val="0"/>
      <w:marTop w:val="0"/>
      <w:marBottom w:val="0"/>
      <w:divBdr>
        <w:top w:val="none" w:sz="0" w:space="0" w:color="auto"/>
        <w:left w:val="none" w:sz="0" w:space="0" w:color="auto"/>
        <w:bottom w:val="none" w:sz="0" w:space="0" w:color="auto"/>
        <w:right w:val="none" w:sz="0" w:space="0" w:color="auto"/>
      </w:divBdr>
    </w:div>
    <w:div w:id="1604266880">
      <w:bodyDiv w:val="1"/>
      <w:marLeft w:val="0"/>
      <w:marRight w:val="0"/>
      <w:marTop w:val="0"/>
      <w:marBottom w:val="0"/>
      <w:divBdr>
        <w:top w:val="none" w:sz="0" w:space="0" w:color="auto"/>
        <w:left w:val="none" w:sz="0" w:space="0" w:color="auto"/>
        <w:bottom w:val="none" w:sz="0" w:space="0" w:color="auto"/>
        <w:right w:val="none" w:sz="0" w:space="0" w:color="auto"/>
      </w:divBdr>
    </w:div>
    <w:div w:id="1605457980">
      <w:bodyDiv w:val="1"/>
      <w:marLeft w:val="0"/>
      <w:marRight w:val="0"/>
      <w:marTop w:val="0"/>
      <w:marBottom w:val="0"/>
      <w:divBdr>
        <w:top w:val="none" w:sz="0" w:space="0" w:color="auto"/>
        <w:left w:val="none" w:sz="0" w:space="0" w:color="auto"/>
        <w:bottom w:val="none" w:sz="0" w:space="0" w:color="auto"/>
        <w:right w:val="none" w:sz="0" w:space="0" w:color="auto"/>
      </w:divBdr>
    </w:div>
    <w:div w:id="1605844214">
      <w:bodyDiv w:val="1"/>
      <w:marLeft w:val="0"/>
      <w:marRight w:val="0"/>
      <w:marTop w:val="0"/>
      <w:marBottom w:val="0"/>
      <w:divBdr>
        <w:top w:val="none" w:sz="0" w:space="0" w:color="auto"/>
        <w:left w:val="none" w:sz="0" w:space="0" w:color="auto"/>
        <w:bottom w:val="none" w:sz="0" w:space="0" w:color="auto"/>
        <w:right w:val="none" w:sz="0" w:space="0" w:color="auto"/>
      </w:divBdr>
    </w:div>
    <w:div w:id="1613632600">
      <w:bodyDiv w:val="1"/>
      <w:marLeft w:val="0"/>
      <w:marRight w:val="0"/>
      <w:marTop w:val="0"/>
      <w:marBottom w:val="0"/>
      <w:divBdr>
        <w:top w:val="none" w:sz="0" w:space="0" w:color="auto"/>
        <w:left w:val="none" w:sz="0" w:space="0" w:color="auto"/>
        <w:bottom w:val="none" w:sz="0" w:space="0" w:color="auto"/>
        <w:right w:val="none" w:sz="0" w:space="0" w:color="auto"/>
      </w:divBdr>
      <w:divsChild>
        <w:div w:id="1080566632">
          <w:marLeft w:val="0"/>
          <w:marRight w:val="0"/>
          <w:marTop w:val="0"/>
          <w:marBottom w:val="0"/>
          <w:divBdr>
            <w:top w:val="none" w:sz="0" w:space="0" w:color="auto"/>
            <w:left w:val="none" w:sz="0" w:space="0" w:color="auto"/>
            <w:bottom w:val="none" w:sz="0" w:space="0" w:color="auto"/>
            <w:right w:val="none" w:sz="0" w:space="0" w:color="auto"/>
          </w:divBdr>
          <w:divsChild>
            <w:div w:id="1830903566">
              <w:marLeft w:val="0"/>
              <w:marRight w:val="0"/>
              <w:marTop w:val="0"/>
              <w:marBottom w:val="0"/>
              <w:divBdr>
                <w:top w:val="none" w:sz="0" w:space="0" w:color="auto"/>
                <w:left w:val="none" w:sz="0" w:space="0" w:color="auto"/>
                <w:bottom w:val="none" w:sz="0" w:space="0" w:color="auto"/>
                <w:right w:val="none" w:sz="0" w:space="0" w:color="auto"/>
              </w:divBdr>
              <w:divsChild>
                <w:div w:id="7767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91439">
      <w:bodyDiv w:val="1"/>
      <w:marLeft w:val="0"/>
      <w:marRight w:val="0"/>
      <w:marTop w:val="0"/>
      <w:marBottom w:val="0"/>
      <w:divBdr>
        <w:top w:val="none" w:sz="0" w:space="0" w:color="auto"/>
        <w:left w:val="none" w:sz="0" w:space="0" w:color="auto"/>
        <w:bottom w:val="none" w:sz="0" w:space="0" w:color="auto"/>
        <w:right w:val="none" w:sz="0" w:space="0" w:color="auto"/>
      </w:divBdr>
    </w:div>
    <w:div w:id="1618491825">
      <w:bodyDiv w:val="1"/>
      <w:marLeft w:val="0"/>
      <w:marRight w:val="0"/>
      <w:marTop w:val="0"/>
      <w:marBottom w:val="0"/>
      <w:divBdr>
        <w:top w:val="none" w:sz="0" w:space="0" w:color="auto"/>
        <w:left w:val="none" w:sz="0" w:space="0" w:color="auto"/>
        <w:bottom w:val="none" w:sz="0" w:space="0" w:color="auto"/>
        <w:right w:val="none" w:sz="0" w:space="0" w:color="auto"/>
      </w:divBdr>
    </w:div>
    <w:div w:id="1620606106">
      <w:bodyDiv w:val="1"/>
      <w:marLeft w:val="0"/>
      <w:marRight w:val="0"/>
      <w:marTop w:val="0"/>
      <w:marBottom w:val="0"/>
      <w:divBdr>
        <w:top w:val="none" w:sz="0" w:space="0" w:color="auto"/>
        <w:left w:val="none" w:sz="0" w:space="0" w:color="auto"/>
        <w:bottom w:val="none" w:sz="0" w:space="0" w:color="auto"/>
        <w:right w:val="none" w:sz="0" w:space="0" w:color="auto"/>
      </w:divBdr>
    </w:div>
    <w:div w:id="1621915021">
      <w:bodyDiv w:val="1"/>
      <w:marLeft w:val="0"/>
      <w:marRight w:val="0"/>
      <w:marTop w:val="0"/>
      <w:marBottom w:val="0"/>
      <w:divBdr>
        <w:top w:val="none" w:sz="0" w:space="0" w:color="auto"/>
        <w:left w:val="none" w:sz="0" w:space="0" w:color="auto"/>
        <w:bottom w:val="none" w:sz="0" w:space="0" w:color="auto"/>
        <w:right w:val="none" w:sz="0" w:space="0" w:color="auto"/>
      </w:divBdr>
    </w:div>
    <w:div w:id="1623340958">
      <w:bodyDiv w:val="1"/>
      <w:marLeft w:val="0"/>
      <w:marRight w:val="0"/>
      <w:marTop w:val="0"/>
      <w:marBottom w:val="0"/>
      <w:divBdr>
        <w:top w:val="none" w:sz="0" w:space="0" w:color="auto"/>
        <w:left w:val="none" w:sz="0" w:space="0" w:color="auto"/>
        <w:bottom w:val="none" w:sz="0" w:space="0" w:color="auto"/>
        <w:right w:val="none" w:sz="0" w:space="0" w:color="auto"/>
      </w:divBdr>
    </w:div>
    <w:div w:id="1625382157">
      <w:bodyDiv w:val="1"/>
      <w:marLeft w:val="0"/>
      <w:marRight w:val="0"/>
      <w:marTop w:val="0"/>
      <w:marBottom w:val="0"/>
      <w:divBdr>
        <w:top w:val="none" w:sz="0" w:space="0" w:color="auto"/>
        <w:left w:val="none" w:sz="0" w:space="0" w:color="auto"/>
        <w:bottom w:val="none" w:sz="0" w:space="0" w:color="auto"/>
        <w:right w:val="none" w:sz="0" w:space="0" w:color="auto"/>
      </w:divBdr>
    </w:div>
    <w:div w:id="1626765517">
      <w:bodyDiv w:val="1"/>
      <w:marLeft w:val="0"/>
      <w:marRight w:val="0"/>
      <w:marTop w:val="0"/>
      <w:marBottom w:val="0"/>
      <w:divBdr>
        <w:top w:val="none" w:sz="0" w:space="0" w:color="auto"/>
        <w:left w:val="none" w:sz="0" w:space="0" w:color="auto"/>
        <w:bottom w:val="none" w:sz="0" w:space="0" w:color="auto"/>
        <w:right w:val="none" w:sz="0" w:space="0" w:color="auto"/>
      </w:divBdr>
    </w:div>
    <w:div w:id="1627006401">
      <w:bodyDiv w:val="1"/>
      <w:marLeft w:val="0"/>
      <w:marRight w:val="0"/>
      <w:marTop w:val="0"/>
      <w:marBottom w:val="0"/>
      <w:divBdr>
        <w:top w:val="none" w:sz="0" w:space="0" w:color="auto"/>
        <w:left w:val="none" w:sz="0" w:space="0" w:color="auto"/>
        <w:bottom w:val="none" w:sz="0" w:space="0" w:color="auto"/>
        <w:right w:val="none" w:sz="0" w:space="0" w:color="auto"/>
      </w:divBdr>
    </w:div>
    <w:div w:id="1627006776">
      <w:bodyDiv w:val="1"/>
      <w:marLeft w:val="0"/>
      <w:marRight w:val="0"/>
      <w:marTop w:val="0"/>
      <w:marBottom w:val="0"/>
      <w:divBdr>
        <w:top w:val="none" w:sz="0" w:space="0" w:color="auto"/>
        <w:left w:val="none" w:sz="0" w:space="0" w:color="auto"/>
        <w:bottom w:val="none" w:sz="0" w:space="0" w:color="auto"/>
        <w:right w:val="none" w:sz="0" w:space="0" w:color="auto"/>
      </w:divBdr>
    </w:div>
    <w:div w:id="1628468424">
      <w:bodyDiv w:val="1"/>
      <w:marLeft w:val="0"/>
      <w:marRight w:val="0"/>
      <w:marTop w:val="0"/>
      <w:marBottom w:val="0"/>
      <w:divBdr>
        <w:top w:val="none" w:sz="0" w:space="0" w:color="auto"/>
        <w:left w:val="none" w:sz="0" w:space="0" w:color="auto"/>
        <w:bottom w:val="none" w:sz="0" w:space="0" w:color="auto"/>
        <w:right w:val="none" w:sz="0" w:space="0" w:color="auto"/>
      </w:divBdr>
    </w:div>
    <w:div w:id="1629554151">
      <w:bodyDiv w:val="1"/>
      <w:marLeft w:val="0"/>
      <w:marRight w:val="0"/>
      <w:marTop w:val="0"/>
      <w:marBottom w:val="0"/>
      <w:divBdr>
        <w:top w:val="none" w:sz="0" w:space="0" w:color="auto"/>
        <w:left w:val="none" w:sz="0" w:space="0" w:color="auto"/>
        <w:bottom w:val="none" w:sz="0" w:space="0" w:color="auto"/>
        <w:right w:val="none" w:sz="0" w:space="0" w:color="auto"/>
      </w:divBdr>
    </w:div>
    <w:div w:id="1630165544">
      <w:bodyDiv w:val="1"/>
      <w:marLeft w:val="0"/>
      <w:marRight w:val="0"/>
      <w:marTop w:val="0"/>
      <w:marBottom w:val="0"/>
      <w:divBdr>
        <w:top w:val="none" w:sz="0" w:space="0" w:color="auto"/>
        <w:left w:val="none" w:sz="0" w:space="0" w:color="auto"/>
        <w:bottom w:val="none" w:sz="0" w:space="0" w:color="auto"/>
        <w:right w:val="none" w:sz="0" w:space="0" w:color="auto"/>
      </w:divBdr>
    </w:div>
    <w:div w:id="1630210905">
      <w:bodyDiv w:val="1"/>
      <w:marLeft w:val="0"/>
      <w:marRight w:val="0"/>
      <w:marTop w:val="0"/>
      <w:marBottom w:val="0"/>
      <w:divBdr>
        <w:top w:val="none" w:sz="0" w:space="0" w:color="auto"/>
        <w:left w:val="none" w:sz="0" w:space="0" w:color="auto"/>
        <w:bottom w:val="none" w:sz="0" w:space="0" w:color="auto"/>
        <w:right w:val="none" w:sz="0" w:space="0" w:color="auto"/>
      </w:divBdr>
    </w:div>
    <w:div w:id="1632175836">
      <w:bodyDiv w:val="1"/>
      <w:marLeft w:val="0"/>
      <w:marRight w:val="0"/>
      <w:marTop w:val="0"/>
      <w:marBottom w:val="0"/>
      <w:divBdr>
        <w:top w:val="none" w:sz="0" w:space="0" w:color="auto"/>
        <w:left w:val="none" w:sz="0" w:space="0" w:color="auto"/>
        <w:bottom w:val="none" w:sz="0" w:space="0" w:color="auto"/>
        <w:right w:val="none" w:sz="0" w:space="0" w:color="auto"/>
      </w:divBdr>
    </w:div>
    <w:div w:id="1632396784">
      <w:bodyDiv w:val="1"/>
      <w:marLeft w:val="0"/>
      <w:marRight w:val="0"/>
      <w:marTop w:val="0"/>
      <w:marBottom w:val="0"/>
      <w:divBdr>
        <w:top w:val="none" w:sz="0" w:space="0" w:color="auto"/>
        <w:left w:val="none" w:sz="0" w:space="0" w:color="auto"/>
        <w:bottom w:val="none" w:sz="0" w:space="0" w:color="auto"/>
        <w:right w:val="none" w:sz="0" w:space="0" w:color="auto"/>
      </w:divBdr>
    </w:div>
    <w:div w:id="1634747780">
      <w:bodyDiv w:val="1"/>
      <w:marLeft w:val="0"/>
      <w:marRight w:val="0"/>
      <w:marTop w:val="0"/>
      <w:marBottom w:val="0"/>
      <w:divBdr>
        <w:top w:val="none" w:sz="0" w:space="0" w:color="auto"/>
        <w:left w:val="none" w:sz="0" w:space="0" w:color="auto"/>
        <w:bottom w:val="none" w:sz="0" w:space="0" w:color="auto"/>
        <w:right w:val="none" w:sz="0" w:space="0" w:color="auto"/>
      </w:divBdr>
    </w:div>
    <w:div w:id="1635018378">
      <w:bodyDiv w:val="1"/>
      <w:marLeft w:val="0"/>
      <w:marRight w:val="0"/>
      <w:marTop w:val="0"/>
      <w:marBottom w:val="0"/>
      <w:divBdr>
        <w:top w:val="none" w:sz="0" w:space="0" w:color="auto"/>
        <w:left w:val="none" w:sz="0" w:space="0" w:color="auto"/>
        <w:bottom w:val="none" w:sz="0" w:space="0" w:color="auto"/>
        <w:right w:val="none" w:sz="0" w:space="0" w:color="auto"/>
      </w:divBdr>
    </w:div>
    <w:div w:id="1636376336">
      <w:bodyDiv w:val="1"/>
      <w:marLeft w:val="0"/>
      <w:marRight w:val="0"/>
      <w:marTop w:val="0"/>
      <w:marBottom w:val="0"/>
      <w:divBdr>
        <w:top w:val="none" w:sz="0" w:space="0" w:color="auto"/>
        <w:left w:val="none" w:sz="0" w:space="0" w:color="auto"/>
        <w:bottom w:val="none" w:sz="0" w:space="0" w:color="auto"/>
        <w:right w:val="none" w:sz="0" w:space="0" w:color="auto"/>
      </w:divBdr>
    </w:div>
    <w:div w:id="1637759499">
      <w:bodyDiv w:val="1"/>
      <w:marLeft w:val="0"/>
      <w:marRight w:val="0"/>
      <w:marTop w:val="0"/>
      <w:marBottom w:val="0"/>
      <w:divBdr>
        <w:top w:val="none" w:sz="0" w:space="0" w:color="auto"/>
        <w:left w:val="none" w:sz="0" w:space="0" w:color="auto"/>
        <w:bottom w:val="none" w:sz="0" w:space="0" w:color="auto"/>
        <w:right w:val="none" w:sz="0" w:space="0" w:color="auto"/>
      </w:divBdr>
    </w:div>
    <w:div w:id="1638030012">
      <w:bodyDiv w:val="1"/>
      <w:marLeft w:val="0"/>
      <w:marRight w:val="0"/>
      <w:marTop w:val="0"/>
      <w:marBottom w:val="0"/>
      <w:divBdr>
        <w:top w:val="none" w:sz="0" w:space="0" w:color="auto"/>
        <w:left w:val="none" w:sz="0" w:space="0" w:color="auto"/>
        <w:bottom w:val="none" w:sz="0" w:space="0" w:color="auto"/>
        <w:right w:val="none" w:sz="0" w:space="0" w:color="auto"/>
      </w:divBdr>
    </w:div>
    <w:div w:id="1638417178">
      <w:bodyDiv w:val="1"/>
      <w:marLeft w:val="0"/>
      <w:marRight w:val="0"/>
      <w:marTop w:val="0"/>
      <w:marBottom w:val="0"/>
      <w:divBdr>
        <w:top w:val="none" w:sz="0" w:space="0" w:color="auto"/>
        <w:left w:val="none" w:sz="0" w:space="0" w:color="auto"/>
        <w:bottom w:val="none" w:sz="0" w:space="0" w:color="auto"/>
        <w:right w:val="none" w:sz="0" w:space="0" w:color="auto"/>
      </w:divBdr>
    </w:div>
    <w:div w:id="1638609703">
      <w:bodyDiv w:val="1"/>
      <w:marLeft w:val="0"/>
      <w:marRight w:val="0"/>
      <w:marTop w:val="0"/>
      <w:marBottom w:val="0"/>
      <w:divBdr>
        <w:top w:val="none" w:sz="0" w:space="0" w:color="auto"/>
        <w:left w:val="none" w:sz="0" w:space="0" w:color="auto"/>
        <w:bottom w:val="none" w:sz="0" w:space="0" w:color="auto"/>
        <w:right w:val="none" w:sz="0" w:space="0" w:color="auto"/>
      </w:divBdr>
    </w:div>
    <w:div w:id="1641494403">
      <w:bodyDiv w:val="1"/>
      <w:marLeft w:val="0"/>
      <w:marRight w:val="0"/>
      <w:marTop w:val="0"/>
      <w:marBottom w:val="0"/>
      <w:divBdr>
        <w:top w:val="none" w:sz="0" w:space="0" w:color="auto"/>
        <w:left w:val="none" w:sz="0" w:space="0" w:color="auto"/>
        <w:bottom w:val="none" w:sz="0" w:space="0" w:color="auto"/>
        <w:right w:val="none" w:sz="0" w:space="0" w:color="auto"/>
      </w:divBdr>
    </w:div>
    <w:div w:id="1641568649">
      <w:bodyDiv w:val="1"/>
      <w:marLeft w:val="0"/>
      <w:marRight w:val="0"/>
      <w:marTop w:val="0"/>
      <w:marBottom w:val="0"/>
      <w:divBdr>
        <w:top w:val="none" w:sz="0" w:space="0" w:color="auto"/>
        <w:left w:val="none" w:sz="0" w:space="0" w:color="auto"/>
        <w:bottom w:val="none" w:sz="0" w:space="0" w:color="auto"/>
        <w:right w:val="none" w:sz="0" w:space="0" w:color="auto"/>
      </w:divBdr>
    </w:div>
    <w:div w:id="1642541864">
      <w:bodyDiv w:val="1"/>
      <w:marLeft w:val="0"/>
      <w:marRight w:val="0"/>
      <w:marTop w:val="0"/>
      <w:marBottom w:val="0"/>
      <w:divBdr>
        <w:top w:val="none" w:sz="0" w:space="0" w:color="auto"/>
        <w:left w:val="none" w:sz="0" w:space="0" w:color="auto"/>
        <w:bottom w:val="none" w:sz="0" w:space="0" w:color="auto"/>
        <w:right w:val="none" w:sz="0" w:space="0" w:color="auto"/>
      </w:divBdr>
    </w:div>
    <w:div w:id="1643726667">
      <w:bodyDiv w:val="1"/>
      <w:marLeft w:val="0"/>
      <w:marRight w:val="0"/>
      <w:marTop w:val="0"/>
      <w:marBottom w:val="0"/>
      <w:divBdr>
        <w:top w:val="none" w:sz="0" w:space="0" w:color="auto"/>
        <w:left w:val="none" w:sz="0" w:space="0" w:color="auto"/>
        <w:bottom w:val="none" w:sz="0" w:space="0" w:color="auto"/>
        <w:right w:val="none" w:sz="0" w:space="0" w:color="auto"/>
      </w:divBdr>
    </w:div>
    <w:div w:id="1644655212">
      <w:bodyDiv w:val="1"/>
      <w:marLeft w:val="0"/>
      <w:marRight w:val="0"/>
      <w:marTop w:val="0"/>
      <w:marBottom w:val="0"/>
      <w:divBdr>
        <w:top w:val="none" w:sz="0" w:space="0" w:color="auto"/>
        <w:left w:val="none" w:sz="0" w:space="0" w:color="auto"/>
        <w:bottom w:val="none" w:sz="0" w:space="0" w:color="auto"/>
        <w:right w:val="none" w:sz="0" w:space="0" w:color="auto"/>
      </w:divBdr>
      <w:divsChild>
        <w:div w:id="2110539246">
          <w:marLeft w:val="0"/>
          <w:marRight w:val="0"/>
          <w:marTop w:val="0"/>
          <w:marBottom w:val="0"/>
          <w:divBdr>
            <w:top w:val="none" w:sz="0" w:space="0" w:color="auto"/>
            <w:left w:val="none" w:sz="0" w:space="0" w:color="auto"/>
            <w:bottom w:val="none" w:sz="0" w:space="0" w:color="auto"/>
            <w:right w:val="none" w:sz="0" w:space="0" w:color="auto"/>
          </w:divBdr>
          <w:divsChild>
            <w:div w:id="303899277">
              <w:marLeft w:val="0"/>
              <w:marRight w:val="0"/>
              <w:marTop w:val="0"/>
              <w:marBottom w:val="0"/>
              <w:divBdr>
                <w:top w:val="none" w:sz="0" w:space="0" w:color="auto"/>
                <w:left w:val="none" w:sz="0" w:space="0" w:color="auto"/>
                <w:bottom w:val="none" w:sz="0" w:space="0" w:color="auto"/>
                <w:right w:val="none" w:sz="0" w:space="0" w:color="auto"/>
              </w:divBdr>
              <w:divsChild>
                <w:div w:id="11478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60306">
      <w:bodyDiv w:val="1"/>
      <w:marLeft w:val="0"/>
      <w:marRight w:val="0"/>
      <w:marTop w:val="0"/>
      <w:marBottom w:val="0"/>
      <w:divBdr>
        <w:top w:val="none" w:sz="0" w:space="0" w:color="auto"/>
        <w:left w:val="none" w:sz="0" w:space="0" w:color="auto"/>
        <w:bottom w:val="none" w:sz="0" w:space="0" w:color="auto"/>
        <w:right w:val="none" w:sz="0" w:space="0" w:color="auto"/>
      </w:divBdr>
    </w:div>
    <w:div w:id="1653678665">
      <w:bodyDiv w:val="1"/>
      <w:marLeft w:val="0"/>
      <w:marRight w:val="0"/>
      <w:marTop w:val="0"/>
      <w:marBottom w:val="0"/>
      <w:divBdr>
        <w:top w:val="none" w:sz="0" w:space="0" w:color="auto"/>
        <w:left w:val="none" w:sz="0" w:space="0" w:color="auto"/>
        <w:bottom w:val="none" w:sz="0" w:space="0" w:color="auto"/>
        <w:right w:val="none" w:sz="0" w:space="0" w:color="auto"/>
      </w:divBdr>
    </w:div>
    <w:div w:id="1654605857">
      <w:bodyDiv w:val="1"/>
      <w:marLeft w:val="0"/>
      <w:marRight w:val="0"/>
      <w:marTop w:val="0"/>
      <w:marBottom w:val="0"/>
      <w:divBdr>
        <w:top w:val="none" w:sz="0" w:space="0" w:color="auto"/>
        <w:left w:val="none" w:sz="0" w:space="0" w:color="auto"/>
        <w:bottom w:val="none" w:sz="0" w:space="0" w:color="auto"/>
        <w:right w:val="none" w:sz="0" w:space="0" w:color="auto"/>
      </w:divBdr>
    </w:div>
    <w:div w:id="1656840571">
      <w:bodyDiv w:val="1"/>
      <w:marLeft w:val="0"/>
      <w:marRight w:val="0"/>
      <w:marTop w:val="0"/>
      <w:marBottom w:val="0"/>
      <w:divBdr>
        <w:top w:val="none" w:sz="0" w:space="0" w:color="auto"/>
        <w:left w:val="none" w:sz="0" w:space="0" w:color="auto"/>
        <w:bottom w:val="none" w:sz="0" w:space="0" w:color="auto"/>
        <w:right w:val="none" w:sz="0" w:space="0" w:color="auto"/>
      </w:divBdr>
    </w:div>
    <w:div w:id="1662586406">
      <w:bodyDiv w:val="1"/>
      <w:marLeft w:val="0"/>
      <w:marRight w:val="0"/>
      <w:marTop w:val="0"/>
      <w:marBottom w:val="0"/>
      <w:divBdr>
        <w:top w:val="none" w:sz="0" w:space="0" w:color="auto"/>
        <w:left w:val="none" w:sz="0" w:space="0" w:color="auto"/>
        <w:bottom w:val="none" w:sz="0" w:space="0" w:color="auto"/>
        <w:right w:val="none" w:sz="0" w:space="0" w:color="auto"/>
      </w:divBdr>
    </w:div>
    <w:div w:id="1663466967">
      <w:bodyDiv w:val="1"/>
      <w:marLeft w:val="0"/>
      <w:marRight w:val="0"/>
      <w:marTop w:val="0"/>
      <w:marBottom w:val="0"/>
      <w:divBdr>
        <w:top w:val="none" w:sz="0" w:space="0" w:color="auto"/>
        <w:left w:val="none" w:sz="0" w:space="0" w:color="auto"/>
        <w:bottom w:val="none" w:sz="0" w:space="0" w:color="auto"/>
        <w:right w:val="none" w:sz="0" w:space="0" w:color="auto"/>
      </w:divBdr>
      <w:divsChild>
        <w:div w:id="281542810">
          <w:marLeft w:val="0"/>
          <w:marRight w:val="0"/>
          <w:marTop w:val="0"/>
          <w:marBottom w:val="0"/>
          <w:divBdr>
            <w:top w:val="none" w:sz="0" w:space="0" w:color="auto"/>
            <w:left w:val="none" w:sz="0" w:space="0" w:color="auto"/>
            <w:bottom w:val="none" w:sz="0" w:space="0" w:color="auto"/>
            <w:right w:val="none" w:sz="0" w:space="0" w:color="auto"/>
          </w:divBdr>
          <w:divsChild>
            <w:div w:id="51316740">
              <w:marLeft w:val="0"/>
              <w:marRight w:val="0"/>
              <w:marTop w:val="0"/>
              <w:marBottom w:val="0"/>
              <w:divBdr>
                <w:top w:val="none" w:sz="0" w:space="0" w:color="auto"/>
                <w:left w:val="none" w:sz="0" w:space="0" w:color="auto"/>
                <w:bottom w:val="none" w:sz="0" w:space="0" w:color="auto"/>
                <w:right w:val="none" w:sz="0" w:space="0" w:color="auto"/>
              </w:divBdr>
              <w:divsChild>
                <w:div w:id="930621286">
                  <w:marLeft w:val="0"/>
                  <w:marRight w:val="0"/>
                  <w:marTop w:val="0"/>
                  <w:marBottom w:val="0"/>
                  <w:divBdr>
                    <w:top w:val="none" w:sz="0" w:space="0" w:color="auto"/>
                    <w:left w:val="none" w:sz="0" w:space="0" w:color="auto"/>
                    <w:bottom w:val="none" w:sz="0" w:space="0" w:color="auto"/>
                    <w:right w:val="none" w:sz="0" w:space="0" w:color="auto"/>
                  </w:divBdr>
                  <w:divsChild>
                    <w:div w:id="335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06007">
          <w:marLeft w:val="0"/>
          <w:marRight w:val="0"/>
          <w:marTop w:val="0"/>
          <w:marBottom w:val="0"/>
          <w:divBdr>
            <w:top w:val="none" w:sz="0" w:space="0" w:color="auto"/>
            <w:left w:val="none" w:sz="0" w:space="0" w:color="auto"/>
            <w:bottom w:val="none" w:sz="0" w:space="0" w:color="auto"/>
            <w:right w:val="none" w:sz="0" w:space="0" w:color="auto"/>
          </w:divBdr>
          <w:divsChild>
            <w:div w:id="1616399694">
              <w:marLeft w:val="0"/>
              <w:marRight w:val="0"/>
              <w:marTop w:val="0"/>
              <w:marBottom w:val="0"/>
              <w:divBdr>
                <w:top w:val="none" w:sz="0" w:space="0" w:color="auto"/>
                <w:left w:val="none" w:sz="0" w:space="0" w:color="auto"/>
                <w:bottom w:val="none" w:sz="0" w:space="0" w:color="auto"/>
                <w:right w:val="none" w:sz="0" w:space="0" w:color="auto"/>
              </w:divBdr>
              <w:divsChild>
                <w:div w:id="7818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6776">
      <w:bodyDiv w:val="1"/>
      <w:marLeft w:val="0"/>
      <w:marRight w:val="0"/>
      <w:marTop w:val="0"/>
      <w:marBottom w:val="0"/>
      <w:divBdr>
        <w:top w:val="none" w:sz="0" w:space="0" w:color="auto"/>
        <w:left w:val="none" w:sz="0" w:space="0" w:color="auto"/>
        <w:bottom w:val="none" w:sz="0" w:space="0" w:color="auto"/>
        <w:right w:val="none" w:sz="0" w:space="0" w:color="auto"/>
      </w:divBdr>
    </w:div>
    <w:div w:id="1665667492">
      <w:bodyDiv w:val="1"/>
      <w:marLeft w:val="0"/>
      <w:marRight w:val="0"/>
      <w:marTop w:val="0"/>
      <w:marBottom w:val="0"/>
      <w:divBdr>
        <w:top w:val="none" w:sz="0" w:space="0" w:color="auto"/>
        <w:left w:val="none" w:sz="0" w:space="0" w:color="auto"/>
        <w:bottom w:val="none" w:sz="0" w:space="0" w:color="auto"/>
        <w:right w:val="none" w:sz="0" w:space="0" w:color="auto"/>
      </w:divBdr>
    </w:div>
    <w:div w:id="1667247052">
      <w:bodyDiv w:val="1"/>
      <w:marLeft w:val="0"/>
      <w:marRight w:val="0"/>
      <w:marTop w:val="0"/>
      <w:marBottom w:val="0"/>
      <w:divBdr>
        <w:top w:val="none" w:sz="0" w:space="0" w:color="auto"/>
        <w:left w:val="none" w:sz="0" w:space="0" w:color="auto"/>
        <w:bottom w:val="none" w:sz="0" w:space="0" w:color="auto"/>
        <w:right w:val="none" w:sz="0" w:space="0" w:color="auto"/>
      </w:divBdr>
      <w:divsChild>
        <w:div w:id="1761247040">
          <w:marLeft w:val="0"/>
          <w:marRight w:val="0"/>
          <w:marTop w:val="0"/>
          <w:marBottom w:val="0"/>
          <w:divBdr>
            <w:top w:val="none" w:sz="0" w:space="0" w:color="auto"/>
            <w:left w:val="none" w:sz="0" w:space="0" w:color="auto"/>
            <w:bottom w:val="none" w:sz="0" w:space="0" w:color="auto"/>
            <w:right w:val="none" w:sz="0" w:space="0" w:color="auto"/>
          </w:divBdr>
          <w:divsChild>
            <w:div w:id="11019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3323">
      <w:bodyDiv w:val="1"/>
      <w:marLeft w:val="0"/>
      <w:marRight w:val="0"/>
      <w:marTop w:val="0"/>
      <w:marBottom w:val="0"/>
      <w:divBdr>
        <w:top w:val="none" w:sz="0" w:space="0" w:color="auto"/>
        <w:left w:val="none" w:sz="0" w:space="0" w:color="auto"/>
        <w:bottom w:val="none" w:sz="0" w:space="0" w:color="auto"/>
        <w:right w:val="none" w:sz="0" w:space="0" w:color="auto"/>
      </w:divBdr>
    </w:div>
    <w:div w:id="1669091250">
      <w:bodyDiv w:val="1"/>
      <w:marLeft w:val="0"/>
      <w:marRight w:val="0"/>
      <w:marTop w:val="0"/>
      <w:marBottom w:val="0"/>
      <w:divBdr>
        <w:top w:val="none" w:sz="0" w:space="0" w:color="auto"/>
        <w:left w:val="none" w:sz="0" w:space="0" w:color="auto"/>
        <w:bottom w:val="none" w:sz="0" w:space="0" w:color="auto"/>
        <w:right w:val="none" w:sz="0" w:space="0" w:color="auto"/>
      </w:divBdr>
    </w:div>
    <w:div w:id="1669091596">
      <w:bodyDiv w:val="1"/>
      <w:marLeft w:val="0"/>
      <w:marRight w:val="0"/>
      <w:marTop w:val="0"/>
      <w:marBottom w:val="0"/>
      <w:divBdr>
        <w:top w:val="none" w:sz="0" w:space="0" w:color="auto"/>
        <w:left w:val="none" w:sz="0" w:space="0" w:color="auto"/>
        <w:bottom w:val="none" w:sz="0" w:space="0" w:color="auto"/>
        <w:right w:val="none" w:sz="0" w:space="0" w:color="auto"/>
      </w:divBdr>
    </w:div>
    <w:div w:id="1670668734">
      <w:bodyDiv w:val="1"/>
      <w:marLeft w:val="0"/>
      <w:marRight w:val="0"/>
      <w:marTop w:val="0"/>
      <w:marBottom w:val="0"/>
      <w:divBdr>
        <w:top w:val="none" w:sz="0" w:space="0" w:color="auto"/>
        <w:left w:val="none" w:sz="0" w:space="0" w:color="auto"/>
        <w:bottom w:val="none" w:sz="0" w:space="0" w:color="auto"/>
        <w:right w:val="none" w:sz="0" w:space="0" w:color="auto"/>
      </w:divBdr>
    </w:div>
    <w:div w:id="1670670770">
      <w:bodyDiv w:val="1"/>
      <w:marLeft w:val="0"/>
      <w:marRight w:val="0"/>
      <w:marTop w:val="0"/>
      <w:marBottom w:val="0"/>
      <w:divBdr>
        <w:top w:val="none" w:sz="0" w:space="0" w:color="auto"/>
        <w:left w:val="none" w:sz="0" w:space="0" w:color="auto"/>
        <w:bottom w:val="none" w:sz="0" w:space="0" w:color="auto"/>
        <w:right w:val="none" w:sz="0" w:space="0" w:color="auto"/>
      </w:divBdr>
    </w:div>
    <w:div w:id="1671057592">
      <w:bodyDiv w:val="1"/>
      <w:marLeft w:val="0"/>
      <w:marRight w:val="0"/>
      <w:marTop w:val="0"/>
      <w:marBottom w:val="0"/>
      <w:divBdr>
        <w:top w:val="none" w:sz="0" w:space="0" w:color="auto"/>
        <w:left w:val="none" w:sz="0" w:space="0" w:color="auto"/>
        <w:bottom w:val="none" w:sz="0" w:space="0" w:color="auto"/>
        <w:right w:val="none" w:sz="0" w:space="0" w:color="auto"/>
      </w:divBdr>
    </w:div>
    <w:div w:id="1677927644">
      <w:bodyDiv w:val="1"/>
      <w:marLeft w:val="0"/>
      <w:marRight w:val="0"/>
      <w:marTop w:val="0"/>
      <w:marBottom w:val="0"/>
      <w:divBdr>
        <w:top w:val="none" w:sz="0" w:space="0" w:color="auto"/>
        <w:left w:val="none" w:sz="0" w:space="0" w:color="auto"/>
        <w:bottom w:val="none" w:sz="0" w:space="0" w:color="auto"/>
        <w:right w:val="none" w:sz="0" w:space="0" w:color="auto"/>
      </w:divBdr>
    </w:div>
    <w:div w:id="1678925064">
      <w:bodyDiv w:val="1"/>
      <w:marLeft w:val="0"/>
      <w:marRight w:val="0"/>
      <w:marTop w:val="0"/>
      <w:marBottom w:val="0"/>
      <w:divBdr>
        <w:top w:val="none" w:sz="0" w:space="0" w:color="auto"/>
        <w:left w:val="none" w:sz="0" w:space="0" w:color="auto"/>
        <w:bottom w:val="none" w:sz="0" w:space="0" w:color="auto"/>
        <w:right w:val="none" w:sz="0" w:space="0" w:color="auto"/>
      </w:divBdr>
    </w:div>
    <w:div w:id="1680504607">
      <w:bodyDiv w:val="1"/>
      <w:marLeft w:val="0"/>
      <w:marRight w:val="0"/>
      <w:marTop w:val="0"/>
      <w:marBottom w:val="0"/>
      <w:divBdr>
        <w:top w:val="none" w:sz="0" w:space="0" w:color="auto"/>
        <w:left w:val="none" w:sz="0" w:space="0" w:color="auto"/>
        <w:bottom w:val="none" w:sz="0" w:space="0" w:color="auto"/>
        <w:right w:val="none" w:sz="0" w:space="0" w:color="auto"/>
      </w:divBdr>
    </w:div>
    <w:div w:id="1681465031">
      <w:bodyDiv w:val="1"/>
      <w:marLeft w:val="0"/>
      <w:marRight w:val="0"/>
      <w:marTop w:val="0"/>
      <w:marBottom w:val="0"/>
      <w:divBdr>
        <w:top w:val="none" w:sz="0" w:space="0" w:color="auto"/>
        <w:left w:val="none" w:sz="0" w:space="0" w:color="auto"/>
        <w:bottom w:val="none" w:sz="0" w:space="0" w:color="auto"/>
        <w:right w:val="none" w:sz="0" w:space="0" w:color="auto"/>
      </w:divBdr>
    </w:div>
    <w:div w:id="1681927997">
      <w:bodyDiv w:val="1"/>
      <w:marLeft w:val="0"/>
      <w:marRight w:val="0"/>
      <w:marTop w:val="0"/>
      <w:marBottom w:val="0"/>
      <w:divBdr>
        <w:top w:val="none" w:sz="0" w:space="0" w:color="auto"/>
        <w:left w:val="none" w:sz="0" w:space="0" w:color="auto"/>
        <w:bottom w:val="none" w:sz="0" w:space="0" w:color="auto"/>
        <w:right w:val="none" w:sz="0" w:space="0" w:color="auto"/>
      </w:divBdr>
    </w:div>
    <w:div w:id="1683043898">
      <w:bodyDiv w:val="1"/>
      <w:marLeft w:val="0"/>
      <w:marRight w:val="0"/>
      <w:marTop w:val="0"/>
      <w:marBottom w:val="0"/>
      <w:divBdr>
        <w:top w:val="none" w:sz="0" w:space="0" w:color="auto"/>
        <w:left w:val="none" w:sz="0" w:space="0" w:color="auto"/>
        <w:bottom w:val="none" w:sz="0" w:space="0" w:color="auto"/>
        <w:right w:val="none" w:sz="0" w:space="0" w:color="auto"/>
      </w:divBdr>
    </w:div>
    <w:div w:id="1686059853">
      <w:bodyDiv w:val="1"/>
      <w:marLeft w:val="0"/>
      <w:marRight w:val="0"/>
      <w:marTop w:val="0"/>
      <w:marBottom w:val="0"/>
      <w:divBdr>
        <w:top w:val="none" w:sz="0" w:space="0" w:color="auto"/>
        <w:left w:val="none" w:sz="0" w:space="0" w:color="auto"/>
        <w:bottom w:val="none" w:sz="0" w:space="0" w:color="auto"/>
        <w:right w:val="none" w:sz="0" w:space="0" w:color="auto"/>
      </w:divBdr>
    </w:div>
    <w:div w:id="1686979056">
      <w:bodyDiv w:val="1"/>
      <w:marLeft w:val="0"/>
      <w:marRight w:val="0"/>
      <w:marTop w:val="0"/>
      <w:marBottom w:val="0"/>
      <w:divBdr>
        <w:top w:val="none" w:sz="0" w:space="0" w:color="auto"/>
        <w:left w:val="none" w:sz="0" w:space="0" w:color="auto"/>
        <w:bottom w:val="none" w:sz="0" w:space="0" w:color="auto"/>
        <w:right w:val="none" w:sz="0" w:space="0" w:color="auto"/>
      </w:divBdr>
    </w:div>
    <w:div w:id="1688023695">
      <w:bodyDiv w:val="1"/>
      <w:marLeft w:val="0"/>
      <w:marRight w:val="0"/>
      <w:marTop w:val="0"/>
      <w:marBottom w:val="0"/>
      <w:divBdr>
        <w:top w:val="none" w:sz="0" w:space="0" w:color="auto"/>
        <w:left w:val="none" w:sz="0" w:space="0" w:color="auto"/>
        <w:bottom w:val="none" w:sz="0" w:space="0" w:color="auto"/>
        <w:right w:val="none" w:sz="0" w:space="0" w:color="auto"/>
      </w:divBdr>
    </w:div>
    <w:div w:id="1690064866">
      <w:bodyDiv w:val="1"/>
      <w:marLeft w:val="0"/>
      <w:marRight w:val="0"/>
      <w:marTop w:val="0"/>
      <w:marBottom w:val="0"/>
      <w:divBdr>
        <w:top w:val="none" w:sz="0" w:space="0" w:color="auto"/>
        <w:left w:val="none" w:sz="0" w:space="0" w:color="auto"/>
        <w:bottom w:val="none" w:sz="0" w:space="0" w:color="auto"/>
        <w:right w:val="none" w:sz="0" w:space="0" w:color="auto"/>
      </w:divBdr>
    </w:div>
    <w:div w:id="1693611692">
      <w:bodyDiv w:val="1"/>
      <w:marLeft w:val="0"/>
      <w:marRight w:val="0"/>
      <w:marTop w:val="0"/>
      <w:marBottom w:val="0"/>
      <w:divBdr>
        <w:top w:val="none" w:sz="0" w:space="0" w:color="auto"/>
        <w:left w:val="none" w:sz="0" w:space="0" w:color="auto"/>
        <w:bottom w:val="none" w:sz="0" w:space="0" w:color="auto"/>
        <w:right w:val="none" w:sz="0" w:space="0" w:color="auto"/>
      </w:divBdr>
      <w:divsChild>
        <w:div w:id="1337803028">
          <w:marLeft w:val="0"/>
          <w:marRight w:val="0"/>
          <w:marTop w:val="120"/>
          <w:marBottom w:val="0"/>
          <w:divBdr>
            <w:top w:val="none" w:sz="0" w:space="0" w:color="auto"/>
            <w:left w:val="none" w:sz="0" w:space="0" w:color="auto"/>
            <w:bottom w:val="none" w:sz="0" w:space="0" w:color="auto"/>
            <w:right w:val="none" w:sz="0" w:space="0" w:color="auto"/>
          </w:divBdr>
        </w:div>
        <w:div w:id="1080829524">
          <w:marLeft w:val="0"/>
          <w:marRight w:val="0"/>
          <w:marTop w:val="120"/>
          <w:marBottom w:val="0"/>
          <w:divBdr>
            <w:top w:val="none" w:sz="0" w:space="0" w:color="auto"/>
            <w:left w:val="none" w:sz="0" w:space="0" w:color="auto"/>
            <w:bottom w:val="none" w:sz="0" w:space="0" w:color="auto"/>
            <w:right w:val="none" w:sz="0" w:space="0" w:color="auto"/>
          </w:divBdr>
        </w:div>
      </w:divsChild>
    </w:div>
    <w:div w:id="1697461616">
      <w:bodyDiv w:val="1"/>
      <w:marLeft w:val="0"/>
      <w:marRight w:val="0"/>
      <w:marTop w:val="0"/>
      <w:marBottom w:val="0"/>
      <w:divBdr>
        <w:top w:val="none" w:sz="0" w:space="0" w:color="auto"/>
        <w:left w:val="none" w:sz="0" w:space="0" w:color="auto"/>
        <w:bottom w:val="none" w:sz="0" w:space="0" w:color="auto"/>
        <w:right w:val="none" w:sz="0" w:space="0" w:color="auto"/>
      </w:divBdr>
    </w:div>
    <w:div w:id="1702130145">
      <w:bodyDiv w:val="1"/>
      <w:marLeft w:val="0"/>
      <w:marRight w:val="0"/>
      <w:marTop w:val="0"/>
      <w:marBottom w:val="0"/>
      <w:divBdr>
        <w:top w:val="none" w:sz="0" w:space="0" w:color="auto"/>
        <w:left w:val="none" w:sz="0" w:space="0" w:color="auto"/>
        <w:bottom w:val="none" w:sz="0" w:space="0" w:color="auto"/>
        <w:right w:val="none" w:sz="0" w:space="0" w:color="auto"/>
      </w:divBdr>
    </w:div>
    <w:div w:id="1702168308">
      <w:bodyDiv w:val="1"/>
      <w:marLeft w:val="0"/>
      <w:marRight w:val="0"/>
      <w:marTop w:val="0"/>
      <w:marBottom w:val="0"/>
      <w:divBdr>
        <w:top w:val="none" w:sz="0" w:space="0" w:color="auto"/>
        <w:left w:val="none" w:sz="0" w:space="0" w:color="auto"/>
        <w:bottom w:val="none" w:sz="0" w:space="0" w:color="auto"/>
        <w:right w:val="none" w:sz="0" w:space="0" w:color="auto"/>
      </w:divBdr>
      <w:divsChild>
        <w:div w:id="750389852">
          <w:marLeft w:val="0"/>
          <w:marRight w:val="0"/>
          <w:marTop w:val="0"/>
          <w:marBottom w:val="0"/>
          <w:divBdr>
            <w:top w:val="none" w:sz="0" w:space="0" w:color="auto"/>
            <w:left w:val="none" w:sz="0" w:space="0" w:color="auto"/>
            <w:bottom w:val="none" w:sz="0" w:space="0" w:color="auto"/>
            <w:right w:val="none" w:sz="0" w:space="0" w:color="auto"/>
          </w:divBdr>
          <w:divsChild>
            <w:div w:id="1794179270">
              <w:marLeft w:val="0"/>
              <w:marRight w:val="0"/>
              <w:marTop w:val="0"/>
              <w:marBottom w:val="0"/>
              <w:divBdr>
                <w:top w:val="none" w:sz="0" w:space="0" w:color="auto"/>
                <w:left w:val="none" w:sz="0" w:space="0" w:color="auto"/>
                <w:bottom w:val="none" w:sz="0" w:space="0" w:color="auto"/>
                <w:right w:val="none" w:sz="0" w:space="0" w:color="auto"/>
              </w:divBdr>
              <w:divsChild>
                <w:div w:id="14181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3116">
          <w:marLeft w:val="0"/>
          <w:marRight w:val="0"/>
          <w:marTop w:val="0"/>
          <w:marBottom w:val="0"/>
          <w:divBdr>
            <w:top w:val="none" w:sz="0" w:space="0" w:color="auto"/>
            <w:left w:val="none" w:sz="0" w:space="0" w:color="auto"/>
            <w:bottom w:val="none" w:sz="0" w:space="0" w:color="auto"/>
            <w:right w:val="none" w:sz="0" w:space="0" w:color="auto"/>
          </w:divBdr>
          <w:divsChild>
            <w:div w:id="224998243">
              <w:marLeft w:val="0"/>
              <w:marRight w:val="0"/>
              <w:marTop w:val="0"/>
              <w:marBottom w:val="0"/>
              <w:divBdr>
                <w:top w:val="none" w:sz="0" w:space="0" w:color="auto"/>
                <w:left w:val="none" w:sz="0" w:space="0" w:color="auto"/>
                <w:bottom w:val="none" w:sz="0" w:space="0" w:color="auto"/>
                <w:right w:val="none" w:sz="0" w:space="0" w:color="auto"/>
              </w:divBdr>
              <w:divsChild>
                <w:div w:id="579602770">
                  <w:marLeft w:val="0"/>
                  <w:marRight w:val="0"/>
                  <w:marTop w:val="0"/>
                  <w:marBottom w:val="0"/>
                  <w:divBdr>
                    <w:top w:val="none" w:sz="0" w:space="0" w:color="auto"/>
                    <w:left w:val="none" w:sz="0" w:space="0" w:color="auto"/>
                    <w:bottom w:val="none" w:sz="0" w:space="0" w:color="auto"/>
                    <w:right w:val="none" w:sz="0" w:space="0" w:color="auto"/>
                  </w:divBdr>
                  <w:divsChild>
                    <w:div w:id="14078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08614">
      <w:bodyDiv w:val="1"/>
      <w:marLeft w:val="0"/>
      <w:marRight w:val="0"/>
      <w:marTop w:val="0"/>
      <w:marBottom w:val="0"/>
      <w:divBdr>
        <w:top w:val="none" w:sz="0" w:space="0" w:color="auto"/>
        <w:left w:val="none" w:sz="0" w:space="0" w:color="auto"/>
        <w:bottom w:val="none" w:sz="0" w:space="0" w:color="auto"/>
        <w:right w:val="none" w:sz="0" w:space="0" w:color="auto"/>
      </w:divBdr>
    </w:div>
    <w:div w:id="1703093945">
      <w:bodyDiv w:val="1"/>
      <w:marLeft w:val="0"/>
      <w:marRight w:val="0"/>
      <w:marTop w:val="0"/>
      <w:marBottom w:val="0"/>
      <w:divBdr>
        <w:top w:val="none" w:sz="0" w:space="0" w:color="auto"/>
        <w:left w:val="none" w:sz="0" w:space="0" w:color="auto"/>
        <w:bottom w:val="none" w:sz="0" w:space="0" w:color="auto"/>
        <w:right w:val="none" w:sz="0" w:space="0" w:color="auto"/>
      </w:divBdr>
    </w:div>
    <w:div w:id="1703287161">
      <w:bodyDiv w:val="1"/>
      <w:marLeft w:val="0"/>
      <w:marRight w:val="0"/>
      <w:marTop w:val="0"/>
      <w:marBottom w:val="0"/>
      <w:divBdr>
        <w:top w:val="none" w:sz="0" w:space="0" w:color="auto"/>
        <w:left w:val="none" w:sz="0" w:space="0" w:color="auto"/>
        <w:bottom w:val="none" w:sz="0" w:space="0" w:color="auto"/>
        <w:right w:val="none" w:sz="0" w:space="0" w:color="auto"/>
      </w:divBdr>
      <w:divsChild>
        <w:div w:id="1162936453">
          <w:marLeft w:val="0"/>
          <w:marRight w:val="0"/>
          <w:marTop w:val="0"/>
          <w:marBottom w:val="0"/>
          <w:divBdr>
            <w:top w:val="none" w:sz="0" w:space="0" w:color="auto"/>
            <w:left w:val="none" w:sz="0" w:space="0" w:color="auto"/>
            <w:bottom w:val="none" w:sz="0" w:space="0" w:color="auto"/>
            <w:right w:val="none" w:sz="0" w:space="0" w:color="auto"/>
          </w:divBdr>
          <w:divsChild>
            <w:div w:id="1944145794">
              <w:marLeft w:val="0"/>
              <w:marRight w:val="0"/>
              <w:marTop w:val="0"/>
              <w:marBottom w:val="0"/>
              <w:divBdr>
                <w:top w:val="none" w:sz="0" w:space="0" w:color="auto"/>
                <w:left w:val="none" w:sz="0" w:space="0" w:color="auto"/>
                <w:bottom w:val="none" w:sz="0" w:space="0" w:color="auto"/>
                <w:right w:val="none" w:sz="0" w:space="0" w:color="auto"/>
              </w:divBdr>
              <w:divsChild>
                <w:div w:id="11094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277">
          <w:marLeft w:val="0"/>
          <w:marRight w:val="0"/>
          <w:marTop w:val="0"/>
          <w:marBottom w:val="0"/>
          <w:divBdr>
            <w:top w:val="none" w:sz="0" w:space="0" w:color="auto"/>
            <w:left w:val="none" w:sz="0" w:space="0" w:color="auto"/>
            <w:bottom w:val="none" w:sz="0" w:space="0" w:color="auto"/>
            <w:right w:val="none" w:sz="0" w:space="0" w:color="auto"/>
          </w:divBdr>
          <w:divsChild>
            <w:div w:id="1829057259">
              <w:marLeft w:val="0"/>
              <w:marRight w:val="0"/>
              <w:marTop w:val="0"/>
              <w:marBottom w:val="0"/>
              <w:divBdr>
                <w:top w:val="none" w:sz="0" w:space="0" w:color="auto"/>
                <w:left w:val="none" w:sz="0" w:space="0" w:color="auto"/>
                <w:bottom w:val="none" w:sz="0" w:space="0" w:color="auto"/>
                <w:right w:val="none" w:sz="0" w:space="0" w:color="auto"/>
              </w:divBdr>
              <w:divsChild>
                <w:div w:id="1828010458">
                  <w:marLeft w:val="0"/>
                  <w:marRight w:val="0"/>
                  <w:marTop w:val="0"/>
                  <w:marBottom w:val="0"/>
                  <w:divBdr>
                    <w:top w:val="none" w:sz="0" w:space="0" w:color="auto"/>
                    <w:left w:val="none" w:sz="0" w:space="0" w:color="auto"/>
                    <w:bottom w:val="none" w:sz="0" w:space="0" w:color="auto"/>
                    <w:right w:val="none" w:sz="0" w:space="0" w:color="auto"/>
                  </w:divBdr>
                  <w:divsChild>
                    <w:div w:id="8640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98691">
      <w:bodyDiv w:val="1"/>
      <w:marLeft w:val="0"/>
      <w:marRight w:val="0"/>
      <w:marTop w:val="0"/>
      <w:marBottom w:val="0"/>
      <w:divBdr>
        <w:top w:val="none" w:sz="0" w:space="0" w:color="auto"/>
        <w:left w:val="none" w:sz="0" w:space="0" w:color="auto"/>
        <w:bottom w:val="none" w:sz="0" w:space="0" w:color="auto"/>
        <w:right w:val="none" w:sz="0" w:space="0" w:color="auto"/>
      </w:divBdr>
      <w:divsChild>
        <w:div w:id="1190989674">
          <w:marLeft w:val="0"/>
          <w:marRight w:val="0"/>
          <w:marTop w:val="0"/>
          <w:marBottom w:val="0"/>
          <w:divBdr>
            <w:top w:val="none" w:sz="0" w:space="0" w:color="auto"/>
            <w:left w:val="none" w:sz="0" w:space="0" w:color="auto"/>
            <w:bottom w:val="none" w:sz="0" w:space="0" w:color="auto"/>
            <w:right w:val="none" w:sz="0" w:space="0" w:color="auto"/>
          </w:divBdr>
          <w:divsChild>
            <w:div w:id="1819758386">
              <w:marLeft w:val="0"/>
              <w:marRight w:val="0"/>
              <w:marTop w:val="0"/>
              <w:marBottom w:val="0"/>
              <w:divBdr>
                <w:top w:val="none" w:sz="0" w:space="0" w:color="auto"/>
                <w:left w:val="none" w:sz="0" w:space="0" w:color="auto"/>
                <w:bottom w:val="none" w:sz="0" w:space="0" w:color="auto"/>
                <w:right w:val="none" w:sz="0" w:space="0" w:color="auto"/>
              </w:divBdr>
              <w:divsChild>
                <w:div w:id="8802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101975">
      <w:bodyDiv w:val="1"/>
      <w:marLeft w:val="0"/>
      <w:marRight w:val="0"/>
      <w:marTop w:val="0"/>
      <w:marBottom w:val="0"/>
      <w:divBdr>
        <w:top w:val="none" w:sz="0" w:space="0" w:color="auto"/>
        <w:left w:val="none" w:sz="0" w:space="0" w:color="auto"/>
        <w:bottom w:val="none" w:sz="0" w:space="0" w:color="auto"/>
        <w:right w:val="none" w:sz="0" w:space="0" w:color="auto"/>
      </w:divBdr>
    </w:div>
    <w:div w:id="1709988399">
      <w:bodyDiv w:val="1"/>
      <w:marLeft w:val="0"/>
      <w:marRight w:val="0"/>
      <w:marTop w:val="0"/>
      <w:marBottom w:val="0"/>
      <w:divBdr>
        <w:top w:val="none" w:sz="0" w:space="0" w:color="auto"/>
        <w:left w:val="none" w:sz="0" w:space="0" w:color="auto"/>
        <w:bottom w:val="none" w:sz="0" w:space="0" w:color="auto"/>
        <w:right w:val="none" w:sz="0" w:space="0" w:color="auto"/>
      </w:divBdr>
      <w:divsChild>
        <w:div w:id="220098169">
          <w:marLeft w:val="0"/>
          <w:marRight w:val="0"/>
          <w:marTop w:val="0"/>
          <w:marBottom w:val="0"/>
          <w:divBdr>
            <w:top w:val="none" w:sz="0" w:space="0" w:color="auto"/>
            <w:left w:val="none" w:sz="0" w:space="0" w:color="auto"/>
            <w:bottom w:val="none" w:sz="0" w:space="0" w:color="auto"/>
            <w:right w:val="none" w:sz="0" w:space="0" w:color="auto"/>
          </w:divBdr>
          <w:divsChild>
            <w:div w:id="428627164">
              <w:marLeft w:val="0"/>
              <w:marRight w:val="0"/>
              <w:marTop w:val="0"/>
              <w:marBottom w:val="0"/>
              <w:divBdr>
                <w:top w:val="none" w:sz="0" w:space="0" w:color="auto"/>
                <w:left w:val="none" w:sz="0" w:space="0" w:color="auto"/>
                <w:bottom w:val="none" w:sz="0" w:space="0" w:color="auto"/>
                <w:right w:val="none" w:sz="0" w:space="0" w:color="auto"/>
              </w:divBdr>
              <w:divsChild>
                <w:div w:id="1688023848">
                  <w:marLeft w:val="0"/>
                  <w:marRight w:val="0"/>
                  <w:marTop w:val="0"/>
                  <w:marBottom w:val="0"/>
                  <w:divBdr>
                    <w:top w:val="none" w:sz="0" w:space="0" w:color="auto"/>
                    <w:left w:val="none" w:sz="0" w:space="0" w:color="auto"/>
                    <w:bottom w:val="none" w:sz="0" w:space="0" w:color="auto"/>
                    <w:right w:val="none" w:sz="0" w:space="0" w:color="auto"/>
                  </w:divBdr>
                  <w:divsChild>
                    <w:div w:id="11026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43161">
          <w:marLeft w:val="0"/>
          <w:marRight w:val="0"/>
          <w:marTop w:val="0"/>
          <w:marBottom w:val="0"/>
          <w:divBdr>
            <w:top w:val="none" w:sz="0" w:space="0" w:color="auto"/>
            <w:left w:val="none" w:sz="0" w:space="0" w:color="auto"/>
            <w:bottom w:val="none" w:sz="0" w:space="0" w:color="auto"/>
            <w:right w:val="none" w:sz="0" w:space="0" w:color="auto"/>
          </w:divBdr>
          <w:divsChild>
            <w:div w:id="1401155">
              <w:marLeft w:val="0"/>
              <w:marRight w:val="0"/>
              <w:marTop w:val="0"/>
              <w:marBottom w:val="0"/>
              <w:divBdr>
                <w:top w:val="none" w:sz="0" w:space="0" w:color="auto"/>
                <w:left w:val="none" w:sz="0" w:space="0" w:color="auto"/>
                <w:bottom w:val="none" w:sz="0" w:space="0" w:color="auto"/>
                <w:right w:val="none" w:sz="0" w:space="0" w:color="auto"/>
              </w:divBdr>
              <w:divsChild>
                <w:div w:id="10557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80169">
      <w:bodyDiv w:val="1"/>
      <w:marLeft w:val="0"/>
      <w:marRight w:val="0"/>
      <w:marTop w:val="0"/>
      <w:marBottom w:val="0"/>
      <w:divBdr>
        <w:top w:val="none" w:sz="0" w:space="0" w:color="auto"/>
        <w:left w:val="none" w:sz="0" w:space="0" w:color="auto"/>
        <w:bottom w:val="none" w:sz="0" w:space="0" w:color="auto"/>
        <w:right w:val="none" w:sz="0" w:space="0" w:color="auto"/>
      </w:divBdr>
    </w:div>
    <w:div w:id="1710301882">
      <w:bodyDiv w:val="1"/>
      <w:marLeft w:val="0"/>
      <w:marRight w:val="0"/>
      <w:marTop w:val="0"/>
      <w:marBottom w:val="0"/>
      <w:divBdr>
        <w:top w:val="none" w:sz="0" w:space="0" w:color="auto"/>
        <w:left w:val="none" w:sz="0" w:space="0" w:color="auto"/>
        <w:bottom w:val="none" w:sz="0" w:space="0" w:color="auto"/>
        <w:right w:val="none" w:sz="0" w:space="0" w:color="auto"/>
      </w:divBdr>
    </w:div>
    <w:div w:id="1712613389">
      <w:bodyDiv w:val="1"/>
      <w:marLeft w:val="0"/>
      <w:marRight w:val="0"/>
      <w:marTop w:val="0"/>
      <w:marBottom w:val="0"/>
      <w:divBdr>
        <w:top w:val="none" w:sz="0" w:space="0" w:color="auto"/>
        <w:left w:val="none" w:sz="0" w:space="0" w:color="auto"/>
        <w:bottom w:val="none" w:sz="0" w:space="0" w:color="auto"/>
        <w:right w:val="none" w:sz="0" w:space="0" w:color="auto"/>
      </w:divBdr>
    </w:div>
    <w:div w:id="1713916968">
      <w:bodyDiv w:val="1"/>
      <w:marLeft w:val="0"/>
      <w:marRight w:val="0"/>
      <w:marTop w:val="0"/>
      <w:marBottom w:val="0"/>
      <w:divBdr>
        <w:top w:val="none" w:sz="0" w:space="0" w:color="auto"/>
        <w:left w:val="none" w:sz="0" w:space="0" w:color="auto"/>
        <w:bottom w:val="none" w:sz="0" w:space="0" w:color="auto"/>
        <w:right w:val="none" w:sz="0" w:space="0" w:color="auto"/>
      </w:divBdr>
    </w:div>
    <w:div w:id="1713966498">
      <w:bodyDiv w:val="1"/>
      <w:marLeft w:val="0"/>
      <w:marRight w:val="0"/>
      <w:marTop w:val="0"/>
      <w:marBottom w:val="0"/>
      <w:divBdr>
        <w:top w:val="none" w:sz="0" w:space="0" w:color="auto"/>
        <w:left w:val="none" w:sz="0" w:space="0" w:color="auto"/>
        <w:bottom w:val="none" w:sz="0" w:space="0" w:color="auto"/>
        <w:right w:val="none" w:sz="0" w:space="0" w:color="auto"/>
      </w:divBdr>
    </w:div>
    <w:div w:id="1713966581">
      <w:bodyDiv w:val="1"/>
      <w:marLeft w:val="0"/>
      <w:marRight w:val="0"/>
      <w:marTop w:val="0"/>
      <w:marBottom w:val="0"/>
      <w:divBdr>
        <w:top w:val="none" w:sz="0" w:space="0" w:color="auto"/>
        <w:left w:val="none" w:sz="0" w:space="0" w:color="auto"/>
        <w:bottom w:val="none" w:sz="0" w:space="0" w:color="auto"/>
        <w:right w:val="none" w:sz="0" w:space="0" w:color="auto"/>
      </w:divBdr>
    </w:div>
    <w:div w:id="1716655257">
      <w:bodyDiv w:val="1"/>
      <w:marLeft w:val="0"/>
      <w:marRight w:val="0"/>
      <w:marTop w:val="0"/>
      <w:marBottom w:val="0"/>
      <w:divBdr>
        <w:top w:val="none" w:sz="0" w:space="0" w:color="auto"/>
        <w:left w:val="none" w:sz="0" w:space="0" w:color="auto"/>
        <w:bottom w:val="none" w:sz="0" w:space="0" w:color="auto"/>
        <w:right w:val="none" w:sz="0" w:space="0" w:color="auto"/>
      </w:divBdr>
      <w:divsChild>
        <w:div w:id="494959560">
          <w:marLeft w:val="0"/>
          <w:marRight w:val="0"/>
          <w:marTop w:val="0"/>
          <w:marBottom w:val="0"/>
          <w:divBdr>
            <w:top w:val="none" w:sz="0" w:space="0" w:color="auto"/>
            <w:left w:val="none" w:sz="0" w:space="0" w:color="auto"/>
            <w:bottom w:val="none" w:sz="0" w:space="0" w:color="auto"/>
            <w:right w:val="none" w:sz="0" w:space="0" w:color="auto"/>
          </w:divBdr>
          <w:divsChild>
            <w:div w:id="742338050">
              <w:marLeft w:val="0"/>
              <w:marRight w:val="0"/>
              <w:marTop w:val="0"/>
              <w:marBottom w:val="0"/>
              <w:divBdr>
                <w:top w:val="none" w:sz="0" w:space="0" w:color="auto"/>
                <w:left w:val="none" w:sz="0" w:space="0" w:color="auto"/>
                <w:bottom w:val="none" w:sz="0" w:space="0" w:color="auto"/>
                <w:right w:val="none" w:sz="0" w:space="0" w:color="auto"/>
              </w:divBdr>
              <w:divsChild>
                <w:div w:id="9593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96630">
          <w:marLeft w:val="0"/>
          <w:marRight w:val="0"/>
          <w:marTop w:val="0"/>
          <w:marBottom w:val="0"/>
          <w:divBdr>
            <w:top w:val="none" w:sz="0" w:space="0" w:color="auto"/>
            <w:left w:val="none" w:sz="0" w:space="0" w:color="auto"/>
            <w:bottom w:val="none" w:sz="0" w:space="0" w:color="auto"/>
            <w:right w:val="none" w:sz="0" w:space="0" w:color="auto"/>
          </w:divBdr>
          <w:divsChild>
            <w:div w:id="153382255">
              <w:marLeft w:val="0"/>
              <w:marRight w:val="0"/>
              <w:marTop w:val="0"/>
              <w:marBottom w:val="0"/>
              <w:divBdr>
                <w:top w:val="none" w:sz="0" w:space="0" w:color="auto"/>
                <w:left w:val="none" w:sz="0" w:space="0" w:color="auto"/>
                <w:bottom w:val="none" w:sz="0" w:space="0" w:color="auto"/>
                <w:right w:val="none" w:sz="0" w:space="0" w:color="auto"/>
              </w:divBdr>
              <w:divsChild>
                <w:div w:id="1483155782">
                  <w:marLeft w:val="0"/>
                  <w:marRight w:val="0"/>
                  <w:marTop w:val="0"/>
                  <w:marBottom w:val="0"/>
                  <w:divBdr>
                    <w:top w:val="none" w:sz="0" w:space="0" w:color="auto"/>
                    <w:left w:val="none" w:sz="0" w:space="0" w:color="auto"/>
                    <w:bottom w:val="none" w:sz="0" w:space="0" w:color="auto"/>
                    <w:right w:val="none" w:sz="0" w:space="0" w:color="auto"/>
                  </w:divBdr>
                  <w:divsChild>
                    <w:div w:id="2267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58079">
      <w:bodyDiv w:val="1"/>
      <w:marLeft w:val="0"/>
      <w:marRight w:val="0"/>
      <w:marTop w:val="0"/>
      <w:marBottom w:val="0"/>
      <w:divBdr>
        <w:top w:val="none" w:sz="0" w:space="0" w:color="auto"/>
        <w:left w:val="none" w:sz="0" w:space="0" w:color="auto"/>
        <w:bottom w:val="none" w:sz="0" w:space="0" w:color="auto"/>
        <w:right w:val="none" w:sz="0" w:space="0" w:color="auto"/>
      </w:divBdr>
    </w:div>
    <w:div w:id="1718165365">
      <w:bodyDiv w:val="1"/>
      <w:marLeft w:val="0"/>
      <w:marRight w:val="0"/>
      <w:marTop w:val="0"/>
      <w:marBottom w:val="0"/>
      <w:divBdr>
        <w:top w:val="none" w:sz="0" w:space="0" w:color="auto"/>
        <w:left w:val="none" w:sz="0" w:space="0" w:color="auto"/>
        <w:bottom w:val="none" w:sz="0" w:space="0" w:color="auto"/>
        <w:right w:val="none" w:sz="0" w:space="0" w:color="auto"/>
      </w:divBdr>
    </w:div>
    <w:div w:id="1721051992">
      <w:bodyDiv w:val="1"/>
      <w:marLeft w:val="0"/>
      <w:marRight w:val="0"/>
      <w:marTop w:val="0"/>
      <w:marBottom w:val="0"/>
      <w:divBdr>
        <w:top w:val="none" w:sz="0" w:space="0" w:color="auto"/>
        <w:left w:val="none" w:sz="0" w:space="0" w:color="auto"/>
        <w:bottom w:val="none" w:sz="0" w:space="0" w:color="auto"/>
        <w:right w:val="none" w:sz="0" w:space="0" w:color="auto"/>
      </w:divBdr>
    </w:div>
    <w:div w:id="1722171080">
      <w:bodyDiv w:val="1"/>
      <w:marLeft w:val="0"/>
      <w:marRight w:val="0"/>
      <w:marTop w:val="0"/>
      <w:marBottom w:val="0"/>
      <w:divBdr>
        <w:top w:val="none" w:sz="0" w:space="0" w:color="auto"/>
        <w:left w:val="none" w:sz="0" w:space="0" w:color="auto"/>
        <w:bottom w:val="none" w:sz="0" w:space="0" w:color="auto"/>
        <w:right w:val="none" w:sz="0" w:space="0" w:color="auto"/>
      </w:divBdr>
    </w:div>
    <w:div w:id="1722292606">
      <w:bodyDiv w:val="1"/>
      <w:marLeft w:val="0"/>
      <w:marRight w:val="0"/>
      <w:marTop w:val="0"/>
      <w:marBottom w:val="0"/>
      <w:divBdr>
        <w:top w:val="none" w:sz="0" w:space="0" w:color="auto"/>
        <w:left w:val="none" w:sz="0" w:space="0" w:color="auto"/>
        <w:bottom w:val="none" w:sz="0" w:space="0" w:color="auto"/>
        <w:right w:val="none" w:sz="0" w:space="0" w:color="auto"/>
      </w:divBdr>
    </w:div>
    <w:div w:id="1723869159">
      <w:bodyDiv w:val="1"/>
      <w:marLeft w:val="0"/>
      <w:marRight w:val="0"/>
      <w:marTop w:val="0"/>
      <w:marBottom w:val="0"/>
      <w:divBdr>
        <w:top w:val="none" w:sz="0" w:space="0" w:color="auto"/>
        <w:left w:val="none" w:sz="0" w:space="0" w:color="auto"/>
        <w:bottom w:val="none" w:sz="0" w:space="0" w:color="auto"/>
        <w:right w:val="none" w:sz="0" w:space="0" w:color="auto"/>
      </w:divBdr>
    </w:div>
    <w:div w:id="1724064974">
      <w:bodyDiv w:val="1"/>
      <w:marLeft w:val="0"/>
      <w:marRight w:val="0"/>
      <w:marTop w:val="0"/>
      <w:marBottom w:val="0"/>
      <w:divBdr>
        <w:top w:val="none" w:sz="0" w:space="0" w:color="auto"/>
        <w:left w:val="none" w:sz="0" w:space="0" w:color="auto"/>
        <w:bottom w:val="none" w:sz="0" w:space="0" w:color="auto"/>
        <w:right w:val="none" w:sz="0" w:space="0" w:color="auto"/>
      </w:divBdr>
    </w:div>
    <w:div w:id="1724523369">
      <w:bodyDiv w:val="1"/>
      <w:marLeft w:val="0"/>
      <w:marRight w:val="0"/>
      <w:marTop w:val="0"/>
      <w:marBottom w:val="0"/>
      <w:divBdr>
        <w:top w:val="none" w:sz="0" w:space="0" w:color="auto"/>
        <w:left w:val="none" w:sz="0" w:space="0" w:color="auto"/>
        <w:bottom w:val="none" w:sz="0" w:space="0" w:color="auto"/>
        <w:right w:val="none" w:sz="0" w:space="0" w:color="auto"/>
      </w:divBdr>
    </w:div>
    <w:div w:id="1725174803">
      <w:bodyDiv w:val="1"/>
      <w:marLeft w:val="0"/>
      <w:marRight w:val="0"/>
      <w:marTop w:val="0"/>
      <w:marBottom w:val="0"/>
      <w:divBdr>
        <w:top w:val="none" w:sz="0" w:space="0" w:color="auto"/>
        <w:left w:val="none" w:sz="0" w:space="0" w:color="auto"/>
        <w:bottom w:val="none" w:sz="0" w:space="0" w:color="auto"/>
        <w:right w:val="none" w:sz="0" w:space="0" w:color="auto"/>
      </w:divBdr>
    </w:div>
    <w:div w:id="1725830798">
      <w:bodyDiv w:val="1"/>
      <w:marLeft w:val="0"/>
      <w:marRight w:val="0"/>
      <w:marTop w:val="0"/>
      <w:marBottom w:val="0"/>
      <w:divBdr>
        <w:top w:val="none" w:sz="0" w:space="0" w:color="auto"/>
        <w:left w:val="none" w:sz="0" w:space="0" w:color="auto"/>
        <w:bottom w:val="none" w:sz="0" w:space="0" w:color="auto"/>
        <w:right w:val="none" w:sz="0" w:space="0" w:color="auto"/>
      </w:divBdr>
    </w:div>
    <w:div w:id="1726179233">
      <w:bodyDiv w:val="1"/>
      <w:marLeft w:val="0"/>
      <w:marRight w:val="0"/>
      <w:marTop w:val="0"/>
      <w:marBottom w:val="0"/>
      <w:divBdr>
        <w:top w:val="none" w:sz="0" w:space="0" w:color="auto"/>
        <w:left w:val="none" w:sz="0" w:space="0" w:color="auto"/>
        <w:bottom w:val="none" w:sz="0" w:space="0" w:color="auto"/>
        <w:right w:val="none" w:sz="0" w:space="0" w:color="auto"/>
      </w:divBdr>
    </w:div>
    <w:div w:id="1729574953">
      <w:bodyDiv w:val="1"/>
      <w:marLeft w:val="0"/>
      <w:marRight w:val="0"/>
      <w:marTop w:val="0"/>
      <w:marBottom w:val="0"/>
      <w:divBdr>
        <w:top w:val="none" w:sz="0" w:space="0" w:color="auto"/>
        <w:left w:val="none" w:sz="0" w:space="0" w:color="auto"/>
        <w:bottom w:val="none" w:sz="0" w:space="0" w:color="auto"/>
        <w:right w:val="none" w:sz="0" w:space="0" w:color="auto"/>
      </w:divBdr>
    </w:div>
    <w:div w:id="1729761730">
      <w:bodyDiv w:val="1"/>
      <w:marLeft w:val="0"/>
      <w:marRight w:val="0"/>
      <w:marTop w:val="0"/>
      <w:marBottom w:val="0"/>
      <w:divBdr>
        <w:top w:val="none" w:sz="0" w:space="0" w:color="auto"/>
        <w:left w:val="none" w:sz="0" w:space="0" w:color="auto"/>
        <w:bottom w:val="none" w:sz="0" w:space="0" w:color="auto"/>
        <w:right w:val="none" w:sz="0" w:space="0" w:color="auto"/>
      </w:divBdr>
    </w:div>
    <w:div w:id="1731030717">
      <w:bodyDiv w:val="1"/>
      <w:marLeft w:val="0"/>
      <w:marRight w:val="0"/>
      <w:marTop w:val="0"/>
      <w:marBottom w:val="0"/>
      <w:divBdr>
        <w:top w:val="none" w:sz="0" w:space="0" w:color="auto"/>
        <w:left w:val="none" w:sz="0" w:space="0" w:color="auto"/>
        <w:bottom w:val="none" w:sz="0" w:space="0" w:color="auto"/>
        <w:right w:val="none" w:sz="0" w:space="0" w:color="auto"/>
      </w:divBdr>
    </w:div>
    <w:div w:id="1740395390">
      <w:bodyDiv w:val="1"/>
      <w:marLeft w:val="0"/>
      <w:marRight w:val="0"/>
      <w:marTop w:val="0"/>
      <w:marBottom w:val="0"/>
      <w:divBdr>
        <w:top w:val="none" w:sz="0" w:space="0" w:color="auto"/>
        <w:left w:val="none" w:sz="0" w:space="0" w:color="auto"/>
        <w:bottom w:val="none" w:sz="0" w:space="0" w:color="auto"/>
        <w:right w:val="none" w:sz="0" w:space="0" w:color="auto"/>
      </w:divBdr>
    </w:div>
    <w:div w:id="1742212588">
      <w:bodyDiv w:val="1"/>
      <w:marLeft w:val="0"/>
      <w:marRight w:val="0"/>
      <w:marTop w:val="0"/>
      <w:marBottom w:val="0"/>
      <w:divBdr>
        <w:top w:val="none" w:sz="0" w:space="0" w:color="auto"/>
        <w:left w:val="none" w:sz="0" w:space="0" w:color="auto"/>
        <w:bottom w:val="none" w:sz="0" w:space="0" w:color="auto"/>
        <w:right w:val="none" w:sz="0" w:space="0" w:color="auto"/>
      </w:divBdr>
    </w:div>
    <w:div w:id="1746796932">
      <w:bodyDiv w:val="1"/>
      <w:marLeft w:val="0"/>
      <w:marRight w:val="0"/>
      <w:marTop w:val="0"/>
      <w:marBottom w:val="0"/>
      <w:divBdr>
        <w:top w:val="none" w:sz="0" w:space="0" w:color="auto"/>
        <w:left w:val="none" w:sz="0" w:space="0" w:color="auto"/>
        <w:bottom w:val="none" w:sz="0" w:space="0" w:color="auto"/>
        <w:right w:val="none" w:sz="0" w:space="0" w:color="auto"/>
      </w:divBdr>
    </w:div>
    <w:div w:id="1753577250">
      <w:bodyDiv w:val="1"/>
      <w:marLeft w:val="0"/>
      <w:marRight w:val="0"/>
      <w:marTop w:val="0"/>
      <w:marBottom w:val="0"/>
      <w:divBdr>
        <w:top w:val="none" w:sz="0" w:space="0" w:color="auto"/>
        <w:left w:val="none" w:sz="0" w:space="0" w:color="auto"/>
        <w:bottom w:val="none" w:sz="0" w:space="0" w:color="auto"/>
        <w:right w:val="none" w:sz="0" w:space="0" w:color="auto"/>
      </w:divBdr>
    </w:div>
    <w:div w:id="1753697880">
      <w:bodyDiv w:val="1"/>
      <w:marLeft w:val="0"/>
      <w:marRight w:val="0"/>
      <w:marTop w:val="0"/>
      <w:marBottom w:val="0"/>
      <w:divBdr>
        <w:top w:val="none" w:sz="0" w:space="0" w:color="auto"/>
        <w:left w:val="none" w:sz="0" w:space="0" w:color="auto"/>
        <w:bottom w:val="none" w:sz="0" w:space="0" w:color="auto"/>
        <w:right w:val="none" w:sz="0" w:space="0" w:color="auto"/>
      </w:divBdr>
    </w:div>
    <w:div w:id="1755128388">
      <w:bodyDiv w:val="1"/>
      <w:marLeft w:val="0"/>
      <w:marRight w:val="0"/>
      <w:marTop w:val="0"/>
      <w:marBottom w:val="0"/>
      <w:divBdr>
        <w:top w:val="none" w:sz="0" w:space="0" w:color="auto"/>
        <w:left w:val="none" w:sz="0" w:space="0" w:color="auto"/>
        <w:bottom w:val="none" w:sz="0" w:space="0" w:color="auto"/>
        <w:right w:val="none" w:sz="0" w:space="0" w:color="auto"/>
      </w:divBdr>
    </w:div>
    <w:div w:id="1758822086">
      <w:bodyDiv w:val="1"/>
      <w:marLeft w:val="0"/>
      <w:marRight w:val="0"/>
      <w:marTop w:val="0"/>
      <w:marBottom w:val="0"/>
      <w:divBdr>
        <w:top w:val="none" w:sz="0" w:space="0" w:color="auto"/>
        <w:left w:val="none" w:sz="0" w:space="0" w:color="auto"/>
        <w:bottom w:val="none" w:sz="0" w:space="0" w:color="auto"/>
        <w:right w:val="none" w:sz="0" w:space="0" w:color="auto"/>
      </w:divBdr>
    </w:div>
    <w:div w:id="1759593340">
      <w:bodyDiv w:val="1"/>
      <w:marLeft w:val="0"/>
      <w:marRight w:val="0"/>
      <w:marTop w:val="0"/>
      <w:marBottom w:val="0"/>
      <w:divBdr>
        <w:top w:val="none" w:sz="0" w:space="0" w:color="auto"/>
        <w:left w:val="none" w:sz="0" w:space="0" w:color="auto"/>
        <w:bottom w:val="none" w:sz="0" w:space="0" w:color="auto"/>
        <w:right w:val="none" w:sz="0" w:space="0" w:color="auto"/>
      </w:divBdr>
    </w:div>
    <w:div w:id="1760132055">
      <w:bodyDiv w:val="1"/>
      <w:marLeft w:val="0"/>
      <w:marRight w:val="0"/>
      <w:marTop w:val="0"/>
      <w:marBottom w:val="0"/>
      <w:divBdr>
        <w:top w:val="none" w:sz="0" w:space="0" w:color="auto"/>
        <w:left w:val="none" w:sz="0" w:space="0" w:color="auto"/>
        <w:bottom w:val="none" w:sz="0" w:space="0" w:color="auto"/>
        <w:right w:val="none" w:sz="0" w:space="0" w:color="auto"/>
      </w:divBdr>
    </w:div>
    <w:div w:id="1762991625">
      <w:bodyDiv w:val="1"/>
      <w:marLeft w:val="0"/>
      <w:marRight w:val="0"/>
      <w:marTop w:val="0"/>
      <w:marBottom w:val="0"/>
      <w:divBdr>
        <w:top w:val="none" w:sz="0" w:space="0" w:color="auto"/>
        <w:left w:val="none" w:sz="0" w:space="0" w:color="auto"/>
        <w:bottom w:val="none" w:sz="0" w:space="0" w:color="auto"/>
        <w:right w:val="none" w:sz="0" w:space="0" w:color="auto"/>
      </w:divBdr>
    </w:div>
    <w:div w:id="1765150286">
      <w:bodyDiv w:val="1"/>
      <w:marLeft w:val="0"/>
      <w:marRight w:val="0"/>
      <w:marTop w:val="0"/>
      <w:marBottom w:val="0"/>
      <w:divBdr>
        <w:top w:val="none" w:sz="0" w:space="0" w:color="auto"/>
        <w:left w:val="none" w:sz="0" w:space="0" w:color="auto"/>
        <w:bottom w:val="none" w:sz="0" w:space="0" w:color="auto"/>
        <w:right w:val="none" w:sz="0" w:space="0" w:color="auto"/>
      </w:divBdr>
    </w:div>
    <w:div w:id="1765954062">
      <w:bodyDiv w:val="1"/>
      <w:marLeft w:val="0"/>
      <w:marRight w:val="0"/>
      <w:marTop w:val="0"/>
      <w:marBottom w:val="0"/>
      <w:divBdr>
        <w:top w:val="none" w:sz="0" w:space="0" w:color="auto"/>
        <w:left w:val="none" w:sz="0" w:space="0" w:color="auto"/>
        <w:bottom w:val="none" w:sz="0" w:space="0" w:color="auto"/>
        <w:right w:val="none" w:sz="0" w:space="0" w:color="auto"/>
      </w:divBdr>
    </w:div>
    <w:div w:id="1770348315">
      <w:bodyDiv w:val="1"/>
      <w:marLeft w:val="0"/>
      <w:marRight w:val="0"/>
      <w:marTop w:val="0"/>
      <w:marBottom w:val="0"/>
      <w:divBdr>
        <w:top w:val="none" w:sz="0" w:space="0" w:color="auto"/>
        <w:left w:val="none" w:sz="0" w:space="0" w:color="auto"/>
        <w:bottom w:val="none" w:sz="0" w:space="0" w:color="auto"/>
        <w:right w:val="none" w:sz="0" w:space="0" w:color="auto"/>
      </w:divBdr>
    </w:div>
    <w:div w:id="1770809538">
      <w:bodyDiv w:val="1"/>
      <w:marLeft w:val="0"/>
      <w:marRight w:val="0"/>
      <w:marTop w:val="0"/>
      <w:marBottom w:val="0"/>
      <w:divBdr>
        <w:top w:val="none" w:sz="0" w:space="0" w:color="auto"/>
        <w:left w:val="none" w:sz="0" w:space="0" w:color="auto"/>
        <w:bottom w:val="none" w:sz="0" w:space="0" w:color="auto"/>
        <w:right w:val="none" w:sz="0" w:space="0" w:color="auto"/>
      </w:divBdr>
    </w:div>
    <w:div w:id="1770809672">
      <w:bodyDiv w:val="1"/>
      <w:marLeft w:val="0"/>
      <w:marRight w:val="0"/>
      <w:marTop w:val="0"/>
      <w:marBottom w:val="0"/>
      <w:divBdr>
        <w:top w:val="none" w:sz="0" w:space="0" w:color="auto"/>
        <w:left w:val="none" w:sz="0" w:space="0" w:color="auto"/>
        <w:bottom w:val="none" w:sz="0" w:space="0" w:color="auto"/>
        <w:right w:val="none" w:sz="0" w:space="0" w:color="auto"/>
      </w:divBdr>
    </w:div>
    <w:div w:id="1770852601">
      <w:bodyDiv w:val="1"/>
      <w:marLeft w:val="0"/>
      <w:marRight w:val="0"/>
      <w:marTop w:val="0"/>
      <w:marBottom w:val="0"/>
      <w:divBdr>
        <w:top w:val="none" w:sz="0" w:space="0" w:color="auto"/>
        <w:left w:val="none" w:sz="0" w:space="0" w:color="auto"/>
        <w:bottom w:val="none" w:sz="0" w:space="0" w:color="auto"/>
        <w:right w:val="none" w:sz="0" w:space="0" w:color="auto"/>
      </w:divBdr>
    </w:div>
    <w:div w:id="1773282289">
      <w:bodyDiv w:val="1"/>
      <w:marLeft w:val="0"/>
      <w:marRight w:val="0"/>
      <w:marTop w:val="0"/>
      <w:marBottom w:val="0"/>
      <w:divBdr>
        <w:top w:val="none" w:sz="0" w:space="0" w:color="auto"/>
        <w:left w:val="none" w:sz="0" w:space="0" w:color="auto"/>
        <w:bottom w:val="none" w:sz="0" w:space="0" w:color="auto"/>
        <w:right w:val="none" w:sz="0" w:space="0" w:color="auto"/>
      </w:divBdr>
    </w:div>
    <w:div w:id="1774662849">
      <w:bodyDiv w:val="1"/>
      <w:marLeft w:val="0"/>
      <w:marRight w:val="0"/>
      <w:marTop w:val="0"/>
      <w:marBottom w:val="0"/>
      <w:divBdr>
        <w:top w:val="none" w:sz="0" w:space="0" w:color="auto"/>
        <w:left w:val="none" w:sz="0" w:space="0" w:color="auto"/>
        <w:bottom w:val="none" w:sz="0" w:space="0" w:color="auto"/>
        <w:right w:val="none" w:sz="0" w:space="0" w:color="auto"/>
      </w:divBdr>
    </w:div>
    <w:div w:id="1776749202">
      <w:bodyDiv w:val="1"/>
      <w:marLeft w:val="0"/>
      <w:marRight w:val="0"/>
      <w:marTop w:val="0"/>
      <w:marBottom w:val="0"/>
      <w:divBdr>
        <w:top w:val="none" w:sz="0" w:space="0" w:color="auto"/>
        <w:left w:val="none" w:sz="0" w:space="0" w:color="auto"/>
        <w:bottom w:val="none" w:sz="0" w:space="0" w:color="auto"/>
        <w:right w:val="none" w:sz="0" w:space="0" w:color="auto"/>
      </w:divBdr>
    </w:div>
    <w:div w:id="1778022016">
      <w:bodyDiv w:val="1"/>
      <w:marLeft w:val="0"/>
      <w:marRight w:val="0"/>
      <w:marTop w:val="0"/>
      <w:marBottom w:val="0"/>
      <w:divBdr>
        <w:top w:val="none" w:sz="0" w:space="0" w:color="auto"/>
        <w:left w:val="none" w:sz="0" w:space="0" w:color="auto"/>
        <w:bottom w:val="none" w:sz="0" w:space="0" w:color="auto"/>
        <w:right w:val="none" w:sz="0" w:space="0" w:color="auto"/>
      </w:divBdr>
    </w:div>
    <w:div w:id="1780489198">
      <w:bodyDiv w:val="1"/>
      <w:marLeft w:val="0"/>
      <w:marRight w:val="0"/>
      <w:marTop w:val="0"/>
      <w:marBottom w:val="0"/>
      <w:divBdr>
        <w:top w:val="none" w:sz="0" w:space="0" w:color="auto"/>
        <w:left w:val="none" w:sz="0" w:space="0" w:color="auto"/>
        <w:bottom w:val="none" w:sz="0" w:space="0" w:color="auto"/>
        <w:right w:val="none" w:sz="0" w:space="0" w:color="auto"/>
      </w:divBdr>
    </w:div>
    <w:div w:id="1781755026">
      <w:bodyDiv w:val="1"/>
      <w:marLeft w:val="0"/>
      <w:marRight w:val="0"/>
      <w:marTop w:val="0"/>
      <w:marBottom w:val="0"/>
      <w:divBdr>
        <w:top w:val="none" w:sz="0" w:space="0" w:color="auto"/>
        <w:left w:val="none" w:sz="0" w:space="0" w:color="auto"/>
        <w:bottom w:val="none" w:sz="0" w:space="0" w:color="auto"/>
        <w:right w:val="none" w:sz="0" w:space="0" w:color="auto"/>
      </w:divBdr>
    </w:div>
    <w:div w:id="1782651643">
      <w:bodyDiv w:val="1"/>
      <w:marLeft w:val="0"/>
      <w:marRight w:val="0"/>
      <w:marTop w:val="0"/>
      <w:marBottom w:val="0"/>
      <w:divBdr>
        <w:top w:val="none" w:sz="0" w:space="0" w:color="auto"/>
        <w:left w:val="none" w:sz="0" w:space="0" w:color="auto"/>
        <w:bottom w:val="none" w:sz="0" w:space="0" w:color="auto"/>
        <w:right w:val="none" w:sz="0" w:space="0" w:color="auto"/>
      </w:divBdr>
    </w:div>
    <w:div w:id="1787196426">
      <w:bodyDiv w:val="1"/>
      <w:marLeft w:val="0"/>
      <w:marRight w:val="0"/>
      <w:marTop w:val="0"/>
      <w:marBottom w:val="0"/>
      <w:divBdr>
        <w:top w:val="none" w:sz="0" w:space="0" w:color="auto"/>
        <w:left w:val="none" w:sz="0" w:space="0" w:color="auto"/>
        <w:bottom w:val="none" w:sz="0" w:space="0" w:color="auto"/>
        <w:right w:val="none" w:sz="0" w:space="0" w:color="auto"/>
      </w:divBdr>
    </w:div>
    <w:div w:id="1790195326">
      <w:bodyDiv w:val="1"/>
      <w:marLeft w:val="0"/>
      <w:marRight w:val="0"/>
      <w:marTop w:val="0"/>
      <w:marBottom w:val="0"/>
      <w:divBdr>
        <w:top w:val="none" w:sz="0" w:space="0" w:color="auto"/>
        <w:left w:val="none" w:sz="0" w:space="0" w:color="auto"/>
        <w:bottom w:val="none" w:sz="0" w:space="0" w:color="auto"/>
        <w:right w:val="none" w:sz="0" w:space="0" w:color="auto"/>
      </w:divBdr>
    </w:div>
    <w:div w:id="1798185322">
      <w:bodyDiv w:val="1"/>
      <w:marLeft w:val="0"/>
      <w:marRight w:val="0"/>
      <w:marTop w:val="0"/>
      <w:marBottom w:val="0"/>
      <w:divBdr>
        <w:top w:val="none" w:sz="0" w:space="0" w:color="auto"/>
        <w:left w:val="none" w:sz="0" w:space="0" w:color="auto"/>
        <w:bottom w:val="none" w:sz="0" w:space="0" w:color="auto"/>
        <w:right w:val="none" w:sz="0" w:space="0" w:color="auto"/>
      </w:divBdr>
    </w:div>
    <w:div w:id="1798259538">
      <w:bodyDiv w:val="1"/>
      <w:marLeft w:val="0"/>
      <w:marRight w:val="0"/>
      <w:marTop w:val="0"/>
      <w:marBottom w:val="0"/>
      <w:divBdr>
        <w:top w:val="none" w:sz="0" w:space="0" w:color="auto"/>
        <w:left w:val="none" w:sz="0" w:space="0" w:color="auto"/>
        <w:bottom w:val="none" w:sz="0" w:space="0" w:color="auto"/>
        <w:right w:val="none" w:sz="0" w:space="0" w:color="auto"/>
      </w:divBdr>
    </w:div>
    <w:div w:id="1798986245">
      <w:bodyDiv w:val="1"/>
      <w:marLeft w:val="0"/>
      <w:marRight w:val="0"/>
      <w:marTop w:val="0"/>
      <w:marBottom w:val="0"/>
      <w:divBdr>
        <w:top w:val="none" w:sz="0" w:space="0" w:color="auto"/>
        <w:left w:val="none" w:sz="0" w:space="0" w:color="auto"/>
        <w:bottom w:val="none" w:sz="0" w:space="0" w:color="auto"/>
        <w:right w:val="none" w:sz="0" w:space="0" w:color="auto"/>
      </w:divBdr>
      <w:divsChild>
        <w:div w:id="1937782327">
          <w:marLeft w:val="0"/>
          <w:marRight w:val="0"/>
          <w:marTop w:val="0"/>
          <w:marBottom w:val="0"/>
          <w:divBdr>
            <w:top w:val="none" w:sz="0" w:space="0" w:color="auto"/>
            <w:left w:val="none" w:sz="0" w:space="0" w:color="auto"/>
            <w:bottom w:val="none" w:sz="0" w:space="0" w:color="auto"/>
            <w:right w:val="none" w:sz="0" w:space="0" w:color="auto"/>
          </w:divBdr>
          <w:divsChild>
            <w:div w:id="1766992622">
              <w:marLeft w:val="0"/>
              <w:marRight w:val="0"/>
              <w:marTop w:val="0"/>
              <w:marBottom w:val="0"/>
              <w:divBdr>
                <w:top w:val="none" w:sz="0" w:space="0" w:color="auto"/>
                <w:left w:val="none" w:sz="0" w:space="0" w:color="auto"/>
                <w:bottom w:val="none" w:sz="0" w:space="0" w:color="auto"/>
                <w:right w:val="none" w:sz="0" w:space="0" w:color="auto"/>
              </w:divBdr>
              <w:divsChild>
                <w:div w:id="1642542167">
                  <w:marLeft w:val="0"/>
                  <w:marRight w:val="0"/>
                  <w:marTop w:val="0"/>
                  <w:marBottom w:val="0"/>
                  <w:divBdr>
                    <w:top w:val="none" w:sz="0" w:space="0" w:color="auto"/>
                    <w:left w:val="none" w:sz="0" w:space="0" w:color="auto"/>
                    <w:bottom w:val="none" w:sz="0" w:space="0" w:color="auto"/>
                    <w:right w:val="none" w:sz="0" w:space="0" w:color="auto"/>
                  </w:divBdr>
                  <w:divsChild>
                    <w:div w:id="147870571">
                      <w:marLeft w:val="0"/>
                      <w:marRight w:val="0"/>
                      <w:marTop w:val="0"/>
                      <w:marBottom w:val="0"/>
                      <w:divBdr>
                        <w:top w:val="none" w:sz="0" w:space="0" w:color="auto"/>
                        <w:left w:val="none" w:sz="0" w:space="0" w:color="auto"/>
                        <w:bottom w:val="none" w:sz="0" w:space="0" w:color="auto"/>
                        <w:right w:val="none" w:sz="0" w:space="0" w:color="auto"/>
                      </w:divBdr>
                    </w:div>
                  </w:divsChild>
                </w:div>
                <w:div w:id="1776561478">
                  <w:marLeft w:val="0"/>
                  <w:marRight w:val="0"/>
                  <w:marTop w:val="0"/>
                  <w:marBottom w:val="0"/>
                  <w:divBdr>
                    <w:top w:val="none" w:sz="0" w:space="0" w:color="auto"/>
                    <w:left w:val="none" w:sz="0" w:space="0" w:color="auto"/>
                    <w:bottom w:val="none" w:sz="0" w:space="0" w:color="auto"/>
                    <w:right w:val="none" w:sz="0" w:space="0" w:color="auto"/>
                  </w:divBdr>
                  <w:divsChild>
                    <w:div w:id="32304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52341">
      <w:bodyDiv w:val="1"/>
      <w:marLeft w:val="0"/>
      <w:marRight w:val="0"/>
      <w:marTop w:val="0"/>
      <w:marBottom w:val="0"/>
      <w:divBdr>
        <w:top w:val="none" w:sz="0" w:space="0" w:color="auto"/>
        <w:left w:val="none" w:sz="0" w:space="0" w:color="auto"/>
        <w:bottom w:val="none" w:sz="0" w:space="0" w:color="auto"/>
        <w:right w:val="none" w:sz="0" w:space="0" w:color="auto"/>
      </w:divBdr>
    </w:div>
    <w:div w:id="1801193852">
      <w:bodyDiv w:val="1"/>
      <w:marLeft w:val="0"/>
      <w:marRight w:val="0"/>
      <w:marTop w:val="0"/>
      <w:marBottom w:val="0"/>
      <w:divBdr>
        <w:top w:val="none" w:sz="0" w:space="0" w:color="auto"/>
        <w:left w:val="none" w:sz="0" w:space="0" w:color="auto"/>
        <w:bottom w:val="none" w:sz="0" w:space="0" w:color="auto"/>
        <w:right w:val="none" w:sz="0" w:space="0" w:color="auto"/>
      </w:divBdr>
    </w:div>
    <w:div w:id="1809585455">
      <w:bodyDiv w:val="1"/>
      <w:marLeft w:val="0"/>
      <w:marRight w:val="0"/>
      <w:marTop w:val="0"/>
      <w:marBottom w:val="0"/>
      <w:divBdr>
        <w:top w:val="none" w:sz="0" w:space="0" w:color="auto"/>
        <w:left w:val="none" w:sz="0" w:space="0" w:color="auto"/>
        <w:bottom w:val="none" w:sz="0" w:space="0" w:color="auto"/>
        <w:right w:val="none" w:sz="0" w:space="0" w:color="auto"/>
      </w:divBdr>
    </w:div>
    <w:div w:id="1810124622">
      <w:bodyDiv w:val="1"/>
      <w:marLeft w:val="0"/>
      <w:marRight w:val="0"/>
      <w:marTop w:val="0"/>
      <w:marBottom w:val="0"/>
      <w:divBdr>
        <w:top w:val="none" w:sz="0" w:space="0" w:color="auto"/>
        <w:left w:val="none" w:sz="0" w:space="0" w:color="auto"/>
        <w:bottom w:val="none" w:sz="0" w:space="0" w:color="auto"/>
        <w:right w:val="none" w:sz="0" w:space="0" w:color="auto"/>
      </w:divBdr>
    </w:div>
    <w:div w:id="1810322325">
      <w:bodyDiv w:val="1"/>
      <w:marLeft w:val="0"/>
      <w:marRight w:val="0"/>
      <w:marTop w:val="0"/>
      <w:marBottom w:val="0"/>
      <w:divBdr>
        <w:top w:val="none" w:sz="0" w:space="0" w:color="auto"/>
        <w:left w:val="none" w:sz="0" w:space="0" w:color="auto"/>
        <w:bottom w:val="none" w:sz="0" w:space="0" w:color="auto"/>
        <w:right w:val="none" w:sz="0" w:space="0" w:color="auto"/>
      </w:divBdr>
    </w:div>
    <w:div w:id="1811702824">
      <w:bodyDiv w:val="1"/>
      <w:marLeft w:val="0"/>
      <w:marRight w:val="0"/>
      <w:marTop w:val="0"/>
      <w:marBottom w:val="0"/>
      <w:divBdr>
        <w:top w:val="none" w:sz="0" w:space="0" w:color="auto"/>
        <w:left w:val="none" w:sz="0" w:space="0" w:color="auto"/>
        <w:bottom w:val="none" w:sz="0" w:space="0" w:color="auto"/>
        <w:right w:val="none" w:sz="0" w:space="0" w:color="auto"/>
      </w:divBdr>
    </w:div>
    <w:div w:id="1814635593">
      <w:bodyDiv w:val="1"/>
      <w:marLeft w:val="0"/>
      <w:marRight w:val="0"/>
      <w:marTop w:val="0"/>
      <w:marBottom w:val="0"/>
      <w:divBdr>
        <w:top w:val="none" w:sz="0" w:space="0" w:color="auto"/>
        <w:left w:val="none" w:sz="0" w:space="0" w:color="auto"/>
        <w:bottom w:val="none" w:sz="0" w:space="0" w:color="auto"/>
        <w:right w:val="none" w:sz="0" w:space="0" w:color="auto"/>
      </w:divBdr>
    </w:div>
    <w:div w:id="1815176740">
      <w:bodyDiv w:val="1"/>
      <w:marLeft w:val="0"/>
      <w:marRight w:val="0"/>
      <w:marTop w:val="0"/>
      <w:marBottom w:val="0"/>
      <w:divBdr>
        <w:top w:val="none" w:sz="0" w:space="0" w:color="auto"/>
        <w:left w:val="none" w:sz="0" w:space="0" w:color="auto"/>
        <w:bottom w:val="none" w:sz="0" w:space="0" w:color="auto"/>
        <w:right w:val="none" w:sz="0" w:space="0" w:color="auto"/>
      </w:divBdr>
    </w:div>
    <w:div w:id="1820027734">
      <w:bodyDiv w:val="1"/>
      <w:marLeft w:val="0"/>
      <w:marRight w:val="0"/>
      <w:marTop w:val="0"/>
      <w:marBottom w:val="0"/>
      <w:divBdr>
        <w:top w:val="none" w:sz="0" w:space="0" w:color="auto"/>
        <w:left w:val="none" w:sz="0" w:space="0" w:color="auto"/>
        <w:bottom w:val="none" w:sz="0" w:space="0" w:color="auto"/>
        <w:right w:val="none" w:sz="0" w:space="0" w:color="auto"/>
      </w:divBdr>
    </w:div>
    <w:div w:id="1820732010">
      <w:bodyDiv w:val="1"/>
      <w:marLeft w:val="0"/>
      <w:marRight w:val="0"/>
      <w:marTop w:val="0"/>
      <w:marBottom w:val="0"/>
      <w:divBdr>
        <w:top w:val="none" w:sz="0" w:space="0" w:color="auto"/>
        <w:left w:val="none" w:sz="0" w:space="0" w:color="auto"/>
        <w:bottom w:val="none" w:sz="0" w:space="0" w:color="auto"/>
        <w:right w:val="none" w:sz="0" w:space="0" w:color="auto"/>
      </w:divBdr>
    </w:div>
    <w:div w:id="1821535622">
      <w:bodyDiv w:val="1"/>
      <w:marLeft w:val="0"/>
      <w:marRight w:val="0"/>
      <w:marTop w:val="0"/>
      <w:marBottom w:val="0"/>
      <w:divBdr>
        <w:top w:val="none" w:sz="0" w:space="0" w:color="auto"/>
        <w:left w:val="none" w:sz="0" w:space="0" w:color="auto"/>
        <w:bottom w:val="none" w:sz="0" w:space="0" w:color="auto"/>
        <w:right w:val="none" w:sz="0" w:space="0" w:color="auto"/>
      </w:divBdr>
    </w:div>
    <w:div w:id="1823348806">
      <w:bodyDiv w:val="1"/>
      <w:marLeft w:val="0"/>
      <w:marRight w:val="0"/>
      <w:marTop w:val="0"/>
      <w:marBottom w:val="0"/>
      <w:divBdr>
        <w:top w:val="none" w:sz="0" w:space="0" w:color="auto"/>
        <w:left w:val="none" w:sz="0" w:space="0" w:color="auto"/>
        <w:bottom w:val="none" w:sz="0" w:space="0" w:color="auto"/>
        <w:right w:val="none" w:sz="0" w:space="0" w:color="auto"/>
      </w:divBdr>
    </w:div>
    <w:div w:id="1825315110">
      <w:bodyDiv w:val="1"/>
      <w:marLeft w:val="0"/>
      <w:marRight w:val="0"/>
      <w:marTop w:val="0"/>
      <w:marBottom w:val="0"/>
      <w:divBdr>
        <w:top w:val="none" w:sz="0" w:space="0" w:color="auto"/>
        <w:left w:val="none" w:sz="0" w:space="0" w:color="auto"/>
        <w:bottom w:val="none" w:sz="0" w:space="0" w:color="auto"/>
        <w:right w:val="none" w:sz="0" w:space="0" w:color="auto"/>
      </w:divBdr>
    </w:div>
    <w:div w:id="1826703622">
      <w:bodyDiv w:val="1"/>
      <w:marLeft w:val="0"/>
      <w:marRight w:val="0"/>
      <w:marTop w:val="0"/>
      <w:marBottom w:val="0"/>
      <w:divBdr>
        <w:top w:val="none" w:sz="0" w:space="0" w:color="auto"/>
        <w:left w:val="none" w:sz="0" w:space="0" w:color="auto"/>
        <w:bottom w:val="none" w:sz="0" w:space="0" w:color="auto"/>
        <w:right w:val="none" w:sz="0" w:space="0" w:color="auto"/>
      </w:divBdr>
    </w:div>
    <w:div w:id="1826892285">
      <w:bodyDiv w:val="1"/>
      <w:marLeft w:val="0"/>
      <w:marRight w:val="0"/>
      <w:marTop w:val="0"/>
      <w:marBottom w:val="0"/>
      <w:divBdr>
        <w:top w:val="none" w:sz="0" w:space="0" w:color="auto"/>
        <w:left w:val="none" w:sz="0" w:space="0" w:color="auto"/>
        <w:bottom w:val="none" w:sz="0" w:space="0" w:color="auto"/>
        <w:right w:val="none" w:sz="0" w:space="0" w:color="auto"/>
      </w:divBdr>
    </w:div>
    <w:div w:id="1827084078">
      <w:bodyDiv w:val="1"/>
      <w:marLeft w:val="0"/>
      <w:marRight w:val="0"/>
      <w:marTop w:val="0"/>
      <w:marBottom w:val="0"/>
      <w:divBdr>
        <w:top w:val="none" w:sz="0" w:space="0" w:color="auto"/>
        <w:left w:val="none" w:sz="0" w:space="0" w:color="auto"/>
        <w:bottom w:val="none" w:sz="0" w:space="0" w:color="auto"/>
        <w:right w:val="none" w:sz="0" w:space="0" w:color="auto"/>
      </w:divBdr>
    </w:div>
    <w:div w:id="1829399758">
      <w:bodyDiv w:val="1"/>
      <w:marLeft w:val="0"/>
      <w:marRight w:val="0"/>
      <w:marTop w:val="0"/>
      <w:marBottom w:val="0"/>
      <w:divBdr>
        <w:top w:val="none" w:sz="0" w:space="0" w:color="auto"/>
        <w:left w:val="none" w:sz="0" w:space="0" w:color="auto"/>
        <w:bottom w:val="none" w:sz="0" w:space="0" w:color="auto"/>
        <w:right w:val="none" w:sz="0" w:space="0" w:color="auto"/>
      </w:divBdr>
    </w:div>
    <w:div w:id="1830822160">
      <w:bodyDiv w:val="1"/>
      <w:marLeft w:val="0"/>
      <w:marRight w:val="0"/>
      <w:marTop w:val="0"/>
      <w:marBottom w:val="0"/>
      <w:divBdr>
        <w:top w:val="none" w:sz="0" w:space="0" w:color="auto"/>
        <w:left w:val="none" w:sz="0" w:space="0" w:color="auto"/>
        <w:bottom w:val="none" w:sz="0" w:space="0" w:color="auto"/>
        <w:right w:val="none" w:sz="0" w:space="0" w:color="auto"/>
      </w:divBdr>
    </w:div>
    <w:div w:id="1831632083">
      <w:bodyDiv w:val="1"/>
      <w:marLeft w:val="0"/>
      <w:marRight w:val="0"/>
      <w:marTop w:val="0"/>
      <w:marBottom w:val="0"/>
      <w:divBdr>
        <w:top w:val="none" w:sz="0" w:space="0" w:color="auto"/>
        <w:left w:val="none" w:sz="0" w:space="0" w:color="auto"/>
        <w:bottom w:val="none" w:sz="0" w:space="0" w:color="auto"/>
        <w:right w:val="none" w:sz="0" w:space="0" w:color="auto"/>
      </w:divBdr>
      <w:divsChild>
        <w:div w:id="184100793">
          <w:marLeft w:val="0"/>
          <w:marRight w:val="0"/>
          <w:marTop w:val="0"/>
          <w:marBottom w:val="0"/>
          <w:divBdr>
            <w:top w:val="none" w:sz="0" w:space="0" w:color="auto"/>
            <w:left w:val="none" w:sz="0" w:space="0" w:color="auto"/>
            <w:bottom w:val="none" w:sz="0" w:space="0" w:color="auto"/>
            <w:right w:val="none" w:sz="0" w:space="0" w:color="auto"/>
          </w:divBdr>
          <w:divsChild>
            <w:div w:id="758407495">
              <w:marLeft w:val="0"/>
              <w:marRight w:val="0"/>
              <w:marTop w:val="0"/>
              <w:marBottom w:val="0"/>
              <w:divBdr>
                <w:top w:val="none" w:sz="0" w:space="0" w:color="auto"/>
                <w:left w:val="none" w:sz="0" w:space="0" w:color="auto"/>
                <w:bottom w:val="none" w:sz="0" w:space="0" w:color="auto"/>
                <w:right w:val="none" w:sz="0" w:space="0" w:color="auto"/>
              </w:divBdr>
              <w:divsChild>
                <w:div w:id="12802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6284">
          <w:marLeft w:val="0"/>
          <w:marRight w:val="0"/>
          <w:marTop w:val="0"/>
          <w:marBottom w:val="0"/>
          <w:divBdr>
            <w:top w:val="none" w:sz="0" w:space="0" w:color="auto"/>
            <w:left w:val="none" w:sz="0" w:space="0" w:color="auto"/>
            <w:bottom w:val="none" w:sz="0" w:space="0" w:color="auto"/>
            <w:right w:val="none" w:sz="0" w:space="0" w:color="auto"/>
          </w:divBdr>
          <w:divsChild>
            <w:div w:id="1085498150">
              <w:marLeft w:val="0"/>
              <w:marRight w:val="0"/>
              <w:marTop w:val="0"/>
              <w:marBottom w:val="0"/>
              <w:divBdr>
                <w:top w:val="none" w:sz="0" w:space="0" w:color="auto"/>
                <w:left w:val="none" w:sz="0" w:space="0" w:color="auto"/>
                <w:bottom w:val="none" w:sz="0" w:space="0" w:color="auto"/>
                <w:right w:val="none" w:sz="0" w:space="0" w:color="auto"/>
              </w:divBdr>
              <w:divsChild>
                <w:div w:id="29305797">
                  <w:marLeft w:val="0"/>
                  <w:marRight w:val="0"/>
                  <w:marTop w:val="0"/>
                  <w:marBottom w:val="0"/>
                  <w:divBdr>
                    <w:top w:val="none" w:sz="0" w:space="0" w:color="auto"/>
                    <w:left w:val="none" w:sz="0" w:space="0" w:color="auto"/>
                    <w:bottom w:val="none" w:sz="0" w:space="0" w:color="auto"/>
                    <w:right w:val="none" w:sz="0" w:space="0" w:color="auto"/>
                  </w:divBdr>
                  <w:divsChild>
                    <w:div w:id="19503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03066">
      <w:bodyDiv w:val="1"/>
      <w:marLeft w:val="0"/>
      <w:marRight w:val="0"/>
      <w:marTop w:val="0"/>
      <w:marBottom w:val="0"/>
      <w:divBdr>
        <w:top w:val="none" w:sz="0" w:space="0" w:color="auto"/>
        <w:left w:val="none" w:sz="0" w:space="0" w:color="auto"/>
        <w:bottom w:val="none" w:sz="0" w:space="0" w:color="auto"/>
        <w:right w:val="none" w:sz="0" w:space="0" w:color="auto"/>
      </w:divBdr>
    </w:div>
    <w:div w:id="1834645422">
      <w:bodyDiv w:val="1"/>
      <w:marLeft w:val="0"/>
      <w:marRight w:val="0"/>
      <w:marTop w:val="0"/>
      <w:marBottom w:val="0"/>
      <w:divBdr>
        <w:top w:val="none" w:sz="0" w:space="0" w:color="auto"/>
        <w:left w:val="none" w:sz="0" w:space="0" w:color="auto"/>
        <w:bottom w:val="none" w:sz="0" w:space="0" w:color="auto"/>
        <w:right w:val="none" w:sz="0" w:space="0" w:color="auto"/>
      </w:divBdr>
    </w:div>
    <w:div w:id="1835681330">
      <w:bodyDiv w:val="1"/>
      <w:marLeft w:val="0"/>
      <w:marRight w:val="0"/>
      <w:marTop w:val="0"/>
      <w:marBottom w:val="0"/>
      <w:divBdr>
        <w:top w:val="none" w:sz="0" w:space="0" w:color="auto"/>
        <w:left w:val="none" w:sz="0" w:space="0" w:color="auto"/>
        <w:bottom w:val="none" w:sz="0" w:space="0" w:color="auto"/>
        <w:right w:val="none" w:sz="0" w:space="0" w:color="auto"/>
      </w:divBdr>
    </w:div>
    <w:div w:id="1835683617">
      <w:bodyDiv w:val="1"/>
      <w:marLeft w:val="0"/>
      <w:marRight w:val="0"/>
      <w:marTop w:val="0"/>
      <w:marBottom w:val="0"/>
      <w:divBdr>
        <w:top w:val="none" w:sz="0" w:space="0" w:color="auto"/>
        <w:left w:val="none" w:sz="0" w:space="0" w:color="auto"/>
        <w:bottom w:val="none" w:sz="0" w:space="0" w:color="auto"/>
        <w:right w:val="none" w:sz="0" w:space="0" w:color="auto"/>
      </w:divBdr>
    </w:div>
    <w:div w:id="1838811851">
      <w:bodyDiv w:val="1"/>
      <w:marLeft w:val="0"/>
      <w:marRight w:val="0"/>
      <w:marTop w:val="0"/>
      <w:marBottom w:val="0"/>
      <w:divBdr>
        <w:top w:val="none" w:sz="0" w:space="0" w:color="auto"/>
        <w:left w:val="none" w:sz="0" w:space="0" w:color="auto"/>
        <w:bottom w:val="none" w:sz="0" w:space="0" w:color="auto"/>
        <w:right w:val="none" w:sz="0" w:space="0" w:color="auto"/>
      </w:divBdr>
    </w:div>
    <w:div w:id="1839811041">
      <w:bodyDiv w:val="1"/>
      <w:marLeft w:val="0"/>
      <w:marRight w:val="0"/>
      <w:marTop w:val="0"/>
      <w:marBottom w:val="0"/>
      <w:divBdr>
        <w:top w:val="none" w:sz="0" w:space="0" w:color="auto"/>
        <w:left w:val="none" w:sz="0" w:space="0" w:color="auto"/>
        <w:bottom w:val="none" w:sz="0" w:space="0" w:color="auto"/>
        <w:right w:val="none" w:sz="0" w:space="0" w:color="auto"/>
      </w:divBdr>
    </w:div>
    <w:div w:id="1843161365">
      <w:bodyDiv w:val="1"/>
      <w:marLeft w:val="0"/>
      <w:marRight w:val="0"/>
      <w:marTop w:val="0"/>
      <w:marBottom w:val="0"/>
      <w:divBdr>
        <w:top w:val="none" w:sz="0" w:space="0" w:color="auto"/>
        <w:left w:val="none" w:sz="0" w:space="0" w:color="auto"/>
        <w:bottom w:val="none" w:sz="0" w:space="0" w:color="auto"/>
        <w:right w:val="none" w:sz="0" w:space="0" w:color="auto"/>
      </w:divBdr>
    </w:div>
    <w:div w:id="1845320059">
      <w:bodyDiv w:val="1"/>
      <w:marLeft w:val="0"/>
      <w:marRight w:val="0"/>
      <w:marTop w:val="0"/>
      <w:marBottom w:val="0"/>
      <w:divBdr>
        <w:top w:val="none" w:sz="0" w:space="0" w:color="auto"/>
        <w:left w:val="none" w:sz="0" w:space="0" w:color="auto"/>
        <w:bottom w:val="none" w:sz="0" w:space="0" w:color="auto"/>
        <w:right w:val="none" w:sz="0" w:space="0" w:color="auto"/>
      </w:divBdr>
    </w:div>
    <w:div w:id="1850440994">
      <w:bodyDiv w:val="1"/>
      <w:marLeft w:val="0"/>
      <w:marRight w:val="0"/>
      <w:marTop w:val="0"/>
      <w:marBottom w:val="0"/>
      <w:divBdr>
        <w:top w:val="none" w:sz="0" w:space="0" w:color="auto"/>
        <w:left w:val="none" w:sz="0" w:space="0" w:color="auto"/>
        <w:bottom w:val="none" w:sz="0" w:space="0" w:color="auto"/>
        <w:right w:val="none" w:sz="0" w:space="0" w:color="auto"/>
      </w:divBdr>
    </w:div>
    <w:div w:id="1851405297">
      <w:bodyDiv w:val="1"/>
      <w:marLeft w:val="0"/>
      <w:marRight w:val="0"/>
      <w:marTop w:val="0"/>
      <w:marBottom w:val="0"/>
      <w:divBdr>
        <w:top w:val="none" w:sz="0" w:space="0" w:color="auto"/>
        <w:left w:val="none" w:sz="0" w:space="0" w:color="auto"/>
        <w:bottom w:val="none" w:sz="0" w:space="0" w:color="auto"/>
        <w:right w:val="none" w:sz="0" w:space="0" w:color="auto"/>
      </w:divBdr>
    </w:div>
    <w:div w:id="1854027670">
      <w:bodyDiv w:val="1"/>
      <w:marLeft w:val="0"/>
      <w:marRight w:val="0"/>
      <w:marTop w:val="0"/>
      <w:marBottom w:val="0"/>
      <w:divBdr>
        <w:top w:val="none" w:sz="0" w:space="0" w:color="auto"/>
        <w:left w:val="none" w:sz="0" w:space="0" w:color="auto"/>
        <w:bottom w:val="none" w:sz="0" w:space="0" w:color="auto"/>
        <w:right w:val="none" w:sz="0" w:space="0" w:color="auto"/>
      </w:divBdr>
    </w:div>
    <w:div w:id="1856574131">
      <w:bodyDiv w:val="1"/>
      <w:marLeft w:val="0"/>
      <w:marRight w:val="0"/>
      <w:marTop w:val="0"/>
      <w:marBottom w:val="0"/>
      <w:divBdr>
        <w:top w:val="none" w:sz="0" w:space="0" w:color="auto"/>
        <w:left w:val="none" w:sz="0" w:space="0" w:color="auto"/>
        <w:bottom w:val="none" w:sz="0" w:space="0" w:color="auto"/>
        <w:right w:val="none" w:sz="0" w:space="0" w:color="auto"/>
      </w:divBdr>
    </w:div>
    <w:div w:id="1858960147">
      <w:bodyDiv w:val="1"/>
      <w:marLeft w:val="0"/>
      <w:marRight w:val="0"/>
      <w:marTop w:val="0"/>
      <w:marBottom w:val="0"/>
      <w:divBdr>
        <w:top w:val="none" w:sz="0" w:space="0" w:color="auto"/>
        <w:left w:val="none" w:sz="0" w:space="0" w:color="auto"/>
        <w:bottom w:val="none" w:sz="0" w:space="0" w:color="auto"/>
        <w:right w:val="none" w:sz="0" w:space="0" w:color="auto"/>
      </w:divBdr>
    </w:div>
    <w:div w:id="1859461121">
      <w:bodyDiv w:val="1"/>
      <w:marLeft w:val="0"/>
      <w:marRight w:val="0"/>
      <w:marTop w:val="0"/>
      <w:marBottom w:val="0"/>
      <w:divBdr>
        <w:top w:val="none" w:sz="0" w:space="0" w:color="auto"/>
        <w:left w:val="none" w:sz="0" w:space="0" w:color="auto"/>
        <w:bottom w:val="none" w:sz="0" w:space="0" w:color="auto"/>
        <w:right w:val="none" w:sz="0" w:space="0" w:color="auto"/>
      </w:divBdr>
    </w:div>
    <w:div w:id="1862041252">
      <w:bodyDiv w:val="1"/>
      <w:marLeft w:val="0"/>
      <w:marRight w:val="0"/>
      <w:marTop w:val="0"/>
      <w:marBottom w:val="0"/>
      <w:divBdr>
        <w:top w:val="none" w:sz="0" w:space="0" w:color="auto"/>
        <w:left w:val="none" w:sz="0" w:space="0" w:color="auto"/>
        <w:bottom w:val="none" w:sz="0" w:space="0" w:color="auto"/>
        <w:right w:val="none" w:sz="0" w:space="0" w:color="auto"/>
      </w:divBdr>
    </w:div>
    <w:div w:id="1864857667">
      <w:bodyDiv w:val="1"/>
      <w:marLeft w:val="0"/>
      <w:marRight w:val="0"/>
      <w:marTop w:val="0"/>
      <w:marBottom w:val="0"/>
      <w:divBdr>
        <w:top w:val="none" w:sz="0" w:space="0" w:color="auto"/>
        <w:left w:val="none" w:sz="0" w:space="0" w:color="auto"/>
        <w:bottom w:val="none" w:sz="0" w:space="0" w:color="auto"/>
        <w:right w:val="none" w:sz="0" w:space="0" w:color="auto"/>
      </w:divBdr>
    </w:div>
    <w:div w:id="1866820412">
      <w:bodyDiv w:val="1"/>
      <w:marLeft w:val="0"/>
      <w:marRight w:val="0"/>
      <w:marTop w:val="0"/>
      <w:marBottom w:val="0"/>
      <w:divBdr>
        <w:top w:val="none" w:sz="0" w:space="0" w:color="auto"/>
        <w:left w:val="none" w:sz="0" w:space="0" w:color="auto"/>
        <w:bottom w:val="none" w:sz="0" w:space="0" w:color="auto"/>
        <w:right w:val="none" w:sz="0" w:space="0" w:color="auto"/>
      </w:divBdr>
    </w:div>
    <w:div w:id="1866937203">
      <w:bodyDiv w:val="1"/>
      <w:marLeft w:val="0"/>
      <w:marRight w:val="0"/>
      <w:marTop w:val="0"/>
      <w:marBottom w:val="0"/>
      <w:divBdr>
        <w:top w:val="none" w:sz="0" w:space="0" w:color="auto"/>
        <w:left w:val="none" w:sz="0" w:space="0" w:color="auto"/>
        <w:bottom w:val="none" w:sz="0" w:space="0" w:color="auto"/>
        <w:right w:val="none" w:sz="0" w:space="0" w:color="auto"/>
      </w:divBdr>
    </w:div>
    <w:div w:id="1870413602">
      <w:bodyDiv w:val="1"/>
      <w:marLeft w:val="0"/>
      <w:marRight w:val="0"/>
      <w:marTop w:val="0"/>
      <w:marBottom w:val="0"/>
      <w:divBdr>
        <w:top w:val="none" w:sz="0" w:space="0" w:color="auto"/>
        <w:left w:val="none" w:sz="0" w:space="0" w:color="auto"/>
        <w:bottom w:val="none" w:sz="0" w:space="0" w:color="auto"/>
        <w:right w:val="none" w:sz="0" w:space="0" w:color="auto"/>
      </w:divBdr>
    </w:div>
    <w:div w:id="1871256122">
      <w:bodyDiv w:val="1"/>
      <w:marLeft w:val="0"/>
      <w:marRight w:val="0"/>
      <w:marTop w:val="0"/>
      <w:marBottom w:val="0"/>
      <w:divBdr>
        <w:top w:val="none" w:sz="0" w:space="0" w:color="auto"/>
        <w:left w:val="none" w:sz="0" w:space="0" w:color="auto"/>
        <w:bottom w:val="none" w:sz="0" w:space="0" w:color="auto"/>
        <w:right w:val="none" w:sz="0" w:space="0" w:color="auto"/>
      </w:divBdr>
    </w:div>
    <w:div w:id="1871606271">
      <w:bodyDiv w:val="1"/>
      <w:marLeft w:val="0"/>
      <w:marRight w:val="0"/>
      <w:marTop w:val="0"/>
      <w:marBottom w:val="0"/>
      <w:divBdr>
        <w:top w:val="none" w:sz="0" w:space="0" w:color="auto"/>
        <w:left w:val="none" w:sz="0" w:space="0" w:color="auto"/>
        <w:bottom w:val="none" w:sz="0" w:space="0" w:color="auto"/>
        <w:right w:val="none" w:sz="0" w:space="0" w:color="auto"/>
      </w:divBdr>
    </w:div>
    <w:div w:id="1872498906">
      <w:bodyDiv w:val="1"/>
      <w:marLeft w:val="0"/>
      <w:marRight w:val="0"/>
      <w:marTop w:val="0"/>
      <w:marBottom w:val="0"/>
      <w:divBdr>
        <w:top w:val="none" w:sz="0" w:space="0" w:color="auto"/>
        <w:left w:val="none" w:sz="0" w:space="0" w:color="auto"/>
        <w:bottom w:val="none" w:sz="0" w:space="0" w:color="auto"/>
        <w:right w:val="none" w:sz="0" w:space="0" w:color="auto"/>
      </w:divBdr>
    </w:div>
    <w:div w:id="1873225289">
      <w:bodyDiv w:val="1"/>
      <w:marLeft w:val="0"/>
      <w:marRight w:val="0"/>
      <w:marTop w:val="0"/>
      <w:marBottom w:val="0"/>
      <w:divBdr>
        <w:top w:val="none" w:sz="0" w:space="0" w:color="auto"/>
        <w:left w:val="none" w:sz="0" w:space="0" w:color="auto"/>
        <w:bottom w:val="none" w:sz="0" w:space="0" w:color="auto"/>
        <w:right w:val="none" w:sz="0" w:space="0" w:color="auto"/>
      </w:divBdr>
    </w:div>
    <w:div w:id="1874345449">
      <w:bodyDiv w:val="1"/>
      <w:marLeft w:val="0"/>
      <w:marRight w:val="0"/>
      <w:marTop w:val="0"/>
      <w:marBottom w:val="0"/>
      <w:divBdr>
        <w:top w:val="none" w:sz="0" w:space="0" w:color="auto"/>
        <w:left w:val="none" w:sz="0" w:space="0" w:color="auto"/>
        <w:bottom w:val="none" w:sz="0" w:space="0" w:color="auto"/>
        <w:right w:val="none" w:sz="0" w:space="0" w:color="auto"/>
      </w:divBdr>
    </w:div>
    <w:div w:id="1878739518">
      <w:bodyDiv w:val="1"/>
      <w:marLeft w:val="0"/>
      <w:marRight w:val="0"/>
      <w:marTop w:val="0"/>
      <w:marBottom w:val="0"/>
      <w:divBdr>
        <w:top w:val="none" w:sz="0" w:space="0" w:color="auto"/>
        <w:left w:val="none" w:sz="0" w:space="0" w:color="auto"/>
        <w:bottom w:val="none" w:sz="0" w:space="0" w:color="auto"/>
        <w:right w:val="none" w:sz="0" w:space="0" w:color="auto"/>
      </w:divBdr>
    </w:div>
    <w:div w:id="1879851774">
      <w:bodyDiv w:val="1"/>
      <w:marLeft w:val="0"/>
      <w:marRight w:val="0"/>
      <w:marTop w:val="0"/>
      <w:marBottom w:val="0"/>
      <w:divBdr>
        <w:top w:val="none" w:sz="0" w:space="0" w:color="auto"/>
        <w:left w:val="none" w:sz="0" w:space="0" w:color="auto"/>
        <w:bottom w:val="none" w:sz="0" w:space="0" w:color="auto"/>
        <w:right w:val="none" w:sz="0" w:space="0" w:color="auto"/>
      </w:divBdr>
    </w:div>
    <w:div w:id="1880435798">
      <w:bodyDiv w:val="1"/>
      <w:marLeft w:val="0"/>
      <w:marRight w:val="0"/>
      <w:marTop w:val="0"/>
      <w:marBottom w:val="0"/>
      <w:divBdr>
        <w:top w:val="none" w:sz="0" w:space="0" w:color="auto"/>
        <w:left w:val="none" w:sz="0" w:space="0" w:color="auto"/>
        <w:bottom w:val="none" w:sz="0" w:space="0" w:color="auto"/>
        <w:right w:val="none" w:sz="0" w:space="0" w:color="auto"/>
      </w:divBdr>
    </w:div>
    <w:div w:id="1880436482">
      <w:bodyDiv w:val="1"/>
      <w:marLeft w:val="0"/>
      <w:marRight w:val="0"/>
      <w:marTop w:val="0"/>
      <w:marBottom w:val="0"/>
      <w:divBdr>
        <w:top w:val="none" w:sz="0" w:space="0" w:color="auto"/>
        <w:left w:val="none" w:sz="0" w:space="0" w:color="auto"/>
        <w:bottom w:val="none" w:sz="0" w:space="0" w:color="auto"/>
        <w:right w:val="none" w:sz="0" w:space="0" w:color="auto"/>
      </w:divBdr>
    </w:div>
    <w:div w:id="1887981464">
      <w:bodyDiv w:val="1"/>
      <w:marLeft w:val="0"/>
      <w:marRight w:val="0"/>
      <w:marTop w:val="0"/>
      <w:marBottom w:val="0"/>
      <w:divBdr>
        <w:top w:val="none" w:sz="0" w:space="0" w:color="auto"/>
        <w:left w:val="none" w:sz="0" w:space="0" w:color="auto"/>
        <w:bottom w:val="none" w:sz="0" w:space="0" w:color="auto"/>
        <w:right w:val="none" w:sz="0" w:space="0" w:color="auto"/>
      </w:divBdr>
      <w:divsChild>
        <w:div w:id="1034230995">
          <w:marLeft w:val="0"/>
          <w:marRight w:val="0"/>
          <w:marTop w:val="0"/>
          <w:marBottom w:val="0"/>
          <w:divBdr>
            <w:top w:val="none" w:sz="0" w:space="0" w:color="auto"/>
            <w:left w:val="none" w:sz="0" w:space="0" w:color="auto"/>
            <w:bottom w:val="none" w:sz="0" w:space="0" w:color="auto"/>
            <w:right w:val="none" w:sz="0" w:space="0" w:color="auto"/>
          </w:divBdr>
        </w:div>
        <w:div w:id="1613395089">
          <w:marLeft w:val="0"/>
          <w:marRight w:val="0"/>
          <w:marTop w:val="75"/>
          <w:marBottom w:val="0"/>
          <w:divBdr>
            <w:top w:val="none" w:sz="0" w:space="0" w:color="auto"/>
            <w:left w:val="none" w:sz="0" w:space="0" w:color="auto"/>
            <w:bottom w:val="none" w:sz="0" w:space="0" w:color="auto"/>
            <w:right w:val="none" w:sz="0" w:space="0" w:color="auto"/>
          </w:divBdr>
        </w:div>
        <w:div w:id="372923421">
          <w:marLeft w:val="0"/>
          <w:marRight w:val="0"/>
          <w:marTop w:val="75"/>
          <w:marBottom w:val="0"/>
          <w:divBdr>
            <w:top w:val="none" w:sz="0" w:space="0" w:color="auto"/>
            <w:left w:val="none" w:sz="0" w:space="0" w:color="auto"/>
            <w:bottom w:val="none" w:sz="0" w:space="0" w:color="auto"/>
            <w:right w:val="none" w:sz="0" w:space="0" w:color="auto"/>
          </w:divBdr>
        </w:div>
      </w:divsChild>
    </w:div>
    <w:div w:id="1888879386">
      <w:bodyDiv w:val="1"/>
      <w:marLeft w:val="0"/>
      <w:marRight w:val="0"/>
      <w:marTop w:val="0"/>
      <w:marBottom w:val="0"/>
      <w:divBdr>
        <w:top w:val="none" w:sz="0" w:space="0" w:color="auto"/>
        <w:left w:val="none" w:sz="0" w:space="0" w:color="auto"/>
        <w:bottom w:val="none" w:sz="0" w:space="0" w:color="auto"/>
        <w:right w:val="none" w:sz="0" w:space="0" w:color="auto"/>
      </w:divBdr>
    </w:div>
    <w:div w:id="1889146001">
      <w:bodyDiv w:val="1"/>
      <w:marLeft w:val="0"/>
      <w:marRight w:val="0"/>
      <w:marTop w:val="0"/>
      <w:marBottom w:val="0"/>
      <w:divBdr>
        <w:top w:val="none" w:sz="0" w:space="0" w:color="auto"/>
        <w:left w:val="none" w:sz="0" w:space="0" w:color="auto"/>
        <w:bottom w:val="none" w:sz="0" w:space="0" w:color="auto"/>
        <w:right w:val="none" w:sz="0" w:space="0" w:color="auto"/>
      </w:divBdr>
    </w:div>
    <w:div w:id="1890609574">
      <w:bodyDiv w:val="1"/>
      <w:marLeft w:val="0"/>
      <w:marRight w:val="0"/>
      <w:marTop w:val="0"/>
      <w:marBottom w:val="0"/>
      <w:divBdr>
        <w:top w:val="none" w:sz="0" w:space="0" w:color="auto"/>
        <w:left w:val="none" w:sz="0" w:space="0" w:color="auto"/>
        <w:bottom w:val="none" w:sz="0" w:space="0" w:color="auto"/>
        <w:right w:val="none" w:sz="0" w:space="0" w:color="auto"/>
      </w:divBdr>
    </w:div>
    <w:div w:id="1890805272">
      <w:bodyDiv w:val="1"/>
      <w:marLeft w:val="0"/>
      <w:marRight w:val="0"/>
      <w:marTop w:val="0"/>
      <w:marBottom w:val="0"/>
      <w:divBdr>
        <w:top w:val="none" w:sz="0" w:space="0" w:color="auto"/>
        <w:left w:val="none" w:sz="0" w:space="0" w:color="auto"/>
        <w:bottom w:val="none" w:sz="0" w:space="0" w:color="auto"/>
        <w:right w:val="none" w:sz="0" w:space="0" w:color="auto"/>
      </w:divBdr>
    </w:div>
    <w:div w:id="1891452985">
      <w:bodyDiv w:val="1"/>
      <w:marLeft w:val="0"/>
      <w:marRight w:val="0"/>
      <w:marTop w:val="0"/>
      <w:marBottom w:val="0"/>
      <w:divBdr>
        <w:top w:val="none" w:sz="0" w:space="0" w:color="auto"/>
        <w:left w:val="none" w:sz="0" w:space="0" w:color="auto"/>
        <w:bottom w:val="none" w:sz="0" w:space="0" w:color="auto"/>
        <w:right w:val="none" w:sz="0" w:space="0" w:color="auto"/>
      </w:divBdr>
    </w:div>
    <w:div w:id="1892228939">
      <w:bodyDiv w:val="1"/>
      <w:marLeft w:val="0"/>
      <w:marRight w:val="0"/>
      <w:marTop w:val="0"/>
      <w:marBottom w:val="0"/>
      <w:divBdr>
        <w:top w:val="none" w:sz="0" w:space="0" w:color="auto"/>
        <w:left w:val="none" w:sz="0" w:space="0" w:color="auto"/>
        <w:bottom w:val="none" w:sz="0" w:space="0" w:color="auto"/>
        <w:right w:val="none" w:sz="0" w:space="0" w:color="auto"/>
      </w:divBdr>
    </w:div>
    <w:div w:id="1892304815">
      <w:bodyDiv w:val="1"/>
      <w:marLeft w:val="0"/>
      <w:marRight w:val="0"/>
      <w:marTop w:val="0"/>
      <w:marBottom w:val="0"/>
      <w:divBdr>
        <w:top w:val="none" w:sz="0" w:space="0" w:color="auto"/>
        <w:left w:val="none" w:sz="0" w:space="0" w:color="auto"/>
        <w:bottom w:val="none" w:sz="0" w:space="0" w:color="auto"/>
        <w:right w:val="none" w:sz="0" w:space="0" w:color="auto"/>
      </w:divBdr>
    </w:div>
    <w:div w:id="1892379634">
      <w:bodyDiv w:val="1"/>
      <w:marLeft w:val="0"/>
      <w:marRight w:val="0"/>
      <w:marTop w:val="0"/>
      <w:marBottom w:val="0"/>
      <w:divBdr>
        <w:top w:val="none" w:sz="0" w:space="0" w:color="auto"/>
        <w:left w:val="none" w:sz="0" w:space="0" w:color="auto"/>
        <w:bottom w:val="none" w:sz="0" w:space="0" w:color="auto"/>
        <w:right w:val="none" w:sz="0" w:space="0" w:color="auto"/>
      </w:divBdr>
      <w:divsChild>
        <w:div w:id="666908338">
          <w:marLeft w:val="0"/>
          <w:marRight w:val="0"/>
          <w:marTop w:val="0"/>
          <w:marBottom w:val="0"/>
          <w:divBdr>
            <w:top w:val="none" w:sz="0" w:space="0" w:color="auto"/>
            <w:left w:val="none" w:sz="0" w:space="0" w:color="auto"/>
            <w:bottom w:val="none" w:sz="0" w:space="0" w:color="auto"/>
            <w:right w:val="none" w:sz="0" w:space="0" w:color="auto"/>
          </w:divBdr>
        </w:div>
      </w:divsChild>
    </w:div>
    <w:div w:id="1893299950">
      <w:bodyDiv w:val="1"/>
      <w:marLeft w:val="0"/>
      <w:marRight w:val="0"/>
      <w:marTop w:val="0"/>
      <w:marBottom w:val="0"/>
      <w:divBdr>
        <w:top w:val="none" w:sz="0" w:space="0" w:color="auto"/>
        <w:left w:val="none" w:sz="0" w:space="0" w:color="auto"/>
        <w:bottom w:val="none" w:sz="0" w:space="0" w:color="auto"/>
        <w:right w:val="none" w:sz="0" w:space="0" w:color="auto"/>
      </w:divBdr>
    </w:div>
    <w:div w:id="1894151261">
      <w:bodyDiv w:val="1"/>
      <w:marLeft w:val="0"/>
      <w:marRight w:val="0"/>
      <w:marTop w:val="0"/>
      <w:marBottom w:val="0"/>
      <w:divBdr>
        <w:top w:val="none" w:sz="0" w:space="0" w:color="auto"/>
        <w:left w:val="none" w:sz="0" w:space="0" w:color="auto"/>
        <w:bottom w:val="none" w:sz="0" w:space="0" w:color="auto"/>
        <w:right w:val="none" w:sz="0" w:space="0" w:color="auto"/>
      </w:divBdr>
    </w:div>
    <w:div w:id="1894274372">
      <w:bodyDiv w:val="1"/>
      <w:marLeft w:val="0"/>
      <w:marRight w:val="0"/>
      <w:marTop w:val="0"/>
      <w:marBottom w:val="0"/>
      <w:divBdr>
        <w:top w:val="none" w:sz="0" w:space="0" w:color="auto"/>
        <w:left w:val="none" w:sz="0" w:space="0" w:color="auto"/>
        <w:bottom w:val="none" w:sz="0" w:space="0" w:color="auto"/>
        <w:right w:val="none" w:sz="0" w:space="0" w:color="auto"/>
      </w:divBdr>
    </w:div>
    <w:div w:id="1895772681">
      <w:bodyDiv w:val="1"/>
      <w:marLeft w:val="0"/>
      <w:marRight w:val="0"/>
      <w:marTop w:val="0"/>
      <w:marBottom w:val="0"/>
      <w:divBdr>
        <w:top w:val="none" w:sz="0" w:space="0" w:color="auto"/>
        <w:left w:val="none" w:sz="0" w:space="0" w:color="auto"/>
        <w:bottom w:val="none" w:sz="0" w:space="0" w:color="auto"/>
        <w:right w:val="none" w:sz="0" w:space="0" w:color="auto"/>
      </w:divBdr>
    </w:div>
    <w:div w:id="1896818935">
      <w:bodyDiv w:val="1"/>
      <w:marLeft w:val="0"/>
      <w:marRight w:val="0"/>
      <w:marTop w:val="0"/>
      <w:marBottom w:val="0"/>
      <w:divBdr>
        <w:top w:val="none" w:sz="0" w:space="0" w:color="auto"/>
        <w:left w:val="none" w:sz="0" w:space="0" w:color="auto"/>
        <w:bottom w:val="none" w:sz="0" w:space="0" w:color="auto"/>
        <w:right w:val="none" w:sz="0" w:space="0" w:color="auto"/>
      </w:divBdr>
    </w:div>
    <w:div w:id="1897085346">
      <w:bodyDiv w:val="1"/>
      <w:marLeft w:val="0"/>
      <w:marRight w:val="0"/>
      <w:marTop w:val="0"/>
      <w:marBottom w:val="0"/>
      <w:divBdr>
        <w:top w:val="none" w:sz="0" w:space="0" w:color="auto"/>
        <w:left w:val="none" w:sz="0" w:space="0" w:color="auto"/>
        <w:bottom w:val="none" w:sz="0" w:space="0" w:color="auto"/>
        <w:right w:val="none" w:sz="0" w:space="0" w:color="auto"/>
      </w:divBdr>
      <w:divsChild>
        <w:div w:id="801994469">
          <w:marLeft w:val="0"/>
          <w:marRight w:val="0"/>
          <w:marTop w:val="0"/>
          <w:marBottom w:val="0"/>
          <w:divBdr>
            <w:top w:val="none" w:sz="0" w:space="0" w:color="auto"/>
            <w:left w:val="none" w:sz="0" w:space="0" w:color="auto"/>
            <w:bottom w:val="none" w:sz="0" w:space="0" w:color="auto"/>
            <w:right w:val="none" w:sz="0" w:space="0" w:color="auto"/>
          </w:divBdr>
          <w:divsChild>
            <w:div w:id="869293534">
              <w:marLeft w:val="0"/>
              <w:marRight w:val="0"/>
              <w:marTop w:val="0"/>
              <w:marBottom w:val="0"/>
              <w:divBdr>
                <w:top w:val="none" w:sz="0" w:space="0" w:color="auto"/>
                <w:left w:val="none" w:sz="0" w:space="0" w:color="auto"/>
                <w:bottom w:val="none" w:sz="0" w:space="0" w:color="auto"/>
                <w:right w:val="none" w:sz="0" w:space="0" w:color="auto"/>
              </w:divBdr>
              <w:divsChild>
                <w:div w:id="1534002598">
                  <w:marLeft w:val="0"/>
                  <w:marRight w:val="0"/>
                  <w:marTop w:val="0"/>
                  <w:marBottom w:val="0"/>
                  <w:divBdr>
                    <w:top w:val="none" w:sz="0" w:space="0" w:color="auto"/>
                    <w:left w:val="none" w:sz="0" w:space="0" w:color="auto"/>
                    <w:bottom w:val="none" w:sz="0" w:space="0" w:color="auto"/>
                    <w:right w:val="none" w:sz="0" w:space="0" w:color="auto"/>
                  </w:divBdr>
                  <w:divsChild>
                    <w:div w:id="27081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4887">
          <w:marLeft w:val="0"/>
          <w:marRight w:val="0"/>
          <w:marTop w:val="0"/>
          <w:marBottom w:val="0"/>
          <w:divBdr>
            <w:top w:val="none" w:sz="0" w:space="0" w:color="auto"/>
            <w:left w:val="none" w:sz="0" w:space="0" w:color="auto"/>
            <w:bottom w:val="none" w:sz="0" w:space="0" w:color="auto"/>
            <w:right w:val="none" w:sz="0" w:space="0" w:color="auto"/>
          </w:divBdr>
          <w:divsChild>
            <w:div w:id="16390084">
              <w:marLeft w:val="0"/>
              <w:marRight w:val="0"/>
              <w:marTop w:val="0"/>
              <w:marBottom w:val="0"/>
              <w:divBdr>
                <w:top w:val="none" w:sz="0" w:space="0" w:color="auto"/>
                <w:left w:val="none" w:sz="0" w:space="0" w:color="auto"/>
                <w:bottom w:val="none" w:sz="0" w:space="0" w:color="auto"/>
                <w:right w:val="none" w:sz="0" w:space="0" w:color="auto"/>
              </w:divBdr>
              <w:divsChild>
                <w:div w:id="16585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1474">
      <w:bodyDiv w:val="1"/>
      <w:marLeft w:val="0"/>
      <w:marRight w:val="0"/>
      <w:marTop w:val="0"/>
      <w:marBottom w:val="0"/>
      <w:divBdr>
        <w:top w:val="none" w:sz="0" w:space="0" w:color="auto"/>
        <w:left w:val="none" w:sz="0" w:space="0" w:color="auto"/>
        <w:bottom w:val="none" w:sz="0" w:space="0" w:color="auto"/>
        <w:right w:val="none" w:sz="0" w:space="0" w:color="auto"/>
      </w:divBdr>
    </w:div>
    <w:div w:id="1899515041">
      <w:bodyDiv w:val="1"/>
      <w:marLeft w:val="0"/>
      <w:marRight w:val="0"/>
      <w:marTop w:val="0"/>
      <w:marBottom w:val="0"/>
      <w:divBdr>
        <w:top w:val="none" w:sz="0" w:space="0" w:color="auto"/>
        <w:left w:val="none" w:sz="0" w:space="0" w:color="auto"/>
        <w:bottom w:val="none" w:sz="0" w:space="0" w:color="auto"/>
        <w:right w:val="none" w:sz="0" w:space="0" w:color="auto"/>
      </w:divBdr>
    </w:div>
    <w:div w:id="1901942597">
      <w:bodyDiv w:val="1"/>
      <w:marLeft w:val="0"/>
      <w:marRight w:val="0"/>
      <w:marTop w:val="0"/>
      <w:marBottom w:val="0"/>
      <w:divBdr>
        <w:top w:val="none" w:sz="0" w:space="0" w:color="auto"/>
        <w:left w:val="none" w:sz="0" w:space="0" w:color="auto"/>
        <w:bottom w:val="none" w:sz="0" w:space="0" w:color="auto"/>
        <w:right w:val="none" w:sz="0" w:space="0" w:color="auto"/>
      </w:divBdr>
    </w:div>
    <w:div w:id="1904563257">
      <w:bodyDiv w:val="1"/>
      <w:marLeft w:val="0"/>
      <w:marRight w:val="0"/>
      <w:marTop w:val="0"/>
      <w:marBottom w:val="0"/>
      <w:divBdr>
        <w:top w:val="none" w:sz="0" w:space="0" w:color="auto"/>
        <w:left w:val="none" w:sz="0" w:space="0" w:color="auto"/>
        <w:bottom w:val="none" w:sz="0" w:space="0" w:color="auto"/>
        <w:right w:val="none" w:sz="0" w:space="0" w:color="auto"/>
      </w:divBdr>
    </w:div>
    <w:div w:id="1906525567">
      <w:bodyDiv w:val="1"/>
      <w:marLeft w:val="0"/>
      <w:marRight w:val="0"/>
      <w:marTop w:val="0"/>
      <w:marBottom w:val="0"/>
      <w:divBdr>
        <w:top w:val="none" w:sz="0" w:space="0" w:color="auto"/>
        <w:left w:val="none" w:sz="0" w:space="0" w:color="auto"/>
        <w:bottom w:val="none" w:sz="0" w:space="0" w:color="auto"/>
        <w:right w:val="none" w:sz="0" w:space="0" w:color="auto"/>
      </w:divBdr>
    </w:div>
    <w:div w:id="1907375547">
      <w:bodyDiv w:val="1"/>
      <w:marLeft w:val="0"/>
      <w:marRight w:val="0"/>
      <w:marTop w:val="0"/>
      <w:marBottom w:val="0"/>
      <w:divBdr>
        <w:top w:val="none" w:sz="0" w:space="0" w:color="auto"/>
        <w:left w:val="none" w:sz="0" w:space="0" w:color="auto"/>
        <w:bottom w:val="none" w:sz="0" w:space="0" w:color="auto"/>
        <w:right w:val="none" w:sz="0" w:space="0" w:color="auto"/>
      </w:divBdr>
    </w:div>
    <w:div w:id="1914780641">
      <w:bodyDiv w:val="1"/>
      <w:marLeft w:val="0"/>
      <w:marRight w:val="0"/>
      <w:marTop w:val="0"/>
      <w:marBottom w:val="0"/>
      <w:divBdr>
        <w:top w:val="none" w:sz="0" w:space="0" w:color="auto"/>
        <w:left w:val="none" w:sz="0" w:space="0" w:color="auto"/>
        <w:bottom w:val="none" w:sz="0" w:space="0" w:color="auto"/>
        <w:right w:val="none" w:sz="0" w:space="0" w:color="auto"/>
      </w:divBdr>
    </w:div>
    <w:div w:id="1916083233">
      <w:bodyDiv w:val="1"/>
      <w:marLeft w:val="0"/>
      <w:marRight w:val="0"/>
      <w:marTop w:val="0"/>
      <w:marBottom w:val="0"/>
      <w:divBdr>
        <w:top w:val="none" w:sz="0" w:space="0" w:color="auto"/>
        <w:left w:val="none" w:sz="0" w:space="0" w:color="auto"/>
        <w:bottom w:val="none" w:sz="0" w:space="0" w:color="auto"/>
        <w:right w:val="none" w:sz="0" w:space="0" w:color="auto"/>
      </w:divBdr>
    </w:div>
    <w:div w:id="1916086183">
      <w:bodyDiv w:val="1"/>
      <w:marLeft w:val="0"/>
      <w:marRight w:val="0"/>
      <w:marTop w:val="0"/>
      <w:marBottom w:val="0"/>
      <w:divBdr>
        <w:top w:val="none" w:sz="0" w:space="0" w:color="auto"/>
        <w:left w:val="none" w:sz="0" w:space="0" w:color="auto"/>
        <w:bottom w:val="none" w:sz="0" w:space="0" w:color="auto"/>
        <w:right w:val="none" w:sz="0" w:space="0" w:color="auto"/>
      </w:divBdr>
    </w:div>
    <w:div w:id="1917781045">
      <w:bodyDiv w:val="1"/>
      <w:marLeft w:val="0"/>
      <w:marRight w:val="0"/>
      <w:marTop w:val="0"/>
      <w:marBottom w:val="0"/>
      <w:divBdr>
        <w:top w:val="none" w:sz="0" w:space="0" w:color="auto"/>
        <w:left w:val="none" w:sz="0" w:space="0" w:color="auto"/>
        <w:bottom w:val="none" w:sz="0" w:space="0" w:color="auto"/>
        <w:right w:val="none" w:sz="0" w:space="0" w:color="auto"/>
      </w:divBdr>
    </w:div>
    <w:div w:id="1918973433">
      <w:bodyDiv w:val="1"/>
      <w:marLeft w:val="0"/>
      <w:marRight w:val="0"/>
      <w:marTop w:val="0"/>
      <w:marBottom w:val="0"/>
      <w:divBdr>
        <w:top w:val="none" w:sz="0" w:space="0" w:color="auto"/>
        <w:left w:val="none" w:sz="0" w:space="0" w:color="auto"/>
        <w:bottom w:val="none" w:sz="0" w:space="0" w:color="auto"/>
        <w:right w:val="none" w:sz="0" w:space="0" w:color="auto"/>
      </w:divBdr>
    </w:div>
    <w:div w:id="1924336694">
      <w:bodyDiv w:val="1"/>
      <w:marLeft w:val="0"/>
      <w:marRight w:val="0"/>
      <w:marTop w:val="0"/>
      <w:marBottom w:val="0"/>
      <w:divBdr>
        <w:top w:val="none" w:sz="0" w:space="0" w:color="auto"/>
        <w:left w:val="none" w:sz="0" w:space="0" w:color="auto"/>
        <w:bottom w:val="none" w:sz="0" w:space="0" w:color="auto"/>
        <w:right w:val="none" w:sz="0" w:space="0" w:color="auto"/>
      </w:divBdr>
    </w:div>
    <w:div w:id="1924794275">
      <w:bodyDiv w:val="1"/>
      <w:marLeft w:val="0"/>
      <w:marRight w:val="0"/>
      <w:marTop w:val="0"/>
      <w:marBottom w:val="0"/>
      <w:divBdr>
        <w:top w:val="none" w:sz="0" w:space="0" w:color="auto"/>
        <w:left w:val="none" w:sz="0" w:space="0" w:color="auto"/>
        <w:bottom w:val="none" w:sz="0" w:space="0" w:color="auto"/>
        <w:right w:val="none" w:sz="0" w:space="0" w:color="auto"/>
      </w:divBdr>
    </w:div>
    <w:div w:id="1925413085">
      <w:bodyDiv w:val="1"/>
      <w:marLeft w:val="0"/>
      <w:marRight w:val="0"/>
      <w:marTop w:val="0"/>
      <w:marBottom w:val="0"/>
      <w:divBdr>
        <w:top w:val="none" w:sz="0" w:space="0" w:color="auto"/>
        <w:left w:val="none" w:sz="0" w:space="0" w:color="auto"/>
        <w:bottom w:val="none" w:sz="0" w:space="0" w:color="auto"/>
        <w:right w:val="none" w:sz="0" w:space="0" w:color="auto"/>
      </w:divBdr>
    </w:div>
    <w:div w:id="1928225133">
      <w:bodyDiv w:val="1"/>
      <w:marLeft w:val="0"/>
      <w:marRight w:val="0"/>
      <w:marTop w:val="0"/>
      <w:marBottom w:val="0"/>
      <w:divBdr>
        <w:top w:val="none" w:sz="0" w:space="0" w:color="auto"/>
        <w:left w:val="none" w:sz="0" w:space="0" w:color="auto"/>
        <w:bottom w:val="none" w:sz="0" w:space="0" w:color="auto"/>
        <w:right w:val="none" w:sz="0" w:space="0" w:color="auto"/>
      </w:divBdr>
    </w:div>
    <w:div w:id="1929271933">
      <w:bodyDiv w:val="1"/>
      <w:marLeft w:val="0"/>
      <w:marRight w:val="0"/>
      <w:marTop w:val="0"/>
      <w:marBottom w:val="0"/>
      <w:divBdr>
        <w:top w:val="none" w:sz="0" w:space="0" w:color="auto"/>
        <w:left w:val="none" w:sz="0" w:space="0" w:color="auto"/>
        <w:bottom w:val="none" w:sz="0" w:space="0" w:color="auto"/>
        <w:right w:val="none" w:sz="0" w:space="0" w:color="auto"/>
      </w:divBdr>
      <w:divsChild>
        <w:div w:id="247928978">
          <w:marLeft w:val="0"/>
          <w:marRight w:val="0"/>
          <w:marTop w:val="0"/>
          <w:marBottom w:val="0"/>
          <w:divBdr>
            <w:top w:val="none" w:sz="0" w:space="0" w:color="auto"/>
            <w:left w:val="none" w:sz="0" w:space="0" w:color="auto"/>
            <w:bottom w:val="none" w:sz="0" w:space="0" w:color="auto"/>
            <w:right w:val="none" w:sz="0" w:space="0" w:color="auto"/>
          </w:divBdr>
          <w:divsChild>
            <w:div w:id="303894146">
              <w:marLeft w:val="0"/>
              <w:marRight w:val="0"/>
              <w:marTop w:val="0"/>
              <w:marBottom w:val="0"/>
              <w:divBdr>
                <w:top w:val="none" w:sz="0" w:space="0" w:color="auto"/>
                <w:left w:val="none" w:sz="0" w:space="0" w:color="auto"/>
                <w:bottom w:val="none" w:sz="0" w:space="0" w:color="auto"/>
                <w:right w:val="none" w:sz="0" w:space="0" w:color="auto"/>
              </w:divBdr>
              <w:divsChild>
                <w:div w:id="1963607716">
                  <w:marLeft w:val="0"/>
                  <w:marRight w:val="0"/>
                  <w:marTop w:val="0"/>
                  <w:marBottom w:val="0"/>
                  <w:divBdr>
                    <w:top w:val="none" w:sz="0" w:space="0" w:color="auto"/>
                    <w:left w:val="none" w:sz="0" w:space="0" w:color="auto"/>
                    <w:bottom w:val="none" w:sz="0" w:space="0" w:color="auto"/>
                    <w:right w:val="none" w:sz="0" w:space="0" w:color="auto"/>
                  </w:divBdr>
                  <w:divsChild>
                    <w:div w:id="9554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78878">
          <w:marLeft w:val="0"/>
          <w:marRight w:val="0"/>
          <w:marTop w:val="0"/>
          <w:marBottom w:val="0"/>
          <w:divBdr>
            <w:top w:val="none" w:sz="0" w:space="0" w:color="auto"/>
            <w:left w:val="none" w:sz="0" w:space="0" w:color="auto"/>
            <w:bottom w:val="none" w:sz="0" w:space="0" w:color="auto"/>
            <w:right w:val="none" w:sz="0" w:space="0" w:color="auto"/>
          </w:divBdr>
          <w:divsChild>
            <w:div w:id="728845446">
              <w:marLeft w:val="0"/>
              <w:marRight w:val="0"/>
              <w:marTop w:val="0"/>
              <w:marBottom w:val="0"/>
              <w:divBdr>
                <w:top w:val="none" w:sz="0" w:space="0" w:color="auto"/>
                <w:left w:val="none" w:sz="0" w:space="0" w:color="auto"/>
                <w:bottom w:val="none" w:sz="0" w:space="0" w:color="auto"/>
                <w:right w:val="none" w:sz="0" w:space="0" w:color="auto"/>
              </w:divBdr>
              <w:divsChild>
                <w:div w:id="954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63392">
      <w:bodyDiv w:val="1"/>
      <w:marLeft w:val="0"/>
      <w:marRight w:val="0"/>
      <w:marTop w:val="0"/>
      <w:marBottom w:val="0"/>
      <w:divBdr>
        <w:top w:val="none" w:sz="0" w:space="0" w:color="auto"/>
        <w:left w:val="none" w:sz="0" w:space="0" w:color="auto"/>
        <w:bottom w:val="none" w:sz="0" w:space="0" w:color="auto"/>
        <w:right w:val="none" w:sz="0" w:space="0" w:color="auto"/>
      </w:divBdr>
    </w:div>
    <w:div w:id="1934588378">
      <w:bodyDiv w:val="1"/>
      <w:marLeft w:val="0"/>
      <w:marRight w:val="0"/>
      <w:marTop w:val="0"/>
      <w:marBottom w:val="0"/>
      <w:divBdr>
        <w:top w:val="none" w:sz="0" w:space="0" w:color="auto"/>
        <w:left w:val="none" w:sz="0" w:space="0" w:color="auto"/>
        <w:bottom w:val="none" w:sz="0" w:space="0" w:color="auto"/>
        <w:right w:val="none" w:sz="0" w:space="0" w:color="auto"/>
      </w:divBdr>
    </w:div>
    <w:div w:id="1940597949">
      <w:bodyDiv w:val="1"/>
      <w:marLeft w:val="0"/>
      <w:marRight w:val="0"/>
      <w:marTop w:val="0"/>
      <w:marBottom w:val="0"/>
      <w:divBdr>
        <w:top w:val="none" w:sz="0" w:space="0" w:color="auto"/>
        <w:left w:val="none" w:sz="0" w:space="0" w:color="auto"/>
        <w:bottom w:val="none" w:sz="0" w:space="0" w:color="auto"/>
        <w:right w:val="none" w:sz="0" w:space="0" w:color="auto"/>
      </w:divBdr>
    </w:div>
    <w:div w:id="1940793514">
      <w:bodyDiv w:val="1"/>
      <w:marLeft w:val="0"/>
      <w:marRight w:val="0"/>
      <w:marTop w:val="0"/>
      <w:marBottom w:val="0"/>
      <w:divBdr>
        <w:top w:val="none" w:sz="0" w:space="0" w:color="auto"/>
        <w:left w:val="none" w:sz="0" w:space="0" w:color="auto"/>
        <w:bottom w:val="none" w:sz="0" w:space="0" w:color="auto"/>
        <w:right w:val="none" w:sz="0" w:space="0" w:color="auto"/>
      </w:divBdr>
    </w:div>
    <w:div w:id="1948806554">
      <w:bodyDiv w:val="1"/>
      <w:marLeft w:val="0"/>
      <w:marRight w:val="0"/>
      <w:marTop w:val="0"/>
      <w:marBottom w:val="0"/>
      <w:divBdr>
        <w:top w:val="none" w:sz="0" w:space="0" w:color="auto"/>
        <w:left w:val="none" w:sz="0" w:space="0" w:color="auto"/>
        <w:bottom w:val="none" w:sz="0" w:space="0" w:color="auto"/>
        <w:right w:val="none" w:sz="0" w:space="0" w:color="auto"/>
      </w:divBdr>
    </w:div>
    <w:div w:id="1948922221">
      <w:bodyDiv w:val="1"/>
      <w:marLeft w:val="0"/>
      <w:marRight w:val="0"/>
      <w:marTop w:val="0"/>
      <w:marBottom w:val="0"/>
      <w:divBdr>
        <w:top w:val="none" w:sz="0" w:space="0" w:color="auto"/>
        <w:left w:val="none" w:sz="0" w:space="0" w:color="auto"/>
        <w:bottom w:val="none" w:sz="0" w:space="0" w:color="auto"/>
        <w:right w:val="none" w:sz="0" w:space="0" w:color="auto"/>
      </w:divBdr>
    </w:div>
    <w:div w:id="1949317477">
      <w:bodyDiv w:val="1"/>
      <w:marLeft w:val="0"/>
      <w:marRight w:val="0"/>
      <w:marTop w:val="0"/>
      <w:marBottom w:val="0"/>
      <w:divBdr>
        <w:top w:val="none" w:sz="0" w:space="0" w:color="auto"/>
        <w:left w:val="none" w:sz="0" w:space="0" w:color="auto"/>
        <w:bottom w:val="none" w:sz="0" w:space="0" w:color="auto"/>
        <w:right w:val="none" w:sz="0" w:space="0" w:color="auto"/>
      </w:divBdr>
    </w:div>
    <w:div w:id="1951860492">
      <w:bodyDiv w:val="1"/>
      <w:marLeft w:val="0"/>
      <w:marRight w:val="0"/>
      <w:marTop w:val="0"/>
      <w:marBottom w:val="0"/>
      <w:divBdr>
        <w:top w:val="none" w:sz="0" w:space="0" w:color="auto"/>
        <w:left w:val="none" w:sz="0" w:space="0" w:color="auto"/>
        <w:bottom w:val="none" w:sz="0" w:space="0" w:color="auto"/>
        <w:right w:val="none" w:sz="0" w:space="0" w:color="auto"/>
      </w:divBdr>
    </w:div>
    <w:div w:id="1953508183">
      <w:bodyDiv w:val="1"/>
      <w:marLeft w:val="0"/>
      <w:marRight w:val="0"/>
      <w:marTop w:val="0"/>
      <w:marBottom w:val="0"/>
      <w:divBdr>
        <w:top w:val="none" w:sz="0" w:space="0" w:color="auto"/>
        <w:left w:val="none" w:sz="0" w:space="0" w:color="auto"/>
        <w:bottom w:val="none" w:sz="0" w:space="0" w:color="auto"/>
        <w:right w:val="none" w:sz="0" w:space="0" w:color="auto"/>
      </w:divBdr>
    </w:div>
    <w:div w:id="1953513280">
      <w:bodyDiv w:val="1"/>
      <w:marLeft w:val="0"/>
      <w:marRight w:val="0"/>
      <w:marTop w:val="0"/>
      <w:marBottom w:val="0"/>
      <w:divBdr>
        <w:top w:val="none" w:sz="0" w:space="0" w:color="auto"/>
        <w:left w:val="none" w:sz="0" w:space="0" w:color="auto"/>
        <w:bottom w:val="none" w:sz="0" w:space="0" w:color="auto"/>
        <w:right w:val="none" w:sz="0" w:space="0" w:color="auto"/>
      </w:divBdr>
      <w:divsChild>
        <w:div w:id="1637367585">
          <w:marLeft w:val="0"/>
          <w:marRight w:val="0"/>
          <w:marTop w:val="0"/>
          <w:marBottom w:val="0"/>
          <w:divBdr>
            <w:top w:val="none" w:sz="0" w:space="0" w:color="auto"/>
            <w:left w:val="none" w:sz="0" w:space="0" w:color="auto"/>
            <w:bottom w:val="none" w:sz="0" w:space="0" w:color="auto"/>
            <w:right w:val="none" w:sz="0" w:space="0" w:color="auto"/>
          </w:divBdr>
        </w:div>
      </w:divsChild>
    </w:div>
    <w:div w:id="1954748261">
      <w:bodyDiv w:val="1"/>
      <w:marLeft w:val="0"/>
      <w:marRight w:val="0"/>
      <w:marTop w:val="0"/>
      <w:marBottom w:val="0"/>
      <w:divBdr>
        <w:top w:val="none" w:sz="0" w:space="0" w:color="auto"/>
        <w:left w:val="none" w:sz="0" w:space="0" w:color="auto"/>
        <w:bottom w:val="none" w:sz="0" w:space="0" w:color="auto"/>
        <w:right w:val="none" w:sz="0" w:space="0" w:color="auto"/>
      </w:divBdr>
    </w:div>
    <w:div w:id="1957057992">
      <w:bodyDiv w:val="1"/>
      <w:marLeft w:val="0"/>
      <w:marRight w:val="0"/>
      <w:marTop w:val="0"/>
      <w:marBottom w:val="0"/>
      <w:divBdr>
        <w:top w:val="none" w:sz="0" w:space="0" w:color="auto"/>
        <w:left w:val="none" w:sz="0" w:space="0" w:color="auto"/>
        <w:bottom w:val="none" w:sz="0" w:space="0" w:color="auto"/>
        <w:right w:val="none" w:sz="0" w:space="0" w:color="auto"/>
      </w:divBdr>
    </w:div>
    <w:div w:id="1957715717">
      <w:bodyDiv w:val="1"/>
      <w:marLeft w:val="0"/>
      <w:marRight w:val="0"/>
      <w:marTop w:val="0"/>
      <w:marBottom w:val="0"/>
      <w:divBdr>
        <w:top w:val="none" w:sz="0" w:space="0" w:color="auto"/>
        <w:left w:val="none" w:sz="0" w:space="0" w:color="auto"/>
        <w:bottom w:val="none" w:sz="0" w:space="0" w:color="auto"/>
        <w:right w:val="none" w:sz="0" w:space="0" w:color="auto"/>
      </w:divBdr>
    </w:div>
    <w:div w:id="1960064104">
      <w:bodyDiv w:val="1"/>
      <w:marLeft w:val="0"/>
      <w:marRight w:val="0"/>
      <w:marTop w:val="0"/>
      <w:marBottom w:val="0"/>
      <w:divBdr>
        <w:top w:val="none" w:sz="0" w:space="0" w:color="auto"/>
        <w:left w:val="none" w:sz="0" w:space="0" w:color="auto"/>
        <w:bottom w:val="none" w:sz="0" w:space="0" w:color="auto"/>
        <w:right w:val="none" w:sz="0" w:space="0" w:color="auto"/>
      </w:divBdr>
    </w:div>
    <w:div w:id="1962413385">
      <w:bodyDiv w:val="1"/>
      <w:marLeft w:val="0"/>
      <w:marRight w:val="0"/>
      <w:marTop w:val="0"/>
      <w:marBottom w:val="0"/>
      <w:divBdr>
        <w:top w:val="none" w:sz="0" w:space="0" w:color="auto"/>
        <w:left w:val="none" w:sz="0" w:space="0" w:color="auto"/>
        <w:bottom w:val="none" w:sz="0" w:space="0" w:color="auto"/>
        <w:right w:val="none" w:sz="0" w:space="0" w:color="auto"/>
      </w:divBdr>
    </w:div>
    <w:div w:id="1966040514">
      <w:bodyDiv w:val="1"/>
      <w:marLeft w:val="0"/>
      <w:marRight w:val="0"/>
      <w:marTop w:val="0"/>
      <w:marBottom w:val="0"/>
      <w:divBdr>
        <w:top w:val="none" w:sz="0" w:space="0" w:color="auto"/>
        <w:left w:val="none" w:sz="0" w:space="0" w:color="auto"/>
        <w:bottom w:val="none" w:sz="0" w:space="0" w:color="auto"/>
        <w:right w:val="none" w:sz="0" w:space="0" w:color="auto"/>
      </w:divBdr>
    </w:div>
    <w:div w:id="1967351262">
      <w:bodyDiv w:val="1"/>
      <w:marLeft w:val="0"/>
      <w:marRight w:val="0"/>
      <w:marTop w:val="0"/>
      <w:marBottom w:val="0"/>
      <w:divBdr>
        <w:top w:val="none" w:sz="0" w:space="0" w:color="auto"/>
        <w:left w:val="none" w:sz="0" w:space="0" w:color="auto"/>
        <w:bottom w:val="none" w:sz="0" w:space="0" w:color="auto"/>
        <w:right w:val="none" w:sz="0" w:space="0" w:color="auto"/>
      </w:divBdr>
    </w:div>
    <w:div w:id="1968319164">
      <w:bodyDiv w:val="1"/>
      <w:marLeft w:val="0"/>
      <w:marRight w:val="0"/>
      <w:marTop w:val="0"/>
      <w:marBottom w:val="0"/>
      <w:divBdr>
        <w:top w:val="none" w:sz="0" w:space="0" w:color="auto"/>
        <w:left w:val="none" w:sz="0" w:space="0" w:color="auto"/>
        <w:bottom w:val="none" w:sz="0" w:space="0" w:color="auto"/>
        <w:right w:val="none" w:sz="0" w:space="0" w:color="auto"/>
      </w:divBdr>
    </w:div>
    <w:div w:id="1968584860">
      <w:bodyDiv w:val="1"/>
      <w:marLeft w:val="0"/>
      <w:marRight w:val="0"/>
      <w:marTop w:val="0"/>
      <w:marBottom w:val="0"/>
      <w:divBdr>
        <w:top w:val="none" w:sz="0" w:space="0" w:color="auto"/>
        <w:left w:val="none" w:sz="0" w:space="0" w:color="auto"/>
        <w:bottom w:val="none" w:sz="0" w:space="0" w:color="auto"/>
        <w:right w:val="none" w:sz="0" w:space="0" w:color="auto"/>
      </w:divBdr>
    </w:div>
    <w:div w:id="1969817615">
      <w:bodyDiv w:val="1"/>
      <w:marLeft w:val="0"/>
      <w:marRight w:val="0"/>
      <w:marTop w:val="0"/>
      <w:marBottom w:val="0"/>
      <w:divBdr>
        <w:top w:val="none" w:sz="0" w:space="0" w:color="auto"/>
        <w:left w:val="none" w:sz="0" w:space="0" w:color="auto"/>
        <w:bottom w:val="none" w:sz="0" w:space="0" w:color="auto"/>
        <w:right w:val="none" w:sz="0" w:space="0" w:color="auto"/>
      </w:divBdr>
    </w:div>
    <w:div w:id="1973361522">
      <w:bodyDiv w:val="1"/>
      <w:marLeft w:val="0"/>
      <w:marRight w:val="0"/>
      <w:marTop w:val="0"/>
      <w:marBottom w:val="0"/>
      <w:divBdr>
        <w:top w:val="none" w:sz="0" w:space="0" w:color="auto"/>
        <w:left w:val="none" w:sz="0" w:space="0" w:color="auto"/>
        <w:bottom w:val="none" w:sz="0" w:space="0" w:color="auto"/>
        <w:right w:val="none" w:sz="0" w:space="0" w:color="auto"/>
      </w:divBdr>
    </w:div>
    <w:div w:id="1975018393">
      <w:bodyDiv w:val="1"/>
      <w:marLeft w:val="0"/>
      <w:marRight w:val="0"/>
      <w:marTop w:val="0"/>
      <w:marBottom w:val="0"/>
      <w:divBdr>
        <w:top w:val="none" w:sz="0" w:space="0" w:color="auto"/>
        <w:left w:val="none" w:sz="0" w:space="0" w:color="auto"/>
        <w:bottom w:val="none" w:sz="0" w:space="0" w:color="auto"/>
        <w:right w:val="none" w:sz="0" w:space="0" w:color="auto"/>
      </w:divBdr>
    </w:div>
    <w:div w:id="1976716912">
      <w:bodyDiv w:val="1"/>
      <w:marLeft w:val="0"/>
      <w:marRight w:val="0"/>
      <w:marTop w:val="0"/>
      <w:marBottom w:val="0"/>
      <w:divBdr>
        <w:top w:val="none" w:sz="0" w:space="0" w:color="auto"/>
        <w:left w:val="none" w:sz="0" w:space="0" w:color="auto"/>
        <w:bottom w:val="none" w:sz="0" w:space="0" w:color="auto"/>
        <w:right w:val="none" w:sz="0" w:space="0" w:color="auto"/>
      </w:divBdr>
    </w:div>
    <w:div w:id="1986811271">
      <w:bodyDiv w:val="1"/>
      <w:marLeft w:val="0"/>
      <w:marRight w:val="0"/>
      <w:marTop w:val="0"/>
      <w:marBottom w:val="0"/>
      <w:divBdr>
        <w:top w:val="none" w:sz="0" w:space="0" w:color="auto"/>
        <w:left w:val="none" w:sz="0" w:space="0" w:color="auto"/>
        <w:bottom w:val="none" w:sz="0" w:space="0" w:color="auto"/>
        <w:right w:val="none" w:sz="0" w:space="0" w:color="auto"/>
      </w:divBdr>
    </w:div>
    <w:div w:id="1988632051">
      <w:bodyDiv w:val="1"/>
      <w:marLeft w:val="0"/>
      <w:marRight w:val="0"/>
      <w:marTop w:val="0"/>
      <w:marBottom w:val="0"/>
      <w:divBdr>
        <w:top w:val="none" w:sz="0" w:space="0" w:color="auto"/>
        <w:left w:val="none" w:sz="0" w:space="0" w:color="auto"/>
        <w:bottom w:val="none" w:sz="0" w:space="0" w:color="auto"/>
        <w:right w:val="none" w:sz="0" w:space="0" w:color="auto"/>
      </w:divBdr>
    </w:div>
    <w:div w:id="1989242687">
      <w:bodyDiv w:val="1"/>
      <w:marLeft w:val="0"/>
      <w:marRight w:val="0"/>
      <w:marTop w:val="0"/>
      <w:marBottom w:val="0"/>
      <w:divBdr>
        <w:top w:val="none" w:sz="0" w:space="0" w:color="auto"/>
        <w:left w:val="none" w:sz="0" w:space="0" w:color="auto"/>
        <w:bottom w:val="none" w:sz="0" w:space="0" w:color="auto"/>
        <w:right w:val="none" w:sz="0" w:space="0" w:color="auto"/>
      </w:divBdr>
    </w:div>
    <w:div w:id="1991980109">
      <w:bodyDiv w:val="1"/>
      <w:marLeft w:val="0"/>
      <w:marRight w:val="0"/>
      <w:marTop w:val="0"/>
      <w:marBottom w:val="0"/>
      <w:divBdr>
        <w:top w:val="none" w:sz="0" w:space="0" w:color="auto"/>
        <w:left w:val="none" w:sz="0" w:space="0" w:color="auto"/>
        <w:bottom w:val="none" w:sz="0" w:space="0" w:color="auto"/>
        <w:right w:val="none" w:sz="0" w:space="0" w:color="auto"/>
      </w:divBdr>
    </w:div>
    <w:div w:id="1996302987">
      <w:bodyDiv w:val="1"/>
      <w:marLeft w:val="0"/>
      <w:marRight w:val="0"/>
      <w:marTop w:val="0"/>
      <w:marBottom w:val="0"/>
      <w:divBdr>
        <w:top w:val="none" w:sz="0" w:space="0" w:color="auto"/>
        <w:left w:val="none" w:sz="0" w:space="0" w:color="auto"/>
        <w:bottom w:val="none" w:sz="0" w:space="0" w:color="auto"/>
        <w:right w:val="none" w:sz="0" w:space="0" w:color="auto"/>
      </w:divBdr>
    </w:div>
    <w:div w:id="1999650965">
      <w:bodyDiv w:val="1"/>
      <w:marLeft w:val="0"/>
      <w:marRight w:val="0"/>
      <w:marTop w:val="0"/>
      <w:marBottom w:val="0"/>
      <w:divBdr>
        <w:top w:val="none" w:sz="0" w:space="0" w:color="auto"/>
        <w:left w:val="none" w:sz="0" w:space="0" w:color="auto"/>
        <w:bottom w:val="none" w:sz="0" w:space="0" w:color="auto"/>
        <w:right w:val="none" w:sz="0" w:space="0" w:color="auto"/>
      </w:divBdr>
    </w:div>
    <w:div w:id="2001542779">
      <w:bodyDiv w:val="1"/>
      <w:marLeft w:val="0"/>
      <w:marRight w:val="0"/>
      <w:marTop w:val="0"/>
      <w:marBottom w:val="0"/>
      <w:divBdr>
        <w:top w:val="none" w:sz="0" w:space="0" w:color="auto"/>
        <w:left w:val="none" w:sz="0" w:space="0" w:color="auto"/>
        <w:bottom w:val="none" w:sz="0" w:space="0" w:color="auto"/>
        <w:right w:val="none" w:sz="0" w:space="0" w:color="auto"/>
      </w:divBdr>
    </w:div>
    <w:div w:id="2002541950">
      <w:bodyDiv w:val="1"/>
      <w:marLeft w:val="0"/>
      <w:marRight w:val="0"/>
      <w:marTop w:val="0"/>
      <w:marBottom w:val="0"/>
      <w:divBdr>
        <w:top w:val="none" w:sz="0" w:space="0" w:color="auto"/>
        <w:left w:val="none" w:sz="0" w:space="0" w:color="auto"/>
        <w:bottom w:val="none" w:sz="0" w:space="0" w:color="auto"/>
        <w:right w:val="none" w:sz="0" w:space="0" w:color="auto"/>
      </w:divBdr>
    </w:div>
    <w:div w:id="2002812192">
      <w:bodyDiv w:val="1"/>
      <w:marLeft w:val="0"/>
      <w:marRight w:val="0"/>
      <w:marTop w:val="0"/>
      <w:marBottom w:val="0"/>
      <w:divBdr>
        <w:top w:val="none" w:sz="0" w:space="0" w:color="auto"/>
        <w:left w:val="none" w:sz="0" w:space="0" w:color="auto"/>
        <w:bottom w:val="none" w:sz="0" w:space="0" w:color="auto"/>
        <w:right w:val="none" w:sz="0" w:space="0" w:color="auto"/>
      </w:divBdr>
    </w:div>
    <w:div w:id="2003270435">
      <w:bodyDiv w:val="1"/>
      <w:marLeft w:val="0"/>
      <w:marRight w:val="0"/>
      <w:marTop w:val="0"/>
      <w:marBottom w:val="0"/>
      <w:divBdr>
        <w:top w:val="none" w:sz="0" w:space="0" w:color="auto"/>
        <w:left w:val="none" w:sz="0" w:space="0" w:color="auto"/>
        <w:bottom w:val="none" w:sz="0" w:space="0" w:color="auto"/>
        <w:right w:val="none" w:sz="0" w:space="0" w:color="auto"/>
      </w:divBdr>
    </w:div>
    <w:div w:id="2006735539">
      <w:bodyDiv w:val="1"/>
      <w:marLeft w:val="0"/>
      <w:marRight w:val="0"/>
      <w:marTop w:val="0"/>
      <w:marBottom w:val="0"/>
      <w:divBdr>
        <w:top w:val="none" w:sz="0" w:space="0" w:color="auto"/>
        <w:left w:val="none" w:sz="0" w:space="0" w:color="auto"/>
        <w:bottom w:val="none" w:sz="0" w:space="0" w:color="auto"/>
        <w:right w:val="none" w:sz="0" w:space="0" w:color="auto"/>
      </w:divBdr>
    </w:div>
    <w:div w:id="2007585010">
      <w:bodyDiv w:val="1"/>
      <w:marLeft w:val="0"/>
      <w:marRight w:val="0"/>
      <w:marTop w:val="0"/>
      <w:marBottom w:val="0"/>
      <w:divBdr>
        <w:top w:val="none" w:sz="0" w:space="0" w:color="auto"/>
        <w:left w:val="none" w:sz="0" w:space="0" w:color="auto"/>
        <w:bottom w:val="none" w:sz="0" w:space="0" w:color="auto"/>
        <w:right w:val="none" w:sz="0" w:space="0" w:color="auto"/>
      </w:divBdr>
    </w:div>
    <w:div w:id="2010448876">
      <w:bodyDiv w:val="1"/>
      <w:marLeft w:val="0"/>
      <w:marRight w:val="0"/>
      <w:marTop w:val="0"/>
      <w:marBottom w:val="0"/>
      <w:divBdr>
        <w:top w:val="none" w:sz="0" w:space="0" w:color="auto"/>
        <w:left w:val="none" w:sz="0" w:space="0" w:color="auto"/>
        <w:bottom w:val="none" w:sz="0" w:space="0" w:color="auto"/>
        <w:right w:val="none" w:sz="0" w:space="0" w:color="auto"/>
      </w:divBdr>
    </w:div>
    <w:div w:id="2013877581">
      <w:bodyDiv w:val="1"/>
      <w:marLeft w:val="0"/>
      <w:marRight w:val="0"/>
      <w:marTop w:val="0"/>
      <w:marBottom w:val="0"/>
      <w:divBdr>
        <w:top w:val="none" w:sz="0" w:space="0" w:color="auto"/>
        <w:left w:val="none" w:sz="0" w:space="0" w:color="auto"/>
        <w:bottom w:val="none" w:sz="0" w:space="0" w:color="auto"/>
        <w:right w:val="none" w:sz="0" w:space="0" w:color="auto"/>
      </w:divBdr>
    </w:div>
    <w:div w:id="2015376673">
      <w:bodyDiv w:val="1"/>
      <w:marLeft w:val="0"/>
      <w:marRight w:val="0"/>
      <w:marTop w:val="0"/>
      <w:marBottom w:val="0"/>
      <w:divBdr>
        <w:top w:val="none" w:sz="0" w:space="0" w:color="auto"/>
        <w:left w:val="none" w:sz="0" w:space="0" w:color="auto"/>
        <w:bottom w:val="none" w:sz="0" w:space="0" w:color="auto"/>
        <w:right w:val="none" w:sz="0" w:space="0" w:color="auto"/>
      </w:divBdr>
    </w:div>
    <w:div w:id="2017071669">
      <w:bodyDiv w:val="1"/>
      <w:marLeft w:val="0"/>
      <w:marRight w:val="0"/>
      <w:marTop w:val="0"/>
      <w:marBottom w:val="0"/>
      <w:divBdr>
        <w:top w:val="none" w:sz="0" w:space="0" w:color="auto"/>
        <w:left w:val="none" w:sz="0" w:space="0" w:color="auto"/>
        <w:bottom w:val="none" w:sz="0" w:space="0" w:color="auto"/>
        <w:right w:val="none" w:sz="0" w:space="0" w:color="auto"/>
      </w:divBdr>
    </w:div>
    <w:div w:id="2018997707">
      <w:bodyDiv w:val="1"/>
      <w:marLeft w:val="0"/>
      <w:marRight w:val="0"/>
      <w:marTop w:val="0"/>
      <w:marBottom w:val="0"/>
      <w:divBdr>
        <w:top w:val="none" w:sz="0" w:space="0" w:color="auto"/>
        <w:left w:val="none" w:sz="0" w:space="0" w:color="auto"/>
        <w:bottom w:val="none" w:sz="0" w:space="0" w:color="auto"/>
        <w:right w:val="none" w:sz="0" w:space="0" w:color="auto"/>
      </w:divBdr>
    </w:div>
    <w:div w:id="2019229799">
      <w:bodyDiv w:val="1"/>
      <w:marLeft w:val="0"/>
      <w:marRight w:val="0"/>
      <w:marTop w:val="0"/>
      <w:marBottom w:val="0"/>
      <w:divBdr>
        <w:top w:val="none" w:sz="0" w:space="0" w:color="auto"/>
        <w:left w:val="none" w:sz="0" w:space="0" w:color="auto"/>
        <w:bottom w:val="none" w:sz="0" w:space="0" w:color="auto"/>
        <w:right w:val="none" w:sz="0" w:space="0" w:color="auto"/>
      </w:divBdr>
    </w:div>
    <w:div w:id="2020623330">
      <w:bodyDiv w:val="1"/>
      <w:marLeft w:val="0"/>
      <w:marRight w:val="0"/>
      <w:marTop w:val="0"/>
      <w:marBottom w:val="0"/>
      <w:divBdr>
        <w:top w:val="none" w:sz="0" w:space="0" w:color="auto"/>
        <w:left w:val="none" w:sz="0" w:space="0" w:color="auto"/>
        <w:bottom w:val="none" w:sz="0" w:space="0" w:color="auto"/>
        <w:right w:val="none" w:sz="0" w:space="0" w:color="auto"/>
      </w:divBdr>
    </w:div>
    <w:div w:id="2020740459">
      <w:bodyDiv w:val="1"/>
      <w:marLeft w:val="0"/>
      <w:marRight w:val="0"/>
      <w:marTop w:val="0"/>
      <w:marBottom w:val="0"/>
      <w:divBdr>
        <w:top w:val="none" w:sz="0" w:space="0" w:color="auto"/>
        <w:left w:val="none" w:sz="0" w:space="0" w:color="auto"/>
        <w:bottom w:val="none" w:sz="0" w:space="0" w:color="auto"/>
        <w:right w:val="none" w:sz="0" w:space="0" w:color="auto"/>
      </w:divBdr>
    </w:div>
    <w:div w:id="2023891467">
      <w:bodyDiv w:val="1"/>
      <w:marLeft w:val="0"/>
      <w:marRight w:val="0"/>
      <w:marTop w:val="0"/>
      <w:marBottom w:val="0"/>
      <w:divBdr>
        <w:top w:val="none" w:sz="0" w:space="0" w:color="auto"/>
        <w:left w:val="none" w:sz="0" w:space="0" w:color="auto"/>
        <w:bottom w:val="none" w:sz="0" w:space="0" w:color="auto"/>
        <w:right w:val="none" w:sz="0" w:space="0" w:color="auto"/>
      </w:divBdr>
    </w:div>
    <w:div w:id="2025588708">
      <w:bodyDiv w:val="1"/>
      <w:marLeft w:val="0"/>
      <w:marRight w:val="0"/>
      <w:marTop w:val="0"/>
      <w:marBottom w:val="0"/>
      <w:divBdr>
        <w:top w:val="none" w:sz="0" w:space="0" w:color="auto"/>
        <w:left w:val="none" w:sz="0" w:space="0" w:color="auto"/>
        <w:bottom w:val="none" w:sz="0" w:space="0" w:color="auto"/>
        <w:right w:val="none" w:sz="0" w:space="0" w:color="auto"/>
      </w:divBdr>
    </w:div>
    <w:div w:id="2026864366">
      <w:bodyDiv w:val="1"/>
      <w:marLeft w:val="0"/>
      <w:marRight w:val="0"/>
      <w:marTop w:val="0"/>
      <w:marBottom w:val="0"/>
      <w:divBdr>
        <w:top w:val="none" w:sz="0" w:space="0" w:color="auto"/>
        <w:left w:val="none" w:sz="0" w:space="0" w:color="auto"/>
        <w:bottom w:val="none" w:sz="0" w:space="0" w:color="auto"/>
        <w:right w:val="none" w:sz="0" w:space="0" w:color="auto"/>
      </w:divBdr>
    </w:div>
    <w:div w:id="2029211226">
      <w:bodyDiv w:val="1"/>
      <w:marLeft w:val="0"/>
      <w:marRight w:val="0"/>
      <w:marTop w:val="0"/>
      <w:marBottom w:val="0"/>
      <w:divBdr>
        <w:top w:val="none" w:sz="0" w:space="0" w:color="auto"/>
        <w:left w:val="none" w:sz="0" w:space="0" w:color="auto"/>
        <w:bottom w:val="none" w:sz="0" w:space="0" w:color="auto"/>
        <w:right w:val="none" w:sz="0" w:space="0" w:color="auto"/>
      </w:divBdr>
      <w:divsChild>
        <w:div w:id="1601907885">
          <w:marLeft w:val="0"/>
          <w:marRight w:val="0"/>
          <w:marTop w:val="0"/>
          <w:marBottom w:val="0"/>
          <w:divBdr>
            <w:top w:val="none" w:sz="0" w:space="0" w:color="auto"/>
            <w:left w:val="none" w:sz="0" w:space="0" w:color="auto"/>
            <w:bottom w:val="none" w:sz="0" w:space="0" w:color="auto"/>
            <w:right w:val="none" w:sz="0" w:space="0" w:color="auto"/>
          </w:divBdr>
        </w:div>
        <w:div w:id="2014406592">
          <w:marLeft w:val="0"/>
          <w:marRight w:val="0"/>
          <w:marTop w:val="0"/>
          <w:marBottom w:val="0"/>
          <w:divBdr>
            <w:top w:val="none" w:sz="0" w:space="0" w:color="auto"/>
            <w:left w:val="none" w:sz="0" w:space="0" w:color="auto"/>
            <w:bottom w:val="none" w:sz="0" w:space="0" w:color="auto"/>
            <w:right w:val="none" w:sz="0" w:space="0" w:color="auto"/>
          </w:divBdr>
        </w:div>
        <w:div w:id="1483765344">
          <w:marLeft w:val="0"/>
          <w:marRight w:val="0"/>
          <w:marTop w:val="0"/>
          <w:marBottom w:val="0"/>
          <w:divBdr>
            <w:top w:val="none" w:sz="0" w:space="0" w:color="auto"/>
            <w:left w:val="none" w:sz="0" w:space="0" w:color="auto"/>
            <w:bottom w:val="none" w:sz="0" w:space="0" w:color="auto"/>
            <w:right w:val="none" w:sz="0" w:space="0" w:color="auto"/>
          </w:divBdr>
        </w:div>
        <w:div w:id="2069644253">
          <w:marLeft w:val="0"/>
          <w:marRight w:val="0"/>
          <w:marTop w:val="0"/>
          <w:marBottom w:val="0"/>
          <w:divBdr>
            <w:top w:val="none" w:sz="0" w:space="0" w:color="auto"/>
            <w:left w:val="none" w:sz="0" w:space="0" w:color="auto"/>
            <w:bottom w:val="none" w:sz="0" w:space="0" w:color="auto"/>
            <w:right w:val="none" w:sz="0" w:space="0" w:color="auto"/>
          </w:divBdr>
        </w:div>
        <w:div w:id="339477868">
          <w:marLeft w:val="0"/>
          <w:marRight w:val="0"/>
          <w:marTop w:val="0"/>
          <w:marBottom w:val="0"/>
          <w:divBdr>
            <w:top w:val="none" w:sz="0" w:space="0" w:color="auto"/>
            <w:left w:val="none" w:sz="0" w:space="0" w:color="auto"/>
            <w:bottom w:val="none" w:sz="0" w:space="0" w:color="auto"/>
            <w:right w:val="none" w:sz="0" w:space="0" w:color="auto"/>
          </w:divBdr>
        </w:div>
        <w:div w:id="453913792">
          <w:marLeft w:val="0"/>
          <w:marRight w:val="0"/>
          <w:marTop w:val="0"/>
          <w:marBottom w:val="0"/>
          <w:divBdr>
            <w:top w:val="none" w:sz="0" w:space="0" w:color="auto"/>
            <w:left w:val="none" w:sz="0" w:space="0" w:color="auto"/>
            <w:bottom w:val="none" w:sz="0" w:space="0" w:color="auto"/>
            <w:right w:val="none" w:sz="0" w:space="0" w:color="auto"/>
          </w:divBdr>
        </w:div>
        <w:div w:id="1604729606">
          <w:marLeft w:val="0"/>
          <w:marRight w:val="0"/>
          <w:marTop w:val="0"/>
          <w:marBottom w:val="0"/>
          <w:divBdr>
            <w:top w:val="none" w:sz="0" w:space="0" w:color="auto"/>
            <w:left w:val="none" w:sz="0" w:space="0" w:color="auto"/>
            <w:bottom w:val="none" w:sz="0" w:space="0" w:color="auto"/>
            <w:right w:val="none" w:sz="0" w:space="0" w:color="auto"/>
          </w:divBdr>
        </w:div>
        <w:div w:id="1807429684">
          <w:marLeft w:val="0"/>
          <w:marRight w:val="0"/>
          <w:marTop w:val="0"/>
          <w:marBottom w:val="0"/>
          <w:divBdr>
            <w:top w:val="none" w:sz="0" w:space="0" w:color="auto"/>
            <w:left w:val="none" w:sz="0" w:space="0" w:color="auto"/>
            <w:bottom w:val="none" w:sz="0" w:space="0" w:color="auto"/>
            <w:right w:val="none" w:sz="0" w:space="0" w:color="auto"/>
          </w:divBdr>
        </w:div>
        <w:div w:id="1306737562">
          <w:marLeft w:val="0"/>
          <w:marRight w:val="0"/>
          <w:marTop w:val="0"/>
          <w:marBottom w:val="0"/>
          <w:divBdr>
            <w:top w:val="none" w:sz="0" w:space="0" w:color="auto"/>
            <w:left w:val="none" w:sz="0" w:space="0" w:color="auto"/>
            <w:bottom w:val="none" w:sz="0" w:space="0" w:color="auto"/>
            <w:right w:val="none" w:sz="0" w:space="0" w:color="auto"/>
          </w:divBdr>
        </w:div>
        <w:div w:id="205068953">
          <w:marLeft w:val="0"/>
          <w:marRight w:val="0"/>
          <w:marTop w:val="0"/>
          <w:marBottom w:val="0"/>
          <w:divBdr>
            <w:top w:val="none" w:sz="0" w:space="0" w:color="auto"/>
            <w:left w:val="none" w:sz="0" w:space="0" w:color="auto"/>
            <w:bottom w:val="none" w:sz="0" w:space="0" w:color="auto"/>
            <w:right w:val="none" w:sz="0" w:space="0" w:color="auto"/>
          </w:divBdr>
        </w:div>
        <w:div w:id="2072775574">
          <w:marLeft w:val="0"/>
          <w:marRight w:val="0"/>
          <w:marTop w:val="0"/>
          <w:marBottom w:val="0"/>
          <w:divBdr>
            <w:top w:val="none" w:sz="0" w:space="0" w:color="auto"/>
            <w:left w:val="none" w:sz="0" w:space="0" w:color="auto"/>
            <w:bottom w:val="none" w:sz="0" w:space="0" w:color="auto"/>
            <w:right w:val="none" w:sz="0" w:space="0" w:color="auto"/>
          </w:divBdr>
        </w:div>
        <w:div w:id="55205693">
          <w:marLeft w:val="0"/>
          <w:marRight w:val="0"/>
          <w:marTop w:val="0"/>
          <w:marBottom w:val="0"/>
          <w:divBdr>
            <w:top w:val="none" w:sz="0" w:space="0" w:color="auto"/>
            <w:left w:val="none" w:sz="0" w:space="0" w:color="auto"/>
            <w:bottom w:val="none" w:sz="0" w:space="0" w:color="auto"/>
            <w:right w:val="none" w:sz="0" w:space="0" w:color="auto"/>
          </w:divBdr>
        </w:div>
        <w:div w:id="1001852270">
          <w:marLeft w:val="0"/>
          <w:marRight w:val="0"/>
          <w:marTop w:val="0"/>
          <w:marBottom w:val="0"/>
          <w:divBdr>
            <w:top w:val="none" w:sz="0" w:space="0" w:color="auto"/>
            <w:left w:val="none" w:sz="0" w:space="0" w:color="auto"/>
            <w:bottom w:val="none" w:sz="0" w:space="0" w:color="auto"/>
            <w:right w:val="none" w:sz="0" w:space="0" w:color="auto"/>
          </w:divBdr>
        </w:div>
        <w:div w:id="861474838">
          <w:marLeft w:val="0"/>
          <w:marRight w:val="0"/>
          <w:marTop w:val="0"/>
          <w:marBottom w:val="0"/>
          <w:divBdr>
            <w:top w:val="none" w:sz="0" w:space="0" w:color="auto"/>
            <w:left w:val="none" w:sz="0" w:space="0" w:color="auto"/>
            <w:bottom w:val="none" w:sz="0" w:space="0" w:color="auto"/>
            <w:right w:val="none" w:sz="0" w:space="0" w:color="auto"/>
          </w:divBdr>
        </w:div>
        <w:div w:id="939600852">
          <w:marLeft w:val="0"/>
          <w:marRight w:val="0"/>
          <w:marTop w:val="0"/>
          <w:marBottom w:val="0"/>
          <w:divBdr>
            <w:top w:val="none" w:sz="0" w:space="0" w:color="auto"/>
            <w:left w:val="none" w:sz="0" w:space="0" w:color="auto"/>
            <w:bottom w:val="none" w:sz="0" w:space="0" w:color="auto"/>
            <w:right w:val="none" w:sz="0" w:space="0" w:color="auto"/>
          </w:divBdr>
        </w:div>
        <w:div w:id="25907883">
          <w:marLeft w:val="0"/>
          <w:marRight w:val="0"/>
          <w:marTop w:val="0"/>
          <w:marBottom w:val="0"/>
          <w:divBdr>
            <w:top w:val="none" w:sz="0" w:space="0" w:color="auto"/>
            <w:left w:val="none" w:sz="0" w:space="0" w:color="auto"/>
            <w:bottom w:val="none" w:sz="0" w:space="0" w:color="auto"/>
            <w:right w:val="none" w:sz="0" w:space="0" w:color="auto"/>
          </w:divBdr>
        </w:div>
      </w:divsChild>
    </w:div>
    <w:div w:id="2030643369">
      <w:bodyDiv w:val="1"/>
      <w:marLeft w:val="0"/>
      <w:marRight w:val="0"/>
      <w:marTop w:val="0"/>
      <w:marBottom w:val="0"/>
      <w:divBdr>
        <w:top w:val="none" w:sz="0" w:space="0" w:color="auto"/>
        <w:left w:val="none" w:sz="0" w:space="0" w:color="auto"/>
        <w:bottom w:val="none" w:sz="0" w:space="0" w:color="auto"/>
        <w:right w:val="none" w:sz="0" w:space="0" w:color="auto"/>
      </w:divBdr>
    </w:div>
    <w:div w:id="2031176288">
      <w:bodyDiv w:val="1"/>
      <w:marLeft w:val="0"/>
      <w:marRight w:val="0"/>
      <w:marTop w:val="0"/>
      <w:marBottom w:val="0"/>
      <w:divBdr>
        <w:top w:val="none" w:sz="0" w:space="0" w:color="auto"/>
        <w:left w:val="none" w:sz="0" w:space="0" w:color="auto"/>
        <w:bottom w:val="none" w:sz="0" w:space="0" w:color="auto"/>
        <w:right w:val="none" w:sz="0" w:space="0" w:color="auto"/>
      </w:divBdr>
    </w:div>
    <w:div w:id="2041084373">
      <w:bodyDiv w:val="1"/>
      <w:marLeft w:val="0"/>
      <w:marRight w:val="0"/>
      <w:marTop w:val="0"/>
      <w:marBottom w:val="0"/>
      <w:divBdr>
        <w:top w:val="none" w:sz="0" w:space="0" w:color="auto"/>
        <w:left w:val="none" w:sz="0" w:space="0" w:color="auto"/>
        <w:bottom w:val="none" w:sz="0" w:space="0" w:color="auto"/>
        <w:right w:val="none" w:sz="0" w:space="0" w:color="auto"/>
      </w:divBdr>
    </w:div>
    <w:div w:id="2041473974">
      <w:bodyDiv w:val="1"/>
      <w:marLeft w:val="0"/>
      <w:marRight w:val="0"/>
      <w:marTop w:val="0"/>
      <w:marBottom w:val="0"/>
      <w:divBdr>
        <w:top w:val="none" w:sz="0" w:space="0" w:color="auto"/>
        <w:left w:val="none" w:sz="0" w:space="0" w:color="auto"/>
        <w:bottom w:val="none" w:sz="0" w:space="0" w:color="auto"/>
        <w:right w:val="none" w:sz="0" w:space="0" w:color="auto"/>
      </w:divBdr>
    </w:div>
    <w:div w:id="2044594193">
      <w:bodyDiv w:val="1"/>
      <w:marLeft w:val="0"/>
      <w:marRight w:val="0"/>
      <w:marTop w:val="0"/>
      <w:marBottom w:val="0"/>
      <w:divBdr>
        <w:top w:val="none" w:sz="0" w:space="0" w:color="auto"/>
        <w:left w:val="none" w:sz="0" w:space="0" w:color="auto"/>
        <w:bottom w:val="none" w:sz="0" w:space="0" w:color="auto"/>
        <w:right w:val="none" w:sz="0" w:space="0" w:color="auto"/>
      </w:divBdr>
    </w:div>
    <w:div w:id="2048095130">
      <w:bodyDiv w:val="1"/>
      <w:marLeft w:val="0"/>
      <w:marRight w:val="0"/>
      <w:marTop w:val="0"/>
      <w:marBottom w:val="0"/>
      <w:divBdr>
        <w:top w:val="none" w:sz="0" w:space="0" w:color="auto"/>
        <w:left w:val="none" w:sz="0" w:space="0" w:color="auto"/>
        <w:bottom w:val="none" w:sz="0" w:space="0" w:color="auto"/>
        <w:right w:val="none" w:sz="0" w:space="0" w:color="auto"/>
      </w:divBdr>
    </w:div>
    <w:div w:id="2048674319">
      <w:bodyDiv w:val="1"/>
      <w:marLeft w:val="0"/>
      <w:marRight w:val="0"/>
      <w:marTop w:val="0"/>
      <w:marBottom w:val="0"/>
      <w:divBdr>
        <w:top w:val="none" w:sz="0" w:space="0" w:color="auto"/>
        <w:left w:val="none" w:sz="0" w:space="0" w:color="auto"/>
        <w:bottom w:val="none" w:sz="0" w:space="0" w:color="auto"/>
        <w:right w:val="none" w:sz="0" w:space="0" w:color="auto"/>
      </w:divBdr>
    </w:div>
    <w:div w:id="2052413410">
      <w:bodyDiv w:val="1"/>
      <w:marLeft w:val="0"/>
      <w:marRight w:val="0"/>
      <w:marTop w:val="0"/>
      <w:marBottom w:val="0"/>
      <w:divBdr>
        <w:top w:val="none" w:sz="0" w:space="0" w:color="auto"/>
        <w:left w:val="none" w:sz="0" w:space="0" w:color="auto"/>
        <w:bottom w:val="none" w:sz="0" w:space="0" w:color="auto"/>
        <w:right w:val="none" w:sz="0" w:space="0" w:color="auto"/>
      </w:divBdr>
    </w:div>
    <w:div w:id="2053577694">
      <w:bodyDiv w:val="1"/>
      <w:marLeft w:val="0"/>
      <w:marRight w:val="0"/>
      <w:marTop w:val="0"/>
      <w:marBottom w:val="0"/>
      <w:divBdr>
        <w:top w:val="none" w:sz="0" w:space="0" w:color="auto"/>
        <w:left w:val="none" w:sz="0" w:space="0" w:color="auto"/>
        <w:bottom w:val="none" w:sz="0" w:space="0" w:color="auto"/>
        <w:right w:val="none" w:sz="0" w:space="0" w:color="auto"/>
      </w:divBdr>
    </w:div>
    <w:div w:id="2053649240">
      <w:bodyDiv w:val="1"/>
      <w:marLeft w:val="0"/>
      <w:marRight w:val="0"/>
      <w:marTop w:val="0"/>
      <w:marBottom w:val="0"/>
      <w:divBdr>
        <w:top w:val="none" w:sz="0" w:space="0" w:color="auto"/>
        <w:left w:val="none" w:sz="0" w:space="0" w:color="auto"/>
        <w:bottom w:val="none" w:sz="0" w:space="0" w:color="auto"/>
        <w:right w:val="none" w:sz="0" w:space="0" w:color="auto"/>
      </w:divBdr>
    </w:div>
    <w:div w:id="2054500504">
      <w:bodyDiv w:val="1"/>
      <w:marLeft w:val="0"/>
      <w:marRight w:val="0"/>
      <w:marTop w:val="0"/>
      <w:marBottom w:val="0"/>
      <w:divBdr>
        <w:top w:val="none" w:sz="0" w:space="0" w:color="auto"/>
        <w:left w:val="none" w:sz="0" w:space="0" w:color="auto"/>
        <w:bottom w:val="none" w:sz="0" w:space="0" w:color="auto"/>
        <w:right w:val="none" w:sz="0" w:space="0" w:color="auto"/>
      </w:divBdr>
    </w:div>
    <w:div w:id="2054692060">
      <w:bodyDiv w:val="1"/>
      <w:marLeft w:val="0"/>
      <w:marRight w:val="0"/>
      <w:marTop w:val="0"/>
      <w:marBottom w:val="0"/>
      <w:divBdr>
        <w:top w:val="none" w:sz="0" w:space="0" w:color="auto"/>
        <w:left w:val="none" w:sz="0" w:space="0" w:color="auto"/>
        <w:bottom w:val="none" w:sz="0" w:space="0" w:color="auto"/>
        <w:right w:val="none" w:sz="0" w:space="0" w:color="auto"/>
      </w:divBdr>
    </w:div>
    <w:div w:id="2055158645">
      <w:bodyDiv w:val="1"/>
      <w:marLeft w:val="0"/>
      <w:marRight w:val="0"/>
      <w:marTop w:val="0"/>
      <w:marBottom w:val="0"/>
      <w:divBdr>
        <w:top w:val="none" w:sz="0" w:space="0" w:color="auto"/>
        <w:left w:val="none" w:sz="0" w:space="0" w:color="auto"/>
        <w:bottom w:val="none" w:sz="0" w:space="0" w:color="auto"/>
        <w:right w:val="none" w:sz="0" w:space="0" w:color="auto"/>
      </w:divBdr>
    </w:div>
    <w:div w:id="2055881955">
      <w:bodyDiv w:val="1"/>
      <w:marLeft w:val="0"/>
      <w:marRight w:val="0"/>
      <w:marTop w:val="0"/>
      <w:marBottom w:val="0"/>
      <w:divBdr>
        <w:top w:val="none" w:sz="0" w:space="0" w:color="auto"/>
        <w:left w:val="none" w:sz="0" w:space="0" w:color="auto"/>
        <w:bottom w:val="none" w:sz="0" w:space="0" w:color="auto"/>
        <w:right w:val="none" w:sz="0" w:space="0" w:color="auto"/>
      </w:divBdr>
    </w:div>
    <w:div w:id="2055886105">
      <w:bodyDiv w:val="1"/>
      <w:marLeft w:val="0"/>
      <w:marRight w:val="0"/>
      <w:marTop w:val="0"/>
      <w:marBottom w:val="0"/>
      <w:divBdr>
        <w:top w:val="none" w:sz="0" w:space="0" w:color="auto"/>
        <w:left w:val="none" w:sz="0" w:space="0" w:color="auto"/>
        <w:bottom w:val="none" w:sz="0" w:space="0" w:color="auto"/>
        <w:right w:val="none" w:sz="0" w:space="0" w:color="auto"/>
      </w:divBdr>
    </w:div>
    <w:div w:id="2059040231">
      <w:bodyDiv w:val="1"/>
      <w:marLeft w:val="0"/>
      <w:marRight w:val="0"/>
      <w:marTop w:val="0"/>
      <w:marBottom w:val="0"/>
      <w:divBdr>
        <w:top w:val="none" w:sz="0" w:space="0" w:color="auto"/>
        <w:left w:val="none" w:sz="0" w:space="0" w:color="auto"/>
        <w:bottom w:val="none" w:sz="0" w:space="0" w:color="auto"/>
        <w:right w:val="none" w:sz="0" w:space="0" w:color="auto"/>
      </w:divBdr>
    </w:div>
    <w:div w:id="2062095069">
      <w:bodyDiv w:val="1"/>
      <w:marLeft w:val="0"/>
      <w:marRight w:val="0"/>
      <w:marTop w:val="0"/>
      <w:marBottom w:val="0"/>
      <w:divBdr>
        <w:top w:val="none" w:sz="0" w:space="0" w:color="auto"/>
        <w:left w:val="none" w:sz="0" w:space="0" w:color="auto"/>
        <w:bottom w:val="none" w:sz="0" w:space="0" w:color="auto"/>
        <w:right w:val="none" w:sz="0" w:space="0" w:color="auto"/>
      </w:divBdr>
    </w:div>
    <w:div w:id="2064865125">
      <w:bodyDiv w:val="1"/>
      <w:marLeft w:val="0"/>
      <w:marRight w:val="0"/>
      <w:marTop w:val="0"/>
      <w:marBottom w:val="0"/>
      <w:divBdr>
        <w:top w:val="none" w:sz="0" w:space="0" w:color="auto"/>
        <w:left w:val="none" w:sz="0" w:space="0" w:color="auto"/>
        <w:bottom w:val="none" w:sz="0" w:space="0" w:color="auto"/>
        <w:right w:val="none" w:sz="0" w:space="0" w:color="auto"/>
      </w:divBdr>
    </w:div>
    <w:div w:id="2070419521">
      <w:bodyDiv w:val="1"/>
      <w:marLeft w:val="0"/>
      <w:marRight w:val="0"/>
      <w:marTop w:val="0"/>
      <w:marBottom w:val="0"/>
      <w:divBdr>
        <w:top w:val="none" w:sz="0" w:space="0" w:color="auto"/>
        <w:left w:val="none" w:sz="0" w:space="0" w:color="auto"/>
        <w:bottom w:val="none" w:sz="0" w:space="0" w:color="auto"/>
        <w:right w:val="none" w:sz="0" w:space="0" w:color="auto"/>
      </w:divBdr>
    </w:div>
    <w:div w:id="2073888753">
      <w:bodyDiv w:val="1"/>
      <w:marLeft w:val="0"/>
      <w:marRight w:val="0"/>
      <w:marTop w:val="0"/>
      <w:marBottom w:val="0"/>
      <w:divBdr>
        <w:top w:val="none" w:sz="0" w:space="0" w:color="auto"/>
        <w:left w:val="none" w:sz="0" w:space="0" w:color="auto"/>
        <w:bottom w:val="none" w:sz="0" w:space="0" w:color="auto"/>
        <w:right w:val="none" w:sz="0" w:space="0" w:color="auto"/>
      </w:divBdr>
    </w:div>
    <w:div w:id="2073892145">
      <w:bodyDiv w:val="1"/>
      <w:marLeft w:val="0"/>
      <w:marRight w:val="0"/>
      <w:marTop w:val="0"/>
      <w:marBottom w:val="0"/>
      <w:divBdr>
        <w:top w:val="none" w:sz="0" w:space="0" w:color="auto"/>
        <w:left w:val="none" w:sz="0" w:space="0" w:color="auto"/>
        <w:bottom w:val="none" w:sz="0" w:space="0" w:color="auto"/>
        <w:right w:val="none" w:sz="0" w:space="0" w:color="auto"/>
      </w:divBdr>
    </w:div>
    <w:div w:id="2073964942">
      <w:bodyDiv w:val="1"/>
      <w:marLeft w:val="0"/>
      <w:marRight w:val="0"/>
      <w:marTop w:val="0"/>
      <w:marBottom w:val="0"/>
      <w:divBdr>
        <w:top w:val="none" w:sz="0" w:space="0" w:color="auto"/>
        <w:left w:val="none" w:sz="0" w:space="0" w:color="auto"/>
        <w:bottom w:val="none" w:sz="0" w:space="0" w:color="auto"/>
        <w:right w:val="none" w:sz="0" w:space="0" w:color="auto"/>
      </w:divBdr>
    </w:div>
    <w:div w:id="2074958878">
      <w:bodyDiv w:val="1"/>
      <w:marLeft w:val="0"/>
      <w:marRight w:val="0"/>
      <w:marTop w:val="0"/>
      <w:marBottom w:val="0"/>
      <w:divBdr>
        <w:top w:val="none" w:sz="0" w:space="0" w:color="auto"/>
        <w:left w:val="none" w:sz="0" w:space="0" w:color="auto"/>
        <w:bottom w:val="none" w:sz="0" w:space="0" w:color="auto"/>
        <w:right w:val="none" w:sz="0" w:space="0" w:color="auto"/>
      </w:divBdr>
    </w:div>
    <w:div w:id="2075272044">
      <w:bodyDiv w:val="1"/>
      <w:marLeft w:val="0"/>
      <w:marRight w:val="0"/>
      <w:marTop w:val="0"/>
      <w:marBottom w:val="0"/>
      <w:divBdr>
        <w:top w:val="none" w:sz="0" w:space="0" w:color="auto"/>
        <w:left w:val="none" w:sz="0" w:space="0" w:color="auto"/>
        <w:bottom w:val="none" w:sz="0" w:space="0" w:color="auto"/>
        <w:right w:val="none" w:sz="0" w:space="0" w:color="auto"/>
      </w:divBdr>
    </w:div>
    <w:div w:id="2076974430">
      <w:bodyDiv w:val="1"/>
      <w:marLeft w:val="0"/>
      <w:marRight w:val="0"/>
      <w:marTop w:val="0"/>
      <w:marBottom w:val="0"/>
      <w:divBdr>
        <w:top w:val="none" w:sz="0" w:space="0" w:color="auto"/>
        <w:left w:val="none" w:sz="0" w:space="0" w:color="auto"/>
        <w:bottom w:val="none" w:sz="0" w:space="0" w:color="auto"/>
        <w:right w:val="none" w:sz="0" w:space="0" w:color="auto"/>
      </w:divBdr>
    </w:div>
    <w:div w:id="2078823491">
      <w:bodyDiv w:val="1"/>
      <w:marLeft w:val="0"/>
      <w:marRight w:val="0"/>
      <w:marTop w:val="0"/>
      <w:marBottom w:val="0"/>
      <w:divBdr>
        <w:top w:val="none" w:sz="0" w:space="0" w:color="auto"/>
        <w:left w:val="none" w:sz="0" w:space="0" w:color="auto"/>
        <w:bottom w:val="none" w:sz="0" w:space="0" w:color="auto"/>
        <w:right w:val="none" w:sz="0" w:space="0" w:color="auto"/>
      </w:divBdr>
    </w:div>
    <w:div w:id="2083332624">
      <w:bodyDiv w:val="1"/>
      <w:marLeft w:val="0"/>
      <w:marRight w:val="0"/>
      <w:marTop w:val="0"/>
      <w:marBottom w:val="0"/>
      <w:divBdr>
        <w:top w:val="none" w:sz="0" w:space="0" w:color="auto"/>
        <w:left w:val="none" w:sz="0" w:space="0" w:color="auto"/>
        <w:bottom w:val="none" w:sz="0" w:space="0" w:color="auto"/>
        <w:right w:val="none" w:sz="0" w:space="0" w:color="auto"/>
      </w:divBdr>
    </w:div>
    <w:div w:id="2084060781">
      <w:bodyDiv w:val="1"/>
      <w:marLeft w:val="0"/>
      <w:marRight w:val="0"/>
      <w:marTop w:val="0"/>
      <w:marBottom w:val="0"/>
      <w:divBdr>
        <w:top w:val="none" w:sz="0" w:space="0" w:color="auto"/>
        <w:left w:val="none" w:sz="0" w:space="0" w:color="auto"/>
        <w:bottom w:val="none" w:sz="0" w:space="0" w:color="auto"/>
        <w:right w:val="none" w:sz="0" w:space="0" w:color="auto"/>
      </w:divBdr>
    </w:div>
    <w:div w:id="2085057151">
      <w:bodyDiv w:val="1"/>
      <w:marLeft w:val="0"/>
      <w:marRight w:val="0"/>
      <w:marTop w:val="0"/>
      <w:marBottom w:val="0"/>
      <w:divBdr>
        <w:top w:val="none" w:sz="0" w:space="0" w:color="auto"/>
        <w:left w:val="none" w:sz="0" w:space="0" w:color="auto"/>
        <w:bottom w:val="none" w:sz="0" w:space="0" w:color="auto"/>
        <w:right w:val="none" w:sz="0" w:space="0" w:color="auto"/>
      </w:divBdr>
    </w:div>
    <w:div w:id="2086998017">
      <w:bodyDiv w:val="1"/>
      <w:marLeft w:val="0"/>
      <w:marRight w:val="0"/>
      <w:marTop w:val="0"/>
      <w:marBottom w:val="0"/>
      <w:divBdr>
        <w:top w:val="none" w:sz="0" w:space="0" w:color="auto"/>
        <w:left w:val="none" w:sz="0" w:space="0" w:color="auto"/>
        <w:bottom w:val="none" w:sz="0" w:space="0" w:color="auto"/>
        <w:right w:val="none" w:sz="0" w:space="0" w:color="auto"/>
      </w:divBdr>
    </w:div>
    <w:div w:id="2089158472">
      <w:bodyDiv w:val="1"/>
      <w:marLeft w:val="0"/>
      <w:marRight w:val="0"/>
      <w:marTop w:val="0"/>
      <w:marBottom w:val="0"/>
      <w:divBdr>
        <w:top w:val="none" w:sz="0" w:space="0" w:color="auto"/>
        <w:left w:val="none" w:sz="0" w:space="0" w:color="auto"/>
        <w:bottom w:val="none" w:sz="0" w:space="0" w:color="auto"/>
        <w:right w:val="none" w:sz="0" w:space="0" w:color="auto"/>
      </w:divBdr>
    </w:div>
    <w:div w:id="2089616138">
      <w:bodyDiv w:val="1"/>
      <w:marLeft w:val="0"/>
      <w:marRight w:val="0"/>
      <w:marTop w:val="0"/>
      <w:marBottom w:val="0"/>
      <w:divBdr>
        <w:top w:val="none" w:sz="0" w:space="0" w:color="auto"/>
        <w:left w:val="none" w:sz="0" w:space="0" w:color="auto"/>
        <w:bottom w:val="none" w:sz="0" w:space="0" w:color="auto"/>
        <w:right w:val="none" w:sz="0" w:space="0" w:color="auto"/>
      </w:divBdr>
    </w:div>
    <w:div w:id="2090878929">
      <w:bodyDiv w:val="1"/>
      <w:marLeft w:val="0"/>
      <w:marRight w:val="0"/>
      <w:marTop w:val="0"/>
      <w:marBottom w:val="0"/>
      <w:divBdr>
        <w:top w:val="none" w:sz="0" w:space="0" w:color="auto"/>
        <w:left w:val="none" w:sz="0" w:space="0" w:color="auto"/>
        <w:bottom w:val="none" w:sz="0" w:space="0" w:color="auto"/>
        <w:right w:val="none" w:sz="0" w:space="0" w:color="auto"/>
      </w:divBdr>
    </w:div>
    <w:div w:id="2091534831">
      <w:bodyDiv w:val="1"/>
      <w:marLeft w:val="0"/>
      <w:marRight w:val="0"/>
      <w:marTop w:val="0"/>
      <w:marBottom w:val="0"/>
      <w:divBdr>
        <w:top w:val="none" w:sz="0" w:space="0" w:color="auto"/>
        <w:left w:val="none" w:sz="0" w:space="0" w:color="auto"/>
        <w:bottom w:val="none" w:sz="0" w:space="0" w:color="auto"/>
        <w:right w:val="none" w:sz="0" w:space="0" w:color="auto"/>
      </w:divBdr>
      <w:divsChild>
        <w:div w:id="1470396961">
          <w:marLeft w:val="0"/>
          <w:marRight w:val="0"/>
          <w:marTop w:val="0"/>
          <w:marBottom w:val="0"/>
          <w:divBdr>
            <w:top w:val="none" w:sz="0" w:space="0" w:color="auto"/>
            <w:left w:val="none" w:sz="0" w:space="0" w:color="auto"/>
            <w:bottom w:val="none" w:sz="0" w:space="0" w:color="auto"/>
            <w:right w:val="none" w:sz="0" w:space="0" w:color="auto"/>
          </w:divBdr>
          <w:divsChild>
            <w:div w:id="465120982">
              <w:marLeft w:val="0"/>
              <w:marRight w:val="0"/>
              <w:marTop w:val="0"/>
              <w:marBottom w:val="0"/>
              <w:divBdr>
                <w:top w:val="none" w:sz="0" w:space="0" w:color="auto"/>
                <w:left w:val="none" w:sz="0" w:space="0" w:color="auto"/>
                <w:bottom w:val="none" w:sz="0" w:space="0" w:color="auto"/>
                <w:right w:val="none" w:sz="0" w:space="0" w:color="auto"/>
              </w:divBdr>
              <w:divsChild>
                <w:div w:id="16186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56284">
      <w:bodyDiv w:val="1"/>
      <w:marLeft w:val="0"/>
      <w:marRight w:val="0"/>
      <w:marTop w:val="0"/>
      <w:marBottom w:val="0"/>
      <w:divBdr>
        <w:top w:val="none" w:sz="0" w:space="0" w:color="auto"/>
        <w:left w:val="none" w:sz="0" w:space="0" w:color="auto"/>
        <w:bottom w:val="none" w:sz="0" w:space="0" w:color="auto"/>
        <w:right w:val="none" w:sz="0" w:space="0" w:color="auto"/>
      </w:divBdr>
    </w:div>
    <w:div w:id="2092313413">
      <w:bodyDiv w:val="1"/>
      <w:marLeft w:val="0"/>
      <w:marRight w:val="0"/>
      <w:marTop w:val="0"/>
      <w:marBottom w:val="0"/>
      <w:divBdr>
        <w:top w:val="none" w:sz="0" w:space="0" w:color="auto"/>
        <w:left w:val="none" w:sz="0" w:space="0" w:color="auto"/>
        <w:bottom w:val="none" w:sz="0" w:space="0" w:color="auto"/>
        <w:right w:val="none" w:sz="0" w:space="0" w:color="auto"/>
      </w:divBdr>
    </w:div>
    <w:div w:id="2092921330">
      <w:bodyDiv w:val="1"/>
      <w:marLeft w:val="0"/>
      <w:marRight w:val="0"/>
      <w:marTop w:val="0"/>
      <w:marBottom w:val="0"/>
      <w:divBdr>
        <w:top w:val="none" w:sz="0" w:space="0" w:color="auto"/>
        <w:left w:val="none" w:sz="0" w:space="0" w:color="auto"/>
        <w:bottom w:val="none" w:sz="0" w:space="0" w:color="auto"/>
        <w:right w:val="none" w:sz="0" w:space="0" w:color="auto"/>
      </w:divBdr>
      <w:divsChild>
        <w:div w:id="559898721">
          <w:marLeft w:val="0"/>
          <w:marRight w:val="0"/>
          <w:marTop w:val="0"/>
          <w:marBottom w:val="0"/>
          <w:divBdr>
            <w:top w:val="none" w:sz="0" w:space="0" w:color="auto"/>
            <w:left w:val="none" w:sz="0" w:space="0" w:color="auto"/>
            <w:bottom w:val="none" w:sz="0" w:space="0" w:color="auto"/>
            <w:right w:val="none" w:sz="0" w:space="0" w:color="auto"/>
          </w:divBdr>
          <w:divsChild>
            <w:div w:id="919994459">
              <w:marLeft w:val="0"/>
              <w:marRight w:val="0"/>
              <w:marTop w:val="0"/>
              <w:marBottom w:val="0"/>
              <w:divBdr>
                <w:top w:val="none" w:sz="0" w:space="0" w:color="auto"/>
                <w:left w:val="none" w:sz="0" w:space="0" w:color="auto"/>
                <w:bottom w:val="none" w:sz="0" w:space="0" w:color="auto"/>
                <w:right w:val="none" w:sz="0" w:space="0" w:color="auto"/>
              </w:divBdr>
              <w:divsChild>
                <w:div w:id="264465817">
                  <w:marLeft w:val="0"/>
                  <w:marRight w:val="0"/>
                  <w:marTop w:val="0"/>
                  <w:marBottom w:val="0"/>
                  <w:divBdr>
                    <w:top w:val="none" w:sz="0" w:space="0" w:color="auto"/>
                    <w:left w:val="none" w:sz="0" w:space="0" w:color="auto"/>
                    <w:bottom w:val="none" w:sz="0" w:space="0" w:color="auto"/>
                    <w:right w:val="none" w:sz="0" w:space="0" w:color="auto"/>
                  </w:divBdr>
                  <w:divsChild>
                    <w:div w:id="4461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74366">
          <w:marLeft w:val="0"/>
          <w:marRight w:val="0"/>
          <w:marTop w:val="0"/>
          <w:marBottom w:val="0"/>
          <w:divBdr>
            <w:top w:val="none" w:sz="0" w:space="0" w:color="auto"/>
            <w:left w:val="none" w:sz="0" w:space="0" w:color="auto"/>
            <w:bottom w:val="none" w:sz="0" w:space="0" w:color="auto"/>
            <w:right w:val="none" w:sz="0" w:space="0" w:color="auto"/>
          </w:divBdr>
          <w:divsChild>
            <w:div w:id="2033414957">
              <w:marLeft w:val="0"/>
              <w:marRight w:val="0"/>
              <w:marTop w:val="0"/>
              <w:marBottom w:val="0"/>
              <w:divBdr>
                <w:top w:val="none" w:sz="0" w:space="0" w:color="auto"/>
                <w:left w:val="none" w:sz="0" w:space="0" w:color="auto"/>
                <w:bottom w:val="none" w:sz="0" w:space="0" w:color="auto"/>
                <w:right w:val="none" w:sz="0" w:space="0" w:color="auto"/>
              </w:divBdr>
              <w:divsChild>
                <w:div w:id="1387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7414">
      <w:bodyDiv w:val="1"/>
      <w:marLeft w:val="0"/>
      <w:marRight w:val="0"/>
      <w:marTop w:val="0"/>
      <w:marBottom w:val="0"/>
      <w:divBdr>
        <w:top w:val="none" w:sz="0" w:space="0" w:color="auto"/>
        <w:left w:val="none" w:sz="0" w:space="0" w:color="auto"/>
        <w:bottom w:val="none" w:sz="0" w:space="0" w:color="auto"/>
        <w:right w:val="none" w:sz="0" w:space="0" w:color="auto"/>
      </w:divBdr>
    </w:div>
    <w:div w:id="2096970380">
      <w:bodyDiv w:val="1"/>
      <w:marLeft w:val="0"/>
      <w:marRight w:val="0"/>
      <w:marTop w:val="0"/>
      <w:marBottom w:val="0"/>
      <w:divBdr>
        <w:top w:val="none" w:sz="0" w:space="0" w:color="auto"/>
        <w:left w:val="none" w:sz="0" w:space="0" w:color="auto"/>
        <w:bottom w:val="none" w:sz="0" w:space="0" w:color="auto"/>
        <w:right w:val="none" w:sz="0" w:space="0" w:color="auto"/>
      </w:divBdr>
    </w:div>
    <w:div w:id="2097244460">
      <w:bodyDiv w:val="1"/>
      <w:marLeft w:val="0"/>
      <w:marRight w:val="0"/>
      <w:marTop w:val="0"/>
      <w:marBottom w:val="0"/>
      <w:divBdr>
        <w:top w:val="none" w:sz="0" w:space="0" w:color="auto"/>
        <w:left w:val="none" w:sz="0" w:space="0" w:color="auto"/>
        <w:bottom w:val="none" w:sz="0" w:space="0" w:color="auto"/>
        <w:right w:val="none" w:sz="0" w:space="0" w:color="auto"/>
      </w:divBdr>
    </w:div>
    <w:div w:id="2097555167">
      <w:bodyDiv w:val="1"/>
      <w:marLeft w:val="0"/>
      <w:marRight w:val="0"/>
      <w:marTop w:val="0"/>
      <w:marBottom w:val="0"/>
      <w:divBdr>
        <w:top w:val="none" w:sz="0" w:space="0" w:color="auto"/>
        <w:left w:val="none" w:sz="0" w:space="0" w:color="auto"/>
        <w:bottom w:val="none" w:sz="0" w:space="0" w:color="auto"/>
        <w:right w:val="none" w:sz="0" w:space="0" w:color="auto"/>
      </w:divBdr>
    </w:div>
    <w:div w:id="2098746940">
      <w:bodyDiv w:val="1"/>
      <w:marLeft w:val="0"/>
      <w:marRight w:val="0"/>
      <w:marTop w:val="0"/>
      <w:marBottom w:val="0"/>
      <w:divBdr>
        <w:top w:val="none" w:sz="0" w:space="0" w:color="auto"/>
        <w:left w:val="none" w:sz="0" w:space="0" w:color="auto"/>
        <w:bottom w:val="none" w:sz="0" w:space="0" w:color="auto"/>
        <w:right w:val="none" w:sz="0" w:space="0" w:color="auto"/>
      </w:divBdr>
    </w:div>
    <w:div w:id="2099669672">
      <w:bodyDiv w:val="1"/>
      <w:marLeft w:val="0"/>
      <w:marRight w:val="0"/>
      <w:marTop w:val="0"/>
      <w:marBottom w:val="0"/>
      <w:divBdr>
        <w:top w:val="none" w:sz="0" w:space="0" w:color="auto"/>
        <w:left w:val="none" w:sz="0" w:space="0" w:color="auto"/>
        <w:bottom w:val="none" w:sz="0" w:space="0" w:color="auto"/>
        <w:right w:val="none" w:sz="0" w:space="0" w:color="auto"/>
      </w:divBdr>
    </w:div>
    <w:div w:id="2100833344">
      <w:bodyDiv w:val="1"/>
      <w:marLeft w:val="0"/>
      <w:marRight w:val="0"/>
      <w:marTop w:val="0"/>
      <w:marBottom w:val="0"/>
      <w:divBdr>
        <w:top w:val="none" w:sz="0" w:space="0" w:color="auto"/>
        <w:left w:val="none" w:sz="0" w:space="0" w:color="auto"/>
        <w:bottom w:val="none" w:sz="0" w:space="0" w:color="auto"/>
        <w:right w:val="none" w:sz="0" w:space="0" w:color="auto"/>
      </w:divBdr>
    </w:div>
    <w:div w:id="2101294117">
      <w:bodyDiv w:val="1"/>
      <w:marLeft w:val="0"/>
      <w:marRight w:val="0"/>
      <w:marTop w:val="0"/>
      <w:marBottom w:val="0"/>
      <w:divBdr>
        <w:top w:val="none" w:sz="0" w:space="0" w:color="auto"/>
        <w:left w:val="none" w:sz="0" w:space="0" w:color="auto"/>
        <w:bottom w:val="none" w:sz="0" w:space="0" w:color="auto"/>
        <w:right w:val="none" w:sz="0" w:space="0" w:color="auto"/>
      </w:divBdr>
    </w:div>
    <w:div w:id="2103528644">
      <w:bodyDiv w:val="1"/>
      <w:marLeft w:val="0"/>
      <w:marRight w:val="0"/>
      <w:marTop w:val="0"/>
      <w:marBottom w:val="0"/>
      <w:divBdr>
        <w:top w:val="none" w:sz="0" w:space="0" w:color="auto"/>
        <w:left w:val="none" w:sz="0" w:space="0" w:color="auto"/>
        <w:bottom w:val="none" w:sz="0" w:space="0" w:color="auto"/>
        <w:right w:val="none" w:sz="0" w:space="0" w:color="auto"/>
      </w:divBdr>
    </w:div>
    <w:div w:id="2105148941">
      <w:bodyDiv w:val="1"/>
      <w:marLeft w:val="0"/>
      <w:marRight w:val="0"/>
      <w:marTop w:val="0"/>
      <w:marBottom w:val="0"/>
      <w:divBdr>
        <w:top w:val="none" w:sz="0" w:space="0" w:color="auto"/>
        <w:left w:val="none" w:sz="0" w:space="0" w:color="auto"/>
        <w:bottom w:val="none" w:sz="0" w:space="0" w:color="auto"/>
        <w:right w:val="none" w:sz="0" w:space="0" w:color="auto"/>
      </w:divBdr>
    </w:div>
    <w:div w:id="2108034008">
      <w:bodyDiv w:val="1"/>
      <w:marLeft w:val="0"/>
      <w:marRight w:val="0"/>
      <w:marTop w:val="0"/>
      <w:marBottom w:val="0"/>
      <w:divBdr>
        <w:top w:val="none" w:sz="0" w:space="0" w:color="auto"/>
        <w:left w:val="none" w:sz="0" w:space="0" w:color="auto"/>
        <w:bottom w:val="none" w:sz="0" w:space="0" w:color="auto"/>
        <w:right w:val="none" w:sz="0" w:space="0" w:color="auto"/>
      </w:divBdr>
    </w:div>
    <w:div w:id="2114665421">
      <w:bodyDiv w:val="1"/>
      <w:marLeft w:val="0"/>
      <w:marRight w:val="0"/>
      <w:marTop w:val="0"/>
      <w:marBottom w:val="0"/>
      <w:divBdr>
        <w:top w:val="none" w:sz="0" w:space="0" w:color="auto"/>
        <w:left w:val="none" w:sz="0" w:space="0" w:color="auto"/>
        <w:bottom w:val="none" w:sz="0" w:space="0" w:color="auto"/>
        <w:right w:val="none" w:sz="0" w:space="0" w:color="auto"/>
      </w:divBdr>
    </w:div>
    <w:div w:id="2118212709">
      <w:bodyDiv w:val="1"/>
      <w:marLeft w:val="0"/>
      <w:marRight w:val="0"/>
      <w:marTop w:val="0"/>
      <w:marBottom w:val="0"/>
      <w:divBdr>
        <w:top w:val="none" w:sz="0" w:space="0" w:color="auto"/>
        <w:left w:val="none" w:sz="0" w:space="0" w:color="auto"/>
        <w:bottom w:val="none" w:sz="0" w:space="0" w:color="auto"/>
        <w:right w:val="none" w:sz="0" w:space="0" w:color="auto"/>
      </w:divBdr>
    </w:div>
    <w:div w:id="2120295544">
      <w:bodyDiv w:val="1"/>
      <w:marLeft w:val="0"/>
      <w:marRight w:val="0"/>
      <w:marTop w:val="0"/>
      <w:marBottom w:val="0"/>
      <w:divBdr>
        <w:top w:val="none" w:sz="0" w:space="0" w:color="auto"/>
        <w:left w:val="none" w:sz="0" w:space="0" w:color="auto"/>
        <w:bottom w:val="none" w:sz="0" w:space="0" w:color="auto"/>
        <w:right w:val="none" w:sz="0" w:space="0" w:color="auto"/>
      </w:divBdr>
    </w:div>
    <w:div w:id="2120830730">
      <w:bodyDiv w:val="1"/>
      <w:marLeft w:val="0"/>
      <w:marRight w:val="0"/>
      <w:marTop w:val="0"/>
      <w:marBottom w:val="0"/>
      <w:divBdr>
        <w:top w:val="none" w:sz="0" w:space="0" w:color="auto"/>
        <w:left w:val="none" w:sz="0" w:space="0" w:color="auto"/>
        <w:bottom w:val="none" w:sz="0" w:space="0" w:color="auto"/>
        <w:right w:val="none" w:sz="0" w:space="0" w:color="auto"/>
      </w:divBdr>
    </w:div>
    <w:div w:id="2121222861">
      <w:bodyDiv w:val="1"/>
      <w:marLeft w:val="0"/>
      <w:marRight w:val="0"/>
      <w:marTop w:val="0"/>
      <w:marBottom w:val="0"/>
      <w:divBdr>
        <w:top w:val="none" w:sz="0" w:space="0" w:color="auto"/>
        <w:left w:val="none" w:sz="0" w:space="0" w:color="auto"/>
        <w:bottom w:val="none" w:sz="0" w:space="0" w:color="auto"/>
        <w:right w:val="none" w:sz="0" w:space="0" w:color="auto"/>
      </w:divBdr>
    </w:div>
    <w:div w:id="2124300751">
      <w:bodyDiv w:val="1"/>
      <w:marLeft w:val="0"/>
      <w:marRight w:val="0"/>
      <w:marTop w:val="0"/>
      <w:marBottom w:val="0"/>
      <w:divBdr>
        <w:top w:val="none" w:sz="0" w:space="0" w:color="auto"/>
        <w:left w:val="none" w:sz="0" w:space="0" w:color="auto"/>
        <w:bottom w:val="none" w:sz="0" w:space="0" w:color="auto"/>
        <w:right w:val="none" w:sz="0" w:space="0" w:color="auto"/>
      </w:divBdr>
    </w:div>
    <w:div w:id="2126147243">
      <w:bodyDiv w:val="1"/>
      <w:marLeft w:val="0"/>
      <w:marRight w:val="0"/>
      <w:marTop w:val="0"/>
      <w:marBottom w:val="0"/>
      <w:divBdr>
        <w:top w:val="none" w:sz="0" w:space="0" w:color="auto"/>
        <w:left w:val="none" w:sz="0" w:space="0" w:color="auto"/>
        <w:bottom w:val="none" w:sz="0" w:space="0" w:color="auto"/>
        <w:right w:val="none" w:sz="0" w:space="0" w:color="auto"/>
      </w:divBdr>
    </w:div>
    <w:div w:id="2126922891">
      <w:bodyDiv w:val="1"/>
      <w:marLeft w:val="0"/>
      <w:marRight w:val="0"/>
      <w:marTop w:val="0"/>
      <w:marBottom w:val="0"/>
      <w:divBdr>
        <w:top w:val="none" w:sz="0" w:space="0" w:color="auto"/>
        <w:left w:val="none" w:sz="0" w:space="0" w:color="auto"/>
        <w:bottom w:val="none" w:sz="0" w:space="0" w:color="auto"/>
        <w:right w:val="none" w:sz="0" w:space="0" w:color="auto"/>
      </w:divBdr>
    </w:div>
    <w:div w:id="2127041066">
      <w:bodyDiv w:val="1"/>
      <w:marLeft w:val="0"/>
      <w:marRight w:val="0"/>
      <w:marTop w:val="0"/>
      <w:marBottom w:val="0"/>
      <w:divBdr>
        <w:top w:val="none" w:sz="0" w:space="0" w:color="auto"/>
        <w:left w:val="none" w:sz="0" w:space="0" w:color="auto"/>
        <w:bottom w:val="none" w:sz="0" w:space="0" w:color="auto"/>
        <w:right w:val="none" w:sz="0" w:space="0" w:color="auto"/>
      </w:divBdr>
    </w:div>
    <w:div w:id="2128237132">
      <w:bodyDiv w:val="1"/>
      <w:marLeft w:val="0"/>
      <w:marRight w:val="0"/>
      <w:marTop w:val="0"/>
      <w:marBottom w:val="0"/>
      <w:divBdr>
        <w:top w:val="none" w:sz="0" w:space="0" w:color="auto"/>
        <w:left w:val="none" w:sz="0" w:space="0" w:color="auto"/>
        <w:bottom w:val="none" w:sz="0" w:space="0" w:color="auto"/>
        <w:right w:val="none" w:sz="0" w:space="0" w:color="auto"/>
      </w:divBdr>
    </w:div>
    <w:div w:id="2128889507">
      <w:bodyDiv w:val="1"/>
      <w:marLeft w:val="0"/>
      <w:marRight w:val="0"/>
      <w:marTop w:val="0"/>
      <w:marBottom w:val="0"/>
      <w:divBdr>
        <w:top w:val="none" w:sz="0" w:space="0" w:color="auto"/>
        <w:left w:val="none" w:sz="0" w:space="0" w:color="auto"/>
        <w:bottom w:val="none" w:sz="0" w:space="0" w:color="auto"/>
        <w:right w:val="none" w:sz="0" w:space="0" w:color="auto"/>
      </w:divBdr>
      <w:divsChild>
        <w:div w:id="1638143681">
          <w:marLeft w:val="0"/>
          <w:marRight w:val="0"/>
          <w:marTop w:val="0"/>
          <w:marBottom w:val="0"/>
          <w:divBdr>
            <w:top w:val="none" w:sz="0" w:space="0" w:color="auto"/>
            <w:left w:val="none" w:sz="0" w:space="0" w:color="auto"/>
            <w:bottom w:val="none" w:sz="0" w:space="0" w:color="auto"/>
            <w:right w:val="none" w:sz="0" w:space="0" w:color="auto"/>
          </w:divBdr>
          <w:divsChild>
            <w:div w:id="1681852249">
              <w:marLeft w:val="0"/>
              <w:marRight w:val="0"/>
              <w:marTop w:val="0"/>
              <w:marBottom w:val="0"/>
              <w:divBdr>
                <w:top w:val="none" w:sz="0" w:space="0" w:color="auto"/>
                <w:left w:val="none" w:sz="0" w:space="0" w:color="auto"/>
                <w:bottom w:val="none" w:sz="0" w:space="0" w:color="auto"/>
                <w:right w:val="none" w:sz="0" w:space="0" w:color="auto"/>
              </w:divBdr>
              <w:divsChild>
                <w:div w:id="16032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833">
      <w:bodyDiv w:val="1"/>
      <w:marLeft w:val="0"/>
      <w:marRight w:val="0"/>
      <w:marTop w:val="0"/>
      <w:marBottom w:val="0"/>
      <w:divBdr>
        <w:top w:val="none" w:sz="0" w:space="0" w:color="auto"/>
        <w:left w:val="none" w:sz="0" w:space="0" w:color="auto"/>
        <w:bottom w:val="none" w:sz="0" w:space="0" w:color="auto"/>
        <w:right w:val="none" w:sz="0" w:space="0" w:color="auto"/>
      </w:divBdr>
    </w:div>
    <w:div w:id="2129547655">
      <w:bodyDiv w:val="1"/>
      <w:marLeft w:val="0"/>
      <w:marRight w:val="0"/>
      <w:marTop w:val="0"/>
      <w:marBottom w:val="0"/>
      <w:divBdr>
        <w:top w:val="none" w:sz="0" w:space="0" w:color="auto"/>
        <w:left w:val="none" w:sz="0" w:space="0" w:color="auto"/>
        <w:bottom w:val="none" w:sz="0" w:space="0" w:color="auto"/>
        <w:right w:val="none" w:sz="0" w:space="0" w:color="auto"/>
      </w:divBdr>
    </w:div>
    <w:div w:id="2129548729">
      <w:bodyDiv w:val="1"/>
      <w:marLeft w:val="0"/>
      <w:marRight w:val="0"/>
      <w:marTop w:val="0"/>
      <w:marBottom w:val="0"/>
      <w:divBdr>
        <w:top w:val="none" w:sz="0" w:space="0" w:color="auto"/>
        <w:left w:val="none" w:sz="0" w:space="0" w:color="auto"/>
        <w:bottom w:val="none" w:sz="0" w:space="0" w:color="auto"/>
        <w:right w:val="none" w:sz="0" w:space="0" w:color="auto"/>
      </w:divBdr>
    </w:div>
    <w:div w:id="2129549254">
      <w:bodyDiv w:val="1"/>
      <w:marLeft w:val="0"/>
      <w:marRight w:val="0"/>
      <w:marTop w:val="0"/>
      <w:marBottom w:val="0"/>
      <w:divBdr>
        <w:top w:val="none" w:sz="0" w:space="0" w:color="auto"/>
        <w:left w:val="none" w:sz="0" w:space="0" w:color="auto"/>
        <w:bottom w:val="none" w:sz="0" w:space="0" w:color="auto"/>
        <w:right w:val="none" w:sz="0" w:space="0" w:color="auto"/>
      </w:divBdr>
      <w:divsChild>
        <w:div w:id="722098324">
          <w:marLeft w:val="0"/>
          <w:marRight w:val="0"/>
          <w:marTop w:val="0"/>
          <w:marBottom w:val="0"/>
          <w:divBdr>
            <w:top w:val="none" w:sz="0" w:space="0" w:color="auto"/>
            <w:left w:val="none" w:sz="0" w:space="0" w:color="auto"/>
            <w:bottom w:val="none" w:sz="0" w:space="0" w:color="auto"/>
            <w:right w:val="none" w:sz="0" w:space="0" w:color="auto"/>
          </w:divBdr>
          <w:divsChild>
            <w:div w:id="1901136180">
              <w:marLeft w:val="0"/>
              <w:marRight w:val="0"/>
              <w:marTop w:val="0"/>
              <w:marBottom w:val="0"/>
              <w:divBdr>
                <w:top w:val="none" w:sz="0" w:space="0" w:color="auto"/>
                <w:left w:val="none" w:sz="0" w:space="0" w:color="auto"/>
                <w:bottom w:val="none" w:sz="0" w:space="0" w:color="auto"/>
                <w:right w:val="none" w:sz="0" w:space="0" w:color="auto"/>
              </w:divBdr>
            </w:div>
          </w:divsChild>
        </w:div>
        <w:div w:id="786042691">
          <w:marLeft w:val="0"/>
          <w:marRight w:val="0"/>
          <w:marTop w:val="0"/>
          <w:marBottom w:val="0"/>
          <w:divBdr>
            <w:top w:val="none" w:sz="0" w:space="0" w:color="auto"/>
            <w:left w:val="none" w:sz="0" w:space="0" w:color="auto"/>
            <w:bottom w:val="none" w:sz="0" w:space="0" w:color="auto"/>
            <w:right w:val="none" w:sz="0" w:space="0" w:color="auto"/>
          </w:divBdr>
          <w:divsChild>
            <w:div w:id="1592009682">
              <w:marLeft w:val="0"/>
              <w:marRight w:val="0"/>
              <w:marTop w:val="0"/>
              <w:marBottom w:val="0"/>
              <w:divBdr>
                <w:top w:val="none" w:sz="0" w:space="0" w:color="auto"/>
                <w:left w:val="none" w:sz="0" w:space="0" w:color="auto"/>
                <w:bottom w:val="none" w:sz="0" w:space="0" w:color="auto"/>
                <w:right w:val="none" w:sz="0" w:space="0" w:color="auto"/>
              </w:divBdr>
              <w:divsChild>
                <w:div w:id="14561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7481">
      <w:bodyDiv w:val="1"/>
      <w:marLeft w:val="0"/>
      <w:marRight w:val="0"/>
      <w:marTop w:val="0"/>
      <w:marBottom w:val="0"/>
      <w:divBdr>
        <w:top w:val="none" w:sz="0" w:space="0" w:color="auto"/>
        <w:left w:val="none" w:sz="0" w:space="0" w:color="auto"/>
        <w:bottom w:val="none" w:sz="0" w:space="0" w:color="auto"/>
        <w:right w:val="none" w:sz="0" w:space="0" w:color="auto"/>
      </w:divBdr>
    </w:div>
    <w:div w:id="2131197814">
      <w:bodyDiv w:val="1"/>
      <w:marLeft w:val="0"/>
      <w:marRight w:val="0"/>
      <w:marTop w:val="0"/>
      <w:marBottom w:val="0"/>
      <w:divBdr>
        <w:top w:val="none" w:sz="0" w:space="0" w:color="auto"/>
        <w:left w:val="none" w:sz="0" w:space="0" w:color="auto"/>
        <w:bottom w:val="none" w:sz="0" w:space="0" w:color="auto"/>
        <w:right w:val="none" w:sz="0" w:space="0" w:color="auto"/>
      </w:divBdr>
    </w:div>
    <w:div w:id="2131241278">
      <w:bodyDiv w:val="1"/>
      <w:marLeft w:val="0"/>
      <w:marRight w:val="0"/>
      <w:marTop w:val="0"/>
      <w:marBottom w:val="0"/>
      <w:divBdr>
        <w:top w:val="none" w:sz="0" w:space="0" w:color="auto"/>
        <w:left w:val="none" w:sz="0" w:space="0" w:color="auto"/>
        <w:bottom w:val="none" w:sz="0" w:space="0" w:color="auto"/>
        <w:right w:val="none" w:sz="0" w:space="0" w:color="auto"/>
      </w:divBdr>
    </w:div>
    <w:div w:id="2131312714">
      <w:bodyDiv w:val="1"/>
      <w:marLeft w:val="0"/>
      <w:marRight w:val="0"/>
      <w:marTop w:val="0"/>
      <w:marBottom w:val="0"/>
      <w:divBdr>
        <w:top w:val="none" w:sz="0" w:space="0" w:color="auto"/>
        <w:left w:val="none" w:sz="0" w:space="0" w:color="auto"/>
        <w:bottom w:val="none" w:sz="0" w:space="0" w:color="auto"/>
        <w:right w:val="none" w:sz="0" w:space="0" w:color="auto"/>
      </w:divBdr>
    </w:div>
    <w:div w:id="2132816783">
      <w:bodyDiv w:val="1"/>
      <w:marLeft w:val="0"/>
      <w:marRight w:val="0"/>
      <w:marTop w:val="0"/>
      <w:marBottom w:val="0"/>
      <w:divBdr>
        <w:top w:val="none" w:sz="0" w:space="0" w:color="auto"/>
        <w:left w:val="none" w:sz="0" w:space="0" w:color="auto"/>
        <w:bottom w:val="none" w:sz="0" w:space="0" w:color="auto"/>
        <w:right w:val="none" w:sz="0" w:space="0" w:color="auto"/>
      </w:divBdr>
    </w:div>
    <w:div w:id="2133133865">
      <w:bodyDiv w:val="1"/>
      <w:marLeft w:val="0"/>
      <w:marRight w:val="0"/>
      <w:marTop w:val="0"/>
      <w:marBottom w:val="0"/>
      <w:divBdr>
        <w:top w:val="none" w:sz="0" w:space="0" w:color="auto"/>
        <w:left w:val="none" w:sz="0" w:space="0" w:color="auto"/>
        <w:bottom w:val="none" w:sz="0" w:space="0" w:color="auto"/>
        <w:right w:val="none" w:sz="0" w:space="0" w:color="auto"/>
      </w:divBdr>
    </w:div>
    <w:div w:id="2136899023">
      <w:bodyDiv w:val="1"/>
      <w:marLeft w:val="0"/>
      <w:marRight w:val="0"/>
      <w:marTop w:val="0"/>
      <w:marBottom w:val="0"/>
      <w:divBdr>
        <w:top w:val="none" w:sz="0" w:space="0" w:color="auto"/>
        <w:left w:val="none" w:sz="0" w:space="0" w:color="auto"/>
        <w:bottom w:val="none" w:sz="0" w:space="0" w:color="auto"/>
        <w:right w:val="none" w:sz="0" w:space="0" w:color="auto"/>
      </w:divBdr>
    </w:div>
    <w:div w:id="2140100754">
      <w:bodyDiv w:val="1"/>
      <w:marLeft w:val="0"/>
      <w:marRight w:val="0"/>
      <w:marTop w:val="0"/>
      <w:marBottom w:val="0"/>
      <w:divBdr>
        <w:top w:val="none" w:sz="0" w:space="0" w:color="auto"/>
        <w:left w:val="none" w:sz="0" w:space="0" w:color="auto"/>
        <w:bottom w:val="none" w:sz="0" w:space="0" w:color="auto"/>
        <w:right w:val="none" w:sz="0" w:space="0" w:color="auto"/>
      </w:divBdr>
    </w:div>
    <w:div w:id="2141418232">
      <w:bodyDiv w:val="1"/>
      <w:marLeft w:val="0"/>
      <w:marRight w:val="0"/>
      <w:marTop w:val="0"/>
      <w:marBottom w:val="0"/>
      <w:divBdr>
        <w:top w:val="none" w:sz="0" w:space="0" w:color="auto"/>
        <w:left w:val="none" w:sz="0" w:space="0" w:color="auto"/>
        <w:bottom w:val="none" w:sz="0" w:space="0" w:color="auto"/>
        <w:right w:val="none" w:sz="0" w:space="0" w:color="auto"/>
      </w:divBdr>
    </w:div>
    <w:div w:id="214651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arget="https://operationdisclosure1.blogspot.com/2020/06/pentagon-study-flu-shot-raises-risk-of.html?m=1" TargetMode="External" Type="http://schemas.openxmlformats.org/officeDocument/2006/relationships/hyperlink"/><Relationship Id="rId21" Target="https://www.thelancet.com/pdfs/journals/lancet/PIIS0140-6736(20)30566-3.pdf" TargetMode="External" Type="http://schemas.openxmlformats.org/officeDocument/2006/relationships/hyperlink"/><Relationship Id="rId42" Target="https://www.biopills.net/matrice-extracellulare-mec-composizione-e-funzioni/" TargetMode="External" Type="http://schemas.openxmlformats.org/officeDocument/2006/relationships/hyperlink"/><Relationship Id="rId63" Target="media/image22.jpeg" Type="http://schemas.openxmlformats.org/officeDocument/2006/relationships/image"/><Relationship Id="rId84" Target="media/image33.jpeg" Type="http://schemas.openxmlformats.org/officeDocument/2006/relationships/image"/><Relationship Id="rId138" Target="https://www.sciencedirect.com/science/article/pii/S0264410X15010634?via%3Dihub" TargetMode="External" Type="http://schemas.openxmlformats.org/officeDocument/2006/relationships/hyperlink"/><Relationship Id="rId159" Target="https://www.ncbi.nlm.nih.gov/pmc/articles/PMC5767595/pdf/fimmu-08-01960.pdf" TargetMode="External" Type="http://schemas.openxmlformats.org/officeDocument/2006/relationships/hyperlink"/><Relationship Id="rId170" Target="media/image78.png" Type="http://schemas.openxmlformats.org/officeDocument/2006/relationships/image"/><Relationship Id="rId107" Target="media/image46.jpeg" Type="http://schemas.openxmlformats.org/officeDocument/2006/relationships/image"/><Relationship Id="rId11" Target="footer1.xml" Type="http://schemas.openxmlformats.org/officeDocument/2006/relationships/footer"/><Relationship Id="rId32" Target="https://www.ncbi.nlm.nih.gov/pmc/articles/PMC7157541/pdf/pathogens-09-00231.pdf" TargetMode="External" Type="http://schemas.openxmlformats.org/officeDocument/2006/relationships/hyperlink"/><Relationship Id="rId53" Target="https://www.ncbi.nlm.nih.gov/pmc/articles/PMC7191310/" TargetMode="External" Type="http://schemas.openxmlformats.org/officeDocument/2006/relationships/hyperlink"/><Relationship Id="rId74" Target="https://www.jhltonline.org/article/S1053-2498(20)31473-X/pdf" TargetMode="External" Type="http://schemas.openxmlformats.org/officeDocument/2006/relationships/hyperlink"/><Relationship Id="rId128" Target="https://www.ncbi.nlm.nih.gov/pmc/articles/PMC5179050/pdf/ppat.1005997.pdf" TargetMode="External" Type="http://schemas.openxmlformats.org/officeDocument/2006/relationships/hyperlink"/><Relationship Id="rId149" Target="https://www.ncbi.nlm.nih.gov/pmc/articles/PMC6163169/" TargetMode="External" Type="http://schemas.openxmlformats.org/officeDocument/2006/relationships/hyperlink"/><Relationship Id="rId5" Target="webSettings.xml" Type="http://schemas.openxmlformats.org/officeDocument/2006/relationships/webSettings"/><Relationship Id="rId95" Target="media/image39.jpeg" Type="http://schemas.openxmlformats.org/officeDocument/2006/relationships/image"/><Relationship Id="rId160" Target="media/image73.jpeg" Type="http://schemas.openxmlformats.org/officeDocument/2006/relationships/image"/><Relationship Id="rId181" Target="media/image83.gif" Type="http://schemas.openxmlformats.org/officeDocument/2006/relationships/image"/><Relationship Id="rId22" Target="https://drive.google.com/file/d/1HP5AGTB-HIbdL-T7ob33BDl8giAJPIY0/view" TargetMode="External" Type="http://schemas.openxmlformats.org/officeDocument/2006/relationships/hyperlink"/><Relationship Id="rId43" Target="https://www.biopills.net/reazioni-allergiche/" TargetMode="External" Type="http://schemas.openxmlformats.org/officeDocument/2006/relationships/hyperlink"/><Relationship Id="rId64" Target="https://jcs.biologists.org/content/joces/133/5/jcs239194.full.pdf" TargetMode="External" Type="http://schemas.openxmlformats.org/officeDocument/2006/relationships/hyperlink"/><Relationship Id="rId118" Target="media/image51.png" Type="http://schemas.openxmlformats.org/officeDocument/2006/relationships/image"/><Relationship Id="rId139" Target="media/image62.png" Type="http://schemas.openxmlformats.org/officeDocument/2006/relationships/image"/><Relationship Id="rId85" Target="media/image34.jpeg" Type="http://schemas.openxmlformats.org/officeDocument/2006/relationships/image"/><Relationship Id="rId150" Target="media/image68.jpeg" Type="http://schemas.openxmlformats.org/officeDocument/2006/relationships/image"/><Relationship Id="rId171" Target="https://www.semanticscholar.org/paper/Inflammaging%3A-a-new-immune%E2%80%93metabolic-viewpoint-for-Franceschi-Garagnani/6247ca2e33d38d072f1f7196e156b43975d00e71" TargetMode="External" Type="http://schemas.openxmlformats.org/officeDocument/2006/relationships/hyperlink"/><Relationship Id="rId12" Target="footer2.xml" Type="http://schemas.openxmlformats.org/officeDocument/2006/relationships/footer"/><Relationship Id="rId33" Target="https://bit.ly/ebook_COVID-19" TargetMode="External" Type="http://schemas.openxmlformats.org/officeDocument/2006/relationships/hyperlink"/><Relationship Id="rId108" Target="https://link.springer.com/content/pdf/10.1007%2F978-981-15-1045-8_2.pdf" TargetMode="External" Type="http://schemas.openxmlformats.org/officeDocument/2006/relationships/hyperlink"/><Relationship Id="rId129" Target="media/image57.png" Type="http://schemas.openxmlformats.org/officeDocument/2006/relationships/image"/><Relationship Id="rId54" Target="https://www.ncbi.nlm.nih.gov/pmc/articles/PMC6170629/pdf/fimmu-09-02147.pdf" TargetMode="External" Type="http://schemas.openxmlformats.org/officeDocument/2006/relationships/hyperlink"/><Relationship Id="rId75" Target="media/image28.jpeg" Type="http://schemas.openxmlformats.org/officeDocument/2006/relationships/image"/><Relationship Id="rId96" Target="https://www.ncbi.nlm.nih.gov/pmc/articles/PMC7185015/pdf/main.pdf" TargetMode="External" Type="http://schemas.openxmlformats.org/officeDocument/2006/relationships/hyperlink"/><Relationship Id="rId140" Target="https://www.ncbi.nlm.nih.gov/pmc/articles/PMC7186935/" TargetMode="External" Type="http://schemas.openxmlformats.org/officeDocument/2006/relationships/hyperlink"/><Relationship Id="rId161" Target="https://cmb.i-learn.unito.it/pluginfile.php/5044/mod_resource/content/1/Minciullo_et_al.pdf" TargetMode="External" Type="http://schemas.openxmlformats.org/officeDocument/2006/relationships/hyperlink"/><Relationship Id="rId182" Target="https://link.springer.com/chapter/10.1007/978-3-319-16438-0_1" TargetMode="External" Type="http://schemas.openxmlformats.org/officeDocument/2006/relationships/hyperlink"/><Relationship Id="rId6" Target="footnotes.xml" Type="http://schemas.openxmlformats.org/officeDocument/2006/relationships/footnotes"/><Relationship Id="rId23" Target="media/image7.gif" Type="http://schemas.openxmlformats.org/officeDocument/2006/relationships/image"/><Relationship Id="rId119" Target="media/image52.jpeg" Type="http://schemas.openxmlformats.org/officeDocument/2006/relationships/image"/><Relationship Id="rId44" Target="media/image14.jpeg" Type="http://schemas.openxmlformats.org/officeDocument/2006/relationships/image"/><Relationship Id="rId65" Target="media/image23.png" Type="http://schemas.openxmlformats.org/officeDocument/2006/relationships/image"/><Relationship Id="rId86" Target="https://www.ncbi.nlm.nih.gov/pmc/articles/PMC5580809/pdf/nihms880362.pdf" TargetMode="External" Type="http://schemas.openxmlformats.org/officeDocument/2006/relationships/hyperlink"/><Relationship Id="rId130" Target="https://www.wageningenacademic.com/doi/pdf/10.3920/BM2010.0027" TargetMode="External" Type="http://schemas.openxmlformats.org/officeDocument/2006/relationships/hyperlink"/><Relationship Id="rId151" Target="https://www.ncbi.nlm.nih.gov/pmc/articles/PMC7147503/" TargetMode="External" Type="http://schemas.openxmlformats.org/officeDocument/2006/relationships/hyperlink"/><Relationship Id="rId172" Target="media/image79.png" Type="http://schemas.openxmlformats.org/officeDocument/2006/relationships/image"/><Relationship Id="rId13" Target="media/image2.png" Type="http://schemas.openxmlformats.org/officeDocument/2006/relationships/image"/><Relationship Id="rId18" Target="media/image5.jpeg" Type="http://schemas.openxmlformats.org/officeDocument/2006/relationships/image"/><Relationship Id="rId39" Target="https://www.uniba.it/docenti/coluccia-mauro/attivita-didattica/materiale-didattico/2-infiammazione.pdf" TargetMode="External" Type="http://schemas.openxmlformats.org/officeDocument/2006/relationships/hyperlink"/><Relationship Id="rId109" Target="media/image47.jpeg" Type="http://schemas.openxmlformats.org/officeDocument/2006/relationships/image"/><Relationship Id="rId34" Target="https://www.biopills.net/corso-di-immunologia-cellulare-e-molecolare/" TargetMode="External" Type="http://schemas.openxmlformats.org/officeDocument/2006/relationships/hyperlink"/><Relationship Id="rId50" Target="media/image17.jpeg" Type="http://schemas.openxmlformats.org/officeDocument/2006/relationships/image"/><Relationship Id="rId55" Target="media/image19.jpeg" Type="http://schemas.openxmlformats.org/officeDocument/2006/relationships/image"/><Relationship Id="rId76" Target="media/image29.png" Type="http://schemas.openxmlformats.org/officeDocument/2006/relationships/image"/><Relationship Id="rId97" Target="media/image40.jpeg" Type="http://schemas.openxmlformats.org/officeDocument/2006/relationships/image"/><Relationship Id="rId104" Target="media/image44.jpeg" Type="http://schemas.openxmlformats.org/officeDocument/2006/relationships/image"/><Relationship Id="rId120" Target="https://www.ncbi.nlm.nih.gov/pmc/articles/PMC7198427/" TargetMode="External" Type="http://schemas.openxmlformats.org/officeDocument/2006/relationships/hyperlink"/><Relationship Id="rId125" Target="media/image55.png" Type="http://schemas.openxmlformats.org/officeDocument/2006/relationships/image"/><Relationship Id="rId141" Target="media/image63.jpeg" Type="http://schemas.openxmlformats.org/officeDocument/2006/relationships/image"/><Relationship Id="rId146" Target="media/image66.jpeg" Type="http://schemas.openxmlformats.org/officeDocument/2006/relationships/image"/><Relationship Id="rId167" Target="https://www.ncbi.nlm.nih.gov/pmc/articles/PMC6943173/" TargetMode="External" Type="http://schemas.openxmlformats.org/officeDocument/2006/relationships/hyperlink"/><Relationship Id="rId188" Target="https://link.springer.com/content/pdf/10.1007/s10067-020-05073-9.pdf" TargetMode="External" Type="http://schemas.openxmlformats.org/officeDocument/2006/relationships/hyperlink"/><Relationship Id="rId7" Target="endnotes.xml" Type="http://schemas.openxmlformats.org/officeDocument/2006/relationships/endnotes"/><Relationship Id="rId71" Target="media/image26.jpeg" Type="http://schemas.openxmlformats.org/officeDocument/2006/relationships/image"/><Relationship Id="rId92" Target="https://www.ncbi.nlm.nih.gov/pmc/articles/PMC7185015/pdf/main.pdf" TargetMode="External" Type="http://schemas.openxmlformats.org/officeDocument/2006/relationships/hyperlink"/><Relationship Id="rId162" Target="media/image74.png" Type="http://schemas.openxmlformats.org/officeDocument/2006/relationships/image"/><Relationship Id="rId183" Target="media/image84.png" Type="http://schemas.openxmlformats.org/officeDocument/2006/relationships/image"/><Relationship Id="rId2" Target="numbering.xml" Type="http://schemas.openxmlformats.org/officeDocument/2006/relationships/numbering"/><Relationship Id="rId29" Target="https://www.nejm.org/doi/full/10.1056/NEJMp030078" TargetMode="External" Type="http://schemas.openxmlformats.org/officeDocument/2006/relationships/hyperlink"/><Relationship Id="rId24" Target="media/image8.gif" Type="http://schemas.openxmlformats.org/officeDocument/2006/relationships/image"/><Relationship Id="rId40" Target="https://www.biopills.net/il-sistema-immunitario-ed-i-suoi-attori-introduzione/" TargetMode="External" Type="http://schemas.openxmlformats.org/officeDocument/2006/relationships/hyperlink"/><Relationship Id="rId45" Target="https://www.uniba.it/docenti/coluccia-mauro/attivita-didattica/materiale-didattico/2-infiammazione.pdf" TargetMode="External" Type="http://schemas.openxmlformats.org/officeDocument/2006/relationships/hyperlink"/><Relationship Id="rId66" Target="https://www.ncbi.nlm.nih.gov/pmc/articles/PMC5805548/pdf/oncotarget-09-7204.pdf" TargetMode="External" Type="http://schemas.openxmlformats.org/officeDocument/2006/relationships/hyperlink"/><Relationship Id="rId87" Target="media/image35.jpeg" Type="http://schemas.openxmlformats.org/officeDocument/2006/relationships/image"/><Relationship Id="rId110" Target="https://link.springer.com/article/10.1007/s12250-020-00207-4" TargetMode="External" Type="http://schemas.openxmlformats.org/officeDocument/2006/relationships/hyperlink"/><Relationship Id="rId115" Target="http://old.iss.it/binary/publ/cont/ANN_18_01_13.pdf" TargetMode="External" Type="http://schemas.openxmlformats.org/officeDocument/2006/relationships/hyperlink"/><Relationship Id="rId131" Target="media/image58.jpeg" Type="http://schemas.openxmlformats.org/officeDocument/2006/relationships/image"/><Relationship Id="rId136" Target="https://www.ncbi.nlm.nih.gov/pmc/articles/PMC4165321/" TargetMode="External" Type="http://schemas.openxmlformats.org/officeDocument/2006/relationships/hyperlink"/><Relationship Id="rId157" Target="https://www.cell.com/action/showPdf?pii=S1074-7613%2817%2930090-0" TargetMode="External" Type="http://schemas.openxmlformats.org/officeDocument/2006/relationships/hyperlink"/><Relationship Id="rId178" Target="media/image82.jpeg" Type="http://schemas.openxmlformats.org/officeDocument/2006/relationships/image"/><Relationship Id="rId61" Target="media/image21.png" Type="http://schemas.openxmlformats.org/officeDocument/2006/relationships/image"/><Relationship Id="rId82" Target="https://jamanetwork.com/journals/jamainternalmedicine/fullarticle/209609" TargetMode="External" Type="http://schemas.openxmlformats.org/officeDocument/2006/relationships/hyperlink"/><Relationship Id="rId152" Target="media/image69.jpeg" Type="http://schemas.openxmlformats.org/officeDocument/2006/relationships/image"/><Relationship Id="rId173" Target="https://www.semanticscholar.org/paper/Inflammaging%3A-a-new-immune%E2%80%93metabolic-viewpoint-for-Franceschi-Garagnani/6247ca2e33d38d072f1f7196e156b43975d00e71" TargetMode="External" Type="http://schemas.openxmlformats.org/officeDocument/2006/relationships/hyperlink"/><Relationship Id="rId19" Target="https://www.nejm.org/doi/full/10.1056/NEJMoa2002032" TargetMode="External" Type="http://schemas.openxmlformats.org/officeDocument/2006/relationships/hyperlink"/><Relationship Id="rId14" Target="media/image3.jpeg" Type="http://schemas.openxmlformats.org/officeDocument/2006/relationships/image"/><Relationship Id="rId30" Target="https://www.unisr.it/en/news/2020/3/viaggio-al-centro-del-virus-come-e-fatto-sars-cov-2" TargetMode="External" Type="http://schemas.openxmlformats.org/officeDocument/2006/relationships/hyperlink"/><Relationship Id="rId35" Target="media/image12.png" Type="http://schemas.openxmlformats.org/officeDocument/2006/relationships/image"/><Relationship Id="rId56" Target="media/image20.jpeg" Type="http://schemas.openxmlformats.org/officeDocument/2006/relationships/image"/><Relationship Id="rId77" Target="https://reader.elsevier.com/reader/sd/pii/S1876034111000256?token=AC31C2C9E32AE728E17E26C69BF8E70B65CB89C5A661621D922C227EA6E38D5CC7A67AA679ACAA010C2A9D59CD011EF4" TargetMode="External" Type="http://schemas.openxmlformats.org/officeDocument/2006/relationships/hyperlink"/><Relationship Id="rId100" Target="media/image42.jpeg" Type="http://schemas.openxmlformats.org/officeDocument/2006/relationships/image"/><Relationship Id="rId105" Target="https://link.springer.com/article/10.1007/s12250-020-00207-4" TargetMode="External" Type="http://schemas.openxmlformats.org/officeDocument/2006/relationships/hyperlink"/><Relationship Id="rId126" Target="https://www.ncbi.nlm.nih.gov/pmc/articles/PMC7221011/" TargetMode="External" Type="http://schemas.openxmlformats.org/officeDocument/2006/relationships/hyperlink"/><Relationship Id="rId147" Target="https://www.nature.com/articles/mi201681" TargetMode="External" Type="http://schemas.openxmlformats.org/officeDocument/2006/relationships/hyperlink"/><Relationship Id="rId168" Target="media/image77.jpeg" Type="http://schemas.openxmlformats.org/officeDocument/2006/relationships/image"/><Relationship Id="rId8" Target="https://bit.ly/ebook_COVID-19" TargetMode="External" Type="http://schemas.openxmlformats.org/officeDocument/2006/relationships/hyperlink"/><Relationship Id="rId51" Target="https://geekymedics.com/immune-response/" TargetMode="External" Type="http://schemas.openxmlformats.org/officeDocument/2006/relationships/hyperlink"/><Relationship Id="rId72" Target="https://www.ncbi.nlm.nih.gov/pmc/articles/pmc7182527/" TargetMode="External" Type="http://schemas.openxmlformats.org/officeDocument/2006/relationships/hyperlink"/><Relationship Id="rId93" Target="media/image38.jpeg" Type="http://schemas.openxmlformats.org/officeDocument/2006/relationships/image"/><Relationship Id="rId98" Target="media/image41.jpeg" Type="http://schemas.openxmlformats.org/officeDocument/2006/relationships/image"/><Relationship Id="rId121" Target="media/image53.jpeg" Type="http://schemas.openxmlformats.org/officeDocument/2006/relationships/image"/><Relationship Id="rId142" Target="https://www.nature.com/articles/s41541-017-0042-4/figures/1" TargetMode="External" Type="http://schemas.openxmlformats.org/officeDocument/2006/relationships/hyperlink"/><Relationship Id="rId163" Target="https://www.ncbi.nlm.nih.gov/pmc/articles/PMC6943173/" TargetMode="External" Type="http://schemas.openxmlformats.org/officeDocument/2006/relationships/hyperlink"/><Relationship Id="rId184" Target="https://www.researchgate.net/publication/340548509_Androgen-driven_COVID-19_pandemic_theory" TargetMode="External" Type="http://schemas.openxmlformats.org/officeDocument/2006/relationships/hyperlink"/><Relationship Id="rId189" Target="fontTable.xml" Type="http://schemas.openxmlformats.org/officeDocument/2006/relationships/fontTable"/><Relationship Id="rId3" Target="styles.xml" Type="http://schemas.openxmlformats.org/officeDocument/2006/relationships/styles"/><Relationship Id="rId25" Target="https://www.dietrolospecchio.it/covid-19-coronavirus-colpevole-senza-regolare-processo" TargetMode="External" Type="http://schemas.openxmlformats.org/officeDocument/2006/relationships/hyperlink"/><Relationship Id="rId46" Target="media/image15.png" Type="http://schemas.openxmlformats.org/officeDocument/2006/relationships/image"/><Relationship Id="rId67" Target="media/image24.jpeg" Type="http://schemas.openxmlformats.org/officeDocument/2006/relationships/image"/><Relationship Id="rId116" Target="https://fioritieditore.com/wp-content/uploads/2020/06/Donzelli.pdf?fbclid=IwAR1GwdUNZwOmPdOMLqjz-o0pNLZLjG7xZ2ovDajcBINiFs6jNuUGbYO01o8" TargetMode="External" Type="http://schemas.openxmlformats.org/officeDocument/2006/relationships/hyperlink"/><Relationship Id="rId137" Target="media/image61.jpeg" Type="http://schemas.openxmlformats.org/officeDocument/2006/relationships/image"/><Relationship Id="rId158" Target="media/image72.png" Type="http://schemas.openxmlformats.org/officeDocument/2006/relationships/image"/><Relationship Id="rId20" Target="media/image6.png" Type="http://schemas.openxmlformats.org/officeDocument/2006/relationships/image"/><Relationship Id="rId41" Target="https://www.biopills.net/radicali-liberi/" TargetMode="External" Type="http://schemas.openxmlformats.org/officeDocument/2006/relationships/hyperlink"/><Relationship Id="rId62" Target="https://www.uniba.it/docenti/coluccia-mauro/attivita-didattica/materiale-didattico/2-infiammazione.pdf" TargetMode="External" Type="http://schemas.openxmlformats.org/officeDocument/2006/relationships/hyperlink"/><Relationship Id="rId83" Target="media/image32.jpeg" Type="http://schemas.openxmlformats.org/officeDocument/2006/relationships/image"/><Relationship Id="rId88" Target="https://www.ncbi.nlm.nih.gov/pmc/articles/PMC7196557/" TargetMode="External" Type="http://schemas.openxmlformats.org/officeDocument/2006/relationships/hyperlink"/><Relationship Id="rId111" Target="media/image48.jpeg" Type="http://schemas.openxmlformats.org/officeDocument/2006/relationships/image"/><Relationship Id="rId132" Target="https://www.ncbi.nlm.nih.gov/pmc/articles/PMC4108897/" TargetMode="External" Type="http://schemas.openxmlformats.org/officeDocument/2006/relationships/hyperlink"/><Relationship Id="rId153" Target="https://www.ncbi.nlm.nih.gov/pmc/articles/PMC6383444/" TargetMode="External" Type="http://schemas.openxmlformats.org/officeDocument/2006/relationships/hyperlink"/><Relationship Id="rId174" Target="media/image80.jpeg" Type="http://schemas.openxmlformats.org/officeDocument/2006/relationships/image"/><Relationship Id="rId179" Target="media/hdphoto1.wdp" Type="http://schemas.microsoft.com/office/2007/relationships/hdphoto"/><Relationship Id="rId190" Target="theme/theme1.xml" Type="http://schemas.openxmlformats.org/officeDocument/2006/relationships/theme"/><Relationship Id="rId15" Target="https://www.epicentro.iss.it/coronavirus/bollettino/Infografica_10giugno%20ITA.pdf" TargetMode="External" Type="http://schemas.openxmlformats.org/officeDocument/2006/relationships/hyperlink"/><Relationship Id="rId36" Target="https://www.uniba.it/docenti/coluccia-mauro/attivita-didattica/materiale-didattico/2-infiammazione.pdf" TargetMode="External" Type="http://schemas.openxmlformats.org/officeDocument/2006/relationships/hyperlink"/><Relationship Id="rId57" Target="http://www.bmscience.net/blog/modalita-di-trasduzione-del-segnale/" TargetMode="External" Type="http://schemas.openxmlformats.org/officeDocument/2006/relationships/hyperlink"/><Relationship Id="rId106" Target="media/image45.jpeg" Type="http://schemas.openxmlformats.org/officeDocument/2006/relationships/image"/><Relationship Id="rId127" Target="media/image56.png" Type="http://schemas.openxmlformats.org/officeDocument/2006/relationships/image"/><Relationship Id="rId10" Target="header1.xml" Type="http://schemas.openxmlformats.org/officeDocument/2006/relationships/header"/><Relationship Id="rId31" Target="media/image11.jpeg" Type="http://schemas.openxmlformats.org/officeDocument/2006/relationships/image"/><Relationship Id="rId52" Target="media/image18.jpeg" Type="http://schemas.openxmlformats.org/officeDocument/2006/relationships/image"/><Relationship Id="rId73" Target="media/image27.jpeg" Type="http://schemas.openxmlformats.org/officeDocument/2006/relationships/image"/><Relationship Id="rId78" Target="https://www.nonfartiinfluenzare.it/tutto-sulla-febbre/che-cos%C3%A8-la-febbre/" TargetMode="External" Type="http://schemas.openxmlformats.org/officeDocument/2006/relationships/hyperlink"/><Relationship Id="rId94" Target="https://www.ncbi.nlm.nih.gov/pmc/articles/PMC7185015/pdf/main.pdf" TargetMode="External" Type="http://schemas.openxmlformats.org/officeDocument/2006/relationships/hyperlink"/><Relationship Id="rId99" Target="https://www.researchgate.net/publication/259826273_The_function_of_Fc_gamma_receptors_in_dendritic_cells_and_macrophages/link/0a85e53c9011b7e179000000/download" TargetMode="External" Type="http://schemas.openxmlformats.org/officeDocument/2006/relationships/hyperlink"/><Relationship Id="rId101" Target="https://www.frontiersin.org/articles/10.3389/fimmu.2019.01540/full" TargetMode="External" Type="http://schemas.openxmlformats.org/officeDocument/2006/relationships/hyperlink"/><Relationship Id="rId122" Target="https://www.ncbi.nlm.nih.gov/pmc/articles/PMC7211658/" TargetMode="External" Type="http://schemas.openxmlformats.org/officeDocument/2006/relationships/hyperlink"/><Relationship Id="rId143" Target="media/image64.jpeg" Type="http://schemas.openxmlformats.org/officeDocument/2006/relationships/image"/><Relationship Id="rId148" Target="media/image67.jpeg" Type="http://schemas.openxmlformats.org/officeDocument/2006/relationships/image"/><Relationship Id="rId164" Target="media/image75.jpeg" Type="http://schemas.openxmlformats.org/officeDocument/2006/relationships/image"/><Relationship Id="rId169" Target="https://www.ncbi.nlm.nih.gov/pmc/articles/PMC5515003/pdf/npjamd201618.pdf" TargetMode="External" Type="http://schemas.openxmlformats.org/officeDocument/2006/relationships/hyperlink"/><Relationship Id="rId185" Target="media/image85.jpeg" Type="http://schemas.openxmlformats.org/officeDocument/2006/relationships/image"/><Relationship Id="rId4" Target="settings.xml" Type="http://schemas.openxmlformats.org/officeDocument/2006/relationships/settings"/><Relationship Id="rId9" Target="media/image1.jpeg" Type="http://schemas.openxmlformats.org/officeDocument/2006/relationships/image"/><Relationship Id="rId180" Target="https://www.ncbi.nlm.nih.gov/pmc/articles/PMC7217790/" TargetMode="External" Type="http://schemas.openxmlformats.org/officeDocument/2006/relationships/hyperlink"/><Relationship Id="rId26" Target="http://www.aslcn2.it/media/2013/07/Informazioni-testo-unico-rischio-biologico.pdf" TargetMode="External" Type="http://schemas.openxmlformats.org/officeDocument/2006/relationships/hyperlink"/><Relationship Id="rId47" Target="https://www.researchgate.net/publication/330966366_M1_and_M2_polarization_of_macrophages_a_mini-review" TargetMode="External" Type="http://schemas.openxmlformats.org/officeDocument/2006/relationships/hyperlink"/><Relationship Id="rId68" Target="https://www.intechopen.com/books/immune-response-activation-and-immunomodulation/cytokine-profiling-plays-a-crucial-role-in-activating-immune-system-to-clear-infectious-pathogens" TargetMode="External" Type="http://schemas.openxmlformats.org/officeDocument/2006/relationships/hyperlink"/><Relationship Id="rId89" Target="media/image36.jpeg" Type="http://schemas.openxmlformats.org/officeDocument/2006/relationships/image"/><Relationship Id="rId112" Target="https://www.sciencedirect.com/science/article/pii/S1286457920300721?via%3Dihub" TargetMode="External" Type="http://schemas.openxmlformats.org/officeDocument/2006/relationships/hyperlink"/><Relationship Id="rId133" Target="media/image59.jpeg" Type="http://schemas.openxmlformats.org/officeDocument/2006/relationships/image"/><Relationship Id="rId154" Target="media/image70.jpeg" Type="http://schemas.openxmlformats.org/officeDocument/2006/relationships/image"/><Relationship Id="rId175" Target="https://www.ncbi.nlm.nih.gov/pmc/articles/PMC6004897/" TargetMode="External" Type="http://schemas.openxmlformats.org/officeDocument/2006/relationships/hyperlink"/><Relationship Id="rId16" Target="media/image4.jpeg" Type="http://schemas.openxmlformats.org/officeDocument/2006/relationships/image"/><Relationship Id="rId37" Target="media/image13.jpeg" Type="http://schemas.openxmlformats.org/officeDocument/2006/relationships/image"/><Relationship Id="rId58" Target="https://www.biopills.net/colorazione-di-gram-identificare-batteri-gram-positivi-e-gram-negativi/" TargetMode="External" Type="http://schemas.openxmlformats.org/officeDocument/2006/relationships/hyperlink"/><Relationship Id="rId79" Target="media/image30.png" Type="http://schemas.openxmlformats.org/officeDocument/2006/relationships/image"/><Relationship Id="rId102" Target="media/image43.jpeg" Type="http://schemas.openxmlformats.org/officeDocument/2006/relationships/image"/><Relationship Id="rId123" Target="media/image54.jpeg" Type="http://schemas.openxmlformats.org/officeDocument/2006/relationships/image"/><Relationship Id="rId144" Target="media/image65.jpeg" Type="http://schemas.openxmlformats.org/officeDocument/2006/relationships/image"/><Relationship Id="rId90" Target="https://www.ncbi.nlm.nih.gov/pmc/articles/PMC7196557/" TargetMode="External" Type="http://schemas.openxmlformats.org/officeDocument/2006/relationships/hyperlink"/><Relationship Id="rId165" Target="https://www.ncbi.nlm.nih.gov/pmc/articles/PMC4707740/" TargetMode="External" Type="http://schemas.openxmlformats.org/officeDocument/2006/relationships/hyperlink"/><Relationship Id="rId186" Target="https://www.mdpi.com/1999-4915/11/8/762/htm" TargetMode="External" Type="http://schemas.openxmlformats.org/officeDocument/2006/relationships/hyperlink"/><Relationship Id="rId27" Target="media/image9.jpeg" Type="http://schemas.openxmlformats.org/officeDocument/2006/relationships/image"/><Relationship Id="rId48" Target="media/image16.jpeg" Type="http://schemas.openxmlformats.org/officeDocument/2006/relationships/image"/><Relationship Id="rId69" Target="media/image25.jpeg" Type="http://schemas.openxmlformats.org/officeDocument/2006/relationships/image"/><Relationship Id="rId113" Target="media/image49.png" Type="http://schemas.openxmlformats.org/officeDocument/2006/relationships/image"/><Relationship Id="rId134" Target="https://journals.plos.org/plospathogens/article?id=10.1371/journal.ppat.1008303" TargetMode="External" Type="http://schemas.openxmlformats.org/officeDocument/2006/relationships/hyperlink"/><Relationship Id="rId80" Target="media/image31.jpeg" Type="http://schemas.openxmlformats.org/officeDocument/2006/relationships/image"/><Relationship Id="rId155" Target="https://www.ncbi.nlm.nih.gov/pmc/articles/PMC5706746/" TargetMode="External" Type="http://schemas.openxmlformats.org/officeDocument/2006/relationships/hyperlink"/><Relationship Id="rId176" Target="media/image81.jpeg" Type="http://schemas.openxmlformats.org/officeDocument/2006/relationships/image"/><Relationship Id="rId17" Target="https://www.epicentro.iss.it/coronavirus/bollettino/Report-COVID-2019_11_giugno.pdf" TargetMode="External" Type="http://schemas.openxmlformats.org/officeDocument/2006/relationships/hyperlink"/><Relationship Id="rId38" Target="https://www.ncbi.nlm.nih.gov/pmc/articles/PMC6487120/" TargetMode="External" Type="http://schemas.openxmlformats.org/officeDocument/2006/relationships/hyperlink"/><Relationship Id="rId59" Target="https://www.biopills.net/heat-shock-protein-una-storia-di-serendipita/" TargetMode="External" Type="http://schemas.openxmlformats.org/officeDocument/2006/relationships/hyperlink"/><Relationship Id="rId103" Target="https://www.frontiersin.org/articles/10.3389/fimmu.2019.01540/full" TargetMode="External" Type="http://schemas.openxmlformats.org/officeDocument/2006/relationships/hyperlink"/><Relationship Id="rId124" Target="https://www.ncbi.nlm.nih.gov/pmc/articles/PMC6003181/pdf/40425_2018_Article_343.pdf" TargetMode="External" Type="http://schemas.openxmlformats.org/officeDocument/2006/relationships/hyperlink"/><Relationship Id="rId70" Target="https://www.ncbi.nlm.nih.gov/pmc/articles/PMC6003181/" TargetMode="External" Type="http://schemas.openxmlformats.org/officeDocument/2006/relationships/hyperlink"/><Relationship Id="rId91" Target="media/image37.jpeg" Type="http://schemas.openxmlformats.org/officeDocument/2006/relationships/image"/><Relationship Id="rId145" Target="https://www.ncbi.nlm.nih.gov/pmc/articles/PMC5532073/" TargetMode="External" Type="http://schemas.openxmlformats.org/officeDocument/2006/relationships/hyperlink"/><Relationship Id="rId166" Target="media/image76.jpeg" Type="http://schemas.openxmlformats.org/officeDocument/2006/relationships/image"/><Relationship Id="rId187" Target="media/image86.jpeg" Type="http://schemas.openxmlformats.org/officeDocument/2006/relationships/image"/><Relationship Id="rId1" Target="../customXml/item1.xml" Type="http://schemas.openxmlformats.org/officeDocument/2006/relationships/customXml"/><Relationship Id="rId28" Target="media/image10.jpeg" Type="http://schemas.openxmlformats.org/officeDocument/2006/relationships/image"/><Relationship Id="rId49" Target="http://thefunctionalnaturopath.com/autoimmune-disease-th1th2-paradigm/" TargetMode="External" Type="http://schemas.openxmlformats.org/officeDocument/2006/relationships/hyperlink"/><Relationship Id="rId114" Target="media/image50.jpeg" Type="http://schemas.openxmlformats.org/officeDocument/2006/relationships/image"/><Relationship Id="rId60" Target="https://it.wikipedia.org/wiki/HMGB1" TargetMode="External" Type="http://schemas.openxmlformats.org/officeDocument/2006/relationships/hyperlink"/><Relationship Id="rId81" Target="https://semmelweis.hu/belgyogyaszat3/files/2018/04/Patient-with-fever.pdf" TargetMode="External" Type="http://schemas.openxmlformats.org/officeDocument/2006/relationships/hyperlink"/><Relationship Id="rId135" Target="media/image60.jpeg" Type="http://schemas.openxmlformats.org/officeDocument/2006/relationships/image"/><Relationship Id="rId156" Target="media/image71.jpeg" Type="http://schemas.openxmlformats.org/officeDocument/2006/relationships/image"/><Relationship Id="rId177" Target="https://www.ncbi.nlm.nih.gov/pmc/articles/PMC6004897/" TargetMode="External" Type="http://schemas.openxmlformats.org/officeDocument/2006/relationships/hyperlink"/></Relationships>
</file>

<file path=word/_rels/footer2.xml.rels><?xml version="1.0" encoding="UTF-8" standalone="yes"?>
<Relationships xmlns="http://schemas.openxmlformats.org/package/2006/relationships"><Relationship Id="rId1" Type="http://schemas.openxmlformats.org/officeDocument/2006/relationships/hyperlink" Target="http://www.rinascimentoitalia.it/" TargetMode="External"/></Relationships>
</file>

<file path=word/_rels/footnotes.xml.rels><?xml version="1.0" encoding="UTF-8" standalone="yes"?>
<Relationships xmlns="http://schemas.openxmlformats.org/package/2006/relationships"><Relationship Id="rId21" Type="http://schemas.openxmlformats.org/officeDocument/2006/relationships/hyperlink" Target="https://pubmed.ncbi.nlm.nih.gov/?term=Chong+M&amp;cauthor_id=32191259" TargetMode="External"/><Relationship Id="rId170" Type="http://schemas.openxmlformats.org/officeDocument/2006/relationships/hyperlink" Target="https://www.ncbi.nlm.nih.gov/pubmed/?term=Henderson%20LA%5BAuthor%5D&amp;cauthor=true&amp;cauthor_uid=32293098" TargetMode="External"/><Relationship Id="rId268" Type="http://schemas.openxmlformats.org/officeDocument/2006/relationships/hyperlink" Target="https://www.ncbi.nlm.nih.gov/pubmed/?term=Osborn%20M%5BAuthor%5D&amp;cauthor=true&amp;cauthor_uid=32198191" TargetMode="External"/><Relationship Id="rId475" Type="http://schemas.openxmlformats.org/officeDocument/2006/relationships/hyperlink" Target="https://www.ncbi.nlm.nih.gov/pubmed/?term=Sharif%20K%5BAuthor%5D&amp;cauthor=true&amp;cauthor_uid=32251717" TargetMode="External"/><Relationship Id="rId682" Type="http://schemas.openxmlformats.org/officeDocument/2006/relationships/hyperlink" Target="https://link.springer.com/content/pdf/10.1007/s12250-020-00207-4.pdf" TargetMode="External"/><Relationship Id="rId128" Type="http://schemas.openxmlformats.org/officeDocument/2006/relationships/hyperlink" Target="https://www.ncbi.nlm.nih.gov/pubmed/?term=Cheng%20WC%5BAuthor%5D&amp;cauthor=true&amp;cauthor_uid=17052299" TargetMode="External"/><Relationship Id="rId335" Type="http://schemas.openxmlformats.org/officeDocument/2006/relationships/hyperlink" Target="https://www.ncbi.nlm.nih.gov/pubmed/?term=Cao%20B%5BAuthor%5D&amp;cauthor=true&amp;cauthor_uid=32311318" TargetMode="External"/><Relationship Id="rId542" Type="http://schemas.openxmlformats.org/officeDocument/2006/relationships/hyperlink" Target="https://www.ncbi.nlm.nih.gov/pubmed/?term=O%27Regan%20A%5BAuthor%5D&amp;cauthor=true&amp;cauthor_uid=32251717" TargetMode="External"/><Relationship Id="rId987" Type="http://schemas.openxmlformats.org/officeDocument/2006/relationships/hyperlink" Target="https://www.ncbi.nlm.nih.gov/pubmed/32335053" TargetMode="External"/><Relationship Id="rId1172" Type="http://schemas.openxmlformats.org/officeDocument/2006/relationships/hyperlink" Target="https://www.ncbi.nlm.nih.gov/pmc/articles/PMC4991899/" TargetMode="External"/><Relationship Id="rId402" Type="http://schemas.openxmlformats.org/officeDocument/2006/relationships/hyperlink" Target="https://www.ncbi.nlm.nih.gov/pmc/articles/PMC7185015/pdf/main.pdf" TargetMode="External"/><Relationship Id="rId847" Type="http://schemas.openxmlformats.org/officeDocument/2006/relationships/hyperlink" Target="https://www.jci.org/articles/view/138745" TargetMode="External"/><Relationship Id="rId1032" Type="http://schemas.openxmlformats.org/officeDocument/2006/relationships/hyperlink" Target="https://www.ncbi.nlm.nih.gov/pmc/articles/PMC5711983/" TargetMode="External"/><Relationship Id="rId707" Type="http://schemas.openxmlformats.org/officeDocument/2006/relationships/hyperlink" Target="https://pubmed.ncbi.nlm.nih.gov/12185262/" TargetMode="External"/><Relationship Id="rId914" Type="http://schemas.openxmlformats.org/officeDocument/2006/relationships/hyperlink" Target="https://pubmed.ncbi.nlm.nih.gov/32179660/?from_term=Epidemiology+of+COVID-19+among+children+in+China.&amp;from_pos=1" TargetMode="External"/><Relationship Id="rId1337" Type="http://schemas.openxmlformats.org/officeDocument/2006/relationships/hyperlink" Target="https://www.ncbi.nlm.nih.gov/pmc/articles/PMC7224670/" TargetMode="External"/><Relationship Id="rId43" Type="http://schemas.openxmlformats.org/officeDocument/2006/relationships/hyperlink" Target="https://www.epicentro.iss.it/coronavirus/sars-cov-2-decessi-italia" TargetMode="External"/><Relationship Id="rId1404" Type="http://schemas.openxmlformats.org/officeDocument/2006/relationships/hyperlink" Target="https://www.ncbi.nlm.nih.gov/pubmed/?term=Desforges%20M%5BAuthor%5D&amp;cauthor=true&amp;cauthor_uid=25281913" TargetMode="External"/><Relationship Id="rId192" Type="http://schemas.openxmlformats.org/officeDocument/2006/relationships/hyperlink" Target="https://www.ncbi.nlm.nih.gov/pubmed/?term=Shi%20Y%5BAuthor%5D&amp;cauthor=true&amp;cauthor_uid=32205856" TargetMode="External"/><Relationship Id="rId497" Type="http://schemas.openxmlformats.org/officeDocument/2006/relationships/hyperlink" Target="https://www.ncbi.nlm.nih.gov/pubmed/?term=Simmons%20CP%5BAuthor%5D&amp;cauthor=true&amp;cauthor_uid=22390970" TargetMode="External"/><Relationship Id="rId357" Type="http://schemas.openxmlformats.org/officeDocument/2006/relationships/hyperlink" Target="https://www.ncbi.nlm.nih.gov/pubmed/29152574?dopt=Abstract" TargetMode="External"/><Relationship Id="rId1194" Type="http://schemas.openxmlformats.org/officeDocument/2006/relationships/hyperlink" Target="https://pubmed.ncbi.nlm.nih.gov/17116321/" TargetMode="External"/><Relationship Id="rId217" Type="http://schemas.openxmlformats.org/officeDocument/2006/relationships/hyperlink" Target="https://www.ncbi.nlm.nih.gov/pubmed/?term=McGonagle%20D%5BAuthor%5D&amp;cauthor=true&amp;cauthor_uid=32251717" TargetMode="External"/><Relationship Id="rId564" Type="http://schemas.openxmlformats.org/officeDocument/2006/relationships/hyperlink" Target="http://amsacta.unibo.it/3067/124/41_fp_termoregolazione_I_ed_ebook.pdf" TargetMode="External"/><Relationship Id="rId771" Type="http://schemas.openxmlformats.org/officeDocument/2006/relationships/hyperlink" Target="https://pubmed.ncbi.nlm.nih.gov/?term=Wong+CK&amp;cauthor_id=18390747" TargetMode="External"/><Relationship Id="rId869" Type="http://schemas.openxmlformats.org/officeDocument/2006/relationships/hyperlink" Target="https://www.ncbi.nlm.nih.gov/pubmed/?term=Hollander%20GA%5BAuthor%5D&amp;cauthor=true&amp;cauthor_uid=26702035" TargetMode="External"/><Relationship Id="rId424" Type="http://schemas.openxmlformats.org/officeDocument/2006/relationships/hyperlink" Target="https://www.ncbi.nlm.nih.gov/pubmed/30319615" TargetMode="External"/><Relationship Id="rId631" Type="http://schemas.openxmlformats.org/officeDocument/2006/relationships/hyperlink" Target="https://www.thelancet.com/pdfs/journals/lancet/PIIS0140-6736(20)30566-3.pdf" TargetMode="External"/><Relationship Id="rId729" Type="http://schemas.openxmlformats.org/officeDocument/2006/relationships/hyperlink" Target="https://www.ncbi.nlm.nih.gov/pmc/articles/PMC7166884/pdf/JMV-78-1.pdf" TargetMode="External"/><Relationship Id="rId1054" Type="http://schemas.openxmlformats.org/officeDocument/2006/relationships/hyperlink" Target="https://www.ncbi.nlm.nih.gov/pmc/articles/PMC4108897/" TargetMode="External"/><Relationship Id="rId1261" Type="http://schemas.openxmlformats.org/officeDocument/2006/relationships/hyperlink" Target="https://pubmed.ncbi.nlm.nih.gov/32064853/" TargetMode="External"/><Relationship Id="rId1359" Type="http://schemas.openxmlformats.org/officeDocument/2006/relationships/hyperlink" Target="https://www.ncbi.nlm.nih.gov/pmc/articles/PMC7271072/" TargetMode="External"/><Relationship Id="rId936" Type="http://schemas.openxmlformats.org/officeDocument/2006/relationships/hyperlink" Target="https://www.ncbi.nlm.nih.gov/pmc/articles/PMC7196408/pdf/main.pdf" TargetMode="External"/><Relationship Id="rId1121" Type="http://schemas.openxmlformats.org/officeDocument/2006/relationships/hyperlink" Target="https://www.who.int/gho/child_health/mortality/neonatal_infant_text/en/" TargetMode="External"/><Relationship Id="rId1219" Type="http://schemas.openxmlformats.org/officeDocument/2006/relationships/hyperlink" Target="https://pubmed.ncbi.nlm.nih.gov/29111233/" TargetMode="External"/><Relationship Id="rId65" Type="http://schemas.openxmlformats.org/officeDocument/2006/relationships/hyperlink" Target="https://www.ncbi.nlm.nih.gov/pmc/articles/PMC7225095/" TargetMode="External"/><Relationship Id="rId281" Type="http://schemas.openxmlformats.org/officeDocument/2006/relationships/hyperlink" Target="https://www.ncbi.nlm.nih.gov/pubmed/?term=Pathological++evidence++of++pulmonary++thrombotic++phenomena++in++severe+COVID-19" TargetMode="External"/><Relationship Id="rId141" Type="http://schemas.openxmlformats.org/officeDocument/2006/relationships/hyperlink" Target="https://www.ncbi.nlm.nih.gov/pubmed/?term=O%27Regan%20A%5BAuthor%5D&amp;cauthor=true&amp;cauthor_uid=32251717" TargetMode="External"/><Relationship Id="rId379" Type="http://schemas.openxmlformats.org/officeDocument/2006/relationships/hyperlink" Target="https://www.ncbi.nlm.nih.gov/pubmed/?term=Kasasbeh%20GA%5BAuthor%5D&amp;cauthor=true&amp;cauthor_uid=32245083" TargetMode="External"/><Relationship Id="rId586" Type="http://schemas.openxmlformats.org/officeDocument/2006/relationships/hyperlink" Target="https://www.ncbi.nlm.nih.gov/pubmed/21843857" TargetMode="External"/><Relationship Id="rId793" Type="http://schemas.openxmlformats.org/officeDocument/2006/relationships/hyperlink" Target="https://pubmed.ncbi.nlm.nih.gov/31826992/?from_term=Molecular+Mechanism+for+Antibody-Dependent+Enhancement+of+Coronavirus+Entry&amp;from_filter=simsearch1.fha&amp;from_pos=1" TargetMode="External"/><Relationship Id="rId7" Type="http://schemas.openxmlformats.org/officeDocument/2006/relationships/hyperlink" Target="https://www.ncbi.nlm.nih.gov/pubmed/?term=Nisini%20R%5BAuthor%5D&amp;cauthor=true&amp;cauthor_uid=32359201" TargetMode="External"/><Relationship Id="rId239" Type="http://schemas.openxmlformats.org/officeDocument/2006/relationships/hyperlink" Target="https://www.ncbi.nlm.nih.gov/pubmed/?term=Yao%20XH%5BAuthor%5D&amp;cauthor=true&amp;cauthor_uid=32172546" TargetMode="External"/><Relationship Id="rId446" Type="http://schemas.openxmlformats.org/officeDocument/2006/relationships/hyperlink" Target="https://www.ncbi.nlm.nih.gov/pmc/articles/PMC5805548/pdf/oncotarget-09-7204.pdf" TargetMode="External"/><Relationship Id="rId653" Type="http://schemas.openxmlformats.org/officeDocument/2006/relationships/hyperlink" Target="https://www.ncbi.nlm.nih.gov/pubmed/?term=Hedrich%20CM%5BAuthor%5D&amp;cauthor=true&amp;cauthor_uid=32353634" TargetMode="External"/><Relationship Id="rId1076" Type="http://schemas.openxmlformats.org/officeDocument/2006/relationships/hyperlink" Target="https://pubmed.ncbi.nlm.nih.gov/31354709/" TargetMode="External"/><Relationship Id="rId1283" Type="http://schemas.openxmlformats.org/officeDocument/2006/relationships/hyperlink" Target="https://www.ncbi.nlm.nih.gov/pubmed/?term=Deng%20J%5BAuthor%5D&amp;cauthor=true&amp;cauthor_uid=32094336" TargetMode="External"/><Relationship Id="rId306" Type="http://schemas.openxmlformats.org/officeDocument/2006/relationships/hyperlink" Target="https://www.ncbi.nlm.nih.gov/pubmed/?term=Lacy%20JM%5BAuthor%5D&amp;cauthor=true&amp;cauthor_uid=32379077" TargetMode="External"/><Relationship Id="rId860" Type="http://schemas.openxmlformats.org/officeDocument/2006/relationships/hyperlink" Target="https://www.ncbi.nlm.nih.gov/pmc/articles/PMC7127429/" TargetMode="External"/><Relationship Id="rId958" Type="http://schemas.openxmlformats.org/officeDocument/2006/relationships/hyperlink" Target="https://pubmed.ncbi.nlm.nih.gov/32430957/" TargetMode="External"/><Relationship Id="rId1143" Type="http://schemas.openxmlformats.org/officeDocument/2006/relationships/hyperlink" Target="https://www.ncbi.nlm.nih.gov/pmc/articles/PMC5532073/" TargetMode="External"/><Relationship Id="rId87" Type="http://schemas.openxmlformats.org/officeDocument/2006/relationships/hyperlink" Target="https://www.monaldi-archives.org/index.php/macd/article/download/1342/1021" TargetMode="External"/><Relationship Id="rId513" Type="http://schemas.openxmlformats.org/officeDocument/2006/relationships/hyperlink" Target="https://www.ncbi.nlm.nih.gov/pmc/articles/PMC7262117/pdf/JMV-9999-na.pdf" TargetMode="External"/><Relationship Id="rId720" Type="http://schemas.openxmlformats.org/officeDocument/2006/relationships/hyperlink" Target="https://www.ncbi.nlm.nih.gov/pmc/articles/PMC7022351/pdf/JVI.02015-19.pdf" TargetMode="External"/><Relationship Id="rId818" Type="http://schemas.openxmlformats.org/officeDocument/2006/relationships/hyperlink" Target="https://pubmed.ncbi.nlm.nih.gov/?term=King+LR&amp;cauthor_id=23986398" TargetMode="External"/><Relationship Id="rId1350" Type="http://schemas.openxmlformats.org/officeDocument/2006/relationships/hyperlink" Target="https://www.ncbi.nlm.nih.gov/pubmed/?term=Peptide+Mimicrying+Between+SARS+Coronavirus+Spike+Protein+and+Human+Proteins+Reacts+with+SARS+Patient+Serum" TargetMode="External"/><Relationship Id="rId1003" Type="http://schemas.openxmlformats.org/officeDocument/2006/relationships/hyperlink" Target="https://www.nature.com/articles/nri2075" TargetMode="External"/><Relationship Id="rId1210" Type="http://schemas.openxmlformats.org/officeDocument/2006/relationships/hyperlink" Target="https://pubmed.ncbi.nlm.nih.gov/27789101/" TargetMode="External"/><Relationship Id="rId1308" Type="http://schemas.openxmlformats.org/officeDocument/2006/relationships/hyperlink" Target="https://www.ncbi.nlm.nih.gov/pubmed/?term=Klein%20SL%5BAuthor%5D&amp;cauthor=true&amp;cauthor_uid=26891052" TargetMode="External"/><Relationship Id="rId14"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163" Type="http://schemas.openxmlformats.org/officeDocument/2006/relationships/hyperlink" Target="https://www.ncbi.nlm.nih.gov/pubmed/?term=Shimabukuro-Vornhagen+et+al.+Journal+for+ImmunoTherapy+of+Cancer+(2018)+6%3A56+https%3A%2F%2Fdoi.org%2F10.1186%2Fs40425-018-0343-9" TargetMode="External"/><Relationship Id="rId370" Type="http://schemas.openxmlformats.org/officeDocument/2006/relationships/hyperlink" Target="https://www.bmj.com/content/368/bmj.m627/rr-32" TargetMode="External"/><Relationship Id="rId230" Type="http://schemas.openxmlformats.org/officeDocument/2006/relationships/hyperlink" Target="https://www.ncbi.nlm.nih.gov/pubmed/?term=Grassi%20S%5BAuthor%5D&amp;cauthor=true&amp;cauthor_uid=32383963" TargetMode="External"/><Relationship Id="rId468" Type="http://schemas.openxmlformats.org/officeDocument/2006/relationships/hyperlink" Target="https://www.ncbi.nlm.nih.gov/pubmed/?term=Yao%20Z%5BAuthor%5D&amp;cauthor=true&amp;cauthor_uid=32364527" TargetMode="External"/><Relationship Id="rId675" Type="http://schemas.openxmlformats.org/officeDocument/2006/relationships/hyperlink" Target="https://www.ncbi.nlm.nih.gov/pmc/articles/PMC7272717/pdf/fimmu-11-01131.pdf" TargetMode="External"/><Relationship Id="rId882" Type="http://schemas.openxmlformats.org/officeDocument/2006/relationships/hyperlink" Target="https://pubmed.ncbi.nlm.nih.gov/10911963/" TargetMode="External"/><Relationship Id="rId1098" Type="http://schemas.openxmlformats.org/officeDocument/2006/relationships/hyperlink" Target="https://www.ncbi.nlm.nih.gov/pmc/articles/PMC3008185/" TargetMode="External"/><Relationship Id="rId328" Type="http://schemas.openxmlformats.org/officeDocument/2006/relationships/hyperlink" Target="https://www.ncbi.nlm.nih.gov/pubmed/?term=Li%20H%5BAuthor%5D&amp;cauthor=true&amp;cauthor_uid=32311318" TargetMode="External"/><Relationship Id="rId535" Type="http://schemas.openxmlformats.org/officeDocument/2006/relationships/hyperlink" Target="https://www.ncbi.nlm.nih.gov/pubmed/?term=Shang%20K%5BAuthor%5D&amp;cauthor=true&amp;cauthor_uid=32161940" TargetMode="External"/><Relationship Id="rId742" Type="http://schemas.openxmlformats.org/officeDocument/2006/relationships/hyperlink" Target="https://pubmed.ncbi.nlm.nih.gov/16322745/" TargetMode="External"/><Relationship Id="rId1165" Type="http://schemas.openxmlformats.org/officeDocument/2006/relationships/hyperlink" Target="https://www.nature.com/articles/mi201681" TargetMode="External"/><Relationship Id="rId1372" Type="http://schemas.openxmlformats.org/officeDocument/2006/relationships/hyperlink" Target="https://www.ncbi.nlm.nih.gov/pmc/articles/PMC7159680/" TargetMode="External"/><Relationship Id="rId602" Type="http://schemas.openxmlformats.org/officeDocument/2006/relationships/hyperlink" Target="https://www.ncbi.nlm.nih.gov/pubmed/11262580" TargetMode="External"/><Relationship Id="rId1025" Type="http://schemas.openxmlformats.org/officeDocument/2006/relationships/hyperlink" Target="https://www.ncbi.nlm.nih.gov/pmc/articles/PMC1372843/pdf/amjphnation00321-0066.pdf" TargetMode="External"/><Relationship Id="rId1232" Type="http://schemas.openxmlformats.org/officeDocument/2006/relationships/hyperlink" Target="https://pubmed.ncbi.nlm.nih.gov/28403789/" TargetMode="External"/><Relationship Id="rId907" Type="http://schemas.openxmlformats.org/officeDocument/2006/relationships/hyperlink" Target="https://www.ncbi.nlm.nih.gov/pmc/articles/PMC7221011/" TargetMode="External"/><Relationship Id="rId36" Type="http://schemas.openxmlformats.org/officeDocument/2006/relationships/hyperlink" Target="https://www.ncbi.nlm.nih.gov/pubmed/?term=Matricardi%20PM%5BAuthor%5D&amp;cauthor=true&amp;cauthor_uid=32359201" TargetMode="External"/><Relationship Id="rId185" Type="http://schemas.openxmlformats.org/officeDocument/2006/relationships/hyperlink" Target="https://www.ncbi.nlm.nih.gov/pubmed/?term=Dolhnikoff%20M%5BAuthor%5D&amp;cauthor=true&amp;cauthor_uid=32294295" TargetMode="External"/><Relationship Id="rId392" Type="http://schemas.openxmlformats.org/officeDocument/2006/relationships/hyperlink" Target="https://pubmed.ncbi.nlm.nih.gov/27712621/?from_term=Supramolecular+Architecture+of+the+Coronavirus+Particle&amp;from_pos=1" TargetMode="External"/><Relationship Id="rId697" Type="http://schemas.openxmlformats.org/officeDocument/2006/relationships/hyperlink" Target="https://pubmed.ncbi.nlm.nih.gov/26497532/?from_term=Fc+receptors+in+antibody%E2%80%90dependent+enhancement+of+viral+infections&amp;from_pos=1" TargetMode="External"/><Relationship Id="rId252" Type="http://schemas.openxmlformats.org/officeDocument/2006/relationships/hyperlink" Target="https://www.ncbi.nlm.nih.gov/pubmed/?term=Scientific%20Society%20of%20Hospital%20Legal%20Medicine%20of%20the%20National%20Health%20System%20(COMLAS)%5BCorporate%20Author%5D" TargetMode="External"/><Relationship Id="rId1187" Type="http://schemas.openxmlformats.org/officeDocument/2006/relationships/hyperlink" Target="https://www.ncbi.nlm.nih.gov/pmc/articles/PMC3782993/" TargetMode="External"/><Relationship Id="rId112" Type="http://schemas.openxmlformats.org/officeDocument/2006/relationships/hyperlink" Target="https://www.affaritaliani.it/static/upl2020/covi/0001/covid-19--circolare-del-ministero-della-salutepdf2.pdf" TargetMode="External"/><Relationship Id="rId557" Type="http://schemas.openxmlformats.org/officeDocument/2006/relationships/hyperlink" Target="https://www.ncbi.nlm.nih.gov/pubmed/32305883" TargetMode="External"/><Relationship Id="rId764" Type="http://schemas.openxmlformats.org/officeDocument/2006/relationships/hyperlink" Target="https://pubmed.ncbi.nlm.nih.gov/?term=Wu+D&amp;cauthor_id=32205092" TargetMode="External"/><Relationship Id="rId971" Type="http://schemas.openxmlformats.org/officeDocument/2006/relationships/hyperlink" Target="https://pubmed.ncbi.nlm.nih.gov/32180292/?from_term=coronaviurs+death+pregancy&amp;from_exact_term=coronavirus+death+pregnancy&amp;from_pos=2" TargetMode="External"/><Relationship Id="rId1394" Type="http://schemas.openxmlformats.org/officeDocument/2006/relationships/hyperlink" Target="https://www.ncbi.nlm.nih.gov/pubmed/?term=Talbot%20PJ%5BAuthor%5D&amp;cauthor=true&amp;cauthor_uid=29925652" TargetMode="External"/><Relationship Id="rId417" Type="http://schemas.openxmlformats.org/officeDocument/2006/relationships/hyperlink" Target="https://www.ncbi.nlm.nih.gov/pubmed/?term=Bautista%20E%5BAuthor%5D&amp;cauthor=true&amp;cauthor_uid=20445182" TargetMode="External"/><Relationship Id="rId624" Type="http://schemas.openxmlformats.org/officeDocument/2006/relationships/hyperlink" Target="https://www.ncbi.nlm.nih.gov/pubmed/?term=Ramirez%20J%5BAuthor%5D&amp;cauthor=true&amp;cauthor_uid=9076300" TargetMode="External"/><Relationship Id="rId831" Type="http://schemas.openxmlformats.org/officeDocument/2006/relationships/hyperlink" Target="https://pubmed.ncbi.nlm.nih.gov/?term=Valent+F&amp;cauthor_id=29616677" TargetMode="External"/><Relationship Id="rId1047" Type="http://schemas.openxmlformats.org/officeDocument/2006/relationships/hyperlink" Target="https://www.ncbi.nlm.nih.gov/pmc/articles/PMC5554489/" TargetMode="External"/><Relationship Id="rId1254" Type="http://schemas.openxmlformats.org/officeDocument/2006/relationships/hyperlink" Target="https://www.ncbi.nlm.nih.gov/pmc/articles/PMC6842962/" TargetMode="External"/><Relationship Id="rId929" Type="http://schemas.openxmlformats.org/officeDocument/2006/relationships/hyperlink" Target="https://pubmed.ncbi.nlm.nih.gov/?term=Tong+S&amp;cauthor_id=32179660" TargetMode="External"/><Relationship Id="rId1114" Type="http://schemas.openxmlformats.org/officeDocument/2006/relationships/hyperlink" Target="https://www.ncbi.nlm.nih.gov/pmc/articles/PMC6986364/" TargetMode="External"/><Relationship Id="rId1321" Type="http://schemas.openxmlformats.org/officeDocument/2006/relationships/hyperlink" Target="https://www.ncbi.nlm.nih.gov/pubmed/28373583/" TargetMode="External"/><Relationship Id="rId58" Type="http://schemas.openxmlformats.org/officeDocument/2006/relationships/hyperlink" Target="https://www.ncbi.nlm.nih.gov/pubmed/?term=Gattinoni%20L%5BAuthor%5D&amp;cauthor=true&amp;cauthor_uid=32228035" TargetMode="External"/><Relationship Id="rId1419" Type="http://schemas.openxmlformats.org/officeDocument/2006/relationships/hyperlink" Target="https://www.vox.com/2020/5/8/21251899/coronavirus-long-term-effects-symptoms" TargetMode="External"/><Relationship Id="rId274" Type="http://schemas.openxmlformats.org/officeDocument/2006/relationships/hyperlink" Target="https://www.ncbi.nlm.nih.gov/pubmed/?term=Kessler%20HH%5BAuthor%5D&amp;cauthor=true&amp;cauthor_uid=32422076" TargetMode="External"/><Relationship Id="rId481" Type="http://schemas.openxmlformats.org/officeDocument/2006/relationships/hyperlink" Target="https://www.ncbi.nlm.nih.gov/pubmed/?term=McAuley%20DF%5BAuthor%5D&amp;cauthor=true&amp;cauthor_uid=32192578" TargetMode="External"/><Relationship Id="rId134" Type="http://schemas.openxmlformats.org/officeDocument/2006/relationships/hyperlink" Target="https://www.ncbi.nlm.nih.gov/pubmed/?term=Zheng%20Z%5BAuthor%5D&amp;cauthor=true&amp;cauthor_uid=32364527" TargetMode="External"/><Relationship Id="rId579" Type="http://schemas.openxmlformats.org/officeDocument/2006/relationships/hyperlink" Target="https://www.ncbi.nlm.nih.gov/pubmed/?term=Maki%20DG%5BAuthor%5D&amp;cauthor=true&amp;cauthor_uid=18379262" TargetMode="External"/><Relationship Id="rId786" Type="http://schemas.openxmlformats.org/officeDocument/2006/relationships/hyperlink" Target="https://www.ncbi.nlm.nih.gov/pmc/articles/PMC4924810/" TargetMode="External"/><Relationship Id="rId993" Type="http://schemas.openxmlformats.org/officeDocument/2006/relationships/hyperlink" Target="https://pubmed.ncbi.nlm.nih.gov/?term=Ygberg+S&amp;cauthor_id=22003882" TargetMode="External"/><Relationship Id="rId341" Type="http://schemas.openxmlformats.org/officeDocument/2006/relationships/hyperlink" Target="https://www.ncbi.nlm.nih.gov/pubmed/?term=Ding%20Y%5BAuthor%5D&amp;cauthor=true&amp;cauthor_uid=12845623" TargetMode="External"/><Relationship Id="rId439" Type="http://schemas.openxmlformats.org/officeDocument/2006/relationships/hyperlink" Target="https://www.ncbi.nlm.nih.gov/pubmed/?term=Cui%20H%5BAuthor%5D&amp;cauthor=true&amp;cauthor_uid=29467962" TargetMode="External"/><Relationship Id="rId646" Type="http://schemas.openxmlformats.org/officeDocument/2006/relationships/hyperlink" Target="https://pubmed.ncbi.nlm.nih.gov/?term=Goyal+P&amp;cauthor_id=32302078" TargetMode="External"/><Relationship Id="rId1069" Type="http://schemas.openxmlformats.org/officeDocument/2006/relationships/hyperlink" Target="https://pubmed.ncbi.nlm.nih.gov/?term=Hubbard+JJ&amp;cauthor_id=31354709" TargetMode="External"/><Relationship Id="rId1276" Type="http://schemas.openxmlformats.org/officeDocument/2006/relationships/hyperlink" Target="https://www.ncbi.nlm.nih.gov/pmc/articles/PMC6920072/" TargetMode="External"/><Relationship Id="rId201" Type="http://schemas.openxmlformats.org/officeDocument/2006/relationships/hyperlink" Target="https://www.ncbi.nlm.nih.gov/pubmed/?term=Melino%20G%5BAuthor%5D&amp;cauthor=true&amp;cauthor_uid=32205856" TargetMode="External"/><Relationship Id="rId506" Type="http://schemas.openxmlformats.org/officeDocument/2006/relationships/hyperlink" Target="https://www.ncbi.nlm.nih.gov/pubmed/32294295" TargetMode="External"/><Relationship Id="rId853" Type="http://schemas.openxmlformats.org/officeDocument/2006/relationships/hyperlink" Target="https://www.ncbi.nlm.nih.gov/pmc/articles/PMC7131471/" TargetMode="External"/><Relationship Id="rId1136" Type="http://schemas.openxmlformats.org/officeDocument/2006/relationships/hyperlink" Target="https://www.ncbi.nlm.nih.gov/pmc/articles/PMC3582707/" TargetMode="External"/><Relationship Id="rId713" Type="http://schemas.openxmlformats.org/officeDocument/2006/relationships/hyperlink" Target="https://pubmed.ncbi.nlm.nih.gov/?term=Whitehead+SS&amp;cauthor_id=21738473" TargetMode="External"/><Relationship Id="rId920" Type="http://schemas.openxmlformats.org/officeDocument/2006/relationships/hyperlink" Target="https://pubmed.ncbi.nlm.nih.gov/?term=Hu+Y&amp;cauthor_id=32179660" TargetMode="External"/><Relationship Id="rId1343" Type="http://schemas.openxmlformats.org/officeDocument/2006/relationships/hyperlink" Target="https://www.ncbi.nlm.nih.gov/pmc/articles/PMC7131471/" TargetMode="External"/><Relationship Id="rId1203" Type="http://schemas.openxmlformats.org/officeDocument/2006/relationships/hyperlink" Target="https://pubmed.ncbi.nlm.nih.gov/29242543/" TargetMode="External"/><Relationship Id="rId1410" Type="http://schemas.openxmlformats.org/officeDocument/2006/relationships/hyperlink" Target="https://www.ncbi.nlm.nih.gov/pubmed/16252612" TargetMode="External"/><Relationship Id="rId296" Type="http://schemas.openxmlformats.org/officeDocument/2006/relationships/hyperlink" Target="https://www.ncbi.nlm.nih.gov/pubmed/?term=Ruschitzka%20F%5BAuthor%5D&amp;cauthor=true&amp;cauthor_uid=32325026" TargetMode="External"/><Relationship Id="rId156" Type="http://schemas.openxmlformats.org/officeDocument/2006/relationships/hyperlink" Target="https://pubmed.ncbi.nlm.nih.gov/32423970/?from_term=Kawasaki+children+covid-19&amp;from_pos=7" TargetMode="External"/><Relationship Id="rId363" Type="http://schemas.openxmlformats.org/officeDocument/2006/relationships/hyperlink" Target="https://www.ncbi.nlm.nih.gov/pmc/articles/PMC7184994/pdf/main.pdf" TargetMode="External"/><Relationship Id="rId570" Type="http://schemas.openxmlformats.org/officeDocument/2006/relationships/hyperlink" Target="https://www.ncbi.nlm.nih.gov/pmc/articles/PMC4944485/pdf/13054_2016_Article_1375.pdf" TargetMode="External"/><Relationship Id="rId223" Type="http://schemas.openxmlformats.org/officeDocument/2006/relationships/hyperlink" Target="https://emcrit.org/ibcc/covid19/" TargetMode="External"/><Relationship Id="rId430" Type="http://schemas.openxmlformats.org/officeDocument/2006/relationships/hyperlink" Target="http://www.medecovr.it/citochina.html" TargetMode="External"/><Relationship Id="rId668" Type="http://schemas.openxmlformats.org/officeDocument/2006/relationships/hyperlink" Target="https://www.ncbi.nlm.nih.gov/pubmed/?term=Thomas%20PG%5BAuthor%5D&amp;cauthor=true&amp;cauthor_uid=28555383" TargetMode="External"/><Relationship Id="rId875" Type="http://schemas.openxmlformats.org/officeDocument/2006/relationships/hyperlink" Target="https://www.ncbi.nlm.nih.gov/pubmed/?term=Franceschi%20C%5BAuthor%5D&amp;cauthor=true&amp;cauthor_uid=10911963" TargetMode="External"/><Relationship Id="rId1060" Type="http://schemas.openxmlformats.org/officeDocument/2006/relationships/hyperlink" Target="https://pubmed.ncbi.nlm.nih.gov/?term=Vono+M&amp;cauthor_id=31412246" TargetMode="External"/><Relationship Id="rId1298" Type="http://schemas.openxmlformats.org/officeDocument/2006/relationships/hyperlink" Target="http://dx.doi.org/10.1723/3351.33219" TargetMode="External"/><Relationship Id="rId528" Type="http://schemas.openxmlformats.org/officeDocument/2006/relationships/hyperlink" Target="https://www.ncbi.nlm.nih.gov/pubmed/?term=Zhou%20L%5BAuthor%5D&amp;cauthor=true&amp;cauthor_uid=32161940" TargetMode="External"/><Relationship Id="rId735" Type="http://schemas.openxmlformats.org/officeDocument/2006/relationships/hyperlink" Target="https://www.ncbi.nlm.nih.gov/pubmed/32298458" TargetMode="External"/><Relationship Id="rId942" Type="http://schemas.openxmlformats.org/officeDocument/2006/relationships/hyperlink" Target="https://academic.oup.com/jpids/advance-article/doi/10.1093/jpids/piaa061/5842067" TargetMode="External"/><Relationship Id="rId1158" Type="http://schemas.openxmlformats.org/officeDocument/2006/relationships/hyperlink" Target="https://www.ncbi.nlm.nih.gov/pmc/articles/PMC4128479/" TargetMode="External"/><Relationship Id="rId1365" Type="http://schemas.openxmlformats.org/officeDocument/2006/relationships/hyperlink" Target="https://www.ncbi.nlm.nih.gov/pmc/articles/PMC7135708/" TargetMode="External"/><Relationship Id="rId1018" Type="http://schemas.openxmlformats.org/officeDocument/2006/relationships/hyperlink" Target="https://doi.org/10.1038/nri2075" TargetMode="External"/><Relationship Id="rId1225" Type="http://schemas.openxmlformats.org/officeDocument/2006/relationships/hyperlink" Target="https://pubmed.ncbi.nlm.nih.gov/31201918/" TargetMode="External"/><Relationship Id="rId71" Type="http://schemas.openxmlformats.org/officeDocument/2006/relationships/hyperlink" Target="https://www.ncbi.nlm.nih.gov/pubmed/?term=Grasselli%20G%5BAuthor%5D&amp;cauthor=true&amp;cauthor_uid=32250385" TargetMode="External"/><Relationship Id="rId802" Type="http://schemas.openxmlformats.org/officeDocument/2006/relationships/hyperlink" Target="https://pubmed.ncbi.nlm.nih.gov/?term=Tan+W&amp;cauthor_id=24040960" TargetMode="External"/><Relationship Id="rId29" Type="http://schemas.openxmlformats.org/officeDocument/2006/relationships/hyperlink" Target="https://pubmed.ncbi.nlm.nih.gov/?term=Richardson+S&amp;cauthor_id=32320003" TargetMode="External"/><Relationship Id="rId178" Type="http://schemas.openxmlformats.org/officeDocument/2006/relationships/hyperlink" Target="https://www.ncbi.nlm.nih.gov/pubmed/?term=Katze%20MG%5BAuthor%5D&amp;cauthor=true&amp;cauthor_uid=22390970" TargetMode="External"/><Relationship Id="rId385" Type="http://schemas.openxmlformats.org/officeDocument/2006/relationships/hyperlink" Target="https://www.ncbi.nlm.nih.gov/pubmed/32142651" TargetMode="External"/><Relationship Id="rId592" Type="http://schemas.openxmlformats.org/officeDocument/2006/relationships/hyperlink" Target="https://jamanetwork.com/journals/jamainternalmedicine/fullarticle/209609" TargetMode="External"/><Relationship Id="rId245" Type="http://schemas.openxmlformats.org/officeDocument/2006/relationships/hyperlink" Target="https://www.ncbi.nlm.nih.gov/pubmed/?term=Barbareschi%20M%5BAuthor%5D&amp;cauthor=true&amp;cauthor_uid=32350596" TargetMode="External"/><Relationship Id="rId452" Type="http://schemas.openxmlformats.org/officeDocument/2006/relationships/hyperlink" Target="https://www.ncbi.nlm.nih.gov/pubmed/?term=A+glimpse+into+the+eye+of+the+COVID-19+cytokine+storm" TargetMode="External"/><Relationship Id="rId897" Type="http://schemas.openxmlformats.org/officeDocument/2006/relationships/hyperlink" Target="https://www.ncbi.nlm.nih.gov/pubmed/?term=Montecucco%20F%5BAuthor%5D&amp;cauthor=true&amp;cauthor_uid=32006431" TargetMode="External"/><Relationship Id="rId1082" Type="http://schemas.openxmlformats.org/officeDocument/2006/relationships/hyperlink" Target="https://www.ncbi.nlm.nih.gov/pmc/articles/PMC2779853/" TargetMode="External"/><Relationship Id="rId105" Type="http://schemas.openxmlformats.org/officeDocument/2006/relationships/hyperlink" Target="https://pubmed.ncbi.nlm.nih.gov/?term=Gianatti+A&amp;cauthor_id=32350596" TargetMode="External"/><Relationship Id="rId312" Type="http://schemas.openxmlformats.org/officeDocument/2006/relationships/hyperlink" Target="https://www.ncbi.nlm.nih.gov/pubmed/?term=Li%20Volti%20G%5BAuthor%5D&amp;cauthor=true&amp;cauthor_uid=32357503" TargetMode="External"/><Relationship Id="rId757" Type="http://schemas.openxmlformats.org/officeDocument/2006/relationships/hyperlink" Target="https://pubmed.ncbi.nlm.nih.gov/32346094/?from_single_result=The+Potential+for+Antibody-Dependent+Enhancement+of+SARS-CoV-2+Infection%3A+Translational+Implications+for+Vaccine+Development&amp;expanded_search_query=The+Potential+for+Antibody-Dependent+Enhancement+of+SARS-CoV-2+Infection%3A+Translational+Implications+for+Vaccine+Development" TargetMode="External"/><Relationship Id="rId964" Type="http://schemas.openxmlformats.org/officeDocument/2006/relationships/hyperlink" Target="https://pubmed.ncbi.nlm.nih.gov/?term=Evans+D&amp;cauthor_id=32180292" TargetMode="External"/><Relationship Id="rId1387" Type="http://schemas.openxmlformats.org/officeDocument/2006/relationships/hyperlink" Target="https://www.ncbi.nlm.nih.gov/pmc/articles/PMC7020001/" TargetMode="External"/><Relationship Id="rId93" Type="http://schemas.openxmlformats.org/officeDocument/2006/relationships/hyperlink" Target="http://www.deplazio.net/images/stories/SISMG/SISMG_COVID19.pdf" TargetMode="External"/><Relationship Id="rId617" Type="http://schemas.openxmlformats.org/officeDocument/2006/relationships/hyperlink" Target="https://www.ncbi.nlm.nih.gov/pubmed/?term=Rowan%20K%5BAuthor%5D&amp;cauthor=true&amp;cauthor_uid=22290072" TargetMode="External"/><Relationship Id="rId824" Type="http://schemas.openxmlformats.org/officeDocument/2006/relationships/hyperlink" Target="https://pubmed.ncbi.nlm.nih.gov/?term=Polack+FP&amp;cauthor_id=12235218" TargetMode="External"/><Relationship Id="rId1247" Type="http://schemas.openxmlformats.org/officeDocument/2006/relationships/hyperlink" Target="https://www.researchgate.net/publication/308007124_Circadian_Rhythm_and_the_Gut_Microbiome" TargetMode="External"/><Relationship Id="rId1107" Type="http://schemas.openxmlformats.org/officeDocument/2006/relationships/hyperlink" Target="https://www.ncbi.nlm.nih.gov/pubmed/?term=A+Prime+Time+for+Trained+Immunity%3A+Innate+Immune+Memory+in+Newborns+%26+Infants" TargetMode="External"/><Relationship Id="rId1314" Type="http://schemas.openxmlformats.org/officeDocument/2006/relationships/hyperlink" Target="https://www.ncbi.nlm.nih.gov/pubmed/?term=Braciale%20TJ%5BAuthor%5D&amp;cauthor=true&amp;cauthor_uid=23915713" TargetMode="External"/><Relationship Id="rId20"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267" Type="http://schemas.openxmlformats.org/officeDocument/2006/relationships/hyperlink" Target="https://www.ncbi.nlm.nih.gov/pubmed/?term=Swift%20B%5BAuthor%5D&amp;cauthor=true&amp;cauthor_uid=32198191" TargetMode="External"/><Relationship Id="rId474" Type="http://schemas.openxmlformats.org/officeDocument/2006/relationships/hyperlink" Target="https://www.ncbi.nlm.nih.gov/pubmed/?term=McGonagle%20D%5BAuthor%5D&amp;cauthor=true&amp;cauthor_uid=32251717" TargetMode="External"/><Relationship Id="rId127" Type="http://schemas.openxmlformats.org/officeDocument/2006/relationships/hyperlink" Target="https://www.ncbi.nlm.nih.gov/pubmed/?term=Hsueh%20PR%5BAuthor%5D&amp;cauthor=true&amp;cauthor_uid=17052299" TargetMode="External"/><Relationship Id="rId681" Type="http://schemas.openxmlformats.org/officeDocument/2006/relationships/hyperlink" Target="https://www.ncbi.nlm.nih.gov/pmc/articles/PMC7102614/pdf/main.pdf" TargetMode="External"/><Relationship Id="rId779" Type="http://schemas.openxmlformats.org/officeDocument/2006/relationships/hyperlink" Target="https://pubmed.ncbi.nlm.nih.gov/?term=Wang+D&amp;cauthor_id=17490702" TargetMode="External"/><Relationship Id="rId986" Type="http://schemas.openxmlformats.org/officeDocument/2006/relationships/hyperlink" Target="https://www.ncbi.nlm.nih.gov/pmc/articles/PMC7093856/" TargetMode="External"/><Relationship Id="rId334" Type="http://schemas.openxmlformats.org/officeDocument/2006/relationships/hyperlink" Target="https://www.ncbi.nlm.nih.gov/pubmed/?term=Su%20X%5BAuthor%5D&amp;cauthor=true&amp;cauthor_uid=32311318" TargetMode="External"/><Relationship Id="rId541" Type="http://schemas.openxmlformats.org/officeDocument/2006/relationships/hyperlink" Target="https://www.ncbi.nlm.nih.gov/pubmed/?term=Sharif%20K%5BAuthor%5D&amp;cauthor=true&amp;cauthor_uid=32251717" TargetMode="External"/><Relationship Id="rId639"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1171" Type="http://schemas.openxmlformats.org/officeDocument/2006/relationships/hyperlink" Target="https://www.ncbi.nlm.nih.gov/pmc/articles/PMC5576359/" TargetMode="External"/><Relationship Id="rId1269" Type="http://schemas.openxmlformats.org/officeDocument/2006/relationships/hyperlink" Target="https://www.ncbi.nlm.nih.gov/pmc/articles/PMC7097214/" TargetMode="External"/><Relationship Id="rId401" Type="http://schemas.openxmlformats.org/officeDocument/2006/relationships/hyperlink" Target="https://www.ncbi.nlm.nih.gov/pubmed/?term=Hedrich%20CM%5BAuthor%5D&amp;cauthor=true&amp;cauthor_uid=32353634" TargetMode="External"/><Relationship Id="rId846" Type="http://schemas.openxmlformats.org/officeDocument/2006/relationships/hyperlink" Target="https://www.ncbi.nlm.nih.gov/pmc/articles/PMC7194745/" TargetMode="External"/><Relationship Id="rId1031" Type="http://schemas.openxmlformats.org/officeDocument/2006/relationships/hyperlink" Target="https://pubmed.ncbi.nlm.nih.gov/29124321/?from_term=Vaccine+responses+in+newborns&amp;from_pos=1" TargetMode="External"/><Relationship Id="rId1129" Type="http://schemas.openxmlformats.org/officeDocument/2006/relationships/hyperlink" Target="https://www.ncbi.nlm.nih.gov/pmc/articles/PMC6015905/" TargetMode="External"/><Relationship Id="rId706" Type="http://schemas.openxmlformats.org/officeDocument/2006/relationships/hyperlink" Target="https://pubmed.ncbi.nlm.nih.gov/?term=Sattentau+QJ&amp;cauthor_id=12185262" TargetMode="External"/><Relationship Id="rId913" Type="http://schemas.openxmlformats.org/officeDocument/2006/relationships/hyperlink" Target="https://pubmed.ncbi.nlm.nih.gov/?term=Dong+Y&amp;cauthor_id=32179660" TargetMode="External"/><Relationship Id="rId1336" Type="http://schemas.openxmlformats.org/officeDocument/2006/relationships/hyperlink" Target="https://www.medrxiv.org/content/10.1101/2020.03.21.20037267v1.full.pdf" TargetMode="External"/><Relationship Id="rId42" Type="http://schemas.openxmlformats.org/officeDocument/2006/relationships/hyperlink" Target="https://www.epicentro.iss.it/coronavirus/bollettino/Infografica_10giugno%20ITA.pdf" TargetMode="External"/><Relationship Id="rId1403" Type="http://schemas.openxmlformats.org/officeDocument/2006/relationships/hyperlink" Target="https://www.ncbi.nlm.nih.gov/pubmed/25281913" TargetMode="External"/><Relationship Id="rId191" Type="http://schemas.openxmlformats.org/officeDocument/2006/relationships/hyperlink" Target="https://www.ncbi.nlm.nih.gov/pubmed/?term=10.1038%2Fs41418-020-0530-3" TargetMode="External"/><Relationship Id="rId289" Type="http://schemas.openxmlformats.org/officeDocument/2006/relationships/hyperlink" Target="https://www.ncbi.nlm.nih.gov/pubmed/?term=Flammer%20AJ%5BAuthor%5D&amp;cauthor=true&amp;cauthor_uid=32325026" TargetMode="External"/><Relationship Id="rId496" Type="http://schemas.openxmlformats.org/officeDocument/2006/relationships/hyperlink" Target="https://www.ncbi.nlm.nih.gov/pubmed/?term=Korth%20MJ%5BAuthor%5D&amp;cauthor=true&amp;cauthor_uid=22390970" TargetMode="External"/><Relationship Id="rId149" Type="http://schemas.openxmlformats.org/officeDocument/2006/relationships/hyperlink" Target="https://www.ncbi.nlm.nih.gov/pubmed/?term=Tattersall%20RS%5BAuthor%5D&amp;cauthor=true&amp;cauthor_uid=32192578" TargetMode="External"/><Relationship Id="rId356" Type="http://schemas.openxmlformats.org/officeDocument/2006/relationships/hyperlink" Target="https://www.ncbi.nlm.nih.gov/pmc/articles/PMC7167761/pdf/PATH-203-622.pdf" TargetMode="External"/><Relationship Id="rId563" Type="http://schemas.openxmlformats.org/officeDocument/2006/relationships/hyperlink" Target="https://www.ncbi.nlm.nih.gov/pmc/articles/PMC7227586/" TargetMode="External"/><Relationship Id="rId770" Type="http://schemas.openxmlformats.org/officeDocument/2006/relationships/hyperlink" Target="https://pubmed.ncbi.nlm.nih.gov/18390747/?from_single_result=Molecular+mechanisms+of+cytokine+and+chemokine+release+from+eosinophils+activated+by+IL-17A%2C+IL-17F%2C+and+IL-23%3A+implication+for+Th17+lymphocytes-mediated+allergic+inflammation&amp;expanded_search_query=Molecular+mechanisms+of+cytokine+and+chemokine+release+from+eosinophils+activated+by+IL-17A%2C+IL-17F%2C+and+IL-23%3A+implication+for+Th17+lymphocytes-mediated+allergic+inflammation" TargetMode="External"/><Relationship Id="rId1193" Type="http://schemas.openxmlformats.org/officeDocument/2006/relationships/hyperlink" Target="https://onlinelibrary.wiley.com/doi/epdf/10.1111/j.1432-2277.2009.00927.x" TargetMode="External"/><Relationship Id="rId216" Type="http://schemas.openxmlformats.org/officeDocument/2006/relationships/hyperlink" Target="https://www.ncbi.nlm.nih.gov/pubmed/?term=The+Role+of+Cytokines+including+Interleukin-6+in+COVID-19+induced+Pneumonia+and+Macrophage+Activation+Syndrome-Like+Disease" TargetMode="External"/><Relationship Id="rId423" Type="http://schemas.openxmlformats.org/officeDocument/2006/relationships/hyperlink" Target="https://www.frontiersin.org/articles/10.3389/fimmu.2020.00827/full" TargetMode="External"/><Relationship Id="rId868" Type="http://schemas.openxmlformats.org/officeDocument/2006/relationships/hyperlink" Target="https://www.ncbi.nlm.nih.gov/pubmed/?term=Simon%20AK%5BAuthor%5D&amp;cauthor=true&amp;cauthor_uid=26702035" TargetMode="External"/><Relationship Id="rId1053" Type="http://schemas.openxmlformats.org/officeDocument/2006/relationships/hyperlink" Target="https://www.jimmunol.org/content/176/1/165.long" TargetMode="External"/><Relationship Id="rId1260" Type="http://schemas.openxmlformats.org/officeDocument/2006/relationships/hyperlink" Target="https://www.ncbi.nlm.nih.gov/pmc/articles/PMC7270627/" TargetMode="External"/><Relationship Id="rId630" Type="http://schemas.openxmlformats.org/officeDocument/2006/relationships/hyperlink" Target="https://pubmed.ncbi.nlm.nih.gov/?term=Zhou+F&amp;cauthor_id=32171076" TargetMode="External"/><Relationship Id="rId728" Type="http://schemas.openxmlformats.org/officeDocument/2006/relationships/hyperlink" Target="https://www.ncbi.nlm.nih.gov/pmc/articles/PMC7112410/pdf/main.pdf" TargetMode="External"/><Relationship Id="rId935" Type="http://schemas.openxmlformats.org/officeDocument/2006/relationships/hyperlink" Target="https://www.ncbi.nlm.nih.gov/pubmed/?term=Harahsheh%20AS%5BAuthor%5D&amp;cauthor=true&amp;cauthor_uid=32370951" TargetMode="External"/><Relationship Id="rId1358" Type="http://schemas.openxmlformats.org/officeDocument/2006/relationships/hyperlink" Target="https://doi.org/10.1016/j.autrev.2020.102524" TargetMode="External"/><Relationship Id="rId64" Type="http://schemas.openxmlformats.org/officeDocument/2006/relationships/hyperlink" Target="https://www.ncbi.nlm.nih.gov/pmc/articles/PMC7233352/pdf/rccm.202003-0817LE.pdf" TargetMode="External"/><Relationship Id="rId1120" Type="http://schemas.openxmlformats.org/officeDocument/2006/relationships/hyperlink" Target="https://www.ncbi.nlm.nih.gov/pmc/articles/PMC6153031/" TargetMode="External"/><Relationship Id="rId1218" Type="http://schemas.openxmlformats.org/officeDocument/2006/relationships/hyperlink" Target="https://pubmed.ncbi.nlm.nih.gov/20683658/" TargetMode="External"/><Relationship Id="rId280" Type="http://schemas.openxmlformats.org/officeDocument/2006/relationships/hyperlink" Target="https://www.ncbi.nlm.nih.gov/pmc/articles/PMC7249507/pdf/aim-olf-M202566.pdf" TargetMode="External"/><Relationship Id="rId140" Type="http://schemas.openxmlformats.org/officeDocument/2006/relationships/hyperlink" Target="https://www.ncbi.nlm.nih.gov/pubmed/?term=Sharif%20K%5BAuthor%5D&amp;cauthor=true&amp;cauthor_uid=32251717" TargetMode="External"/><Relationship Id="rId378" Type="http://schemas.openxmlformats.org/officeDocument/2006/relationships/hyperlink" Target="https://www.ncbi.nlm.nih.gov/pubmed/?term=Al%20Zoubi%20MS%5BAuthor%5D&amp;cauthor=true&amp;cauthor_uid=32245083" TargetMode="External"/><Relationship Id="rId585" Type="http://schemas.openxmlformats.org/officeDocument/2006/relationships/hyperlink" Target="https://journals.lww.com/ccmjournal/Fulltext/2008/04000/Guidelines_for_evaluation_of_new_fever_in.40.aspx" TargetMode="External"/><Relationship Id="rId792" Type="http://schemas.openxmlformats.org/officeDocument/2006/relationships/hyperlink" Target="https://www.ncbi.nlm.nih.gov/pmc/articles/PMC7102551/" TargetMode="External"/><Relationship Id="rId6" Type="http://schemas.openxmlformats.org/officeDocument/2006/relationships/hyperlink" Target="https://www.ncbi.nlm.nih.gov/pubmed/?term=Dal%20Negro%20RW%5BAuthor%5D&amp;cauthor=true&amp;cauthor_uid=32359201" TargetMode="External"/><Relationship Id="rId238" Type="http://schemas.openxmlformats.org/officeDocument/2006/relationships/hyperlink" Target="https://www.ncbi.nlm.nih.gov/pubmed/32172546" TargetMode="External"/><Relationship Id="rId445" Type="http://schemas.openxmlformats.org/officeDocument/2006/relationships/hyperlink" Target="https://www.ncbi.nlm.nih.gov/pubmed/?term=Zhao%20L%5BAuthor%5D&amp;cauthor=true&amp;cauthor_uid=29467962" TargetMode="External"/><Relationship Id="rId652" Type="http://schemas.openxmlformats.org/officeDocument/2006/relationships/hyperlink" Target="https://www.ncbi.nlm.nih.gov/pubmed/?term=McNamara%20PS%5BAuthor%5D&amp;cauthor=true&amp;cauthor_uid=32353634" TargetMode="External"/><Relationship Id="rId1075" Type="http://schemas.openxmlformats.org/officeDocument/2006/relationships/hyperlink" Target="https://pubmed.ncbi.nlm.nih.gov/?term=Sandlie+I&amp;cauthor_id=31354709" TargetMode="External"/><Relationship Id="rId1282" Type="http://schemas.openxmlformats.org/officeDocument/2006/relationships/hyperlink" Target="https://www.ncbi.nlm.nih.gov/pubmed/?term=Zhong%20L%5BAuthor%5D&amp;cauthor=true&amp;cauthor_uid=32094336" TargetMode="External"/><Relationship Id="rId305" Type="http://schemas.openxmlformats.org/officeDocument/2006/relationships/hyperlink" Target="https://www.ncbi.nlm.nih.gov/pubmed/?term=COVID-19%3A+POSTMORTEM+DIAGNOSTIC+AND+BIOSAFETY+CONSIDERATIONS" TargetMode="External"/><Relationship Id="rId512" Type="http://schemas.openxmlformats.org/officeDocument/2006/relationships/hyperlink" Target="https://www.ncbi.nlm.nih.gov/pubmed/?term=Ch%C3%A1vez-Valencia%20V%5BAuthor%5D&amp;cauthor=true&amp;cauthor_uid=32297995" TargetMode="External"/><Relationship Id="rId957" Type="http://schemas.openxmlformats.org/officeDocument/2006/relationships/hyperlink" Target="https://pubmed.ncbi.nlm.nih.gov/?term=Poon+LC&amp;cauthor_id=32430957" TargetMode="External"/><Relationship Id="rId1142" Type="http://schemas.openxmlformats.org/officeDocument/2006/relationships/hyperlink" Target="https://www.ncbi.nlm.nih.gov/pmc/articles/PMC3516290/" TargetMode="External"/><Relationship Id="rId86" Type="http://schemas.openxmlformats.org/officeDocument/2006/relationships/hyperlink" Target="https://www.ncbi.nlm.nih.gov/pubmed/?term=Velissaris%20D%5BAuthor%5D&amp;cauthor=true&amp;cauthor_uid=32368884" TargetMode="External"/><Relationship Id="rId817" Type="http://schemas.openxmlformats.org/officeDocument/2006/relationships/hyperlink" Target="https://pubmed.ncbi.nlm.nih.gov/?term=Manischewitz+J&amp;cauthor_id=23986398" TargetMode="External"/><Relationship Id="rId1002" Type="http://schemas.openxmlformats.org/officeDocument/2006/relationships/hyperlink" Target="https://www.ncbi.nlm.nih.gov/pubmed/?term=Lo-Man%20R%5BAuthor%5D&amp;cauthor=true&amp;cauthor_uid=28627520" TargetMode="External"/><Relationship Id="rId1307" Type="http://schemas.openxmlformats.org/officeDocument/2006/relationships/hyperlink" Target="https://www.ncbi.nlm.nih.gov/pubmed/?term=vom%20Steeg%20LG%5BAuthor%5D&amp;cauthor=true&amp;cauthor_uid=26891052" TargetMode="External"/><Relationship Id="rId13" Type="http://schemas.openxmlformats.org/officeDocument/2006/relationships/hyperlink" Target="https://pubmed.ncbi.nlm.nih.gov/?term=Yim+E&amp;cauthor_id=32191259" TargetMode="External"/><Relationship Id="rId162" Type="http://schemas.openxmlformats.org/officeDocument/2006/relationships/hyperlink" Target="https://www.ncbi.nlm.nih.gov/pmc/articles/PMC7175868/pdf/main.pdf" TargetMode="External"/><Relationship Id="rId467" Type="http://schemas.openxmlformats.org/officeDocument/2006/relationships/hyperlink" Target="https://www.ncbi.nlm.nih.gov/pubmed/32364527" TargetMode="External"/><Relationship Id="rId1097" Type="http://schemas.openxmlformats.org/officeDocument/2006/relationships/hyperlink" Target="https://academic.oup.com/aje/article-abstract/89/4/422/198849?redirectedFrom=fulltext" TargetMode="External"/><Relationship Id="rId674" Type="http://schemas.openxmlformats.org/officeDocument/2006/relationships/hyperlink" Target="https://www.ncbi.nlm.nih.gov/pmc/articles/PMC7131471/pdf/main.pdf" TargetMode="External"/><Relationship Id="rId881" Type="http://schemas.openxmlformats.org/officeDocument/2006/relationships/hyperlink" Target="https://www.ncbi.nlm.nih.gov/pubmed/?term=De%20Benedictis%20G%5BAuthor%5D&amp;cauthor=true&amp;cauthor_uid=10911963" TargetMode="External"/><Relationship Id="rId979" Type="http://schemas.openxmlformats.org/officeDocument/2006/relationships/hyperlink" Target="https://pubmed.ncbi.nlm.nih.gov/?term=Smulian+JC&amp;cauthor_id=32105680" TargetMode="External"/><Relationship Id="rId327" Type="http://schemas.openxmlformats.org/officeDocument/2006/relationships/hyperlink" Target="https://www.ncbi.nlm.nih.gov/pubmed/32311318" TargetMode="External"/><Relationship Id="rId534" Type="http://schemas.openxmlformats.org/officeDocument/2006/relationships/hyperlink" Target="https://www.ncbi.nlm.nih.gov/pubmed/?term=Ma%20K%5BAuthor%5D&amp;cauthor=true&amp;cauthor_uid=32161940" TargetMode="External"/><Relationship Id="rId741" Type="http://schemas.openxmlformats.org/officeDocument/2006/relationships/hyperlink" Target="https://pubmed.ncbi.nlm.nih.gov/?term=Perlman+S&amp;cauthor_id=16322745" TargetMode="External"/><Relationship Id="rId839" Type="http://schemas.openxmlformats.org/officeDocument/2006/relationships/hyperlink" Target="https://www.ncbi.nlm.nih.gov/pmc/articles/PMC7211658/" TargetMode="External"/><Relationship Id="rId1164" Type="http://schemas.openxmlformats.org/officeDocument/2006/relationships/hyperlink" Target="https://www.ncbi.nlm.nih.gov/pmc/articles/PMC3659470/" TargetMode="External"/><Relationship Id="rId1371" Type="http://schemas.openxmlformats.org/officeDocument/2006/relationships/hyperlink" Target="https://www.ncbi.nlm.nih.gov/pubmed/?term=Ouellet%20F%5BAuthor%5D&amp;cauthor=true&amp;cauthor_uid=8967755" TargetMode="External"/><Relationship Id="rId601" Type="http://schemas.openxmlformats.org/officeDocument/2006/relationships/hyperlink" Target="https://www.ncbi.nlm.nih.gov/pmc/articles/PMC4944485/pdf/13054_2016_Article_1375.pdf" TargetMode="External"/><Relationship Id="rId1024" Type="http://schemas.openxmlformats.org/officeDocument/2006/relationships/hyperlink" Target="https://www.nature.com/articles/ni0311-189" TargetMode="External"/><Relationship Id="rId1231" Type="http://schemas.openxmlformats.org/officeDocument/2006/relationships/hyperlink" Target="https://pubmed.ncbi.nlm.nih.gov/30268598/" TargetMode="External"/><Relationship Id="rId906" Type="http://schemas.openxmlformats.org/officeDocument/2006/relationships/hyperlink" Target="https://www.ncbi.nlm.nih.gov/pmc/articles/PMC5167032/" TargetMode="External"/><Relationship Id="rId1329" Type="http://schemas.openxmlformats.org/officeDocument/2006/relationships/hyperlink" Target="https://www.ncbi.nlm.nih.gov/pubmed/32283245" TargetMode="External"/><Relationship Id="rId35" Type="http://schemas.openxmlformats.org/officeDocument/2006/relationships/hyperlink" Target="https://www.ncbi.nlm.nih.gov/pubmed/32359201" TargetMode="External"/><Relationship Id="rId184" Type="http://schemas.openxmlformats.org/officeDocument/2006/relationships/hyperlink" Target="https://www.ncbi.nlm.nih.gov/pubmed/32294295" TargetMode="External"/><Relationship Id="rId391" Type="http://schemas.openxmlformats.org/officeDocument/2006/relationships/hyperlink" Target="https://www.ncbi.nlm.nih.gov/pmc/articles/PMC7102599/pdf/main.pdf" TargetMode="External"/><Relationship Id="rId251" Type="http://schemas.openxmlformats.org/officeDocument/2006/relationships/hyperlink" Target="https://www.ncbi.nlm.nih.gov/pubmed/?term=Fineschi%20V%5BAuthor%5D&amp;cauthor=true&amp;cauthor_uid=32324727" TargetMode="External"/><Relationship Id="rId489" Type="http://schemas.openxmlformats.org/officeDocument/2006/relationships/hyperlink" Target="https://www.ncbi.nlm.nih.gov/pubmed/?term=Shimabukuro-Vornhagen%20A%5BAuthor%5D&amp;cauthor=true&amp;cauthor_uid=29907163" TargetMode="External"/><Relationship Id="rId696" Type="http://schemas.openxmlformats.org/officeDocument/2006/relationships/hyperlink" Target="https://pubmed.ncbi.nlm.nih.gov/26497532/?from_term=Fc+receptors+in+antibody%E2%80%90dependent+enhancement+of+viral+infections&amp;from_pos=1" TargetMode="External"/><Relationship Id="rId349" Type="http://schemas.openxmlformats.org/officeDocument/2006/relationships/hyperlink" Target="https://www.ncbi.nlm.nih.gov/pubmed/?term=Kang%20W%5BAuthor%5D&amp;cauthor=true&amp;cauthor_uid=12845623" TargetMode="External"/><Relationship Id="rId556" Type="http://schemas.openxmlformats.org/officeDocument/2006/relationships/hyperlink" Target="https://www.annualreviews.org/doi/pdf/10.1146/annurev-immunol-042718-041739" TargetMode="External"/><Relationship Id="rId763" Type="http://schemas.openxmlformats.org/officeDocument/2006/relationships/hyperlink" Target="https://www.jimmunol.org/content/181/9/6337.long" TargetMode="External"/><Relationship Id="rId1186" Type="http://schemas.openxmlformats.org/officeDocument/2006/relationships/hyperlink" Target="https://academic.oup.com/cid/article/30/6/931/433911" TargetMode="External"/><Relationship Id="rId1393" Type="http://schemas.openxmlformats.org/officeDocument/2006/relationships/hyperlink" Target="https://www.ncbi.nlm.nih.gov/pubmed/?term=Desforges%20M%5BAuthor%5D&amp;cauthor=true&amp;cauthor_uid=29925652" TargetMode="External"/><Relationship Id="rId111" Type="http://schemas.openxmlformats.org/officeDocument/2006/relationships/hyperlink" Target="https://www.affaritaliani.it/blog/cose-nostre/covid-19-le-autopsie-non-vanno-fatte-ordine-del-ministero-della-salute-671347.html" TargetMode="External"/><Relationship Id="rId209" Type="http://schemas.openxmlformats.org/officeDocument/2006/relationships/hyperlink" Target="https://www.ncbi.nlm.nih.gov/pubmed/?term=Tao%20Y%5BAuthor%5D&amp;cauthor=true&amp;cauthor_uid=32161940" TargetMode="External"/><Relationship Id="rId416" Type="http://schemas.openxmlformats.org/officeDocument/2006/relationships/hyperlink" Target="https://www.ncbi.nlm.nih.gov/pubmed/?term=Writing%20Committee%20of%20the%20WHO%20Consultation%20on%20Clinical%20Aspects%20of%20Pandemic%20(H1N1)%202009%20Influenza%5BCorporate%20Author%5D" TargetMode="External"/><Relationship Id="rId970" Type="http://schemas.openxmlformats.org/officeDocument/2006/relationships/hyperlink" Target="https://pubmed.ncbi.nlm.nih.gov/?term=O%27Brien+P&amp;cauthor_id=32180292" TargetMode="External"/><Relationship Id="rId1046" Type="http://schemas.openxmlformats.org/officeDocument/2006/relationships/hyperlink" Target="https://www.ncbi.nlm.nih.gov/pmc/articles/PMC5328245/" TargetMode="External"/><Relationship Id="rId1253" Type="http://schemas.openxmlformats.org/officeDocument/2006/relationships/hyperlink" Target="https://www.ncbi.nlm.nih.gov/pmc/articles/PMC7217790/" TargetMode="External"/><Relationship Id="rId623" Type="http://schemas.openxmlformats.org/officeDocument/2006/relationships/hyperlink" Target="https://www.ncbi.nlm.nih.gov/pubmed/?term=Srinath%20L%5BAuthor%5D&amp;cauthor=true&amp;cauthor_uid=9076300" TargetMode="External"/><Relationship Id="rId830" Type="http://schemas.openxmlformats.org/officeDocument/2006/relationships/hyperlink" Target="https://jamanetwork.com/journals/jama/article-abstract/336928" TargetMode="External"/><Relationship Id="rId928" Type="http://schemas.openxmlformats.org/officeDocument/2006/relationships/hyperlink" Target="https://pubmed.ncbi.nlm.nih.gov/32179660/?from_term=Epidemiology+of+COVID-19+among+children+in+China.&amp;from_pos=1" TargetMode="External"/><Relationship Id="rId57" Type="http://schemas.openxmlformats.org/officeDocument/2006/relationships/hyperlink" Target="https://www.ncbi.nlm.nih.gov/pubmed/32228035" TargetMode="External"/><Relationship Id="rId1113" Type="http://schemas.openxmlformats.org/officeDocument/2006/relationships/hyperlink" Target="https://www.ncbi.nlm.nih.gov/pmc/articles/PMC7186935/" TargetMode="External"/><Relationship Id="rId1320" Type="http://schemas.openxmlformats.org/officeDocument/2006/relationships/hyperlink" Target="https://www.ncbi.nlm.nih.gov/pmc/articles/PMC4896975/" TargetMode="External"/><Relationship Id="rId1418" Type="http://schemas.openxmlformats.org/officeDocument/2006/relationships/hyperlink" Target="https://journals.lww.com/thoracicimaging/Citation/9000/Long_term_Pulmonary_Consequences_of_Coronavirus.99412.aspx" TargetMode="External"/><Relationship Id="rId273" Type="http://schemas.openxmlformats.org/officeDocument/2006/relationships/hyperlink" Target="https://www.ncbi.nlm.nih.gov/pubmed/?term=Zechner%20P%5BAuthor%5D&amp;cauthor=true&amp;cauthor_uid=32422076" TargetMode="External"/><Relationship Id="rId480" Type="http://schemas.openxmlformats.org/officeDocument/2006/relationships/hyperlink" Target="https://www.ncbi.nlm.nih.gov/pubmed/?term=Mehta%20P%5BAuthor%5D&amp;cauthor=true&amp;cauthor_uid=32192578" TargetMode="External"/><Relationship Id="rId133" Type="http://schemas.openxmlformats.org/officeDocument/2006/relationships/hyperlink" Target="https://www.ncbi.nlm.nih.gov/pubmed/?term=Yao%20Z%5BAuthor%5D&amp;cauthor=true&amp;cauthor_uid=32364527" TargetMode="External"/><Relationship Id="rId340" Type="http://schemas.openxmlformats.org/officeDocument/2006/relationships/hyperlink" Target="https://www.ncbi.nlm.nih.gov/pubmed/12845623" TargetMode="External"/><Relationship Id="rId578" Type="http://schemas.openxmlformats.org/officeDocument/2006/relationships/hyperlink" Target="https://www.ncbi.nlm.nih.gov/pubmed/?term=Linden%20P%5BAuthor%5D&amp;cauthor=true&amp;cauthor_uid=18379262" TargetMode="External"/><Relationship Id="rId785" Type="http://schemas.openxmlformats.org/officeDocument/2006/relationships/hyperlink" Target="https://pubmed.ncbi.nlm.nih.gov/?term=Myers+JM&amp;cauthor_id=27366791" TargetMode="External"/><Relationship Id="rId992" Type="http://schemas.openxmlformats.org/officeDocument/2006/relationships/hyperlink" Target="https://www.ncbi.nlm.nih.gov/pmc/articles/PMC4707740/pdf/rspb20143085.pdf" TargetMode="External"/><Relationship Id="rId200" Type="http://schemas.openxmlformats.org/officeDocument/2006/relationships/hyperlink" Target="https://www.ncbi.nlm.nih.gov/pubmed/?term=Ippolito%20G%5BAuthor%5D&amp;cauthor=true&amp;cauthor_uid=32205856" TargetMode="External"/><Relationship Id="rId438" Type="http://schemas.openxmlformats.org/officeDocument/2006/relationships/hyperlink" Target="https://www.ncbi.nlm.nih.gov/pubmed/?term=Deng%20H%5BAuthor%5D&amp;cauthor=true&amp;cauthor_uid=29467962" TargetMode="External"/><Relationship Id="rId645" Type="http://schemas.openxmlformats.org/officeDocument/2006/relationships/hyperlink" Target="https://pubmed.ncbi.nlm.nih.gov/?term=Bhatraju+PK&amp;cauthor_id=32227758" TargetMode="External"/><Relationship Id="rId852" Type="http://schemas.openxmlformats.org/officeDocument/2006/relationships/hyperlink" Target="https://link.springer.com/article/10.1007/s00430-014-0334-5" TargetMode="External"/><Relationship Id="rId1068" Type="http://schemas.openxmlformats.org/officeDocument/2006/relationships/hyperlink" Target="https://pubmed.ncbi.nlm.nih.gov/31354709/" TargetMode="External"/><Relationship Id="rId1275" Type="http://schemas.openxmlformats.org/officeDocument/2006/relationships/hyperlink" Target="https://pubmed.ncbi.nlm.nih.gov/21884790/" TargetMode="External"/><Relationship Id="rId284" Type="http://schemas.openxmlformats.org/officeDocument/2006/relationships/hyperlink" Target="https://www.ncbi.nlm.nih.gov/pubmed/?term=Autopsy+slowdown+hinders+quest+to+determine+how+coronavirus+kills" TargetMode="External"/><Relationship Id="rId491" Type="http://schemas.openxmlformats.org/officeDocument/2006/relationships/hyperlink" Target="https://www.ncbi.nlm.nih.gov/pubmed/32293098" TargetMode="External"/><Relationship Id="rId505" Type="http://schemas.openxmlformats.org/officeDocument/2006/relationships/hyperlink" Target="https://science.sciencemag.org/content/sci/368/6490/473.full.pdf" TargetMode="External"/><Relationship Id="rId712" Type="http://schemas.openxmlformats.org/officeDocument/2006/relationships/hyperlink" Target="https://pubmed.ncbi.nlm.nih.gov/?term=Durbin+AP&amp;cauthor_id=21738473" TargetMode="External"/><Relationship Id="rId1135" Type="http://schemas.openxmlformats.org/officeDocument/2006/relationships/hyperlink" Target="https://pubmed.ncbi.nlm.nih.gov/17621703/" TargetMode="External"/><Relationship Id="rId1342" Type="http://schemas.openxmlformats.org/officeDocument/2006/relationships/hyperlink" Target="https://www.ncbi.nlm.nih.gov/pmc/articles/PMC7271072/" TargetMode="External"/><Relationship Id="rId79" Type="http://schemas.openxmlformats.org/officeDocument/2006/relationships/hyperlink" Target="https://www.ncbi.nlm.nih.gov/pmc/articles/PMC7104710/pdf/13613_2020_Article_653.pdf" TargetMode="External"/><Relationship Id="rId144" Type="http://schemas.openxmlformats.org/officeDocument/2006/relationships/hyperlink" Target="https://www.ncbi.nlm.nih.gov/pubmed/?term=COVID-19%3A+consider+cytokine+storm+syndromes+and+immunosuppression" TargetMode="External"/><Relationship Id="rId589" Type="http://schemas.openxmlformats.org/officeDocument/2006/relationships/hyperlink" Target="https://semmelweis.hu/belgyogyaszat3/files/2018/04/Patient-with-fever.pdf" TargetMode="External"/><Relationship Id="rId796" Type="http://schemas.openxmlformats.org/officeDocument/2006/relationships/hyperlink" Target="https://www.cambridge.org/core/journals/journal-of-clinical-and-translational-science/article/potential-for-antibodydependent-enhancement-of-sarscov2-infection-translational-implications-for-vaccine-development/504FE38E2475590EFE93872BC6D67D3D/core-reader" TargetMode="External"/><Relationship Id="rId1202" Type="http://schemas.openxmlformats.org/officeDocument/2006/relationships/hyperlink" Target="https://www.ncbi.nlm.nih.gov/pmc/articles/PMC5095488/" TargetMode="External"/><Relationship Id="rId351" Type="http://schemas.openxmlformats.org/officeDocument/2006/relationships/hyperlink" Target="https://www.ncbi.nlm.nih.gov/pubmed/?term=Lu%20Y%5BAuthor%5D&amp;cauthor=true&amp;cauthor_uid=12845623" TargetMode="External"/><Relationship Id="rId449" Type="http://schemas.openxmlformats.org/officeDocument/2006/relationships/hyperlink" Target="https://pubmed.ncbi.nlm.nih.gov/32325025/?from_single_result=COVID-19%3A+A+New+Virus%2C+but+a+Familiar+Receptor+and+Cytokine+Release+Syndrome&amp;expanded_search_query=COVID-19%3A+A+New+Virus%2C+but+a+Familiar+Receptor+and+Cytokine+Release+Syndrome" TargetMode="External"/><Relationship Id="rId656" Type="http://schemas.openxmlformats.org/officeDocument/2006/relationships/hyperlink" Target="https://www.ncbi.nlm.nih.gov/pmc/articles/PMC6357155/pdf/viruses-11-00059.pdf" TargetMode="External"/><Relationship Id="rId863" Type="http://schemas.openxmlformats.org/officeDocument/2006/relationships/hyperlink" Target="https://www.ncbi.nlm.nih.gov/pmc/articles/PMC4933910/" TargetMode="External"/><Relationship Id="rId1079" Type="http://schemas.openxmlformats.org/officeDocument/2006/relationships/hyperlink" Target="https://pubmed.ncbi.nlm.nih.gov/30955709/" TargetMode="External"/><Relationship Id="rId1286" Type="http://schemas.openxmlformats.org/officeDocument/2006/relationships/hyperlink" Target="https://www.ncbi.nlm.nih.gov/pubmed/?term=Zeng%20X%5BAuthor%5D&amp;cauthor=true&amp;cauthor_uid=32094336" TargetMode="External"/><Relationship Id="rId211" Type="http://schemas.openxmlformats.org/officeDocument/2006/relationships/hyperlink" Target="https://www.ncbi.nlm.nih.gov/pubmed/?term=Ma%20K%5BAuthor%5D&amp;cauthor=true&amp;cauthor_uid=32161940" TargetMode="External"/><Relationship Id="rId295" Type="http://schemas.openxmlformats.org/officeDocument/2006/relationships/hyperlink" Target="https://www.ncbi.nlm.nih.gov/pubmed/?term=Schuepbach%20RA%5BAuthor%5D&amp;cauthor=true&amp;cauthor_uid=32325026" TargetMode="External"/><Relationship Id="rId309" Type="http://schemas.openxmlformats.org/officeDocument/2006/relationships/hyperlink" Target="https://www.ncbi.nlm.nih.gov/pmc/articles/PMC7184436/pdf/aqaa062.pdf" TargetMode="External"/><Relationship Id="rId516" Type="http://schemas.openxmlformats.org/officeDocument/2006/relationships/hyperlink" Target="https://www.ncbi.nlm.nih.gov/pubmed/?term=Wang%20Y%5BAuthor%5D&amp;cauthor=true&amp;cauthor_uid=32205856" TargetMode="External"/><Relationship Id="rId1146" Type="http://schemas.openxmlformats.org/officeDocument/2006/relationships/hyperlink" Target="https://www.ncbi.nlm.nih.gov/pmc/articles/PMC7169428/" TargetMode="External"/><Relationship Id="rId723" Type="http://schemas.openxmlformats.org/officeDocument/2006/relationships/hyperlink" Target="https://pubmed.ncbi.nlm.nih.gov/?term=Wang+SF&amp;cauthor_id=25073113" TargetMode="External"/><Relationship Id="rId930" Type="http://schemas.openxmlformats.org/officeDocument/2006/relationships/hyperlink" Target="https://pediatrics.aappublications.org/content/145/6/e20200702.long" TargetMode="External"/><Relationship Id="rId1006" Type="http://schemas.openxmlformats.org/officeDocument/2006/relationships/hyperlink" Target="https://www.ncbi.nlm.nih.gov/pubmed/?term=Dickinson%20P%5BAuthor%5D&amp;cauthor=true&amp;cauthor_uid=23449137" TargetMode="External"/><Relationship Id="rId1353" Type="http://schemas.openxmlformats.org/officeDocument/2006/relationships/hyperlink" Target="https://www.ncbi.nlm.nih.gov/pubmed/?term=Hou%20YI%5BAuthor%5D&amp;cauthor=true&amp;cauthor_uid=18320019" TargetMode="External"/><Relationship Id="rId155" Type="http://schemas.openxmlformats.org/officeDocument/2006/relationships/hyperlink" Target="https://pubmed.ncbi.nlm.nih.gov/?term=Carubbi+F&amp;cauthor_id=32423970" TargetMode="External"/><Relationship Id="rId362" Type="http://schemas.openxmlformats.org/officeDocument/2006/relationships/hyperlink" Target="https://www.ncbi.nlm.nih.gov/pubmed/?term=Liang%20TJ%5BAuthor%5D&amp;cauthor=true&amp;cauthor_uid=32353371" TargetMode="External"/><Relationship Id="rId1213" Type="http://schemas.openxmlformats.org/officeDocument/2006/relationships/hyperlink" Target="https://pubmed.ncbi.nlm.nih.gov/12714257/" TargetMode="External"/><Relationship Id="rId1297" Type="http://schemas.openxmlformats.org/officeDocument/2006/relationships/hyperlink" Target="https://www.epicentro.iss.it/coronavirus/sars-cov-2-differenze-genere" TargetMode="External"/><Relationship Id="rId1420" Type="http://schemas.openxmlformats.org/officeDocument/2006/relationships/hyperlink" Target="https://elemental.medium.com/the-long-term-health-impacts-of-being-infected-with-the-coronavirus-d3a03f3cb6e8" TargetMode="External"/><Relationship Id="rId222" Type="http://schemas.openxmlformats.org/officeDocument/2006/relationships/hyperlink" Target="https://emcrit.org/" TargetMode="External"/><Relationship Id="rId667" Type="http://schemas.openxmlformats.org/officeDocument/2006/relationships/hyperlink" Target="https://www.ncbi.nlm.nih.gov/pubmed/?term=Guo%20XJ%5BAuthor%5D&amp;cauthor=true&amp;cauthor_uid=28555383" TargetMode="External"/><Relationship Id="rId874" Type="http://schemas.openxmlformats.org/officeDocument/2006/relationships/hyperlink" Target="https://www.ncbi.nlm.nih.gov/pubmed/10911963" TargetMode="External"/><Relationship Id="rId17" Type="http://schemas.openxmlformats.org/officeDocument/2006/relationships/hyperlink" Target="https://pubmed.ncbi.nlm.nih.gov/?term=Lokhandwala+S&amp;cauthor_id=32191259" TargetMode="External"/><Relationship Id="rId527" Type="http://schemas.openxmlformats.org/officeDocument/2006/relationships/hyperlink" Target="https://www.ncbi.nlm.nih.gov/pubmed/?term=Qin%20C%5BAuthor%5D&amp;cauthor=true&amp;cauthor_uid=32161940" TargetMode="External"/><Relationship Id="rId734" Type="http://schemas.openxmlformats.org/officeDocument/2006/relationships/hyperlink" Target="https://www.nature.com/articles/s41577-020-0321-6" TargetMode="External"/><Relationship Id="rId941" Type="http://schemas.openxmlformats.org/officeDocument/2006/relationships/hyperlink" Target="https://pubmed.ncbi.nlm.nih.gov/?term=Deza+Leon+MP&amp;cauthor_id=32441749" TargetMode="External"/><Relationship Id="rId1157" Type="http://schemas.openxmlformats.org/officeDocument/2006/relationships/hyperlink" Target="https://www.ncbi.nlm.nih.gov/pmc/articles/PMC7147503/" TargetMode="External"/><Relationship Id="rId1364" Type="http://schemas.openxmlformats.org/officeDocument/2006/relationships/hyperlink" Target="https://www.ncbi.nlm.nih.gov/pubmed/?term=Hew%20CL%5BAuthor%5D&amp;cauthor=true&amp;cauthor_uid=12814734" TargetMode="External"/><Relationship Id="rId70" Type="http://schemas.openxmlformats.org/officeDocument/2006/relationships/hyperlink" Target="https://www.ncbi.nlm.nih.gov/pubmed/?term=Baseline+Characteristics+and+Outcomes+of+1591+Patients+Infected+With+SARS-CoV-2+Admitted+to+ICUs+of+the+Lombardy+Region%2C+Italy" TargetMode="External"/><Relationship Id="rId166" Type="http://schemas.openxmlformats.org/officeDocument/2006/relationships/hyperlink" Target="https://www.ncbi.nlm.nih.gov/pubmed/32249847" TargetMode="External"/><Relationship Id="rId373" Type="http://schemas.openxmlformats.org/officeDocument/2006/relationships/hyperlink" Target="https://www.covid19cellatlas.org/" TargetMode="External"/><Relationship Id="rId580" Type="http://schemas.openxmlformats.org/officeDocument/2006/relationships/hyperlink" Target="https://www.ncbi.nlm.nih.gov/pubmed/?term=Nierman%20D%5BAuthor%5D&amp;cauthor=true&amp;cauthor_uid=18379262" TargetMode="External"/><Relationship Id="rId801" Type="http://schemas.openxmlformats.org/officeDocument/2006/relationships/hyperlink" Target="https://pubmed.ncbi.nlm.nih.gov/?term=Lu+R&amp;cauthor_id=24040960" TargetMode="External"/><Relationship Id="rId1017" Type="http://schemas.openxmlformats.org/officeDocument/2006/relationships/hyperlink" Target="https://www.ncbi.nlm.nih.gov/pmc/articles/PMC4407563/" TargetMode="External"/><Relationship Id="rId1224" Type="http://schemas.openxmlformats.org/officeDocument/2006/relationships/hyperlink" Target="https://pubmed.ncbi.nlm.nih.gov/26044074/" TargetMode="External"/><Relationship Id="rId1" Type="http://schemas.openxmlformats.org/officeDocument/2006/relationships/hyperlink" Target="https://covid19.who.int/" TargetMode="External"/><Relationship Id="rId233" Type="http://schemas.openxmlformats.org/officeDocument/2006/relationships/hyperlink" Target="https://www.ncbi.nlm.nih.gov/pubmed/?term=Ricci%20C%5BAuthor%5D&amp;cauthor=true&amp;cauthor_uid=32383963" TargetMode="External"/><Relationship Id="rId440" Type="http://schemas.openxmlformats.org/officeDocument/2006/relationships/hyperlink" Target="https://www.ncbi.nlm.nih.gov/pubmed/?term=Fang%20J%5BAuthor%5D&amp;cauthor=true&amp;cauthor_uid=29467962" TargetMode="External"/><Relationship Id="rId678" Type="http://schemas.openxmlformats.org/officeDocument/2006/relationships/hyperlink" Target="https://www.ncbi.nlm.nih.gov/pmc/articles/PMC7185015/pdf/main.pdf" TargetMode="External"/><Relationship Id="rId885" Type="http://schemas.openxmlformats.org/officeDocument/2006/relationships/hyperlink" Target="https://www.ncbi.nlm.nih.gov/pubmed/?term=Franceschi%20C%5BAuthor%5D&amp;cauthor=true&amp;cauthor_uid=15811314" TargetMode="External"/><Relationship Id="rId1070" Type="http://schemas.openxmlformats.org/officeDocument/2006/relationships/hyperlink" Target="https://pubmed.ncbi.nlm.nih.gov/31354709/" TargetMode="External"/><Relationship Id="rId28" Type="http://schemas.openxmlformats.org/officeDocument/2006/relationships/hyperlink" Target="https://www.ncbi.nlm.nih.gov/pmc/articles/PMC7182018/pdf/NEJMc2010419.pdf" TargetMode="External"/><Relationship Id="rId300" Type="http://schemas.openxmlformats.org/officeDocument/2006/relationships/hyperlink" Target="https://www.ncbi.nlm.nih.gov/pubmed/?term=Dolhnikoff%20M%5BAuthor%5D&amp;cauthor=true&amp;cauthor_uid=32294295" TargetMode="External"/><Relationship Id="rId538" Type="http://schemas.openxmlformats.org/officeDocument/2006/relationships/hyperlink" Target="https://www.ncbi.nlm.nih.gov/pmc/articles/PMC7108125/pdf/ciaa248.pdf" TargetMode="External"/><Relationship Id="rId745" Type="http://schemas.openxmlformats.org/officeDocument/2006/relationships/hyperlink" Target="https://pubmed.ncbi.nlm.nih.gov/?term=Bolles+M&amp;cauthor_id=21937658" TargetMode="External"/><Relationship Id="rId952" Type="http://schemas.openxmlformats.org/officeDocument/2006/relationships/hyperlink" Target="https://pubmed.ncbi.nlm.nih.gov/?term=Zhang+Y&amp;cauthor_id=32430957" TargetMode="External"/><Relationship Id="rId1168" Type="http://schemas.openxmlformats.org/officeDocument/2006/relationships/hyperlink" Target="https://www.ncbi.nlm.nih.gov/pmc/articles/PMC5583026/" TargetMode="External"/><Relationship Id="rId1375" Type="http://schemas.openxmlformats.org/officeDocument/2006/relationships/hyperlink" Target="https://www.ncbi.nlm.nih.gov/pubmed/?term=DeVald%20BL%5BAuthor%5D&amp;cauthor=true&amp;cauthor_uid=7403860" TargetMode="External"/><Relationship Id="rId81" Type="http://schemas.openxmlformats.org/officeDocument/2006/relationships/hyperlink" Target="https://www.ncbi.nlm.nih.gov/pubmed/?term=Zareifopoulos%20N%5BAuthor%5D&amp;cauthor=true&amp;cauthor_uid=32368884" TargetMode="External"/><Relationship Id="rId177" Type="http://schemas.openxmlformats.org/officeDocument/2006/relationships/hyperlink" Target="https://www.ncbi.nlm.nih.gov/pubmed/?term=Martin%20TR%5BAuthor%5D&amp;cauthor=true&amp;cauthor_uid=22390970" TargetMode="External"/><Relationship Id="rId384" Type="http://schemas.openxmlformats.org/officeDocument/2006/relationships/hyperlink" Target="https://www.ncbi.nlm.nih.gov/pmc/articles/PMC7252096/pdf/main.pdf" TargetMode="External"/><Relationship Id="rId591" Type="http://schemas.openxmlformats.org/officeDocument/2006/relationships/hyperlink" Target="https://www.ncbi.nlm.nih.gov/pubmed/?term=Mackowiak%20PA%5BAuthor%5D&amp;cauthor=true&amp;cauthor_uid=9759682" TargetMode="External"/><Relationship Id="rId605" Type="http://schemas.openxmlformats.org/officeDocument/2006/relationships/hyperlink" Target="https://www.scielo.br/pdf/bjmbr/v34n3/4079m.pdf" TargetMode="External"/><Relationship Id="rId812" Type="http://schemas.openxmlformats.org/officeDocument/2006/relationships/hyperlink" Target="https://pubmed.ncbi.nlm.nih.gov/?term=Yasui+F&amp;cauthor_id=18941225" TargetMode="External"/><Relationship Id="rId1028" Type="http://schemas.openxmlformats.org/officeDocument/2006/relationships/hyperlink" Target="https://academic.oup.com/jid/article/201/10/1570/993471" TargetMode="External"/><Relationship Id="rId1235" Type="http://schemas.openxmlformats.org/officeDocument/2006/relationships/hyperlink" Target="https://pubmed.ncbi.nlm.nih.gov/31282802/" TargetMode="External"/><Relationship Id="rId244" Type="http://schemas.openxmlformats.org/officeDocument/2006/relationships/hyperlink" Target="https://www.ncbi.nlm.nih.gov/pubmed/?term=Gianatti%20A%5BAuthor%5D&amp;cauthor=true&amp;cauthor_uid=32350596" TargetMode="External"/><Relationship Id="rId689" Type="http://schemas.openxmlformats.org/officeDocument/2006/relationships/hyperlink" Target="https://www.ncbi.nlm.nih.gov/pmc/articles/PMC7164771/pdf/main.pdf" TargetMode="External"/><Relationship Id="rId896" Type="http://schemas.openxmlformats.org/officeDocument/2006/relationships/hyperlink" Target="https://www.ncbi.nlm.nih.gov/pubmed/?term=Liberale%20L%5BAuthor%5D&amp;cauthor=true&amp;cauthor_uid=32006431" TargetMode="External"/><Relationship Id="rId1081" Type="http://schemas.openxmlformats.org/officeDocument/2006/relationships/hyperlink" Target="https://journals.lww.com/md-journal/Fulltext/2006/07000/X_Linked_Agammaglobulinemia__Report_on_a_United.1.aspx" TargetMode="External"/><Relationship Id="rId1302" Type="http://schemas.openxmlformats.org/officeDocument/2006/relationships/hyperlink" Target="https://www.ncbi.nlm.nih.gov/pubmed/?term=Sex+Hormones+Regulate+Innate+Immune+Cells+and+Promote+Sex+Differences+in+Respiratory+Virus+Infection" TargetMode="External"/><Relationship Id="rId39" Type="http://schemas.openxmlformats.org/officeDocument/2006/relationships/hyperlink" Target="https://onlinelibrary.wiley.com/doi/epdf/10.1111/pai.13271" TargetMode="External"/><Relationship Id="rId451" Type="http://schemas.openxmlformats.org/officeDocument/2006/relationships/hyperlink" Target="https://www.ncbi.nlm.nih.gov/pmc/articles/PMC7175868/pdf/main.pdf" TargetMode="External"/><Relationship Id="rId549" Type="http://schemas.openxmlformats.org/officeDocument/2006/relationships/hyperlink" Target="https://www.ncbi.nlm.nih.gov/pubmed/?term=Martins%20R%5BAuthor%5D&amp;cauthor=true&amp;cauthor_uid=30673535" TargetMode="External"/><Relationship Id="rId756" Type="http://schemas.openxmlformats.org/officeDocument/2006/relationships/hyperlink" Target="https://pubmed.ncbi.nlm.nih.gov/32346094/?from_single_result=The+Potential+for+Antibody-Dependent+Enhancement+of+SARS-CoV-2+Infection%3A+Translational+Implications+for+Vaccine+Development&amp;expanded_search_query=The+Potential+for+Antibody-Dependent+Enhancement+of+SARS-CoV-2+Infection%3A+Translational+Implications+for+Vaccine+Development" TargetMode="External"/><Relationship Id="rId1179" Type="http://schemas.openxmlformats.org/officeDocument/2006/relationships/hyperlink" Target="https://www.cell.com/action/showPdf?pii=S1074-7613%2817%2930090-0" TargetMode="External"/><Relationship Id="rId1386" Type="http://schemas.openxmlformats.org/officeDocument/2006/relationships/hyperlink" Target="https://www.ncbi.nlm.nih.gov/pubmed/?term=Talbot%20PJ%5BAuthor%5D&amp;cauthor=true&amp;cauthor_uid=31861926" TargetMode="External"/><Relationship Id="rId104" Type="http://schemas.openxmlformats.org/officeDocument/2006/relationships/hyperlink" Target="https://pubmed.ncbi.nlm.nih.gov/32350596/?from_single_result=The+autopsy+debate+during+the+COVID-19+emergency%3A+the+Italian+experience&amp;expanded_search_query=The+autopsy+debate+during+the+COVID-19+emergency%3A+the+Italian+experience" TargetMode="External"/><Relationship Id="rId188" Type="http://schemas.openxmlformats.org/officeDocument/2006/relationships/hyperlink" Target="https://www.ncbi.nlm.nih.gov/pubmed/?term=Lagunas-Rangel%20FA%5BAuthor%5D&amp;cauthor=true&amp;cauthor_uid=32297995" TargetMode="External"/><Relationship Id="rId311" Type="http://schemas.openxmlformats.org/officeDocument/2006/relationships/hyperlink" Target="https://www.ncbi.nlm.nih.gov/pubmed/?term=Pomara%20C%5BAuthor%5D&amp;cauthor=true&amp;cauthor_uid=32357503" TargetMode="External"/><Relationship Id="rId395" Type="http://schemas.openxmlformats.org/officeDocument/2006/relationships/hyperlink" Target="https://www.ncbi.nlm.nih.gov/pubmed/?term=Holmes%20KV%5BAuthor%5D&amp;cauthor=true&amp;cauthor_uid=12748314" TargetMode="External"/><Relationship Id="rId409" Type="http://schemas.openxmlformats.org/officeDocument/2006/relationships/hyperlink" Target="http://www.informasalus.it/it/articoli/immunologia-th1-th2-infiammazione.php" TargetMode="External"/><Relationship Id="rId963" Type="http://schemas.openxmlformats.org/officeDocument/2006/relationships/hyperlink" Target="https://pubmed.ncbi.nlm.nih.gov/32180292/?from_term=coronaviurs+death+pregancy&amp;from_exact_term=coronavirus+death+pregnancy&amp;from_pos=2" TargetMode="External"/><Relationship Id="rId1039" Type="http://schemas.openxmlformats.org/officeDocument/2006/relationships/hyperlink" Target="https://pubmed.ncbi.nlm.nih.gov/?term=Knol+J&amp;cauthor_id=21831776" TargetMode="External"/><Relationship Id="rId1246" Type="http://schemas.openxmlformats.org/officeDocument/2006/relationships/hyperlink" Target="https://www.sciencedirect.com/science/article/pii/S1931312815001237" TargetMode="External"/><Relationship Id="rId92" Type="http://schemas.openxmlformats.org/officeDocument/2006/relationships/hyperlink" Target="https://www.primocanale.it/notizie/polemica-sui-numeri-del-coronavirus-bonsignore-non-ci-sono-pi-morti-per-altre-patologie--218746.html" TargetMode="External"/><Relationship Id="rId616" Type="http://schemas.openxmlformats.org/officeDocument/2006/relationships/hyperlink" Target="https://www.ncbi.nlm.nih.gov/pubmed/?term=Myburgh%20J%5BAuthor%5D&amp;cauthor=true&amp;cauthor_uid=22290072" TargetMode="External"/><Relationship Id="rId823" Type="http://schemas.openxmlformats.org/officeDocument/2006/relationships/hyperlink" Target="https://www.ncbi.nlm.nih.gov/pmc/articles/PMC6436086/" TargetMode="External"/><Relationship Id="rId255" Type="http://schemas.openxmlformats.org/officeDocument/2006/relationships/hyperlink" Target="https://www.ncbi.nlm.nih.gov/pubmed/?term=Facchetti%20F%5BAuthor%5D&amp;cauthor=true&amp;cauthor_uid=32324727" TargetMode="External"/><Relationship Id="rId462" Type="http://schemas.openxmlformats.org/officeDocument/2006/relationships/hyperlink" Target="https://www.ncbi.nlm.nih.gov/pubmed/?term=Hsueh%20PR%5BAuthor%5D&amp;cauthor=true&amp;cauthor_uid=17052299" TargetMode="External"/><Relationship Id="rId1092" Type="http://schemas.openxmlformats.org/officeDocument/2006/relationships/hyperlink" Target="https://pubmed.ncbi.nlm.nih.gov/?term=Pablo+L&amp;cauthor_id=10998088" TargetMode="External"/><Relationship Id="rId1106" Type="http://schemas.openxmlformats.org/officeDocument/2006/relationships/hyperlink" Target="https://www.ncbi.nlm.nih.gov/pmc/articles/PMC6340064/" TargetMode="External"/><Relationship Id="rId1313" Type="http://schemas.openxmlformats.org/officeDocument/2006/relationships/hyperlink" Target="https://www.ncbi.nlm.nih.gov/pubmed/?term=Hufford%20MM%5BAuthor%5D&amp;cauthor=true&amp;cauthor_uid=23915713" TargetMode="External"/><Relationship Id="rId1397" Type="http://schemas.openxmlformats.org/officeDocument/2006/relationships/hyperlink" Target="https://www.ncbi.nlm.nih.gov/pubmed/?term=Desforges%20M%5BAuthor%5D&amp;cauthor=true&amp;cauthor_uid=24619619" TargetMode="External"/><Relationship Id="rId115" Type="http://schemas.openxmlformats.org/officeDocument/2006/relationships/hyperlink" Target="https://www.siapec.it/public/uploads/eventi/Histopathology%20disinfection.pdf" TargetMode="External"/><Relationship Id="rId322" Type="http://schemas.openxmlformats.org/officeDocument/2006/relationships/hyperlink" Target="https://www.ncbi.nlm.nih.gov/pubmed/?term=Xiao%20SY%5BAuthor%5D&amp;cauthor=true&amp;cauthor_uid=32114094" TargetMode="External"/><Relationship Id="rId767" Type="http://schemas.openxmlformats.org/officeDocument/2006/relationships/hyperlink" Target="https://pubmed.ncbi.nlm.nih.gov/32205092/?from_single_result=TH17+responses+in+cytokine+storm+of+COVID-19%3A+an+emerging+target+of+JAK2+inhibitor+Fedratinib&amp;expanded_search_query=TH17+responses+in+cytokine+storm+of+COVID-19%3A+an+emerging+target+of+JAK2+inhibitor+Fedratinib" TargetMode="External"/><Relationship Id="rId974" Type="http://schemas.openxmlformats.org/officeDocument/2006/relationships/hyperlink" Target="https://pubmed.ncbi.nlm.nih.gov/32180292/?from_term=coronaviurs+death+pregancy&amp;from_exact_term=coronavirus+death+pregnancy&amp;from_pos=2" TargetMode="External"/><Relationship Id="rId199" Type="http://schemas.openxmlformats.org/officeDocument/2006/relationships/hyperlink" Target="https://www.ncbi.nlm.nih.gov/pubmed/?term=Piacentini%20M%5BAuthor%5D&amp;cauthor=true&amp;cauthor_uid=32205856" TargetMode="External"/><Relationship Id="rId627" Type="http://schemas.openxmlformats.org/officeDocument/2006/relationships/hyperlink" Target="https://www.ncbi.nlm.nih.gov/pubmed/?term=Hulak%20N%5BAuthor%5D&amp;cauthor=true&amp;cauthor_uid=27195192" TargetMode="External"/><Relationship Id="rId834" Type="http://schemas.openxmlformats.org/officeDocument/2006/relationships/hyperlink" Target="https://pubmed.ncbi.nlm.nih.gov/29616677/?from_single_result=Influenza+vaccine+effectiveness+in+an+Italian+elderly+population+during+the+2016-2017+season&amp;expanded_search_query=Influenza+vaccine+effectiveness+in+an+Italian+elderly+population+during+the+2016-2017+season" TargetMode="External"/><Relationship Id="rId1257" Type="http://schemas.openxmlformats.org/officeDocument/2006/relationships/hyperlink" Target="https://www.ncbi.nlm.nih.gov/pmc/articles/PMC6004897/" TargetMode="External"/><Relationship Id="rId266" Type="http://schemas.openxmlformats.org/officeDocument/2006/relationships/hyperlink" Target="https://www.ncbi.nlm.nih.gov/pubmed/?term=Youd%20E%5BAuthor%5D&amp;cauthor=true&amp;cauthor_uid=32198191" TargetMode="External"/><Relationship Id="rId473" Type="http://schemas.openxmlformats.org/officeDocument/2006/relationships/hyperlink" Target="https://www.ncbi.nlm.nih.gov/pubmed/32251717" TargetMode="External"/><Relationship Id="rId680" Type="http://schemas.openxmlformats.org/officeDocument/2006/relationships/hyperlink" Target="https://pubmed.ncbi.nlm.nih.gov/?term=Zhang+W&amp;cauthor_id=32222466" TargetMode="External"/><Relationship Id="rId901" Type="http://schemas.openxmlformats.org/officeDocument/2006/relationships/hyperlink" Target="https://pubmed.ncbi.nlm.nih.gov/32006431/" TargetMode="External"/><Relationship Id="rId1117" Type="http://schemas.openxmlformats.org/officeDocument/2006/relationships/hyperlink" Target="https://www.nature.com/articles/nri2075" TargetMode="External"/><Relationship Id="rId1324" Type="http://schemas.openxmlformats.org/officeDocument/2006/relationships/hyperlink" Target="https://www.ncbi.nlm.nih.gov/pubmed/?term=Mack%20M%5BAuthor%5D&amp;cauthor=true&amp;cauthor_uid=28373583" TargetMode="External"/><Relationship Id="rId30" Type="http://schemas.openxmlformats.org/officeDocument/2006/relationships/hyperlink" Target="https://www.ncbi.nlm.nih.gov/pmc/articles/PMC7177629/" TargetMode="External"/><Relationship Id="rId126" Type="http://schemas.openxmlformats.org/officeDocument/2006/relationships/hyperlink" Target="https://www.ncbi.nlm.nih.gov/pubmed/?term=Chien%20JY%5BAuthor%5D&amp;cauthor=true&amp;cauthor_uid=17052299" TargetMode="External"/><Relationship Id="rId333" Type="http://schemas.openxmlformats.org/officeDocument/2006/relationships/hyperlink" Target="https://www.ncbi.nlm.nih.gov/pubmed/?term=Tang%20N%5BAuthor%5D&amp;cauthor=true&amp;cauthor_uid=32311318" TargetMode="External"/><Relationship Id="rId540" Type="http://schemas.openxmlformats.org/officeDocument/2006/relationships/hyperlink" Target="https://www.ncbi.nlm.nih.gov/pubmed/?term=McGonagle%20D%5BAuthor%5D&amp;cauthor=true&amp;cauthor_uid=32251717" TargetMode="External"/><Relationship Id="rId778" Type="http://schemas.openxmlformats.org/officeDocument/2006/relationships/hyperlink" Target="https://pubmed.ncbi.nlm.nih.gov/?term=Wu+K&amp;cauthor_id=17490702" TargetMode="External"/><Relationship Id="rId985" Type="http://schemas.openxmlformats.org/officeDocument/2006/relationships/hyperlink" Target="https://pubmed.ncbi.nlm.nih.gov/?term=Jamieson+DJ&amp;cauthor_id=32105680" TargetMode="External"/><Relationship Id="rId1170" Type="http://schemas.openxmlformats.org/officeDocument/2006/relationships/hyperlink" Target="https://www.ncbi.nlm.nih.gov/pmc/articles/PMC3437652/" TargetMode="External"/><Relationship Id="rId638" Type="http://schemas.openxmlformats.org/officeDocument/2006/relationships/hyperlink" Target="https://pubmed.ncbi.nlm.nih.gov/?term=Lokhandwala+S&amp;cauthor_id=32191259" TargetMode="External"/><Relationship Id="rId845" Type="http://schemas.openxmlformats.org/officeDocument/2006/relationships/hyperlink" Target="https://www.ncbi.nlm.nih.gov/pmc/articles/PMC7220618/" TargetMode="External"/><Relationship Id="rId1030" Type="http://schemas.openxmlformats.org/officeDocument/2006/relationships/hyperlink" Target="https://www.tandfonline.com/doi/full/10.1586/erv.11.8" TargetMode="External"/><Relationship Id="rId1268" Type="http://schemas.openxmlformats.org/officeDocument/2006/relationships/hyperlink" Target="https://pubmed.ncbi.nlm.nih.gov/32253888/" TargetMode="External"/><Relationship Id="rId277" Type="http://schemas.openxmlformats.org/officeDocument/2006/relationships/hyperlink" Target="https://www.ncbi.nlm.nih.gov/pubmed/?term=Vander%20K%5BAuthor%5D&amp;cauthor=true&amp;cauthor_uid=32422076" TargetMode="External"/><Relationship Id="rId400" Type="http://schemas.openxmlformats.org/officeDocument/2006/relationships/hyperlink" Target="https://www.ncbi.nlm.nih.gov/pubmed/?term=McNamara%20PS%5BAuthor%5D&amp;cauthor=true&amp;cauthor_uid=32353634" TargetMode="External"/><Relationship Id="rId484" Type="http://schemas.openxmlformats.org/officeDocument/2006/relationships/hyperlink" Target="https://www.ncbi.nlm.nih.gov/pubmed/?term=Tattersall%20RS%5BAuthor%5D&amp;cauthor=true&amp;cauthor_uid=32192578" TargetMode="External"/><Relationship Id="rId705" Type="http://schemas.openxmlformats.org/officeDocument/2006/relationships/hyperlink" Target="https://pubmed.ncbi.nlm.nih.gov/12185262/" TargetMode="External"/><Relationship Id="rId1128" Type="http://schemas.openxmlformats.org/officeDocument/2006/relationships/hyperlink" Target="https://www.ncbi.nlm.nih.gov/pmc/articles/PMC6760227/" TargetMode="External"/><Relationship Id="rId1335" Type="http://schemas.openxmlformats.org/officeDocument/2006/relationships/hyperlink" Target="https://onlinelibrary.wiley.com/doi/epdf/10.1111/jocd.13443" TargetMode="External"/><Relationship Id="rId137" Type="http://schemas.openxmlformats.org/officeDocument/2006/relationships/hyperlink" Target="https://paperchase-aging.s3-us-west-1.amazonaws.com/pdf/vgbdsA4AtLiNjLZgc.pdf" TargetMode="External"/><Relationship Id="rId344" Type="http://schemas.openxmlformats.org/officeDocument/2006/relationships/hyperlink" Target="https://www.ncbi.nlm.nih.gov/pubmed/?term=Li%20Z%5BAuthor%5D&amp;cauthor=true&amp;cauthor_uid=12845623" TargetMode="External"/><Relationship Id="rId691" Type="http://schemas.openxmlformats.org/officeDocument/2006/relationships/hyperlink" Target="https://pubmed.ncbi.nlm.nih.gov/?term=Taylor+A&amp;cauthor_id=26497532" TargetMode="External"/><Relationship Id="rId789" Type="http://schemas.openxmlformats.org/officeDocument/2006/relationships/hyperlink" Target="https://www.ncbi.nlm.nih.gov/pmc/articles/PMC5863511/" TargetMode="External"/><Relationship Id="rId912" Type="http://schemas.openxmlformats.org/officeDocument/2006/relationships/hyperlink" Target="https://www.ncbi.nlm.nih.gov/pmc/articles/PMC7147903/" TargetMode="External"/><Relationship Id="rId996" Type="http://schemas.openxmlformats.org/officeDocument/2006/relationships/hyperlink" Target="https://pubmed.ncbi.nlm.nih.gov/22003882/" TargetMode="External"/><Relationship Id="rId41" Type="http://schemas.openxmlformats.org/officeDocument/2006/relationships/hyperlink" Target="https://www.epicentro.iss.it/coronavirus/bollettino/Report-COVID-2019_4_giugno.pdf" TargetMode="External"/><Relationship Id="rId551" Type="http://schemas.openxmlformats.org/officeDocument/2006/relationships/hyperlink" Target="https://www.ncbi.nlm.nih.gov/pubmed/?term=Braza%20F%5BAuthor%5D&amp;cauthor=true&amp;cauthor_uid=30673535" TargetMode="External"/><Relationship Id="rId649" Type="http://schemas.openxmlformats.org/officeDocument/2006/relationships/hyperlink" Target="https://www.ncbi.nlm.nih.gov/pubmed/32353634" TargetMode="External"/><Relationship Id="rId856" Type="http://schemas.openxmlformats.org/officeDocument/2006/relationships/hyperlink" Target="https://www.ncbi.nlm.nih.gov/pubmed/?term=Herbert%20JA%5BAuthor%5D&amp;cauthor=true&amp;cauthor_uid=32353634" TargetMode="External"/><Relationship Id="rId1181" Type="http://schemas.openxmlformats.org/officeDocument/2006/relationships/hyperlink" Target="https://onlinelibrary.wiley.com/doi/epdf/10.1111/j.1432-2277.2009.00927.x" TargetMode="External"/><Relationship Id="rId1279" Type="http://schemas.openxmlformats.org/officeDocument/2006/relationships/hyperlink" Target="https://www.proteinatlas.org/ENSG00000184012-TMPRSS2/tissue" TargetMode="External"/><Relationship Id="rId1402" Type="http://schemas.openxmlformats.org/officeDocument/2006/relationships/hyperlink" Target="https://www.ncbi.nlm.nih.gov/pmc/articles/PMC7121612/" TargetMode="External"/><Relationship Id="rId190" Type="http://schemas.openxmlformats.org/officeDocument/2006/relationships/hyperlink" Target="https://www.ncbi.nlm.nih.gov/pmc/articles/PMC7262117/pdf/JMV-9999-na.pdf" TargetMode="External"/><Relationship Id="rId204" Type="http://schemas.openxmlformats.org/officeDocument/2006/relationships/hyperlink" Target="https://www.ncbi.nlm.nih.gov/pubmed/?term=Qin%20C%5BAuthor%5D&amp;cauthor=true&amp;cauthor_uid=32161940" TargetMode="External"/><Relationship Id="rId288" Type="http://schemas.openxmlformats.org/officeDocument/2006/relationships/hyperlink" Target="https://www.ncbi.nlm.nih.gov/pubmed/?term=Varga%20Z%5BAuthor%5D&amp;cauthor=true&amp;cauthor_uid=32325026" TargetMode="External"/><Relationship Id="rId411" Type="http://schemas.openxmlformats.org/officeDocument/2006/relationships/hyperlink" Target="https://www.ncbi.nlm.nih.gov/pubmed/?term=The+many+faces+of+the+anti-COVID+immune+response" TargetMode="External"/><Relationship Id="rId509" Type="http://schemas.openxmlformats.org/officeDocument/2006/relationships/hyperlink" Target="https://www.ncbi.nlm.nih.gov/pmc/articles/PMC7262093/pdf/JTH-9999-na.pdf" TargetMode="External"/><Relationship Id="rId1041" Type="http://schemas.openxmlformats.org/officeDocument/2006/relationships/hyperlink" Target="https://www.wageningenacademic.com/doi/pdf/10.3920/BM2010.0027" TargetMode="External"/><Relationship Id="rId1139" Type="http://schemas.openxmlformats.org/officeDocument/2006/relationships/hyperlink" Target="http://www.trovanorme.salute.gov.it/norme/renderNormsanPdf?anno=2018&amp;codLeg=66751&amp;parte=1%20&amp;serie=null" TargetMode="External"/><Relationship Id="rId1346" Type="http://schemas.openxmlformats.org/officeDocument/2006/relationships/hyperlink" Target="https://www.ncbi.nlm.nih.gov/pmc/articles/PMC7142689/" TargetMode="External"/><Relationship Id="rId495" Type="http://schemas.openxmlformats.org/officeDocument/2006/relationships/hyperlink" Target="https://www.ncbi.nlm.nih.gov/pubmed/?term=Tisoncik%20JR%5BAuthor%5D&amp;cauthor=true&amp;cauthor_uid=22390970" TargetMode="External"/><Relationship Id="rId716" Type="http://schemas.openxmlformats.org/officeDocument/2006/relationships/hyperlink" Target="https://doi.org/10.1038/nri3582" TargetMode="External"/><Relationship Id="rId923" Type="http://schemas.openxmlformats.org/officeDocument/2006/relationships/hyperlink" Target="https://pubmed.ncbi.nlm.nih.gov/32179660/?from_term=Epidemiology+of+COVID-19+among+children+in+China.&amp;from_pos=1" TargetMode="External"/><Relationship Id="rId52" Type="http://schemas.openxmlformats.org/officeDocument/2006/relationships/hyperlink" Target="https://www.ncbi.nlm.nih.gov/pubmed/?term=Cappello%20F%5BAuthor%5D&amp;cauthor=true&amp;cauthor_uid=32357503" TargetMode="External"/><Relationship Id="rId148" Type="http://schemas.openxmlformats.org/officeDocument/2006/relationships/hyperlink" Target="https://www.ncbi.nlm.nih.gov/pubmed/?term=Sanchez%20E%5BAuthor%5D&amp;cauthor=true&amp;cauthor_uid=32192578" TargetMode="External"/><Relationship Id="rId355" Type="http://schemas.openxmlformats.org/officeDocument/2006/relationships/hyperlink" Target="https://www.ncbi.nlm.nih.gov/pmc/articles/PMC7168017/pdf/PATH-200-282.pdf" TargetMode="External"/><Relationship Id="rId562" Type="http://schemas.openxmlformats.org/officeDocument/2006/relationships/hyperlink" Target="https://pubmed.ncbi.nlm.nih.gov/?term=Blanco-Melo+D&amp;cauthor_id=32416070" TargetMode="External"/><Relationship Id="rId1192" Type="http://schemas.openxmlformats.org/officeDocument/2006/relationships/hyperlink" Target="https://www.ncbi.nlm.nih.gov/pmc/articles/PMC3935863/" TargetMode="External"/><Relationship Id="rId1206" Type="http://schemas.openxmlformats.org/officeDocument/2006/relationships/hyperlink" Target="https://pubmed.ncbi.nlm.nih.gov/23132168/" TargetMode="External"/><Relationship Id="rId1413" Type="http://schemas.openxmlformats.org/officeDocument/2006/relationships/hyperlink" Target="https://www.ncbi.nlm.nih.gov/pubmed/?term=Chang%20YC%5BAuthor%5D&amp;cauthor=true&amp;cauthor_uid=16252612" TargetMode="External"/><Relationship Id="rId215" Type="http://schemas.openxmlformats.org/officeDocument/2006/relationships/hyperlink" Target="https://www.ncbi.nlm.nih.gov/pmc/articles/PMC7108125/pdf/ciaa248.pdf" TargetMode="External"/><Relationship Id="rId422" Type="http://schemas.openxmlformats.org/officeDocument/2006/relationships/hyperlink" Target="https://www.medrxiv.org/content/10.1101/2020.03.03.20030437v1.full.pdf" TargetMode="External"/><Relationship Id="rId867" Type="http://schemas.openxmlformats.org/officeDocument/2006/relationships/hyperlink" Target="https://www.ncbi.nlm.nih.gov/pubmed/26702035" TargetMode="External"/><Relationship Id="rId1052" Type="http://schemas.openxmlformats.org/officeDocument/2006/relationships/hyperlink" Target="https://www.ncbi.nlm.nih.gov/pmc/articles/PMC1905087/" TargetMode="External"/><Relationship Id="rId299" Type="http://schemas.openxmlformats.org/officeDocument/2006/relationships/hyperlink" Target="https://www.ncbi.nlm.nih.gov/pubmed/?term=Pathological+evidence+of+pulmonary+thrombotic+phenomena+in+severe+COVID-19" TargetMode="External"/><Relationship Id="rId727" Type="http://schemas.openxmlformats.org/officeDocument/2006/relationships/hyperlink" Target="https://www.ncbi.nlm.nih.gov/pmc/articles/PMC4752723/pdf/main.pdf" TargetMode="External"/><Relationship Id="rId934" Type="http://schemas.openxmlformats.org/officeDocument/2006/relationships/hyperlink" Target="https://www.ncbi.nlm.nih.gov/pubmed/32370951" TargetMode="External"/><Relationship Id="rId1357" Type="http://schemas.openxmlformats.org/officeDocument/2006/relationships/hyperlink" Target="https://www.ncbi.nlm.nih.gov/pmc/articles/PMC7194066/" TargetMode="External"/><Relationship Id="rId63" Type="http://schemas.openxmlformats.org/officeDocument/2006/relationships/hyperlink" Target="https://www.ncbi.nlm.nih.gov/pubmed/?term=Chiumello%20D%5BAuthor%5D&amp;cauthor=true&amp;cauthor_uid=32228035" TargetMode="External"/><Relationship Id="rId159" Type="http://schemas.openxmlformats.org/officeDocument/2006/relationships/hyperlink" Target="https://pubmed.ncbi.nlm.nih.gov/?term=Hirano+T&amp;cauthor_id=32325025" TargetMode="External"/><Relationship Id="rId366" Type="http://schemas.openxmlformats.org/officeDocument/2006/relationships/hyperlink" Target="https://www.ncbi.nlm.nih.gov/pubmed/?term=Dunker%20AK%5BAuthor%5D&amp;cauthor=true&amp;cauthor_uid=32244041" TargetMode="External"/><Relationship Id="rId573" Type="http://schemas.openxmlformats.org/officeDocument/2006/relationships/hyperlink" Target="https://www.ncbi.nlm.nih.gov/pubmed/?term=Barie%20PS%5BAuthor%5D&amp;cauthor=true&amp;cauthor_uid=18379262" TargetMode="External"/><Relationship Id="rId780" Type="http://schemas.openxmlformats.org/officeDocument/2006/relationships/hyperlink" Target="https://pubmed.ncbi.nlm.nih.gov/?term=Yue+X&amp;cauthor_id=17490702" TargetMode="External"/><Relationship Id="rId1217" Type="http://schemas.openxmlformats.org/officeDocument/2006/relationships/hyperlink" Target="https://pubmed.ncbi.nlm.nih.gov/19300888/" TargetMode="External"/><Relationship Id="rId226" Type="http://schemas.openxmlformats.org/officeDocument/2006/relationships/hyperlink" Target="https://www.ncbi.nlm.nih.gov/pubmed/?term=Sacco%20MA%5BAuthor%5D&amp;cauthor=true&amp;cauthor_uid=32383963" TargetMode="External"/><Relationship Id="rId433" Type="http://schemas.openxmlformats.org/officeDocument/2006/relationships/hyperlink" Target="http://www2.nau.edu/~fpm/immunology/lectures/Chapter012.pdf" TargetMode="External"/><Relationship Id="rId878" Type="http://schemas.openxmlformats.org/officeDocument/2006/relationships/hyperlink" Target="https://www.ncbi.nlm.nih.gov/pubmed/?term=Olivieri%20F%5BAuthor%5D&amp;cauthor=true&amp;cauthor_uid=10911963" TargetMode="External"/><Relationship Id="rId1063" Type="http://schemas.openxmlformats.org/officeDocument/2006/relationships/hyperlink" Target="https://pubmed.ncbi.nlm.nih.gov/12850349/" TargetMode="External"/><Relationship Id="rId1270" Type="http://schemas.openxmlformats.org/officeDocument/2006/relationships/hyperlink" Target="https://www.ncbi.nlm.nih.gov/pmc/articles/PMC5992421/" TargetMode="External"/><Relationship Id="rId640" Type="http://schemas.openxmlformats.org/officeDocument/2006/relationships/hyperlink" Target="https://pubmed.ncbi.nlm.nih.gov/?term=Riedo+FX&amp;cauthor_id=32191259" TargetMode="External"/><Relationship Id="rId738" Type="http://schemas.openxmlformats.org/officeDocument/2006/relationships/hyperlink" Target="https://dx.doi.org/10.2139/ssrn.3546070" TargetMode="External"/><Relationship Id="rId945" Type="http://schemas.openxmlformats.org/officeDocument/2006/relationships/hyperlink" Target="https://pubmed.ncbi.nlm.nih.gov/?term=Juan+J&amp;cauthor_id=32430957" TargetMode="External"/><Relationship Id="rId1368" Type="http://schemas.openxmlformats.org/officeDocument/2006/relationships/hyperlink" Target="https://www.ncbi.nlm.nih.gov/pubmed/?term=Paquette%20JS%5BAuthor%5D&amp;cauthor=true&amp;cauthor_uid=8967755" TargetMode="External"/><Relationship Id="rId74" Type="http://schemas.openxmlformats.org/officeDocument/2006/relationships/hyperlink" Target="https://www.ncbi.nlm.nih.gov/pubmed/?term=Wang%20K%5BAuthor%5D&amp;cauthor=true&amp;cauthor_uid=32232685" TargetMode="External"/><Relationship Id="rId377" Type="http://schemas.openxmlformats.org/officeDocument/2006/relationships/hyperlink" Target="https://www.ncbi.nlm.nih.gov/pubmed/?term=Rabi%20FA%5BAuthor%5D&amp;cauthor=true&amp;cauthor_uid=32245083" TargetMode="External"/><Relationship Id="rId500" Type="http://schemas.openxmlformats.org/officeDocument/2006/relationships/hyperlink" Target="https://www.ncbi.nlm.nih.gov/pubmed/?term=Katze%20MG%5BAuthor%5D&amp;cauthor=true&amp;cauthor_uid=22390970" TargetMode="External"/><Relationship Id="rId584" Type="http://schemas.openxmlformats.org/officeDocument/2006/relationships/hyperlink" Target="https://www.ncbi.nlm.nih.gov/pubmed/?term=Infectious%20Diseases%20Society%20of%20America%5BCorporate%20Author%5D" TargetMode="External"/><Relationship Id="rId805" Type="http://schemas.openxmlformats.org/officeDocument/2006/relationships/hyperlink" Target="https://pubmed.ncbi.nlm.nih.gov/?term=Lilic+D&amp;cauthor_id=9262229" TargetMode="External"/><Relationship Id="rId1130" Type="http://schemas.openxmlformats.org/officeDocument/2006/relationships/hyperlink" Target="https://www.ncbi.nlm.nih.gov/pmc/articles/PMC6168638/" TargetMode="External"/><Relationship Id="rId1228" Type="http://schemas.openxmlformats.org/officeDocument/2006/relationships/hyperlink" Target="https://www.ncbi.nlm.nih.gov/pmc/articles/PMC3699344/" TargetMode="External"/><Relationship Id="rId5" Type="http://schemas.openxmlformats.org/officeDocument/2006/relationships/hyperlink" Target="https://www.ncbi.nlm.nih.gov/pubmed/?term=Matricardi%20PM%5BAuthor%5D&amp;cauthor=true&amp;cauthor_uid=32359201" TargetMode="External"/><Relationship Id="rId237" Type="http://schemas.openxmlformats.org/officeDocument/2006/relationships/hyperlink" Target="https://www.archivesofpathology.org/doi/pdf/10.5858/arpa.2020-0165-SA" TargetMode="External"/><Relationship Id="rId791" Type="http://schemas.openxmlformats.org/officeDocument/2006/relationships/hyperlink" Target="https://pubmed.ncbi.nlm.nih.gov/32092539/?from_single_result=Is+COVID-19+receiving+ADE+from+other+coronaviruses%3F&amp;expanded_search_query=Is+COVID-19+receiving+ADE+from+other+coronaviruses%3F" TargetMode="External"/><Relationship Id="rId889" Type="http://schemas.openxmlformats.org/officeDocument/2006/relationships/hyperlink" Target="https://www.ncbi.nlm.nih.gov/pubmed/32250234" TargetMode="External"/><Relationship Id="rId1074" Type="http://schemas.openxmlformats.org/officeDocument/2006/relationships/hyperlink" Target="https://pubmed.ncbi.nlm.nih.gov/31354709/" TargetMode="External"/><Relationship Id="rId444" Type="http://schemas.openxmlformats.org/officeDocument/2006/relationships/hyperlink" Target="https://www.ncbi.nlm.nih.gov/pubmed/?term=Wang%20X%5BAuthor%5D&amp;cauthor=true&amp;cauthor_uid=29467962" TargetMode="External"/><Relationship Id="rId651" Type="http://schemas.openxmlformats.org/officeDocument/2006/relationships/hyperlink" Target="https://www.ncbi.nlm.nih.gov/pubmed/?term=Herbert%20JA%5BAuthor%5D&amp;cauthor=true&amp;cauthor_uid=32353634" TargetMode="External"/><Relationship Id="rId749" Type="http://schemas.openxmlformats.org/officeDocument/2006/relationships/hyperlink" Target="https://media.tghn.org/articles/FINAL2__summary_considerations_ED_with_COVID-19_vac-March_20_2020.pdf" TargetMode="External"/><Relationship Id="rId1281" Type="http://schemas.openxmlformats.org/officeDocument/2006/relationships/hyperlink" Target="https://www.ncbi.nlm.nih.gov/pubmed/?term=Xu%20H%5BAuthor%5D&amp;cauthor=true&amp;cauthor_uid=32094336" TargetMode="External"/><Relationship Id="rId1379" Type="http://schemas.openxmlformats.org/officeDocument/2006/relationships/hyperlink" Target="https://www.ncbi.nlm.nih.gov/pubmed/31861926" TargetMode="External"/><Relationship Id="rId290" Type="http://schemas.openxmlformats.org/officeDocument/2006/relationships/hyperlink" Target="https://www.ncbi.nlm.nih.gov/pubmed/?term=Steiger%20P%5BAuthor%5D&amp;cauthor=true&amp;cauthor_uid=32325026" TargetMode="External"/><Relationship Id="rId304" Type="http://schemas.openxmlformats.org/officeDocument/2006/relationships/hyperlink" Target="https://onlinelibrary.wiley.com/doi/epdf/10.1111/his.14134" TargetMode="External"/><Relationship Id="rId388" Type="http://schemas.openxmlformats.org/officeDocument/2006/relationships/hyperlink" Target="https://www.medrxiv.org/content/10.1101/2020.03.30.20047878v2.full.pdf" TargetMode="External"/><Relationship Id="rId511" Type="http://schemas.openxmlformats.org/officeDocument/2006/relationships/hyperlink" Target="https://www.ncbi.nlm.nih.gov/pubmed/?term=Lagunas-Rangel%20FA%5BAuthor%5D&amp;cauthor=true&amp;cauthor_uid=32297995" TargetMode="External"/><Relationship Id="rId609" Type="http://schemas.openxmlformats.org/officeDocument/2006/relationships/hyperlink" Target="https://www.ncbi.nlm.nih.gov/pubmed/?term=Saxena%20M%5BAuthor%5D&amp;cauthor=true&amp;cauthor_uid=22290072" TargetMode="External"/><Relationship Id="rId956" Type="http://schemas.openxmlformats.org/officeDocument/2006/relationships/hyperlink" Target="https://pubmed.ncbi.nlm.nih.gov/32430957/" TargetMode="External"/><Relationship Id="rId1141" Type="http://schemas.openxmlformats.org/officeDocument/2006/relationships/hyperlink" Target="https://pubmed.ncbi.nlm.nih.gov/19909558/" TargetMode="External"/><Relationship Id="rId1239" Type="http://schemas.openxmlformats.org/officeDocument/2006/relationships/hyperlink" Target="https://www.ncbi.nlm.nih.gov/pmc/articles/PMC7184466/pdf/glaa094.pdf" TargetMode="External"/><Relationship Id="rId85" Type="http://schemas.openxmlformats.org/officeDocument/2006/relationships/hyperlink" Target="https://www.ncbi.nlm.nih.gov/pubmed/?term=Karantzogiannis%20G%5BAuthor%5D&amp;cauthor=true&amp;cauthor_uid=32368884" TargetMode="External"/><Relationship Id="rId150" Type="http://schemas.openxmlformats.org/officeDocument/2006/relationships/hyperlink" Target="https://www.ncbi.nlm.nih.gov/pubmed/?term=Manson%20JJ%5BAuthor%5D&amp;cauthor=true&amp;cauthor_uid=32192578" TargetMode="External"/><Relationship Id="rId595" Type="http://schemas.openxmlformats.org/officeDocument/2006/relationships/hyperlink" Target="https://www.nonfartiinfluenzare.it/tutto-sulla-febbre/che-cos%C3%A8-la-febbre/" TargetMode="External"/><Relationship Id="rId816" Type="http://schemas.openxmlformats.org/officeDocument/2006/relationships/hyperlink" Target="https://pubmed.ncbi.nlm.nih.gov/?term=Loving+CL&amp;cauthor_id=23986398" TargetMode="External"/><Relationship Id="rId1001" Type="http://schemas.openxmlformats.org/officeDocument/2006/relationships/hyperlink" Target="https://www.ncbi.nlm.nih.gov/pubmed/?term=Zhivaki%20D%5BAuthor%5D&amp;cauthor=true&amp;cauthor_uid=28627520" TargetMode="External"/><Relationship Id="rId248" Type="http://schemas.openxmlformats.org/officeDocument/2006/relationships/hyperlink" Target="https://www.iss.it/documents/20126/0/Rapporto+COVID-19+n.+6_2020+Autopsie+v27+marzo.pdf/c4b363a1-a246-c36c-d007-ae24ed7e648b?t=1585307031219" TargetMode="External"/><Relationship Id="rId455" Type="http://schemas.openxmlformats.org/officeDocument/2006/relationships/hyperlink" Target="https://www.ncbi.nlm.nih.gov/pmc/articles/PMC7204696/pdf/main.pdf" TargetMode="External"/><Relationship Id="rId662" Type="http://schemas.openxmlformats.org/officeDocument/2006/relationships/hyperlink" Target="https://pubmed.ncbi.nlm.nih.gov/28466096/?from_single_result=Pathogenic+human+coronavirus+infections%3A+causes+and+consequences+of+cytokine+storm+and+immunopathology&amp;expanded_search_query=Pathogenic+human+coronavirus+infections%3A+causes+and+consequences+of+cytokine+storm+and+immunopathology" TargetMode="External"/><Relationship Id="rId1085" Type="http://schemas.openxmlformats.org/officeDocument/2006/relationships/hyperlink" Target="https://www.ncbi.nlm.nih.gov/pmc/articles/PMC7165974/" TargetMode="External"/><Relationship Id="rId1292" Type="http://schemas.openxmlformats.org/officeDocument/2006/relationships/hyperlink" Target="https://www.ncbi.nlm.nih.gov/pubmed/?term=Mucci%20LA%5BAuthor%5D&amp;cauthor=true&amp;cauthor_uid=32276929" TargetMode="External"/><Relationship Id="rId1306" Type="http://schemas.openxmlformats.org/officeDocument/2006/relationships/hyperlink" Target="https://www.ncbi.nlm.nih.gov/pubmed/26891052/" TargetMode="External"/><Relationship Id="rId12"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108" Type="http://schemas.openxmlformats.org/officeDocument/2006/relationships/hyperlink" Target="https://pubmed.ncbi.nlm.nih.gov/32350596/?from_single_result=The+autopsy+debate+during+the+COVID-19+emergency%3A+the+Italian+experience&amp;expanded_search_query=The+autopsy+debate+during+the+COVID-19+emergency%3A+the+Italian+experience" TargetMode="External"/><Relationship Id="rId315" Type="http://schemas.openxmlformats.org/officeDocument/2006/relationships/hyperlink" Target="https://www.ncbi.nlm.nih.gov/pmc/articles/PMC7287760/pdf/jcm-09-01259.pdf" TargetMode="External"/><Relationship Id="rId522" Type="http://schemas.openxmlformats.org/officeDocument/2006/relationships/hyperlink" Target="https://www.ncbi.nlm.nih.gov/pubmed/?term=Piacentini%20M%5BAuthor%5D&amp;cauthor=true&amp;cauthor_uid=32205856" TargetMode="External"/><Relationship Id="rId967" Type="http://schemas.openxmlformats.org/officeDocument/2006/relationships/hyperlink" Target="https://pubmed.ncbi.nlm.nih.gov/?term=Viner+RM&amp;cauthor_id=32180292" TargetMode="External"/><Relationship Id="rId1152" Type="http://schemas.openxmlformats.org/officeDocument/2006/relationships/hyperlink" Target="https://www.ncbi.nlm.nih.gov/pmc/articles/PMC5706746/" TargetMode="External"/><Relationship Id="rId96" Type="http://schemas.openxmlformats.org/officeDocument/2006/relationships/hyperlink" Target="http://www.quadernodiepidemiologia.it/epi/cause/pos_hk.htm" TargetMode="External"/><Relationship Id="rId161" Type="http://schemas.openxmlformats.org/officeDocument/2006/relationships/hyperlink" Target="https://pubmed.ncbi.nlm.nih.gov/?term=Murakami+M&amp;cauthor_id=32325025" TargetMode="External"/><Relationship Id="rId399" Type="http://schemas.openxmlformats.org/officeDocument/2006/relationships/hyperlink" Target="https://www.ncbi.nlm.nih.gov/pubmed/?term=Herbert%20JA%5BAuthor%5D&amp;cauthor=true&amp;cauthor_uid=32353634" TargetMode="External"/><Relationship Id="rId827" Type="http://schemas.openxmlformats.org/officeDocument/2006/relationships/hyperlink" Target="https://pubmed.ncbi.nlm.nih.gov/?term=Eller+JJ&amp;cauthor_id=6072745" TargetMode="External"/><Relationship Id="rId1012" Type="http://schemas.openxmlformats.org/officeDocument/2006/relationships/hyperlink" Target="https://www.ncbi.nlm.nih.gov/pmc/articles/PMC1809424/" TargetMode="External"/><Relationship Id="rId259" Type="http://schemas.openxmlformats.org/officeDocument/2006/relationships/hyperlink" Target="https://www.pathologica.it/article/view/101/132" TargetMode="External"/><Relationship Id="rId466" Type="http://schemas.openxmlformats.org/officeDocument/2006/relationships/hyperlink" Target="https://www.ncbi.nlm.nih.gov/pmc/articles/PMC7192207/pdf/RESP-11-715.pdf" TargetMode="External"/><Relationship Id="rId673" Type="http://schemas.openxmlformats.org/officeDocument/2006/relationships/hyperlink" Target="https://www.ncbi.nlm.nih.gov/pmc/articles/PMC7199723/pdf/main.pdf" TargetMode="External"/><Relationship Id="rId880" Type="http://schemas.openxmlformats.org/officeDocument/2006/relationships/hyperlink" Target="https://www.ncbi.nlm.nih.gov/pubmed/?term=Ottaviani%20E%5BAuthor%5D&amp;cauthor=true&amp;cauthor_uid=10911963" TargetMode="External"/><Relationship Id="rId1096" Type="http://schemas.openxmlformats.org/officeDocument/2006/relationships/hyperlink" Target="https://pubmed.ncbi.nlm.nih.gov/6072745/" TargetMode="External"/><Relationship Id="rId1317" Type="http://schemas.openxmlformats.org/officeDocument/2006/relationships/hyperlink" Target="https://www.ncbi.nlm.nih.gov/pubmed/?term=Newton%20AH%5BAuthor%5D&amp;cauthor=true&amp;cauthor_uid=26965109" TargetMode="External"/><Relationship Id="rId23" Type="http://schemas.openxmlformats.org/officeDocument/2006/relationships/hyperlink" Target="https://pubmed.ncbi.nlm.nih.gov/?term=Lee+M&amp;cauthor_id=32191259" TargetMode="External"/><Relationship Id="rId119" Type="http://schemas.openxmlformats.org/officeDocument/2006/relationships/hyperlink" Target="https://www.cdc.gov/coronavirus/2019-nCoV/lab/lab-biosafety-guidelines.html" TargetMode="External"/><Relationship Id="rId326" Type="http://schemas.openxmlformats.org/officeDocument/2006/relationships/hyperlink" Target="https://www.ncbi.nlm.nih.gov/pmc/articles/PMC7164771/pdf/main.pdf" TargetMode="External"/><Relationship Id="rId533" Type="http://schemas.openxmlformats.org/officeDocument/2006/relationships/hyperlink" Target="https://www.ncbi.nlm.nih.gov/pubmed/?term=Xie%20C%5BAuthor%5D&amp;cauthor=true&amp;cauthor_uid=32161940" TargetMode="External"/><Relationship Id="rId978" Type="http://schemas.openxmlformats.org/officeDocument/2006/relationships/hyperlink" Target="https://pubmed.ncbi.nlm.nih.gov/32105680/?from_term=coronaviurs+death+pregancy&amp;from_exact_term=coronavirus+death+pregnancy&amp;from_pos=1" TargetMode="External"/><Relationship Id="rId1163" Type="http://schemas.openxmlformats.org/officeDocument/2006/relationships/hyperlink" Target="https://www.ncbi.nlm.nih.gov/pmc/articles/PMC6163169/" TargetMode="External"/><Relationship Id="rId1370" Type="http://schemas.openxmlformats.org/officeDocument/2006/relationships/hyperlink" Target="https://www.ncbi.nlm.nih.gov/pubmed/?term=Antel%20JP%5BAuthor%5D&amp;cauthor=true&amp;cauthor_uid=8967755" TargetMode="External"/><Relationship Id="rId740" Type="http://schemas.openxmlformats.org/officeDocument/2006/relationships/hyperlink" Target="https://www.ncbi.nlm.nih.gov/pmc/articles/PMC6290032/pdf/fmicb-09-02991.pdf" TargetMode="External"/><Relationship Id="rId838" Type="http://schemas.openxmlformats.org/officeDocument/2006/relationships/hyperlink" Target="https://www.ncbi.nlm.nih.gov/pmc/articles/PMC2449365/" TargetMode="External"/><Relationship Id="rId1023" Type="http://schemas.openxmlformats.org/officeDocument/2006/relationships/hyperlink" Target="https://pubmed.ncbi.nlm.nih.gov/17559867/" TargetMode="External"/><Relationship Id="rId172" Type="http://schemas.openxmlformats.org/officeDocument/2006/relationships/hyperlink" Target="https://www.ncbi.nlm.nih.gov/pubmed/22390970" TargetMode="External"/><Relationship Id="rId477" Type="http://schemas.openxmlformats.org/officeDocument/2006/relationships/hyperlink" Target="https://www.ncbi.nlm.nih.gov/pubmed/?term=Bridgewood%20C%5BAuthor%5D&amp;cauthor=true&amp;cauthor_uid=32251717" TargetMode="External"/><Relationship Id="rId600" Type="http://schemas.openxmlformats.org/officeDocument/2006/relationships/hyperlink" Target="https://www.ncbi.nlm.nih.gov/pubmed/?term=Forni%20L%5BAuthor%5D&amp;cauthor=true&amp;cauthor_uid=27411542" TargetMode="External"/><Relationship Id="rId684" Type="http://schemas.openxmlformats.org/officeDocument/2006/relationships/hyperlink" Target="https://www.ncbi.nlm.nih.gov/pmc/articles/PMC6178621/pdf/mBio.01753-18.pdf" TargetMode="External"/><Relationship Id="rId1230" Type="http://schemas.openxmlformats.org/officeDocument/2006/relationships/hyperlink" Target="https://www.ncbi.nlm.nih.gov/pmc/articles/PMC6943173/" TargetMode="External"/><Relationship Id="rId1328" Type="http://schemas.openxmlformats.org/officeDocument/2006/relationships/hyperlink" Target="https://www.ncbi.nlm.nih.gov/pmc/articles/PMC5450662/" TargetMode="External"/><Relationship Id="rId337" Type="http://schemas.openxmlformats.org/officeDocument/2006/relationships/hyperlink" Target="https://www.ncbi.nlm.nih.gov/pubmed/32268662" TargetMode="External"/><Relationship Id="rId891" Type="http://schemas.openxmlformats.org/officeDocument/2006/relationships/hyperlink" Target="https://www.ncbi.nlm.nih.gov/pubmed/?term=Magrone%20M%5BAuthor%5D&amp;cauthor=true&amp;cauthor_uid=32250234" TargetMode="External"/><Relationship Id="rId905" Type="http://schemas.openxmlformats.org/officeDocument/2006/relationships/hyperlink" Target="https://www.ncbi.nlm.nih.gov/pubmed/?term=Kovacs%20EJ%5BAuthor%5D&amp;cauthor=true&amp;cauthor_uid=27711979" TargetMode="External"/><Relationship Id="rId989" Type="http://schemas.openxmlformats.org/officeDocument/2006/relationships/hyperlink" Target="https://www.ncbi.nlm.nih.gov/pubmed/?term=Guo%20J%5BAuthor%5D&amp;cauthor=true&amp;cauthor_uid=32335053" TargetMode="External"/><Relationship Id="rId34" Type="http://schemas.openxmlformats.org/officeDocument/2006/relationships/hyperlink" Target="https://link.springer.com/content/pdf/10.1007%2F978-981-15-4814-7.pdf" TargetMode="External"/><Relationship Id="rId544" Type="http://schemas.openxmlformats.org/officeDocument/2006/relationships/hyperlink" Target="https://www.ncbi.nlm.nih.gov/pmc/articles/PMC7195002/pdf/main.pdf" TargetMode="External"/><Relationship Id="rId751" Type="http://schemas.openxmlformats.org/officeDocument/2006/relationships/hyperlink" Target="https://pubmed.ncbi.nlm.nih.gov/32346094/?from_single_result=The+Potential+for+Antibody-Dependent+Enhancement+of+SARS-CoV-2+Infection%3A+Translational+Implications+for+Vaccine+Development&amp;expanded_search_query=The+Potential+for+Antibody-Dependent+Enhancement+of+SARS-CoV-2+Infection%3A+Translational+Implications+for+Vaccine+Development" TargetMode="External"/><Relationship Id="rId849" Type="http://schemas.openxmlformats.org/officeDocument/2006/relationships/hyperlink" Target="https://www.ncbi.nlm.nih.gov/pmc/articles/PMC7267265/" TargetMode="External"/><Relationship Id="rId1174" Type="http://schemas.openxmlformats.org/officeDocument/2006/relationships/hyperlink" Target="https://www.ncbi.nlm.nih.gov/pmc/articles/PMC6383444/" TargetMode="External"/><Relationship Id="rId1381" Type="http://schemas.openxmlformats.org/officeDocument/2006/relationships/hyperlink" Target="https://www.ncbi.nlm.nih.gov/pubmed/?term=Le%20Coupanec%20A%5BAuthor%5D&amp;cauthor=true&amp;cauthor_uid=31861926" TargetMode="External"/><Relationship Id="rId183" Type="http://schemas.openxmlformats.org/officeDocument/2006/relationships/hyperlink" Target="https://science.sciencemag.org/content/368/6490/473/tab-pdf" TargetMode="External"/><Relationship Id="rId390" Type="http://schemas.openxmlformats.org/officeDocument/2006/relationships/hyperlink" Target="https://www.ncbi.nlm.nih.gov/pmc/articles/PMC7092803/pdf/NEJMoa2001017.pdf" TargetMode="External"/><Relationship Id="rId404" Type="http://schemas.openxmlformats.org/officeDocument/2006/relationships/hyperlink" Target="https://www.ncbi.nlm.nih.gov/pmc/articles/PMC6487120/pdf/JIR2019-1356540.pdf" TargetMode="External"/><Relationship Id="rId611" Type="http://schemas.openxmlformats.org/officeDocument/2006/relationships/hyperlink" Target="https://www.ncbi.nlm.nih.gov/pubmed/?term=Bellomo%20R%5BAuthor%5D&amp;cauthor=true&amp;cauthor_uid=22290072" TargetMode="External"/><Relationship Id="rId1034" Type="http://schemas.openxmlformats.org/officeDocument/2006/relationships/hyperlink" Target="https://pubmed.ncbi.nlm.nih.gov/?term=Martin+R&amp;cauthor_id=21831776" TargetMode="External"/><Relationship Id="rId1241" Type="http://schemas.openxmlformats.org/officeDocument/2006/relationships/hyperlink" Target="https://www.epicentro.iss.it/coronavirus/bollettino/Infografica_15giugno%20ITA.pdf" TargetMode="External"/><Relationship Id="rId1339" Type="http://schemas.openxmlformats.org/officeDocument/2006/relationships/hyperlink" Target="https://pubmed.ncbi.nlm.nih.gov/12202660/" TargetMode="External"/><Relationship Id="rId250" Type="http://schemas.openxmlformats.org/officeDocument/2006/relationships/hyperlink" Target="https://www.ncbi.nlm.nih.gov/pubmed/32324727" TargetMode="External"/><Relationship Id="rId488" Type="http://schemas.openxmlformats.org/officeDocument/2006/relationships/hyperlink" Target="https://www.ncbi.nlm.nih.gov/pubmed/?term=Shimabukuro-Vornhagen+et+al.+Journal+for+ImmunoTherapy+of+Cancer+(2018)+6%3A56+https%3A%2F%2Fdoi.org%2F10.1186%2Fs40425-018-0343-9" TargetMode="External"/><Relationship Id="rId695" Type="http://schemas.openxmlformats.org/officeDocument/2006/relationships/hyperlink" Target="https://pubmed.ncbi.nlm.nih.gov/?term=Bruzzone+R&amp;cauthor_id=26497532" TargetMode="External"/><Relationship Id="rId709" Type="http://schemas.openxmlformats.org/officeDocument/2006/relationships/hyperlink" Target="https://pubmed.ncbi.nlm.nih.gov/?term=Dowd+KA&amp;cauthor_id=21738473" TargetMode="External"/><Relationship Id="rId916" Type="http://schemas.openxmlformats.org/officeDocument/2006/relationships/hyperlink" Target="https://pubmed.ncbi.nlm.nih.gov/32179660/?from_term=Epidemiology+of+COVID-19+among+children+in+China.&amp;from_pos=1" TargetMode="External"/><Relationship Id="rId1101" Type="http://schemas.openxmlformats.org/officeDocument/2006/relationships/hyperlink" Target="https://www.ncbi.nlm.nih.gov/pubmed/?term=Trained+Immunity+Carried+by+Non-immune+Cells" TargetMode="External"/><Relationship Id="rId45" Type="http://schemas.openxmlformats.org/officeDocument/2006/relationships/hyperlink" Target="https://www.istat.it/it/files//2020/03/Covid_Indicazioni_scheda_morte.pdf" TargetMode="External"/><Relationship Id="rId110" Type="http://schemas.openxmlformats.org/officeDocument/2006/relationships/hyperlink" Target="https://www.ncbi.nlm.nih.gov/pmc/articles/PMC7190281/pdf/428_2020_Article_2828.pdf" TargetMode="External"/><Relationship Id="rId348" Type="http://schemas.openxmlformats.org/officeDocument/2006/relationships/hyperlink" Target="https://www.ncbi.nlm.nih.gov/pubmed/?term=Li%20X%5BAuthor%5D&amp;cauthor=true&amp;cauthor_uid=12845623" TargetMode="External"/><Relationship Id="rId555" Type="http://schemas.openxmlformats.org/officeDocument/2006/relationships/hyperlink" Target="https://www.ncbi.nlm.nih.gov/pubmed/?term=Soares%20MP%5BAuthor%5D&amp;cauthor=true&amp;cauthor_uid=30673535" TargetMode="External"/><Relationship Id="rId762" Type="http://schemas.openxmlformats.org/officeDocument/2006/relationships/hyperlink" Target="https://pubmed.ncbi.nlm.nih.gov/18941225/" TargetMode="External"/><Relationship Id="rId1185" Type="http://schemas.openxmlformats.org/officeDocument/2006/relationships/hyperlink" Target="https://pubmed.ncbi.nlm.nih.gov/16957868/" TargetMode="External"/><Relationship Id="rId1392" Type="http://schemas.openxmlformats.org/officeDocument/2006/relationships/hyperlink" Target="https://www.ncbi.nlm.nih.gov/pubmed/?term=Rini%20JM%5BAuthor%5D&amp;cauthor=true&amp;cauthor_uid=29925652" TargetMode="External"/><Relationship Id="rId1406" Type="http://schemas.openxmlformats.org/officeDocument/2006/relationships/hyperlink" Target="https://www.ncbi.nlm.nih.gov/pubmed/?term=Stodola%20JK%5BAuthor%5D&amp;cauthor=true&amp;cauthor_uid=25281913" TargetMode="External"/><Relationship Id="rId194" Type="http://schemas.openxmlformats.org/officeDocument/2006/relationships/hyperlink" Target="https://www.ncbi.nlm.nih.gov/pubmed/?term=Shao%20C%5BAuthor%5D&amp;cauthor=true&amp;cauthor_uid=32205856" TargetMode="External"/><Relationship Id="rId208" Type="http://schemas.openxmlformats.org/officeDocument/2006/relationships/hyperlink" Target="https://www.ncbi.nlm.nih.gov/pubmed/?term=Yang%20S%5BAuthor%5D&amp;cauthor=true&amp;cauthor_uid=32161940" TargetMode="External"/><Relationship Id="rId415" Type="http://schemas.openxmlformats.org/officeDocument/2006/relationships/hyperlink" Target="https://www.ncbi.nlm.nih.gov/pubmed/20445182" TargetMode="External"/><Relationship Id="rId622" Type="http://schemas.openxmlformats.org/officeDocument/2006/relationships/hyperlink" Target="https://www.ncbi.nlm.nih.gov/pubmed/?term=Ahkee%20S%5BAuthor%5D&amp;cauthor=true&amp;cauthor_uid=9076300" TargetMode="External"/><Relationship Id="rId1045" Type="http://schemas.openxmlformats.org/officeDocument/2006/relationships/hyperlink" Target="https://pubmed.ncbi.nlm.nih.gov/27916977/?from_term=Human+immune+system+variation&amp;from_pos=1" TargetMode="External"/><Relationship Id="rId1252" Type="http://schemas.openxmlformats.org/officeDocument/2006/relationships/hyperlink" Target="https://pubmed.ncbi.nlm.nih.gov/29081381/" TargetMode="External"/><Relationship Id="rId261" Type="http://schemas.openxmlformats.org/officeDocument/2006/relationships/hyperlink" Target="https://www.ncbi.nlm.nih.gov/pubmed/?term=Wichmann%20D%5BAuthor%5D&amp;cauthor=true&amp;cauthor_uid=32374815" TargetMode="External"/><Relationship Id="rId499" Type="http://schemas.openxmlformats.org/officeDocument/2006/relationships/hyperlink" Target="https://www.ncbi.nlm.nih.gov/pubmed/?term=Martin%20TR%5BAuthor%5D&amp;cauthor=true&amp;cauthor_uid=22390970" TargetMode="External"/><Relationship Id="rId927" Type="http://schemas.openxmlformats.org/officeDocument/2006/relationships/hyperlink" Target="https://pubmed.ncbi.nlm.nih.gov/32179660/?from_term=Epidemiology+of+COVID-19+among+children+in+China.&amp;from_pos=1" TargetMode="External"/><Relationship Id="rId1112" Type="http://schemas.openxmlformats.org/officeDocument/2006/relationships/hyperlink" Target="https://www.ncbi.nlm.nih.gov/pubmed/?term=Netea%20MG%5BAuthor%5D&amp;cauthor=true&amp;cauthor_uid=32132681" TargetMode="External"/><Relationship Id="rId56" Type="http://schemas.openxmlformats.org/officeDocument/2006/relationships/hyperlink" Target="https://www.ncbi.nlm.nih.gov/pmc/articles/PMC7240772/pdf/aim-olf-M202003.pdf" TargetMode="External"/><Relationship Id="rId359" Type="http://schemas.openxmlformats.org/officeDocument/2006/relationships/hyperlink" Target="https://www.ncbi.nlm.nih.gov/pmc/articles/PMC5687858/pdf/aao4966.pdf" TargetMode="External"/><Relationship Id="rId566" Type="http://schemas.openxmlformats.org/officeDocument/2006/relationships/hyperlink" Target="https://www.ncbi.nlm.nih.gov/pubmed/?term=Walter%20EJ%5BAuthor%5D&amp;cauthor=true&amp;cauthor_uid=27411542" TargetMode="External"/><Relationship Id="rId773" Type="http://schemas.openxmlformats.org/officeDocument/2006/relationships/hyperlink" Target="https://www.jimmunol.org/content/180/8/5625.long" TargetMode="External"/><Relationship Id="rId1196" Type="http://schemas.openxmlformats.org/officeDocument/2006/relationships/hyperlink" Target="https://pubmed.ncbi.nlm.nih.gov/32006431/" TargetMode="External"/><Relationship Id="rId1417" Type="http://schemas.openxmlformats.org/officeDocument/2006/relationships/hyperlink" Target="https://www.ncbi.nlm.nih.gov/pmc/articles/PMC7246018/" TargetMode="External"/><Relationship Id="rId121" Type="http://schemas.openxmlformats.org/officeDocument/2006/relationships/hyperlink" Target="https://www.ncbi.nlm.nih.gov/pubmed/28466096" TargetMode="External"/><Relationship Id="rId219" Type="http://schemas.openxmlformats.org/officeDocument/2006/relationships/hyperlink" Target="https://www.ncbi.nlm.nih.gov/pubmed/?term=O%27Regan%20A%5BAuthor%5D&amp;cauthor=true&amp;cauthor_uid=32251717" TargetMode="External"/><Relationship Id="rId426" Type="http://schemas.openxmlformats.org/officeDocument/2006/relationships/hyperlink" Target="https://www.ncbi.nlm.nih.gov/pubmed/?term=McGinley%20JP%5BAuthor%5D&amp;cauthor=true&amp;cauthor_uid=30319615" TargetMode="External"/><Relationship Id="rId633"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980" Type="http://schemas.openxmlformats.org/officeDocument/2006/relationships/hyperlink" Target="https://pubmed.ncbi.nlm.nih.gov/32105680/?from_term=coronaviurs+death+pregancy&amp;from_exact_term=coronavirus+death+pregnancy&amp;from_pos=1" TargetMode="External"/><Relationship Id="rId1056" Type="http://schemas.openxmlformats.org/officeDocument/2006/relationships/hyperlink" Target="https://pubmed.ncbi.nlm.nih.gov/25278941/" TargetMode="External"/><Relationship Id="rId1263" Type="http://schemas.openxmlformats.org/officeDocument/2006/relationships/hyperlink" Target="https://www.ncbi.nlm.nih.gov/pmc/articles/PMC7234726/" TargetMode="External"/><Relationship Id="rId840" Type="http://schemas.openxmlformats.org/officeDocument/2006/relationships/hyperlink" Target="https://www.ncbi.nlm.nih.gov/pmc/articles/PMC6579842/" TargetMode="External"/><Relationship Id="rId938" Type="http://schemas.openxmlformats.org/officeDocument/2006/relationships/hyperlink" Target="https://www.ncbi.nlm.nih.gov/pmc/articles/PMC7220168/" TargetMode="External"/><Relationship Id="rId67" Type="http://schemas.openxmlformats.org/officeDocument/2006/relationships/hyperlink" Target="https://www.acpjournals.org/doi/10.7326/M20-2003" TargetMode="External"/><Relationship Id="rId272" Type="http://schemas.openxmlformats.org/officeDocument/2006/relationships/hyperlink" Target="https://www.ncbi.nlm.nih.gov/pubmed/?term=Skok%20K%5BAuthor%5D&amp;cauthor=true&amp;cauthor_uid=32422076" TargetMode="External"/><Relationship Id="rId577" Type="http://schemas.openxmlformats.org/officeDocument/2006/relationships/hyperlink" Target="https://www.ncbi.nlm.nih.gov/pubmed/?term=Kalil%20AC%5BAuthor%5D&amp;cauthor=true&amp;cauthor_uid=18379262" TargetMode="External"/><Relationship Id="rId700" Type="http://schemas.openxmlformats.org/officeDocument/2006/relationships/hyperlink" Target="https://pubmed.ncbi.nlm.nih.gov/?term=King+NJ&amp;cauthor_id=26497532" TargetMode="External"/><Relationship Id="rId1123" Type="http://schemas.openxmlformats.org/officeDocument/2006/relationships/hyperlink" Target="https://doi.org/10.1038/s41541-017-0042-4" TargetMode="External"/><Relationship Id="rId1330" Type="http://schemas.openxmlformats.org/officeDocument/2006/relationships/hyperlink" Target="https://www.ncbi.nlm.nih.gov/pubmed/?term=Wambier%20CG%5BAuthor%5D&amp;cauthor=true&amp;cauthor_uid=32283245" TargetMode="External"/><Relationship Id="rId132" Type="http://schemas.openxmlformats.org/officeDocument/2006/relationships/hyperlink" Target="https://www.ncbi.nlm.nih.gov/pubmed/32364527" TargetMode="External"/><Relationship Id="rId784" Type="http://schemas.openxmlformats.org/officeDocument/2006/relationships/hyperlink" Target="https://www.ncbi.nlm.nih.gov/pmc/articles/PMC7103332/" TargetMode="External"/><Relationship Id="rId991" Type="http://schemas.openxmlformats.org/officeDocument/2006/relationships/hyperlink" Target="https://pubmed.ncbi.nlm.nih.gov/26702035/?from_term=Evolution+of+the+immune+system+in+humans+from+infancy+to+old+age&amp;from_pos=1" TargetMode="External"/><Relationship Id="rId1067" Type="http://schemas.openxmlformats.org/officeDocument/2006/relationships/hyperlink" Target="https://pubmed.ncbi.nlm.nih.gov/31354709/" TargetMode="External"/><Relationship Id="rId437" Type="http://schemas.openxmlformats.org/officeDocument/2006/relationships/hyperlink" Target="https://www.ncbi.nlm.nih.gov/pubmed/?term=Chen%20L%5BAuthor%5D&amp;cauthor=true&amp;cauthor_uid=29467962" TargetMode="External"/><Relationship Id="rId644" Type="http://schemas.openxmlformats.org/officeDocument/2006/relationships/hyperlink" Target="https://pubmed.ncbi.nlm.nih.gov/?term=Lee+M&amp;cauthor_id=32191259" TargetMode="External"/><Relationship Id="rId851" Type="http://schemas.openxmlformats.org/officeDocument/2006/relationships/hyperlink" Target="https://pubmed.ncbi.nlm.nih.gov/?term=Costa+VV&amp;cauthor_id=24723052" TargetMode="External"/><Relationship Id="rId1274" Type="http://schemas.openxmlformats.org/officeDocument/2006/relationships/hyperlink" Target="https://pubmed.ncbi.nlm.nih.gov/29861127/" TargetMode="External"/><Relationship Id="rId283" Type="http://schemas.openxmlformats.org/officeDocument/2006/relationships/hyperlink" Target="https://www.ncbi.nlm.nih.gov/pmc/articles/PMC7262093/pdf/JTH-9999-na.pdf" TargetMode="External"/><Relationship Id="rId490" Type="http://schemas.openxmlformats.org/officeDocument/2006/relationships/hyperlink" Target="https://www.ncbi.nlm.nih.gov/pmc/articles/PMC6003181/pdf/40425_2018_Article_343.pdf" TargetMode="External"/><Relationship Id="rId504" Type="http://schemas.openxmlformats.org/officeDocument/2006/relationships/hyperlink" Target="https://www.ncbi.nlm.nih.gov/pubmed/?term=June%20CH%5BAuthor%5D&amp;cauthor=true&amp;cauthor_uid=32303591" TargetMode="External"/><Relationship Id="rId711" Type="http://schemas.openxmlformats.org/officeDocument/2006/relationships/hyperlink" Target="https://pubmed.ncbi.nlm.nih.gov/?term=Jost+CA&amp;cauthor_id=21738473" TargetMode="External"/><Relationship Id="rId949" Type="http://schemas.openxmlformats.org/officeDocument/2006/relationships/hyperlink" Target="https://pubmed.ncbi.nlm.nih.gov/32430957/" TargetMode="External"/><Relationship Id="rId1134" Type="http://schemas.openxmlformats.org/officeDocument/2006/relationships/hyperlink" Target="https://www.ncbi.nlm.nih.gov/pmc/articles/PMC4001528/" TargetMode="External"/><Relationship Id="rId1341" Type="http://schemas.openxmlformats.org/officeDocument/2006/relationships/hyperlink" Target="https://www.ncbi.nlm.nih.gov/pmc/articles/PMC6723519/" TargetMode="External"/><Relationship Id="rId78" Type="http://schemas.openxmlformats.org/officeDocument/2006/relationships/hyperlink" Target="https://www.ncbi.nlm.nih.gov/pubmed/?term=Duan%20J%5BAuthor%5D&amp;cauthor=true&amp;cauthor_uid=32232685" TargetMode="External"/><Relationship Id="rId143" Type="http://schemas.openxmlformats.org/officeDocument/2006/relationships/hyperlink" Target="https://www.ncbi.nlm.nih.gov/pmc/articles/PMC7195002/pdf/main.pdf" TargetMode="External"/><Relationship Id="rId350" Type="http://schemas.openxmlformats.org/officeDocument/2006/relationships/hyperlink" Target="https://www.ncbi.nlm.nih.gov/pubmed/?term=Weng%20D%5BAuthor%5D&amp;cauthor=true&amp;cauthor_uid=12845623" TargetMode="External"/><Relationship Id="rId588" Type="http://schemas.openxmlformats.org/officeDocument/2006/relationships/hyperlink" Target="https://www.sciencedirect.com/science/article/pii/S1876034111000256?via%3Dihub" TargetMode="External"/><Relationship Id="rId795" Type="http://schemas.openxmlformats.org/officeDocument/2006/relationships/hyperlink" Target="https://doi.org/10.1017/cts.2020.39" TargetMode="External"/><Relationship Id="rId809" Type="http://schemas.openxmlformats.org/officeDocument/2006/relationships/hyperlink" Target="https://pubmed.ncbi.nlm.nih.gov/?term=Calvert+JE&amp;cauthor_id=9262229" TargetMode="External"/><Relationship Id="rId1201" Type="http://schemas.openxmlformats.org/officeDocument/2006/relationships/hyperlink" Target="https://pubmed.ncbi.nlm.nih.gov/31055573/" TargetMode="External"/><Relationship Id="rId9" Type="http://schemas.openxmlformats.org/officeDocument/2006/relationships/hyperlink" Target="https://pubmed.ncbi.nlm.nih.gov/?term=Zhou+F&amp;cauthor_id=32171076" TargetMode="External"/><Relationship Id="rId210" Type="http://schemas.openxmlformats.org/officeDocument/2006/relationships/hyperlink" Target="https://www.ncbi.nlm.nih.gov/pubmed/?term=Xie%20C%5BAuthor%5D&amp;cauthor=true&amp;cauthor_uid=32161940" TargetMode="External"/><Relationship Id="rId448" Type="http://schemas.openxmlformats.org/officeDocument/2006/relationships/hyperlink" Target="https://pubmed.ncbi.nlm.nih.gov/?term=Hirano+T&amp;cauthor_id=32325025" TargetMode="External"/><Relationship Id="rId655" Type="http://schemas.openxmlformats.org/officeDocument/2006/relationships/hyperlink" Target="https://pubmed.ncbi.nlm.nih.gov/30646565/?from_term=From+SARS+to+MERS%2C+Thrusting+Coronaviruses+into+the+Spotlight&amp;from_pos=1" TargetMode="External"/><Relationship Id="rId862" Type="http://schemas.openxmlformats.org/officeDocument/2006/relationships/hyperlink" Target="https://www.ncbi.nlm.nih.gov/pmc/articles/PMC6357155/" TargetMode="External"/><Relationship Id="rId1078" Type="http://schemas.openxmlformats.org/officeDocument/2006/relationships/hyperlink" Target="https://www.ncbi.nlm.nih.gov/pmc/articles/PMC6636548/" TargetMode="External"/><Relationship Id="rId1285" Type="http://schemas.openxmlformats.org/officeDocument/2006/relationships/hyperlink" Target="https://www.ncbi.nlm.nih.gov/pubmed/?term=Dan%20H%5BAuthor%5D&amp;cauthor=true&amp;cauthor_uid=32094336" TargetMode="External"/><Relationship Id="rId294" Type="http://schemas.openxmlformats.org/officeDocument/2006/relationships/hyperlink" Target="https://www.ncbi.nlm.nih.gov/pubmed/?term=Mehra%20MR%5BAuthor%5D&amp;cauthor=true&amp;cauthor_uid=32325026" TargetMode="External"/><Relationship Id="rId308" Type="http://schemas.openxmlformats.org/officeDocument/2006/relationships/hyperlink" Target="https://doi.org/10.1093/ajcp/aqaa062" TargetMode="External"/><Relationship Id="rId515" Type="http://schemas.openxmlformats.org/officeDocument/2006/relationships/hyperlink" Target="https://www.ncbi.nlm.nih.gov/pubmed/?term=Shi%20Y%5BAuthor%5D&amp;cauthor=true&amp;cauthor_uid=32205856" TargetMode="External"/><Relationship Id="rId722" Type="http://schemas.openxmlformats.org/officeDocument/2006/relationships/hyperlink" Target="https://www.ncbi.nlm.nih.gov/pmc/articles/PMC3187504/pdf/zjv10582.pdf" TargetMode="External"/><Relationship Id="rId1145" Type="http://schemas.openxmlformats.org/officeDocument/2006/relationships/hyperlink" Target="https://www.cambridge.org/core/journals/journal-of-developmental-origins-of-health-and-disease/article/developing-gut-microbiota-and-its-consequences-for-health/2B7BC1C8128692852F42DBCB883A9462/core-reader" TargetMode="External"/><Relationship Id="rId1352" Type="http://schemas.openxmlformats.org/officeDocument/2006/relationships/hyperlink" Target="https://www.ncbi.nlm.nih.gov/pubmed/?term=Lin%20WM%5BAuthor%5D&amp;cauthor=true&amp;cauthor_uid=18320019" TargetMode="External"/><Relationship Id="rId89" Type="http://schemas.openxmlformats.org/officeDocument/2006/relationships/hyperlink" Target="https://www.ncbi.nlm.nih.gov/pubmed/?term=Rockx%20B%5BAuthor%5D&amp;cauthor=true&amp;cauthor_uid=32303590" TargetMode="External"/><Relationship Id="rId154" Type="http://schemas.openxmlformats.org/officeDocument/2006/relationships/hyperlink" Target="https://pubmed.ncbi.nlm.nih.gov/32423970/?from_term=Kawasaki+children+covid-19&amp;from_pos=7" TargetMode="External"/><Relationship Id="rId361" Type="http://schemas.openxmlformats.org/officeDocument/2006/relationships/hyperlink" Target="https://www.ncbi.nlm.nih.gov/pubmed/?term=Ding%20S%5BAuthor%5D&amp;cauthor=true&amp;cauthor_uid=32353371" TargetMode="External"/><Relationship Id="rId599" Type="http://schemas.openxmlformats.org/officeDocument/2006/relationships/hyperlink" Target="https://www.ncbi.nlm.nih.gov/pubmed/?term=Carraretto%20M%5BAuthor%5D&amp;cauthor=true&amp;cauthor_uid=27411542" TargetMode="External"/><Relationship Id="rId1005" Type="http://schemas.openxmlformats.org/officeDocument/2006/relationships/hyperlink" Target="https://www.ncbi.nlm.nih.gov/pubmed/?term=Ghazal%20P%5BAuthor%5D&amp;cauthor=true&amp;cauthor_uid=23449137" TargetMode="External"/><Relationship Id="rId1212" Type="http://schemas.openxmlformats.org/officeDocument/2006/relationships/hyperlink" Target="https://academic.oup.com/biomedgerontology/article/69/Suppl_1/S4/587037" TargetMode="External"/><Relationship Id="rId459" Type="http://schemas.openxmlformats.org/officeDocument/2006/relationships/hyperlink" Target="https://www.ncbi.nlm.nih.gov/pmc/articles/PMC7079893/pdf/281_2017_Article_629.pdf" TargetMode="External"/><Relationship Id="rId666" Type="http://schemas.openxmlformats.org/officeDocument/2006/relationships/hyperlink" Target="https://www.ncbi.nlm.nih.gov/pubmed/?term=New+fronts+emerge+in+the+influenza+cytokine+storm" TargetMode="External"/><Relationship Id="rId873" Type="http://schemas.openxmlformats.org/officeDocument/2006/relationships/hyperlink" Target="https://www.ejgm.co.uk/download/the-possible-immunological-pathways-for-the-variable-immunopathogenesis-of-covid-19-infections-among-7850.pdf" TargetMode="External"/><Relationship Id="rId1089" Type="http://schemas.openxmlformats.org/officeDocument/2006/relationships/hyperlink" Target="https://www.ncbi.nlm.nih.gov/pmc/articles/PMC2191771/" TargetMode="External"/><Relationship Id="rId1296" Type="http://schemas.openxmlformats.org/officeDocument/2006/relationships/hyperlink" Target="https://cancerdiscovery.aacrjournals.org/content/10/6/779.full-text.pdf" TargetMode="External"/><Relationship Id="rId16"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221" Type="http://schemas.openxmlformats.org/officeDocument/2006/relationships/hyperlink" Target="https://www.ncbi.nlm.nih.gov/pmc/articles/PMC7195002/pdf/main.pdf" TargetMode="External"/><Relationship Id="rId319" Type="http://schemas.openxmlformats.org/officeDocument/2006/relationships/hyperlink" Target="https://www.ncbi.nlm.nih.gov/pubmed/?term=Niu%20L%5BAuthor%5D&amp;cauthor=true&amp;cauthor_uid=32114094" TargetMode="External"/><Relationship Id="rId526" Type="http://schemas.openxmlformats.org/officeDocument/2006/relationships/hyperlink" Target="https://www.ncbi.nlm.nih.gov/pubmed/?term=Dysregulation+of+immune+response+in+patients+with+COVID-19+in+Wuhan%2C+China" TargetMode="External"/><Relationship Id="rId1156" Type="http://schemas.openxmlformats.org/officeDocument/2006/relationships/hyperlink" Target="https://www.ncbi.nlm.nih.gov/pmc/articles/PMC4943041/" TargetMode="External"/><Relationship Id="rId1363" Type="http://schemas.openxmlformats.org/officeDocument/2006/relationships/hyperlink" Target="https://www.ncbi.nlm.nih.gov/pubmed/?term=Ong%20SY%5BAuthor%5D&amp;cauthor=true&amp;cauthor_uid=12814734" TargetMode="External"/><Relationship Id="rId733" Type="http://schemas.openxmlformats.org/officeDocument/2006/relationships/hyperlink" Target="https://www.ncbi.nlm.nih.gov/pubmed/?term=Yang%20Y%5BAuthor%5D&amp;cauthor=true&amp;cauthor_uid=32317716" TargetMode="External"/><Relationship Id="rId940" Type="http://schemas.openxmlformats.org/officeDocument/2006/relationships/hyperlink" Target="https://www.ncbi.nlm.nih.gov/pmc/articles/PMC7220177/" TargetMode="External"/><Relationship Id="rId1016" Type="http://schemas.openxmlformats.org/officeDocument/2006/relationships/hyperlink" Target="https://pubmed.ncbi.nlm.nih.gov/1627249/" TargetMode="External"/><Relationship Id="rId165" Type="http://schemas.openxmlformats.org/officeDocument/2006/relationships/hyperlink" Target="https://www.ncbi.nlm.nih.gov/pmc/articles/PMC6003181/pdf/40425_2018_Article_343.pdf" TargetMode="External"/><Relationship Id="rId372" Type="http://schemas.openxmlformats.org/officeDocument/2006/relationships/hyperlink" Target="https://www.ncbi.nlm.nih.gov/pmc/articles/PMC6096804/pdf/e00404-18.pdf" TargetMode="External"/><Relationship Id="rId677" Type="http://schemas.openxmlformats.org/officeDocument/2006/relationships/hyperlink" Target="https://www.frontiersin.org/articles/10.3389/fimmu.2020.01206/full" TargetMode="External"/><Relationship Id="rId800" Type="http://schemas.openxmlformats.org/officeDocument/2006/relationships/hyperlink" Target="https://pubmed.ncbi.nlm.nih.gov/?term=Wang+H&amp;cauthor_id=24040960" TargetMode="External"/><Relationship Id="rId1223" Type="http://schemas.openxmlformats.org/officeDocument/2006/relationships/hyperlink" Target="https://www.ncbi.nlm.nih.gov/pmc/articles/PMC4166495/" TargetMode="External"/><Relationship Id="rId232" Type="http://schemas.openxmlformats.org/officeDocument/2006/relationships/hyperlink" Target="https://www.ncbi.nlm.nih.gov/pubmed/?term=Boccuto%20L%5BAuthor%5D&amp;cauthor=true&amp;cauthor_uid=32383963" TargetMode="External"/><Relationship Id="rId884" Type="http://schemas.openxmlformats.org/officeDocument/2006/relationships/hyperlink" Target="https://www.ncbi.nlm.nih.gov/pubmed/?term=De%20Martinis%20M%5BAuthor%5D&amp;cauthor=true&amp;cauthor_uid=15811314" TargetMode="External"/><Relationship Id="rId27" Type="http://schemas.openxmlformats.org/officeDocument/2006/relationships/hyperlink" Target="https://pubmed.ncbi.nlm.nih.gov/?term=Goyal+P&amp;cauthor_id=32302078" TargetMode="External"/><Relationship Id="rId537" Type="http://schemas.openxmlformats.org/officeDocument/2006/relationships/hyperlink" Target="https://www.ncbi.nlm.nih.gov/pubmed/?term=Tian%20DS%5BAuthor%5D&amp;cauthor=true&amp;cauthor_uid=32161940" TargetMode="External"/><Relationship Id="rId744" Type="http://schemas.openxmlformats.org/officeDocument/2006/relationships/hyperlink" Target="https://www.ncbi.nlm.nih.gov/pmc/articles/PMC7097326/pdf/41577_2005_Article_BFnri1732.pdf" TargetMode="External"/><Relationship Id="rId951" Type="http://schemas.openxmlformats.org/officeDocument/2006/relationships/hyperlink" Target="https://pubmed.ncbi.nlm.nih.gov/32430957/" TargetMode="External"/><Relationship Id="rId1167" Type="http://schemas.openxmlformats.org/officeDocument/2006/relationships/hyperlink" Target="https://www.ncbi.nlm.nih.gov/pmc/articles/PMC2191532/" TargetMode="External"/><Relationship Id="rId1374" Type="http://schemas.openxmlformats.org/officeDocument/2006/relationships/hyperlink" Target="https://www.ncbi.nlm.nih.gov/pubmed/?term=Burks%20JS%5BAuthor%5D&amp;cauthor=true&amp;cauthor_uid=7403860" TargetMode="External"/><Relationship Id="rId80" Type="http://schemas.openxmlformats.org/officeDocument/2006/relationships/hyperlink" Target="https://www.ncbi.nlm.nih.gov/pubmed/32368884" TargetMode="External"/><Relationship Id="rId176" Type="http://schemas.openxmlformats.org/officeDocument/2006/relationships/hyperlink" Target="https://www.ncbi.nlm.nih.gov/pubmed/?term=Farrar%20J%5BAuthor%5D&amp;cauthor=true&amp;cauthor_uid=22390970" TargetMode="External"/><Relationship Id="rId383" Type="http://schemas.openxmlformats.org/officeDocument/2006/relationships/hyperlink" Target="https://pubmed.ncbi.nlm.nih.gov/32413319/?from_term_alias=trending_articles_list&amp;from_pos=1" TargetMode="External"/><Relationship Id="rId590" Type="http://schemas.openxmlformats.org/officeDocument/2006/relationships/hyperlink" Target="https://www.ncbi.nlm.nih.gov/pubmed/?term=Arch+Intern+Med.+1998%3B158(17)%3A1870-1881.+doi%3A10.1001%2Farchinte.158.17.1870" TargetMode="External"/><Relationship Id="rId604" Type="http://schemas.openxmlformats.org/officeDocument/2006/relationships/hyperlink" Target="https://www.ncbi.nlm.nih.gov/pubmed/?term=De%20Souza%20GE%5BAuthor%5D&amp;cauthor=true&amp;cauthor_uid=11262580" TargetMode="External"/><Relationship Id="rId811" Type="http://schemas.openxmlformats.org/officeDocument/2006/relationships/hyperlink" Target="https://www.nature.com/articles/pr19972299" TargetMode="External"/><Relationship Id="rId1027" Type="http://schemas.openxmlformats.org/officeDocument/2006/relationships/hyperlink" Target="https://www.jpeds.com/article/S0022-3476(95)70545-7/fulltext" TargetMode="External"/><Relationship Id="rId1234" Type="http://schemas.openxmlformats.org/officeDocument/2006/relationships/hyperlink" Target="https://cris.unibo.it/retrieve/handle/11585/736269/581072/Franceschi_NRE_2018%20Post_Print.pdf" TargetMode="External"/><Relationship Id="rId243" Type="http://schemas.openxmlformats.org/officeDocument/2006/relationships/hyperlink" Target="https://www.ncbi.nlm.nih.gov/pubmed/?term=Bonoldi%20E%5BAuthor%5D&amp;cauthor=true&amp;cauthor_uid=32350596" TargetMode="External"/><Relationship Id="rId450" Type="http://schemas.openxmlformats.org/officeDocument/2006/relationships/hyperlink" Target="https://pubmed.ncbi.nlm.nih.gov/?term=Murakami+M&amp;cauthor_id=32325025" TargetMode="External"/><Relationship Id="rId688" Type="http://schemas.openxmlformats.org/officeDocument/2006/relationships/hyperlink" Target="https://www.ncbi.nlm.nih.gov/pmc/articles/PMC7102614/pdf/main.pdf" TargetMode="External"/><Relationship Id="rId895" Type="http://schemas.openxmlformats.org/officeDocument/2006/relationships/hyperlink" Target="https://www.ncbi.nlm.nih.gov/pubmed/32006431" TargetMode="External"/><Relationship Id="rId909" Type="http://schemas.openxmlformats.org/officeDocument/2006/relationships/hyperlink" Target="https://www.mattioli1885journals.com/index.php/actabiomedica/article/view/9563/8770" TargetMode="External"/><Relationship Id="rId1080" Type="http://schemas.openxmlformats.org/officeDocument/2006/relationships/hyperlink" Target="https://www.ncbi.nlm.nih.gov/pmc/articles/PMC6433993/" TargetMode="External"/><Relationship Id="rId1301" Type="http://schemas.openxmlformats.org/officeDocument/2006/relationships/hyperlink" Target="https://www.ncbi.nlm.nih.gov/pmc/articles/PMC7252184/" TargetMode="External"/><Relationship Id="rId38" Type="http://schemas.openxmlformats.org/officeDocument/2006/relationships/hyperlink" Target="https://www.ncbi.nlm.nih.gov/pubmed/?term=Nisini%20R%5BAuthor%5D&amp;cauthor=true&amp;cauthor_uid=32359201" TargetMode="External"/><Relationship Id="rId103" Type="http://schemas.openxmlformats.org/officeDocument/2006/relationships/hyperlink" Target="https://pubmed.ncbi.nlm.nih.gov/?term=Bonoldi+E&amp;cauthor_id=32350596" TargetMode="External"/><Relationship Id="rId310" Type="http://schemas.openxmlformats.org/officeDocument/2006/relationships/hyperlink" Target="https://www.ncbi.nlm.nih.gov/pubmed/32357503" TargetMode="External"/><Relationship Id="rId548" Type="http://schemas.openxmlformats.org/officeDocument/2006/relationships/hyperlink" Target="https://www.ncbi.nlm.nih.gov/pubmed/30673535" TargetMode="External"/><Relationship Id="rId755" Type="http://schemas.openxmlformats.org/officeDocument/2006/relationships/hyperlink" Target="https://pubmed.ncbi.nlm.nih.gov/?term=Corry+DB&amp;cauthor_id=32346094" TargetMode="External"/><Relationship Id="rId962" Type="http://schemas.openxmlformats.org/officeDocument/2006/relationships/hyperlink" Target="https://pubmed.ncbi.nlm.nih.gov/?term=Mullins+E&amp;cauthor_id=32180292" TargetMode="External"/><Relationship Id="rId1178" Type="http://schemas.openxmlformats.org/officeDocument/2006/relationships/hyperlink" Target="https://www.ncbi.nlm.nih.gov/pmc/articles/PMC3202279/" TargetMode="External"/><Relationship Id="rId1385" Type="http://schemas.openxmlformats.org/officeDocument/2006/relationships/hyperlink" Target="https://www.ncbi.nlm.nih.gov/pubmed/?term=Dub%C3%A9%20M%5BAuthor%5D&amp;cauthor=true&amp;cauthor_uid=31861926" TargetMode="External"/><Relationship Id="rId91" Type="http://schemas.openxmlformats.org/officeDocument/2006/relationships/hyperlink" Target="https://www.biorxiv.org/content/10.1101/2020.04.08.031807v1.full.pdf" TargetMode="External"/><Relationship Id="rId187" Type="http://schemas.openxmlformats.org/officeDocument/2006/relationships/hyperlink" Target="https://www.ncbi.nlm.nih.gov/pubmed/32297995" TargetMode="External"/><Relationship Id="rId394" Type="http://schemas.openxmlformats.org/officeDocument/2006/relationships/hyperlink" Target="https://www.ncbi.nlm.nih.gov/pubmed/?term=10.1056%2FNEJMp030078" TargetMode="External"/><Relationship Id="rId408" Type="http://schemas.openxmlformats.org/officeDocument/2006/relationships/hyperlink" Target="https://www.uniba.it/docenti/coluccia-mauro/attivita-didattica/materiale-didattico/2-infiammazione.pdf" TargetMode="External"/><Relationship Id="rId615" Type="http://schemas.openxmlformats.org/officeDocument/2006/relationships/hyperlink" Target="https://www.ncbi.nlm.nih.gov/pubmed/?term=Harrison%20D%5BAuthor%5D&amp;cauthor=true&amp;cauthor_uid=22290072" TargetMode="External"/><Relationship Id="rId822" Type="http://schemas.openxmlformats.org/officeDocument/2006/relationships/hyperlink" Target="https://pubmed.ncbi.nlm.nih.gov/?term=Golding+H&amp;cauthor_id=23986398" TargetMode="External"/><Relationship Id="rId1038" Type="http://schemas.openxmlformats.org/officeDocument/2006/relationships/hyperlink" Target="https://pubmed.ncbi.nlm.nih.gov/?term=Knippels+LM&amp;cauthor_id=21831776" TargetMode="External"/><Relationship Id="rId1245" Type="http://schemas.openxmlformats.org/officeDocument/2006/relationships/hyperlink" Target="https://www.sciencedirect.com/science/article/pii/S0092867415003025" TargetMode="External"/><Relationship Id="rId254" Type="http://schemas.openxmlformats.org/officeDocument/2006/relationships/hyperlink" Target="https://www.ncbi.nlm.nih.gov/pubmed/?term=Bonoldi%20E%5BAuthor%5D&amp;cauthor=true&amp;cauthor_uid=32324727" TargetMode="External"/><Relationship Id="rId699" Type="http://schemas.openxmlformats.org/officeDocument/2006/relationships/hyperlink" Target="https://pubmed.ncbi.nlm.nih.gov/26497532/?from_term=Fc+receptors+in+antibody%E2%80%90dependent+enhancement+of+viral+infections&amp;from_pos=1" TargetMode="External"/><Relationship Id="rId1091" Type="http://schemas.openxmlformats.org/officeDocument/2006/relationships/hyperlink" Target="https://pubmed.ncbi.nlm.nih.gov/10998088/?from_term=Cloning+and+Analysis+of+the+Gene+Encoding+the+Human+Neonatal+Fc+Receptor&amp;from_pos=1" TargetMode="External"/><Relationship Id="rId1105" Type="http://schemas.openxmlformats.org/officeDocument/2006/relationships/hyperlink" Target="https://www.ncbi.nlm.nih.gov/pubmed/?term=Ghigo%20E%5BAuthor%5D&amp;cauthor=true&amp;cauthor_uid=30692968" TargetMode="External"/><Relationship Id="rId1312" Type="http://schemas.openxmlformats.org/officeDocument/2006/relationships/hyperlink" Target="https://www.ncbi.nlm.nih.gov/pubmed/?term=Kim%20TS%5BAuthor%5D&amp;cauthor=true&amp;cauthor_uid=23915713" TargetMode="External"/><Relationship Id="rId49" Type="http://schemas.openxmlformats.org/officeDocument/2006/relationships/hyperlink" Target="https://www.ncbi.nlm.nih.gov/pubmed/32357503" TargetMode="External"/><Relationship Id="rId114" Type="http://schemas.openxmlformats.org/officeDocument/2006/relationships/hyperlink" Target="https://www.affaritaliani.it/static/upl2020/comu/comunicato-stampa--2-.pdf" TargetMode="External"/><Relationship Id="rId461" Type="http://schemas.openxmlformats.org/officeDocument/2006/relationships/hyperlink" Target="https://www.ncbi.nlm.nih.gov/pubmed/?term=Chien%20JY%5BAuthor%5D&amp;cauthor=true&amp;cauthor_uid=17052299" TargetMode="External"/><Relationship Id="rId559" Type="http://schemas.openxmlformats.org/officeDocument/2006/relationships/hyperlink" Target="https://www.ncbi.nlm.nih.gov/pubmed/?term=Ziogas%20IA%5BAuthor%5D&amp;cauthor=true&amp;cauthor_uid=32305883" TargetMode="External"/><Relationship Id="rId766" Type="http://schemas.openxmlformats.org/officeDocument/2006/relationships/hyperlink" Target="https://pubmed.ncbi.nlm.nih.gov/?term=Yang+XO&amp;cauthor_id=32205092" TargetMode="External"/><Relationship Id="rId1189" Type="http://schemas.openxmlformats.org/officeDocument/2006/relationships/hyperlink" Target="https://www.ncbi.nlm.nih.gov/pmc/articles/PMC3657521/" TargetMode="External"/><Relationship Id="rId1396" Type="http://schemas.openxmlformats.org/officeDocument/2006/relationships/hyperlink" Target="https://www.ncbi.nlm.nih.gov/pubmed/24619619" TargetMode="External"/><Relationship Id="rId198" Type="http://schemas.openxmlformats.org/officeDocument/2006/relationships/hyperlink" Target="https://www.ncbi.nlm.nih.gov/pubmed/?term=Bucci%20E%5BAuthor%5D&amp;cauthor=true&amp;cauthor_uid=32205856" TargetMode="External"/><Relationship Id="rId321" Type="http://schemas.openxmlformats.org/officeDocument/2006/relationships/hyperlink" Target="https://www.ncbi.nlm.nih.gov/pubmed/?term=Xu%20H%5BAuthor%5D&amp;cauthor=true&amp;cauthor_uid=32114094" TargetMode="External"/><Relationship Id="rId419" Type="http://schemas.openxmlformats.org/officeDocument/2006/relationships/hyperlink" Target="https://www.ncbi.nlm.nih.gov/pubmed/31986264" TargetMode="External"/><Relationship Id="rId626" Type="http://schemas.openxmlformats.org/officeDocument/2006/relationships/hyperlink" Target="https://www.ncbi.nlm.nih.gov/pubmed/?term=Gonz%C3%A1lez%20Plaza%20JJ%5BAuthor%5D&amp;cauthor=true&amp;cauthor_uid=27195192" TargetMode="External"/><Relationship Id="rId973" Type="http://schemas.openxmlformats.org/officeDocument/2006/relationships/hyperlink" Target="https://pubmed.ncbi.nlm.nih.gov/?term=Morris+E&amp;cauthor_id=32180292" TargetMode="External"/><Relationship Id="rId1049" Type="http://schemas.openxmlformats.org/officeDocument/2006/relationships/hyperlink" Target="https://www.ncbi.nlm.nih.gov/pmc/articles/PMC257924/pdf/iai00041-0263.pdf" TargetMode="External"/><Relationship Id="rId1256" Type="http://schemas.openxmlformats.org/officeDocument/2006/relationships/hyperlink" Target="https://www.ncbi.nlm.nih.gov/pmc/articles/PMC6191326/" TargetMode="External"/><Relationship Id="rId833" Type="http://schemas.openxmlformats.org/officeDocument/2006/relationships/hyperlink" Target="https://pubmed.ncbi.nlm.nih.gov/?term=Gallo+T&amp;cauthor_id=29616677" TargetMode="External"/><Relationship Id="rId1116" Type="http://schemas.openxmlformats.org/officeDocument/2006/relationships/hyperlink" Target="https://onlinelibrary.wiley.com/doi/full/10.1111/eci.12132" TargetMode="External"/><Relationship Id="rId265" Type="http://schemas.openxmlformats.org/officeDocument/2006/relationships/hyperlink" Target="https://www.ncbi.nlm.nih.gov/pubmed/?term=Lucas%20SB%5BAuthor%5D&amp;cauthor=true&amp;cauthor_uid=32198191" TargetMode="External"/><Relationship Id="rId472" Type="http://schemas.openxmlformats.org/officeDocument/2006/relationships/hyperlink" Target="https://paperchase-aging.s3-us-west-1.amazonaws.com/pdf/vgbdsA4AtLiNjLZgc.pdf" TargetMode="External"/><Relationship Id="rId900" Type="http://schemas.openxmlformats.org/officeDocument/2006/relationships/hyperlink" Target="https://www.ncbi.nlm.nih.gov/pubmed/?term=Camici%20GG%5BAuthor%5D&amp;cauthor=true&amp;cauthor_uid=32006431" TargetMode="External"/><Relationship Id="rId1323" Type="http://schemas.openxmlformats.org/officeDocument/2006/relationships/hyperlink" Target="https://www.ncbi.nlm.nih.gov/pubmed/?term=Fett%20C%5BAuthor%5D&amp;cauthor=true&amp;cauthor_uid=28373583" TargetMode="External"/><Relationship Id="rId125" Type="http://schemas.openxmlformats.org/officeDocument/2006/relationships/hyperlink" Target="https://www.ncbi.nlm.nih.gov/pubmed/17052299" TargetMode="External"/><Relationship Id="rId332" Type="http://schemas.openxmlformats.org/officeDocument/2006/relationships/hyperlink" Target="https://www.ncbi.nlm.nih.gov/pubmed/?term=Dai%20H%5BAuthor%5D&amp;cauthor=true&amp;cauthor_uid=32311318" TargetMode="External"/><Relationship Id="rId777" Type="http://schemas.openxmlformats.org/officeDocument/2006/relationships/hyperlink" Target="https://pubmed.ncbi.nlm.nih.gov/17490702/?from_single_result=Nucleocapsid+protein+of+SARS-CoV+activates+interleukin-6+expression+through+cellular+transcription+factor+NF-kappaB&amp;expanded_search_query=Nucleocapsid+protein+of+SARS-CoV+activates+interleukin-6+expression+through+cellular+transcription+factor+NF-kappaB" TargetMode="External"/><Relationship Id="rId984" Type="http://schemas.openxmlformats.org/officeDocument/2006/relationships/hyperlink" Target="https://pubmed.ncbi.nlm.nih.gov/32105680/?from_term=coronaviurs+death+pregancy&amp;from_exact_term=coronavirus+death+pregnancy&amp;from_pos=1" TargetMode="External"/><Relationship Id="rId637"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844" Type="http://schemas.openxmlformats.org/officeDocument/2006/relationships/hyperlink" Target="https://www.ncbi.nlm.nih.gov/pmc/articles/PMC7198427/" TargetMode="External"/><Relationship Id="rId1267" Type="http://schemas.openxmlformats.org/officeDocument/2006/relationships/hyperlink" Target="https://www.ncbi.nlm.nih.gov/pubmed/?term=Younes%20A%5BAuthor%5D&amp;cauthor=true&amp;cauthor_uid=32253888" TargetMode="External"/><Relationship Id="rId276" Type="http://schemas.openxmlformats.org/officeDocument/2006/relationships/hyperlink" Target="https://www.ncbi.nlm.nih.gov/pubmed/?term=Koelblinger%20C%5BAuthor%5D&amp;cauthor=true&amp;cauthor_uid=32422076" TargetMode="External"/><Relationship Id="rId483" Type="http://schemas.openxmlformats.org/officeDocument/2006/relationships/hyperlink" Target="https://www.ncbi.nlm.nih.gov/pubmed/?term=Sanchez%20E%5BAuthor%5D&amp;cauthor=true&amp;cauthor_uid=32192578" TargetMode="External"/><Relationship Id="rId690" Type="http://schemas.openxmlformats.org/officeDocument/2006/relationships/hyperlink" Target="https://link.springer.com/content/pdf/10.1007%2F978-981-15-1045-8_2.pdf" TargetMode="External"/><Relationship Id="rId704" Type="http://schemas.openxmlformats.org/officeDocument/2006/relationships/hyperlink" Target="https://pubmed.ncbi.nlm.nih.gov/?term=Klasse+PJ&amp;cauthor_id=12185262" TargetMode="External"/><Relationship Id="rId911" Type="http://schemas.openxmlformats.org/officeDocument/2006/relationships/hyperlink" Target="https://www.ncbi.nlm.nih.gov/pmc/articles/PMC7121177/" TargetMode="External"/><Relationship Id="rId1127" Type="http://schemas.openxmlformats.org/officeDocument/2006/relationships/hyperlink" Target="https://www.ncbi.nlm.nih.gov/pmc/articles/PMC7156163/" TargetMode="External"/><Relationship Id="rId1334" Type="http://schemas.openxmlformats.org/officeDocument/2006/relationships/hyperlink" Target="https://www.ncbi.nlm.nih.gov/pubmed/?term=Goren%20A%5BAuthor%5D&amp;cauthor=true&amp;cauthor_uid=32301221" TargetMode="External"/><Relationship Id="rId40" Type="http://schemas.openxmlformats.org/officeDocument/2006/relationships/hyperlink" Target="https://www.who.int/emergencies/diseases/novel-coronavirus-2019/technical-guidance" TargetMode="External"/><Relationship Id="rId136" Type="http://schemas.openxmlformats.org/officeDocument/2006/relationships/hyperlink" Target="https://www.ncbi.nlm.nih.gov/pubmed/?term=Junhua%20Z%5BAuthor%5D&amp;cauthor=true&amp;cauthor_uid=32364527" TargetMode="External"/><Relationship Id="rId343" Type="http://schemas.openxmlformats.org/officeDocument/2006/relationships/hyperlink" Target="https://www.ncbi.nlm.nih.gov/pubmed/?term=Shen%20H%5BAuthor%5D&amp;cauthor=true&amp;cauthor_uid=12845623" TargetMode="External"/><Relationship Id="rId550" Type="http://schemas.openxmlformats.org/officeDocument/2006/relationships/hyperlink" Target="https://www.ncbi.nlm.nih.gov/pubmed/?term=Carlos%20AR%5BAuthor%5D&amp;cauthor=true&amp;cauthor_uid=30673535" TargetMode="External"/><Relationship Id="rId788" Type="http://schemas.openxmlformats.org/officeDocument/2006/relationships/hyperlink" Target="https://pubmed.ncbi.nlm.nih.gov/29599771/?from_term=Th17+thrombosis&amp;from_filter=simsearch1.fha&amp;from_pos=3" TargetMode="External"/><Relationship Id="rId995" Type="http://schemas.openxmlformats.org/officeDocument/2006/relationships/hyperlink" Target="https://pubmed.ncbi.nlm.nih.gov/?term=Nilsson+A&amp;cauthor_id=22003882" TargetMode="External"/><Relationship Id="rId1180" Type="http://schemas.openxmlformats.org/officeDocument/2006/relationships/hyperlink" Target="https://www.ncbi.nlm.nih.gov/pmc/articles/PMC4707740/" TargetMode="External"/><Relationship Id="rId1401" Type="http://schemas.openxmlformats.org/officeDocument/2006/relationships/hyperlink" Target="https://www.ncbi.nlm.nih.gov/pubmed/?term=Talbot%20PJ%5BAuthor%5D&amp;cauthor=true&amp;cauthor_uid=24619619" TargetMode="External"/><Relationship Id="rId203" Type="http://schemas.openxmlformats.org/officeDocument/2006/relationships/hyperlink" Target="https://www.ncbi.nlm.nih.gov/pubmed/?term=Dysregulation+of+immune+response+in+patients+with+COVID-19+in+Wuhan%2C+China" TargetMode="External"/><Relationship Id="rId648" Type="http://schemas.openxmlformats.org/officeDocument/2006/relationships/hyperlink" Target="https://pubmed.ncbi.nlm.nih.gov/?term=Richardson+S&amp;cauthor_id=32320003" TargetMode="External"/><Relationship Id="rId855" Type="http://schemas.openxmlformats.org/officeDocument/2006/relationships/hyperlink" Target="https://www.ncbi.nlm.nih.gov/pubmed/?term=Felsenstein%20S%5BAuthor%5D&amp;cauthor=true&amp;cauthor_uid=32353634" TargetMode="External"/><Relationship Id="rId1040" Type="http://schemas.openxmlformats.org/officeDocument/2006/relationships/hyperlink" Target="https://pubmed.ncbi.nlm.nih.gov/?term=Garssen+J&amp;cauthor_id=21831776" TargetMode="External"/><Relationship Id="rId1278" Type="http://schemas.openxmlformats.org/officeDocument/2006/relationships/hyperlink" Target="https://www.proteinatlas.org/ENSG00000130234-ACE2/tissue" TargetMode="External"/><Relationship Id="rId287" Type="http://schemas.openxmlformats.org/officeDocument/2006/relationships/hyperlink" Target="https://www.ncbi.nlm.nih.gov/pubmed/?term=Endothelial+cell+infection+and+endotheliitis+in+COVID-19" TargetMode="External"/><Relationship Id="rId410" Type="http://schemas.openxmlformats.org/officeDocument/2006/relationships/hyperlink" Target="https://www.immunology.org/public-information/bitesized-immunology/pathogens-and-disease/immune-responses-viruses" TargetMode="External"/><Relationship Id="rId494" Type="http://schemas.openxmlformats.org/officeDocument/2006/relationships/hyperlink" Target="https://www.ncbi.nlm.nih.gov/pubmed/22390970" TargetMode="External"/><Relationship Id="rId508" Type="http://schemas.openxmlformats.org/officeDocument/2006/relationships/hyperlink" Target="https://www.ncbi.nlm.nih.gov/pubmed/?term=Duarte-Neto%20AN%5BAuthor%5D&amp;cauthor=true&amp;cauthor_uid=32294295" TargetMode="External"/><Relationship Id="rId715" Type="http://schemas.openxmlformats.org/officeDocument/2006/relationships/hyperlink" Target="https://www.ncbi.nlm.nih.gov/pmc/articles/PMC3128118/pdf/ppat.1002111.pdf" TargetMode="External"/><Relationship Id="rId922" Type="http://schemas.openxmlformats.org/officeDocument/2006/relationships/hyperlink" Target="https://pubmed.ncbi.nlm.nih.gov/?term=Qi+X&amp;cauthor_id=32179660" TargetMode="External"/><Relationship Id="rId1138" Type="http://schemas.openxmlformats.org/officeDocument/2006/relationships/hyperlink" Target="https://academic.oup.com/jid/article/206/11/1670/897117" TargetMode="External"/><Relationship Id="rId1345" Type="http://schemas.openxmlformats.org/officeDocument/2006/relationships/hyperlink" Target="https://doi.org/10.1093/nsr/nwaa041" TargetMode="External"/><Relationship Id="rId147" Type="http://schemas.openxmlformats.org/officeDocument/2006/relationships/hyperlink" Target="https://www.ncbi.nlm.nih.gov/pubmed/?term=Brown%20M%5BAuthor%5D&amp;cauthor=true&amp;cauthor_uid=32192578" TargetMode="External"/><Relationship Id="rId354" Type="http://schemas.openxmlformats.org/officeDocument/2006/relationships/hyperlink" Target="https://www.ncbi.nlm.nih.gov/pubmed/?term=Yao%20K%5BAuthor%5D&amp;cauthor=true&amp;cauthor_uid=12845623" TargetMode="External"/><Relationship Id="rId799" Type="http://schemas.openxmlformats.org/officeDocument/2006/relationships/hyperlink" Target="https://pubmed.ncbi.nlm.nih.gov/?term=Wang+W&amp;cauthor_id=24040960" TargetMode="External"/><Relationship Id="rId1191" Type="http://schemas.openxmlformats.org/officeDocument/2006/relationships/hyperlink" Target="https://www.ncbi.nlm.nih.gov/pmc/articles/PMC193735/" TargetMode="External"/><Relationship Id="rId1205" Type="http://schemas.openxmlformats.org/officeDocument/2006/relationships/hyperlink" Target="https://pubmed.ncbi.nlm.nih.gov/26658771/" TargetMode="External"/><Relationship Id="rId51" Type="http://schemas.openxmlformats.org/officeDocument/2006/relationships/hyperlink" Target="https://www.ncbi.nlm.nih.gov/pubmed/?term=Li%20Volti%20G%5BAuthor%5D&amp;cauthor=true&amp;cauthor_uid=32357503" TargetMode="External"/><Relationship Id="rId561" Type="http://schemas.openxmlformats.org/officeDocument/2006/relationships/hyperlink" Target="https://www.ncbi.nlm.nih.gov/pmc/articles/PMC7195278/pdf/main.pdf" TargetMode="External"/><Relationship Id="rId659" Type="http://schemas.openxmlformats.org/officeDocument/2006/relationships/hyperlink" Target="https://pubmed.ncbi.nlm.nih.gov/22188723/?from_term=The+dominance+of+human+coronavirus+OC43+and+NL63+infections+in+infants%2C&amp;from_pos=1" TargetMode="External"/><Relationship Id="rId866" Type="http://schemas.openxmlformats.org/officeDocument/2006/relationships/hyperlink" Target="https://www.epicentro.iss.it/coronavirus/bollettino/Bollettino-sorveglianza-integrata-COVID-19_16-aprile-2020.pdf" TargetMode="External"/><Relationship Id="rId1289" Type="http://schemas.openxmlformats.org/officeDocument/2006/relationships/hyperlink" Target="https://www.ncbi.nlm.nih.gov/pmc/articles/PMC7039956/" TargetMode="External"/><Relationship Id="rId1412" Type="http://schemas.openxmlformats.org/officeDocument/2006/relationships/hyperlink" Target="https://www.ncbi.nlm.nih.gov/pubmed/?term=Hsieh%20ST%5BAuthor%5D&amp;cauthor=true&amp;cauthor_uid=16252612" TargetMode="External"/><Relationship Id="rId214" Type="http://schemas.openxmlformats.org/officeDocument/2006/relationships/hyperlink" Target="https://www.ncbi.nlm.nih.gov/pubmed/?term=Tian%20DS%5BAuthor%5D&amp;cauthor=true&amp;cauthor_uid=32161940" TargetMode="External"/><Relationship Id="rId298" Type="http://schemas.openxmlformats.org/officeDocument/2006/relationships/hyperlink" Target="https://www.ncbi.nlm.nih.gov/pmc/articles/PMC7172722/pdf/main.pdf" TargetMode="External"/><Relationship Id="rId421" Type="http://schemas.openxmlformats.org/officeDocument/2006/relationships/hyperlink" Target="https://www.ncbi.nlm.nih.gov/pmc/articles/PMC7159299/pdf/main.pdf" TargetMode="External"/><Relationship Id="rId519" Type="http://schemas.openxmlformats.org/officeDocument/2006/relationships/hyperlink" Target="https://www.ncbi.nlm.nih.gov/pubmed/?term=Gan%20J%5BAuthor%5D&amp;cauthor=true&amp;cauthor_uid=32205856" TargetMode="External"/><Relationship Id="rId1051" Type="http://schemas.openxmlformats.org/officeDocument/2006/relationships/hyperlink" Target="https://www.ncbi.nlm.nih.gov/pmc/articles/PMC2213108/" TargetMode="External"/><Relationship Id="rId1149" Type="http://schemas.openxmlformats.org/officeDocument/2006/relationships/hyperlink" Target="https://www.ncbi.nlm.nih.gov/pmc/articles/PMC5219689/" TargetMode="External"/><Relationship Id="rId1356" Type="http://schemas.openxmlformats.org/officeDocument/2006/relationships/hyperlink" Target="https://www.ncbi.nlm.nih.gov/pmc/articles/PMC7264560/" TargetMode="External"/><Relationship Id="rId158" Type="http://schemas.openxmlformats.org/officeDocument/2006/relationships/hyperlink" Target="https://rmdopen.bmj.com/content/rmdopen/6/1/e001295.full.pdf" TargetMode="External"/><Relationship Id="rId726" Type="http://schemas.openxmlformats.org/officeDocument/2006/relationships/hyperlink" Target="https://www.ncbi.nlm.nih.gov/pmc/articles/PMC4018502/pdf/1743-422X-11-82.pdf" TargetMode="External"/><Relationship Id="rId933" Type="http://schemas.openxmlformats.org/officeDocument/2006/relationships/hyperlink" Target="https://www.ncbi.nlm.nih.gov/pmc/articles/PMC7241586/" TargetMode="External"/><Relationship Id="rId1009" Type="http://schemas.openxmlformats.org/officeDocument/2006/relationships/hyperlink" Target="https://www.ncbi.nlm.nih.gov/pmc/articles/PMC4109609/" TargetMode="External"/><Relationship Id="rId62" Type="http://schemas.openxmlformats.org/officeDocument/2006/relationships/hyperlink" Target="https://www.ncbi.nlm.nih.gov/pubmed/?term=Rossi%20S%5BAuthor%5D&amp;cauthor=true&amp;cauthor_uid=32228035" TargetMode="External"/><Relationship Id="rId365" Type="http://schemas.openxmlformats.org/officeDocument/2006/relationships/hyperlink" Target="https://www.ncbi.nlm.nih.gov/pubmed/?term=Goh%20GK%5BAuthor%5D&amp;cauthor=true&amp;cauthor_uid=32244041" TargetMode="External"/><Relationship Id="rId572" Type="http://schemas.openxmlformats.org/officeDocument/2006/relationships/hyperlink" Target="https://www.ncbi.nlm.nih.gov/pubmed/?term=O%27Grady%20NP%5BAuthor%5D&amp;cauthor=true&amp;cauthor_uid=18379262" TargetMode="External"/><Relationship Id="rId1216" Type="http://schemas.openxmlformats.org/officeDocument/2006/relationships/hyperlink" Target="https://pubmed.ncbi.nlm.nih.gov/18930842/" TargetMode="External"/><Relationship Id="rId225" Type="http://schemas.openxmlformats.org/officeDocument/2006/relationships/hyperlink" Target="https://www.ncbi.nlm.nih.gov/pubmed/?term=Aquila%20I%5BAuthor%5D&amp;cauthor=true&amp;cauthor_uid=32383963" TargetMode="External"/><Relationship Id="rId432" Type="http://schemas.openxmlformats.org/officeDocument/2006/relationships/hyperlink" Target="https://www.sinobiological.com/resource/cytokines/what-are-cytokines" TargetMode="External"/><Relationship Id="rId877" Type="http://schemas.openxmlformats.org/officeDocument/2006/relationships/hyperlink" Target="https://www.ncbi.nlm.nih.gov/pubmed/?term=Valensin%20S%5BAuthor%5D&amp;cauthor=true&amp;cauthor_uid=10911963" TargetMode="External"/><Relationship Id="rId1062" Type="http://schemas.openxmlformats.org/officeDocument/2006/relationships/hyperlink" Target="https://pubmed.ncbi.nlm.nih.gov/17548093/" TargetMode="External"/><Relationship Id="rId737" Type="http://schemas.openxmlformats.org/officeDocument/2006/relationships/hyperlink" Target="https://smw.ch/article/doi/smw.2020.20249" TargetMode="External"/><Relationship Id="rId944" Type="http://schemas.openxmlformats.org/officeDocument/2006/relationships/hyperlink" Target="https://pubmed.ncbi.nlm.nih.gov/32420942/" TargetMode="External"/><Relationship Id="rId1367" Type="http://schemas.openxmlformats.org/officeDocument/2006/relationships/hyperlink" Target="https://www.ncbi.nlm.nih.gov/pubmed/?term=Talbot%20PJ%5BAuthor%5D&amp;cauthor=true&amp;cauthor_uid=8967755" TargetMode="External"/><Relationship Id="rId73" Type="http://schemas.openxmlformats.org/officeDocument/2006/relationships/hyperlink" Target="https://www.ncbi.nlm.nih.gov/pubmed/?term=The+experience+of+high-flow+nasal+cannula+in+hospitalized+patients+with+2019+novel+coronavirus-infected+pneumonia+in+two+hospitals+of+Chongqing%2C+China" TargetMode="External"/><Relationship Id="rId169" Type="http://schemas.openxmlformats.org/officeDocument/2006/relationships/hyperlink" Target="https://www.ncbi.nlm.nih.gov/pubmed/32293098" TargetMode="External"/><Relationship Id="rId376" Type="http://schemas.openxmlformats.org/officeDocument/2006/relationships/hyperlink" Target="https://www.ncbi.nlm.nih.gov/pubmed/?term=settings+Open+AccessReview+SARS-CoV-2+and+Coronavirus+Disease+2019%3A+What+We+Know+So+Far" TargetMode="External"/><Relationship Id="rId583" Type="http://schemas.openxmlformats.org/officeDocument/2006/relationships/hyperlink" Target="https://www.ncbi.nlm.nih.gov/pubmed/?term=American%20College%20of%20Critical%20Care%20Medicine%5BCorporate%20Author%5D" TargetMode="External"/><Relationship Id="rId790" Type="http://schemas.openxmlformats.org/officeDocument/2006/relationships/hyperlink" Target="https://pubmed.ncbi.nlm.nih.gov/?term=Tetro+JA&amp;cauthor_id=32092539" TargetMode="External"/><Relationship Id="rId804" Type="http://schemas.openxmlformats.org/officeDocument/2006/relationships/hyperlink" Target="https://www.ncbi.nlm.nih.gov/pmc/articles/PMC7213670/" TargetMode="External"/><Relationship Id="rId1227" Type="http://schemas.openxmlformats.org/officeDocument/2006/relationships/hyperlink" Target="https://www.euro.who.int/en/health-topics/communicable-diseases/influenza/vaccination/seasonal-vaccination-policies-and-coverage-in-the-european-region" TargetMode="External"/><Relationship Id="rId4" Type="http://schemas.openxmlformats.org/officeDocument/2006/relationships/hyperlink" Target="https://www.ncbi.nlm.nih.gov/pubmed/32359201" TargetMode="External"/><Relationship Id="rId236" Type="http://schemas.openxmlformats.org/officeDocument/2006/relationships/hyperlink" Target="https://www.ncbi.nlm.nih.gov/pubmed/?term=Ricci%20P%5BAuthor%5D&amp;cauthor=true&amp;cauthor_uid=32383963" TargetMode="External"/><Relationship Id="rId443" Type="http://schemas.openxmlformats.org/officeDocument/2006/relationships/hyperlink" Target="https://www.ncbi.nlm.nih.gov/pubmed/?term=Li%20Y%5BAuthor%5D&amp;cauthor=true&amp;cauthor_uid=29467962" TargetMode="External"/><Relationship Id="rId650" Type="http://schemas.openxmlformats.org/officeDocument/2006/relationships/hyperlink" Target="https://www.ncbi.nlm.nih.gov/pubmed/?term=Felsenstein%20S%5BAuthor%5D&amp;cauthor=true&amp;cauthor_uid=32353634" TargetMode="External"/><Relationship Id="rId888" Type="http://schemas.openxmlformats.org/officeDocument/2006/relationships/hyperlink" Target="https://febs.onlinelibrary.wiley.com/doi/full/10.1016/j.febslet.2005.02.055" TargetMode="External"/><Relationship Id="rId1073" Type="http://schemas.openxmlformats.org/officeDocument/2006/relationships/hyperlink" Target="https://pubmed.ncbi.nlm.nih.gov/31354709/" TargetMode="External"/><Relationship Id="rId1280" Type="http://schemas.openxmlformats.org/officeDocument/2006/relationships/hyperlink" Target="https://www.ncbi.nlm.nih.gov/pubmed/?term=Article+Open+Access+Published%3A+24+February+2020+High+expression+of+ACE2+receptor+of+2019-nCoV+on+the+epithelial+cells+of+oral+mucosa" TargetMode="External"/><Relationship Id="rId303" Type="http://schemas.openxmlformats.org/officeDocument/2006/relationships/hyperlink" Target="https://www.ncbi.nlm.nih.gov/pubmed/?term=Menter%20T%5BAuthor%5D&amp;cauthor=true&amp;cauthor_uid=32364264" TargetMode="External"/><Relationship Id="rId748" Type="http://schemas.openxmlformats.org/officeDocument/2006/relationships/hyperlink" Target="https://www.ncbi.nlm.nih.gov/pmc/articles/PMC3335060/pdf/pone.0035421.pdf" TargetMode="External"/><Relationship Id="rId955" Type="http://schemas.openxmlformats.org/officeDocument/2006/relationships/hyperlink" Target="https://pubmed.ncbi.nlm.nih.gov/?term=Yang+H&amp;cauthor_id=32430957" TargetMode="External"/><Relationship Id="rId1140" Type="http://schemas.openxmlformats.org/officeDocument/2006/relationships/hyperlink" Target="https://www.ncbi.nlm.nih.gov/pmc/articles/PMC4712643/" TargetMode="External"/><Relationship Id="rId1378" Type="http://schemas.openxmlformats.org/officeDocument/2006/relationships/hyperlink" Target="https://pubmed.ncbi.nlm.nih.gov/7403860/" TargetMode="External"/><Relationship Id="rId84" Type="http://schemas.openxmlformats.org/officeDocument/2006/relationships/hyperlink" Target="https://www.ncbi.nlm.nih.gov/pubmed/?term=Platanaki%20C%5BAuthor%5D&amp;cauthor=true&amp;cauthor_uid=32368884" TargetMode="External"/><Relationship Id="rId387" Type="http://schemas.openxmlformats.org/officeDocument/2006/relationships/hyperlink" Target="https://www.ncbi.nlm.nih.gov/pmc/articles/PMC7102627/pdf/main.pdf" TargetMode="External"/><Relationship Id="rId510" Type="http://schemas.openxmlformats.org/officeDocument/2006/relationships/hyperlink" Target="https://www.ncbi.nlm.nih.gov/pubmed/32297995" TargetMode="External"/><Relationship Id="rId594" Type="http://schemas.openxmlformats.org/officeDocument/2006/relationships/hyperlink" Target="https://www.biologyonline.com/dictionary/endogenous-pyrogen" TargetMode="External"/><Relationship Id="rId608" Type="http://schemas.openxmlformats.org/officeDocument/2006/relationships/hyperlink" Target="https://www.ncbi.nlm.nih.gov/pubmed/?term=Young%20PJ%5BAuthor%5D&amp;cauthor=true&amp;cauthor_uid=22290072" TargetMode="External"/><Relationship Id="rId815" Type="http://schemas.openxmlformats.org/officeDocument/2006/relationships/hyperlink" Target="https://pubmed.ncbi.nlm.nih.gov/23986398/?from_single_result=IVIG+SARSVaccine-induced+anti-HA2+antibodies+promote+virus+fusion+and+enhance+influenza+virus+respiratory+disease.&amp;expanded_search_query=IVIG+SARSVaccine-induced+anti-HA2+antibodies+promote+virus+fusion+and+enhance+influenza+virus+respiratory+disease." TargetMode="External"/><Relationship Id="rId1238" Type="http://schemas.openxmlformats.org/officeDocument/2006/relationships/hyperlink" Target="https://www.ncbi.nlm.nih.gov/pmc/articles/PMC7158570/" TargetMode="External"/><Relationship Id="rId247" Type="http://schemas.openxmlformats.org/officeDocument/2006/relationships/hyperlink" Target="https://www.ncbi.nlm.nih.gov/pmc/articles/PMC7190281/pdf/428_2020_Article_2828.pdf" TargetMode="External"/><Relationship Id="rId899" Type="http://schemas.openxmlformats.org/officeDocument/2006/relationships/hyperlink" Target="https://www.ncbi.nlm.nih.gov/pubmed/?term=Libby%20P%5BAuthor%5D&amp;cauthor=true&amp;cauthor_uid=32006431" TargetMode="External"/><Relationship Id="rId1000" Type="http://schemas.openxmlformats.org/officeDocument/2006/relationships/hyperlink" Target="https://www.ncbi.nlm.nih.gov/pubmed/?term=Zhang%20X%5BAuthor%5D&amp;cauthor=true&amp;cauthor_uid=28627520" TargetMode="External"/><Relationship Id="rId1084" Type="http://schemas.openxmlformats.org/officeDocument/2006/relationships/hyperlink" Target="https://academic.oup.com/tropej/article/49/5/302/1690003" TargetMode="External"/><Relationship Id="rId1305" Type="http://schemas.openxmlformats.org/officeDocument/2006/relationships/hyperlink" Target="https://www.ncbi.nlm.nih.gov/pmc/articles/PMC6062604/" TargetMode="External"/><Relationship Id="rId107" Type="http://schemas.openxmlformats.org/officeDocument/2006/relationships/hyperlink" Target="https://pubmed.ncbi.nlm.nih.gov/?term=Barbareschi+M&amp;cauthor_id=32350596" TargetMode="External"/><Relationship Id="rId454" Type="http://schemas.openxmlformats.org/officeDocument/2006/relationships/hyperlink" Target="https://www.ncbi.nlm.nih.gov/pubmed/?term=Rasmussen%20AL%5BAuthor%5D&amp;cauthor=true&amp;cauthor_uid=32388462" TargetMode="External"/><Relationship Id="rId661" Type="http://schemas.openxmlformats.org/officeDocument/2006/relationships/hyperlink" Target="https://pubmed.ncbi.nlm.nih.gov/?term=Channappanavar+R&amp;cauthor_id=28466096" TargetMode="External"/><Relationship Id="rId759" Type="http://schemas.openxmlformats.org/officeDocument/2006/relationships/hyperlink" Target="https://www.ncbi.nlm.nih.gov/pmc/articles/PMC7187801/pdf/41577_2020_Article_323.pdf" TargetMode="External"/><Relationship Id="rId966" Type="http://schemas.openxmlformats.org/officeDocument/2006/relationships/hyperlink" Target="https://pubmed.ncbi.nlm.nih.gov/32180292/?from_term=coronaviurs+death+pregancy&amp;from_exact_term=coronavirus+death+pregnancy&amp;from_pos=2" TargetMode="External"/><Relationship Id="rId1291" Type="http://schemas.openxmlformats.org/officeDocument/2006/relationships/hyperlink" Target="https://www.ncbi.nlm.nih.gov/pubmed/?term=Stopsack%20KH%5BAuthor%5D&amp;cauthor=true&amp;cauthor_uid=32276929" TargetMode="External"/><Relationship Id="rId1389" Type="http://schemas.openxmlformats.org/officeDocument/2006/relationships/hyperlink" Target="https://www.ncbi.nlm.nih.gov/pubmed/?term=Dub%C3%A9%20M%5BAuthor%5D&amp;cauthor=true&amp;cauthor_uid=29925652" TargetMode="External"/><Relationship Id="rId11" Type="http://schemas.openxmlformats.org/officeDocument/2006/relationships/hyperlink" Target="https://pubmed.ncbi.nlm.nih.gov/?term=Arentz+M&amp;cauthor_id=32191259" TargetMode="External"/><Relationship Id="rId314" Type="http://schemas.openxmlformats.org/officeDocument/2006/relationships/hyperlink" Target="https://www.mdpi.com/2077-0383/9/5/1259/htm" TargetMode="External"/><Relationship Id="rId398" Type="http://schemas.openxmlformats.org/officeDocument/2006/relationships/hyperlink" Target="https://www.ncbi.nlm.nih.gov/pubmed/?term=Felsenstein%20S%5BAuthor%5D&amp;cauthor=true&amp;cauthor_uid=32353634" TargetMode="External"/><Relationship Id="rId521" Type="http://schemas.openxmlformats.org/officeDocument/2006/relationships/hyperlink" Target="https://www.ncbi.nlm.nih.gov/pubmed/?term=Bucci%20E%5BAuthor%5D&amp;cauthor=true&amp;cauthor_uid=32205856" TargetMode="External"/><Relationship Id="rId619" Type="http://schemas.openxmlformats.org/officeDocument/2006/relationships/hyperlink" Target="https://www.ncbi.nlm.nih.gov/pubmed/?term=Lee%20BH%5BAuthor%5D&amp;cauthor=true&amp;cauthor_uid=22373120" TargetMode="External"/><Relationship Id="rId1151" Type="http://schemas.openxmlformats.org/officeDocument/2006/relationships/hyperlink" Target="https://www.ncbi.nlm.nih.gov/pmc/articles/PMC5541232/" TargetMode="External"/><Relationship Id="rId1249" Type="http://schemas.openxmlformats.org/officeDocument/2006/relationships/hyperlink" Target="https://www.sciencedirect.com/science/article/pii/S0092867413004625" TargetMode="External"/><Relationship Id="rId95" Type="http://schemas.openxmlformats.org/officeDocument/2006/relationships/hyperlink" Target="http://www.sspp.it/wp-content/uploads/2020/04/COVID-colpevole-senza-regolare-processo-ff_.pdf" TargetMode="External"/><Relationship Id="rId160" Type="http://schemas.openxmlformats.org/officeDocument/2006/relationships/hyperlink" Target="https://pubmed.ncbi.nlm.nih.gov/32325025/?from_single_result=COVID-19%3A+A+New+Virus%2C+but+a+Familiar+Receptor+and+Cytokine+Release+Syndrome&amp;expanded_search_query=COVID-19%3A+A+New+Virus%2C+but+a+Familiar+Receptor+and+Cytokine+Release+Syndrome" TargetMode="External"/><Relationship Id="rId826" Type="http://schemas.openxmlformats.org/officeDocument/2006/relationships/hyperlink" Target="https://pubmed.ncbi.nlm.nih.gov/?term=Fulginiti+VA&amp;cauthor_id=6072745" TargetMode="External"/><Relationship Id="rId1011" Type="http://schemas.openxmlformats.org/officeDocument/2006/relationships/hyperlink" Target="https://www.ncbi.nlm.nih.gov/pmc/articles/PMC4407563/" TargetMode="External"/><Relationship Id="rId1109" Type="http://schemas.openxmlformats.org/officeDocument/2006/relationships/hyperlink" Target="https://www.ncbi.nlm.nih.gov/pubmed/?term=Wynn%20JL%5BAuthor%5D&amp;cauthor=true&amp;cauthor_uid=24356292" TargetMode="External"/><Relationship Id="rId258" Type="http://schemas.openxmlformats.org/officeDocument/2006/relationships/hyperlink" Target="https://www.ncbi.nlm.nih.gov/pubmed/?term=Italian%20Society%20of%20Anatomical%20Pathology%20and%20Cytology%20(SIAPEC)%5BCorporate%20Author%5D" TargetMode="External"/><Relationship Id="rId465" Type="http://schemas.openxmlformats.org/officeDocument/2006/relationships/hyperlink" Target="https://www.ncbi.nlm.nih.gov/pubmed/?term=Yang%20PC%5BAuthor%5D&amp;cauthor=true&amp;cauthor_uid=17052299" TargetMode="External"/><Relationship Id="rId672" Type="http://schemas.openxmlformats.org/officeDocument/2006/relationships/hyperlink" Target="https://www.ncbi.nlm.nih.gov/pmc/articles/PMC7172841/pdf/main.pdf" TargetMode="External"/><Relationship Id="rId1095" Type="http://schemas.openxmlformats.org/officeDocument/2006/relationships/hyperlink" Target="https://pubmed.ncbi.nlm.nih.gov/10998088/" TargetMode="External"/><Relationship Id="rId1316" Type="http://schemas.openxmlformats.org/officeDocument/2006/relationships/hyperlink" Target="https://www.ncbi.nlm.nih.gov/pubmed/26965109/" TargetMode="External"/><Relationship Id="rId22"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118" Type="http://schemas.openxmlformats.org/officeDocument/2006/relationships/hyperlink" Target="http://www.salute.gov.it/portale/temi/documenti/usmaf/formazione2018/Classificazione_degli_agenti_infettivi_in_relazione_alla_sicurezza_biologica.pdf" TargetMode="External"/><Relationship Id="rId325" Type="http://schemas.openxmlformats.org/officeDocument/2006/relationships/hyperlink" Target="https://www.ncbi.nlm.nih.gov/pubmed/?term=Xu%20Z%5BAuthor%5D&amp;cauthor=true&amp;cauthor_uid=32085846" TargetMode="External"/><Relationship Id="rId532" Type="http://schemas.openxmlformats.org/officeDocument/2006/relationships/hyperlink" Target="https://www.ncbi.nlm.nih.gov/pubmed/?term=Tao%20Y%5BAuthor%5D&amp;cauthor=true&amp;cauthor_uid=32161940" TargetMode="External"/><Relationship Id="rId977" Type="http://schemas.openxmlformats.org/officeDocument/2006/relationships/hyperlink" Target="https://pubmed.ncbi.nlm.nih.gov/?term=Rasmussen+SA&amp;cauthor_id=32105680" TargetMode="External"/><Relationship Id="rId1162" Type="http://schemas.openxmlformats.org/officeDocument/2006/relationships/hyperlink" Target="https://www.ncbi.nlm.nih.gov/pmc/articles/PMC3626102/" TargetMode="External"/><Relationship Id="rId171" Type="http://schemas.openxmlformats.org/officeDocument/2006/relationships/hyperlink" Target="https://www.ncbi.nlm.nih.gov/pmc/articles/PMC7262347/pdf/ART-9999-na.pdf" TargetMode="External"/><Relationship Id="rId837" Type="http://schemas.openxmlformats.org/officeDocument/2006/relationships/hyperlink" Target="http://www.ncbi.nlm.nih.gov/pmc/articles/PMC7126676/pdf/main.pdf" TargetMode="External"/><Relationship Id="rId1022" Type="http://schemas.openxmlformats.org/officeDocument/2006/relationships/hyperlink" Target="https://www.jpeds.com/article/S0022-3476(08)00309-0/fulltext" TargetMode="External"/><Relationship Id="rId269" Type="http://schemas.openxmlformats.org/officeDocument/2006/relationships/hyperlink" Target="https://jcp.bmj.com/content/jclinpath/73/5/239.full.pdf" TargetMode="External"/><Relationship Id="rId476" Type="http://schemas.openxmlformats.org/officeDocument/2006/relationships/hyperlink" Target="https://www.ncbi.nlm.nih.gov/pubmed/?term=O%27Regan%20A%5BAuthor%5D&amp;cauthor=true&amp;cauthor_uid=32251717" TargetMode="External"/><Relationship Id="rId683" Type="http://schemas.openxmlformats.org/officeDocument/2006/relationships/hyperlink" Target="https://www.mdpi.com/1999-4915/12/4/372/htm" TargetMode="External"/><Relationship Id="rId890" Type="http://schemas.openxmlformats.org/officeDocument/2006/relationships/hyperlink" Target="https://www.ncbi.nlm.nih.gov/pubmed/?term=Magrone%20T%5BAuthor%5D&amp;cauthor=true&amp;cauthor_uid=32250234" TargetMode="External"/><Relationship Id="rId904" Type="http://schemas.openxmlformats.org/officeDocument/2006/relationships/hyperlink" Target="https://www.ncbi.nlm.nih.gov/pubmed/?term=Boule%20LA%5BAuthor%5D&amp;cauthor=true&amp;cauthor_uid=27711979" TargetMode="External"/><Relationship Id="rId1327" Type="http://schemas.openxmlformats.org/officeDocument/2006/relationships/hyperlink" Target="https://www.ncbi.nlm.nih.gov/pubmed/?term=Perlman%20S%5BAuthor%5D&amp;cauthor=true&amp;cauthor_uid=28373583" TargetMode="External"/><Relationship Id="rId33" Type="http://schemas.openxmlformats.org/officeDocument/2006/relationships/hyperlink" Target="https://emcrit.org/ibcc/covid19/" TargetMode="External"/><Relationship Id="rId129" Type="http://schemas.openxmlformats.org/officeDocument/2006/relationships/hyperlink" Target="https://www.ncbi.nlm.nih.gov/pubmed/?term=Yu%20CJ%5BAuthor%5D&amp;cauthor=true&amp;cauthor_uid=17052299" TargetMode="External"/><Relationship Id="rId336" Type="http://schemas.openxmlformats.org/officeDocument/2006/relationships/hyperlink" Target="https://www.ncbi.nlm.nih.gov/pmc/articles/PMC7168017/" TargetMode="External"/><Relationship Id="rId543" Type="http://schemas.openxmlformats.org/officeDocument/2006/relationships/hyperlink" Target="https://www.ncbi.nlm.nih.gov/pubmed/?term=Bridgewood%20C%5BAuthor%5D&amp;cauthor=true&amp;cauthor_uid=32251717" TargetMode="External"/><Relationship Id="rId988" Type="http://schemas.openxmlformats.org/officeDocument/2006/relationships/hyperlink" Target="https://www.ncbi.nlm.nih.gov/pubmed/?term=Yan%20J%5BAuthor%5D&amp;cauthor=true&amp;cauthor_uid=32335053" TargetMode="External"/><Relationship Id="rId1173" Type="http://schemas.openxmlformats.org/officeDocument/2006/relationships/hyperlink" Target="https://www.ncbi.nlm.nih.gov/pmc/articles/PMC3977141/" TargetMode="External"/><Relationship Id="rId1380" Type="http://schemas.openxmlformats.org/officeDocument/2006/relationships/hyperlink" Target="https://www.ncbi.nlm.nih.gov/pubmed/?term=Desforges%20M%5BAuthor%5D&amp;cauthor=true&amp;cauthor_uid=31861926" TargetMode="External"/><Relationship Id="rId182" Type="http://schemas.openxmlformats.org/officeDocument/2006/relationships/hyperlink" Target="https://www.ncbi.nlm.nih.gov/pubmed/?term=June%20CH%5BAuthor%5D&amp;cauthor=true&amp;cauthor_uid=32303591" TargetMode="External"/><Relationship Id="rId403" Type="http://schemas.openxmlformats.org/officeDocument/2006/relationships/hyperlink" Target="https://onlinelearning.hms.harvard.edu/hmx/immunity/" TargetMode="External"/><Relationship Id="rId750" Type="http://schemas.openxmlformats.org/officeDocument/2006/relationships/hyperlink" Target="https://pubmed.ncbi.nlm.nih.gov/?term=Hotez+PJ&amp;cauthor_id=32346094" TargetMode="External"/><Relationship Id="rId848" Type="http://schemas.openxmlformats.org/officeDocument/2006/relationships/hyperlink" Target="https://www.ncbi.nlm.nih.gov/pmc/articles/PMC7179481/" TargetMode="External"/><Relationship Id="rId1033" Type="http://schemas.openxmlformats.org/officeDocument/2006/relationships/hyperlink" Target="https://www.ncbi.nlm.nih.gov/pmc/articles/PMC5179050/" TargetMode="External"/><Relationship Id="rId487" Type="http://schemas.openxmlformats.org/officeDocument/2006/relationships/hyperlink" Target="https://www.ncbi.nlm.nih.gov/pmc/articles/PMC7270045/pdf/main.pdf" TargetMode="External"/><Relationship Id="rId610" Type="http://schemas.openxmlformats.org/officeDocument/2006/relationships/hyperlink" Target="https://www.ncbi.nlm.nih.gov/pubmed/?term=Beasley%20R%5BAuthor%5D&amp;cauthor=true&amp;cauthor_uid=22290072" TargetMode="External"/><Relationship Id="rId694" Type="http://schemas.openxmlformats.org/officeDocument/2006/relationships/hyperlink" Target="https://pubmed.ncbi.nlm.nih.gov/26497532/?from_term=Fc+receptors+in+antibody%E2%80%90dependent+enhancement+of+viral+infections&amp;from_pos=1" TargetMode="External"/><Relationship Id="rId708" Type="http://schemas.openxmlformats.org/officeDocument/2006/relationships/hyperlink" Target="https://www.microbiologyresearch.org/content/journal/jgv/10.1099/0022-1317-83-9-2091" TargetMode="External"/><Relationship Id="rId915" Type="http://schemas.openxmlformats.org/officeDocument/2006/relationships/hyperlink" Target="https://pubmed.ncbi.nlm.nih.gov/32179660/?from_term=Epidemiology+of+COVID-19+among+children+in+China.&amp;from_pos=1" TargetMode="External"/><Relationship Id="rId1240" Type="http://schemas.openxmlformats.org/officeDocument/2006/relationships/hyperlink" Target="https://www.mdpi.com/2308-3417/5/2/24/htm" TargetMode="External"/><Relationship Id="rId1338" Type="http://schemas.openxmlformats.org/officeDocument/2006/relationships/hyperlink" Target="https://jamanetwork.com/journals/jama/fullarticle/2764789" TargetMode="External"/><Relationship Id="rId347" Type="http://schemas.openxmlformats.org/officeDocument/2006/relationships/hyperlink" Target="https://www.ncbi.nlm.nih.gov/pubmed/?term=Cai%20J%5BAuthor%5D&amp;cauthor=true&amp;cauthor_uid=12845623" TargetMode="External"/><Relationship Id="rId999" Type="http://schemas.openxmlformats.org/officeDocument/2006/relationships/hyperlink" Target="https://www.ncbi.nlm.nih.gov/pubmed/28627520" TargetMode="External"/><Relationship Id="rId1100" Type="http://schemas.openxmlformats.org/officeDocument/2006/relationships/hyperlink" Target="https://www.ncbi.nlm.nih.gov/pmc/articles/PMC4825855/" TargetMode="External"/><Relationship Id="rId1184" Type="http://schemas.openxmlformats.org/officeDocument/2006/relationships/hyperlink" Target="https://academic.oup.com/cid/article/31/2/578/299255" TargetMode="External"/><Relationship Id="rId1405" Type="http://schemas.openxmlformats.org/officeDocument/2006/relationships/hyperlink" Target="https://www.ncbi.nlm.nih.gov/pubmed/?term=Le%20Coupanec%20A%5BAuthor%5D&amp;cauthor=true&amp;cauthor_uid=25281913" TargetMode="External"/><Relationship Id="rId44" Type="http://schemas.openxmlformats.org/officeDocument/2006/relationships/hyperlink" Target="https://www.istat.it/it/archivio/240401" TargetMode="External"/><Relationship Id="rId554" Type="http://schemas.openxmlformats.org/officeDocument/2006/relationships/hyperlink" Target="https://www.ncbi.nlm.nih.gov/pubmed/?term=Ramos%20S%5BAuthor%5D&amp;cauthor=true&amp;cauthor_uid=30673535" TargetMode="External"/><Relationship Id="rId761" Type="http://schemas.openxmlformats.org/officeDocument/2006/relationships/hyperlink" Target="https://www.ncbi.nlm.nih.gov/pmc/articles/PMC6478436/" TargetMode="External"/><Relationship Id="rId859" Type="http://schemas.openxmlformats.org/officeDocument/2006/relationships/hyperlink" Target="https://www.ncbi.nlm.nih.gov/pmc/articles/PMC7185015/pdf/main.pdf" TargetMode="External"/><Relationship Id="rId1391" Type="http://schemas.openxmlformats.org/officeDocument/2006/relationships/hyperlink" Target="https://www.ncbi.nlm.nih.gov/pubmed/?term=Wong%20AHM%5BAuthor%5D&amp;cauthor=true&amp;cauthor_uid=29925652" TargetMode="External"/><Relationship Id="rId193" Type="http://schemas.openxmlformats.org/officeDocument/2006/relationships/hyperlink" Target="https://www.ncbi.nlm.nih.gov/pubmed/?term=Wang%20Y%5BAuthor%5D&amp;cauthor=true&amp;cauthor_uid=32205856" TargetMode="External"/><Relationship Id="rId207" Type="http://schemas.openxmlformats.org/officeDocument/2006/relationships/hyperlink" Target="https://www.ncbi.nlm.nih.gov/pubmed/?term=Zhang%20S%5BAuthor%5D&amp;cauthor=true&amp;cauthor_uid=32161940" TargetMode="External"/><Relationship Id="rId414" Type="http://schemas.openxmlformats.org/officeDocument/2006/relationships/hyperlink" Target="https://www.ncbi.nlm.nih.gov/pmc/articles/PMC7191310/" TargetMode="External"/><Relationship Id="rId498" Type="http://schemas.openxmlformats.org/officeDocument/2006/relationships/hyperlink" Target="https://www.ncbi.nlm.nih.gov/pubmed/?term=Farrar%20J%5BAuthor%5D&amp;cauthor=true&amp;cauthor_uid=22390970" TargetMode="External"/><Relationship Id="rId621" Type="http://schemas.openxmlformats.org/officeDocument/2006/relationships/hyperlink" Target="https://www.ncbi.nlm.nih.gov/pubmed/?term=Ahkee+S%2C+Srinath+L%2C+Ramirez+J.+Community-acquired+pneumonia+in+the+elderly%3A+association+of+mortality+with+lack+of+fever+and+leukocytosis.+South+Med+J.+1997%3B90%3A296%E2%80%938." TargetMode="External"/><Relationship Id="rId1044" Type="http://schemas.openxmlformats.org/officeDocument/2006/relationships/hyperlink" Target="https://www.cell.com/action/showPdf?pii=S0092-8674%2818%2930978-4" TargetMode="External"/><Relationship Id="rId1251" Type="http://schemas.openxmlformats.org/officeDocument/2006/relationships/hyperlink" Target="https://pubmed.ncbi.nlm.nih.gov/30046148/" TargetMode="External"/><Relationship Id="rId1349" Type="http://schemas.openxmlformats.org/officeDocument/2006/relationships/hyperlink" Target="https://www.ncbi.nlm.nih.gov/pmc/articles/PMC7142689/" TargetMode="External"/><Relationship Id="rId260" Type="http://schemas.openxmlformats.org/officeDocument/2006/relationships/hyperlink" Target="https://www.ncbi.nlm.nih.gov/pubmed/?term=Autopsy+Findings+and+Venous+Thromboembolism+in+Patients+With+COVID-19" TargetMode="External"/><Relationship Id="rId719" Type="http://schemas.openxmlformats.org/officeDocument/2006/relationships/hyperlink" Target="https://www.hkmj.org/system/files/hkm1603sp4p25.pdf" TargetMode="External"/><Relationship Id="rId926" Type="http://schemas.openxmlformats.org/officeDocument/2006/relationships/hyperlink" Target="https://pubmed.ncbi.nlm.nih.gov/?term=Jiang+Z&amp;cauthor_id=32179660" TargetMode="External"/><Relationship Id="rId1111" Type="http://schemas.openxmlformats.org/officeDocument/2006/relationships/hyperlink" Target="https://www.ncbi.nlm.nih.gov/pubmed/?term=Defining+trained+immunity+and+its+role+in+health+and+disease" TargetMode="External"/><Relationship Id="rId55" Type="http://schemas.openxmlformats.org/officeDocument/2006/relationships/hyperlink" Target="https://www.ncbi.nlm.nih.gov/pubmed/?term=Wichmann%20D%5BAuthor%5D&amp;cauthor=true&amp;cauthor_uid=32374815" TargetMode="External"/><Relationship Id="rId120" Type="http://schemas.openxmlformats.org/officeDocument/2006/relationships/hyperlink" Target="https://www.who.int/docs/default-source/coronaviruse/laboratory-biosafety-novel-coronavirus-version-1-1.pdf?sfvrsn=912a9847_2" TargetMode="External"/><Relationship Id="rId358" Type="http://schemas.openxmlformats.org/officeDocument/2006/relationships/hyperlink" Target="https://www.ncbi.nlm.nih.gov/pubmed/?term=Zhou%20J%5BAuthor%5D&amp;cauthor=true&amp;cauthor_uid=29152574" TargetMode="External"/><Relationship Id="rId565" Type="http://schemas.openxmlformats.org/officeDocument/2006/relationships/hyperlink" Target="https://www.ncbi.nlm.nih.gov/pubmed/27411542" TargetMode="External"/><Relationship Id="rId772" Type="http://schemas.openxmlformats.org/officeDocument/2006/relationships/hyperlink" Target="https://pubmed.ncbi.nlm.nih.gov/?term=Lam+CW&amp;cauthor_id=18390747" TargetMode="External"/><Relationship Id="rId1195" Type="http://schemas.openxmlformats.org/officeDocument/2006/relationships/hyperlink" Target="https://pubmed.ncbi.nlm.nih.gov/12814802/" TargetMode="External"/><Relationship Id="rId1209" Type="http://schemas.openxmlformats.org/officeDocument/2006/relationships/hyperlink" Target="https://www.ncbi.nlm.nih.gov/pmc/articles/PMC5767595/" TargetMode="External"/><Relationship Id="rId1416" Type="http://schemas.openxmlformats.org/officeDocument/2006/relationships/hyperlink" Target="https://www.ncbi.nlm.nih.gov/pmc/articles/PMC7142689/" TargetMode="External"/><Relationship Id="rId218" Type="http://schemas.openxmlformats.org/officeDocument/2006/relationships/hyperlink" Target="https://www.ncbi.nlm.nih.gov/pubmed/?term=Sharif%20K%5BAuthor%5D&amp;cauthor=true&amp;cauthor_uid=32251717" TargetMode="External"/><Relationship Id="rId425" Type="http://schemas.openxmlformats.org/officeDocument/2006/relationships/hyperlink" Target="https://www.ncbi.nlm.nih.gov/pubmed/?term=Lin%20GL%5BAuthor%5D&amp;cauthor=true&amp;cauthor_uid=30319615" TargetMode="External"/><Relationship Id="rId632" Type="http://schemas.openxmlformats.org/officeDocument/2006/relationships/hyperlink" Target="https://pubmed.ncbi.nlm.nih.gov/?term=Arentz+M&amp;cauthor_id=32191259" TargetMode="External"/><Relationship Id="rId1055" Type="http://schemas.openxmlformats.org/officeDocument/2006/relationships/hyperlink" Target="https://www.ncbi.nlm.nih.gov/pmc/articles/PMC7136470/" TargetMode="External"/><Relationship Id="rId1262" Type="http://schemas.openxmlformats.org/officeDocument/2006/relationships/hyperlink" Target="https://www.ncbi.nlm.nih.gov/pmc/articles/PMC7098485/" TargetMode="External"/><Relationship Id="rId271" Type="http://schemas.openxmlformats.org/officeDocument/2006/relationships/hyperlink" Target="https://www.ncbi.nlm.nih.gov/pubmed/?term=Lax%20SF%5BAuthor%5D&amp;cauthor=true&amp;cauthor_uid=32422076" TargetMode="External"/><Relationship Id="rId937" Type="http://schemas.openxmlformats.org/officeDocument/2006/relationships/hyperlink" Target="https://www.cambridge.org/core/services/aop-cambridge-core/content/view/2AD153D73A34F46B580097685BD403D2/S1047951120001432a.pdf/covid19_and_kawasaki_syndrome_should_we_really_be_surprised.pdf" TargetMode="External"/><Relationship Id="rId1122" Type="http://schemas.openxmlformats.org/officeDocument/2006/relationships/hyperlink" Target="https://en.wikipedia.org/wiki/Infant_mortality" TargetMode="External"/><Relationship Id="rId66" Type="http://schemas.openxmlformats.org/officeDocument/2006/relationships/hyperlink" Target="https://www.ncbi.nlm.nih.gov/pmc/articles/PMC7158787/pdf/main.pdf" TargetMode="External"/><Relationship Id="rId131" Type="http://schemas.openxmlformats.org/officeDocument/2006/relationships/hyperlink" Target="https://www.ncbi.nlm.nih.gov/pmc/articles/PMC7192207/pdf/RESP-11-715.pdf" TargetMode="External"/><Relationship Id="rId369" Type="http://schemas.openxmlformats.org/officeDocument/2006/relationships/hyperlink" Target="https://www.ncbi.nlm.nih.gov/pmc/articles/PMC7118597/pdf/main.pdf" TargetMode="External"/><Relationship Id="rId576" Type="http://schemas.openxmlformats.org/officeDocument/2006/relationships/hyperlink" Target="https://www.ncbi.nlm.nih.gov/pubmed/?term=Carroll%20K%5BAuthor%5D&amp;cauthor=true&amp;cauthor_uid=18379262" TargetMode="External"/><Relationship Id="rId783" Type="http://schemas.openxmlformats.org/officeDocument/2006/relationships/hyperlink" Target="https://pubmed.ncbi.nlm.nih.gov/?term=Wu+J&amp;cauthor_id=17490702" TargetMode="External"/><Relationship Id="rId990" Type="http://schemas.openxmlformats.org/officeDocument/2006/relationships/hyperlink" Target="https://www.ncbi.nlm.nih.gov/pmc/articles/PMC7177142/" TargetMode="External"/><Relationship Id="rId229" Type="http://schemas.openxmlformats.org/officeDocument/2006/relationships/hyperlink" Target="https://www.ncbi.nlm.nih.gov/pubmed/?term=Arena%20V%5BAuthor%5D&amp;cauthor=true&amp;cauthor_uid=32383963" TargetMode="External"/><Relationship Id="rId436" Type="http://schemas.openxmlformats.org/officeDocument/2006/relationships/hyperlink" Target="https://www.ncbi.nlm.nih.gov/pubmed/29467962" TargetMode="External"/><Relationship Id="rId643"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1066" Type="http://schemas.openxmlformats.org/officeDocument/2006/relationships/hyperlink" Target="https://pubmed.ncbi.nlm.nih.gov/?term=Sand+KMK&amp;cauthor_id=31354709" TargetMode="External"/><Relationship Id="rId1273" Type="http://schemas.openxmlformats.org/officeDocument/2006/relationships/hyperlink" Target="https://www.ncbi.nlm.nih.gov/pmc/articles/PMC6891928/" TargetMode="External"/><Relationship Id="rId850" Type="http://schemas.openxmlformats.org/officeDocument/2006/relationships/hyperlink" Target="https://www.ncbi.nlm.nih.gov/pmc/articles/PMC7161485/" TargetMode="External"/><Relationship Id="rId948" Type="http://schemas.openxmlformats.org/officeDocument/2006/relationships/hyperlink" Target="https://pubmed.ncbi.nlm.nih.gov/32430957/" TargetMode="External"/><Relationship Id="rId1133" Type="http://schemas.openxmlformats.org/officeDocument/2006/relationships/hyperlink" Target="https://www.nature.com/articles/ni1037" TargetMode="External"/><Relationship Id="rId77" Type="http://schemas.openxmlformats.org/officeDocument/2006/relationships/hyperlink" Target="https://www.ncbi.nlm.nih.gov/pubmed/?term=Shu%20W%5BAuthor%5D&amp;cauthor=true&amp;cauthor_uid=32232685" TargetMode="External"/><Relationship Id="rId282" Type="http://schemas.openxmlformats.org/officeDocument/2006/relationships/hyperlink" Target="https://www.ncbi.nlm.nih.gov/pubmed/?term=Dolhnikoff%20M%5BAuthor%5D&amp;cauthor=true&amp;cauthor_uid=32294295" TargetMode="External"/><Relationship Id="rId503" Type="http://schemas.openxmlformats.org/officeDocument/2006/relationships/hyperlink" Target="https://www.ncbi.nlm.nih.gov/pubmed/?term=Moore%20BJB%5BAuthor%5D&amp;cauthor=true&amp;cauthor_uid=32303591" TargetMode="External"/><Relationship Id="rId587" Type="http://schemas.openxmlformats.org/officeDocument/2006/relationships/hyperlink" Target="https://www.ncbi.nlm.nih.gov/pubmed/?term=Ogoina%20D%5BAuthor%5D&amp;cauthor=true&amp;cauthor_uid=21843857" TargetMode="External"/><Relationship Id="rId710" Type="http://schemas.openxmlformats.org/officeDocument/2006/relationships/hyperlink" Target="https://pubmed.ncbi.nlm.nih.gov/21738473/" TargetMode="External"/><Relationship Id="rId808" Type="http://schemas.openxmlformats.org/officeDocument/2006/relationships/hyperlink" Target="https://pubmed.ncbi.nlm.nih.gov/?term=Abinun+M&amp;cauthor_id=9262229" TargetMode="External"/><Relationship Id="rId1340" Type="http://schemas.openxmlformats.org/officeDocument/2006/relationships/hyperlink" Target="https://www.ncbi.nlm.nih.gov/books/NBK190017/" TargetMode="External"/><Relationship Id="rId8" Type="http://schemas.openxmlformats.org/officeDocument/2006/relationships/hyperlink" Target="https://onlinelibrary.wiley.com/doi/epdf/10.1111/pai.13271" TargetMode="External"/><Relationship Id="rId142" Type="http://schemas.openxmlformats.org/officeDocument/2006/relationships/hyperlink" Target="https://www.ncbi.nlm.nih.gov/pubmed/?term=Bridgewood%20C%5BAuthor%5D&amp;cauthor=true&amp;cauthor_uid=32251717" TargetMode="External"/><Relationship Id="rId447" Type="http://schemas.openxmlformats.org/officeDocument/2006/relationships/hyperlink" Target="https://www.ncbi.nlm.nih.gov/pmc/articles/PMC7194613/pdf/main.pdf" TargetMode="External"/><Relationship Id="rId794" Type="http://schemas.openxmlformats.org/officeDocument/2006/relationships/hyperlink" Target="https://www.ncbi.nlm.nih.gov/pmc/articles/PMC7022351/" TargetMode="External"/><Relationship Id="rId1077" Type="http://schemas.openxmlformats.org/officeDocument/2006/relationships/hyperlink" Target="https://pubmed.ncbi.nlm.nih.gov/?term=Blumberg+RS&amp;cauthor_id=31354709" TargetMode="External"/><Relationship Id="rId1200" Type="http://schemas.openxmlformats.org/officeDocument/2006/relationships/hyperlink" Target="https://www.ncbi.nlm.nih.gov/pmc/articles/PMC6548177/" TargetMode="External"/><Relationship Id="rId654" Type="http://schemas.openxmlformats.org/officeDocument/2006/relationships/hyperlink" Target="https://www.ncbi.nlm.nih.gov/pmc/articles/PMC7185015/pdf/main.pdf" TargetMode="External"/><Relationship Id="rId861" Type="http://schemas.openxmlformats.org/officeDocument/2006/relationships/hyperlink" Target="https://www.ncbi.nlm.nih.gov/pmc/articles/PMC7109809/" TargetMode="External"/><Relationship Id="rId959" Type="http://schemas.openxmlformats.org/officeDocument/2006/relationships/hyperlink" Target="https://pubmed.ncbi.nlm.nih.gov/32430957/" TargetMode="External"/><Relationship Id="rId1284" Type="http://schemas.openxmlformats.org/officeDocument/2006/relationships/hyperlink" Target="https://www.ncbi.nlm.nih.gov/pubmed/?term=Peng%20J%5BAuthor%5D&amp;cauthor=true&amp;cauthor_uid=32094336" TargetMode="External"/><Relationship Id="rId293" Type="http://schemas.openxmlformats.org/officeDocument/2006/relationships/hyperlink" Target="https://www.ncbi.nlm.nih.gov/pubmed/?term=Zinkernagel%20AS%5BAuthor%5D&amp;cauthor=true&amp;cauthor_uid=32325026" TargetMode="External"/><Relationship Id="rId307" Type="http://schemas.openxmlformats.org/officeDocument/2006/relationships/hyperlink" Target="https://www.ncbi.nlm.nih.gov/pmc/articles/PMC7202125/pdf/paf-publish-ahead-of-print-10.1097.paf.0000000000000567.pdf" TargetMode="External"/><Relationship Id="rId514" Type="http://schemas.openxmlformats.org/officeDocument/2006/relationships/hyperlink" Target="https://www.ncbi.nlm.nih.gov/pubmed/?term=10.1038%2Fs41418-020-0530-3" TargetMode="External"/><Relationship Id="rId721" Type="http://schemas.openxmlformats.org/officeDocument/2006/relationships/hyperlink" Target="https://pubmed.ncbi.nlm.nih.gov/?term=Jaume+M&amp;cauthor_id=21775467" TargetMode="External"/><Relationship Id="rId1144" Type="http://schemas.openxmlformats.org/officeDocument/2006/relationships/hyperlink" Target="https://pubmed.ncbi.nlm.nih.gov/26612343/" TargetMode="External"/><Relationship Id="rId1351" Type="http://schemas.openxmlformats.org/officeDocument/2006/relationships/hyperlink" Target="https://www.ncbi.nlm.nih.gov/pubmed/?term=Hwa%20KY%5BAuthor%5D&amp;cauthor=true&amp;cauthor_uid=18320019" TargetMode="External"/><Relationship Id="rId88" Type="http://schemas.openxmlformats.org/officeDocument/2006/relationships/hyperlink" Target="https://www.ncbi.nlm.nih.gov/pubmed/?term=Comparative+pathogenesis+of+COVID-19%2C+MERS%2C+and+SARS+in+a+nonhuman+primate+model" TargetMode="External"/><Relationship Id="rId153" Type="http://schemas.openxmlformats.org/officeDocument/2006/relationships/hyperlink" Target="https://pubmed.ncbi.nlm.nih.gov/?term=Alunno+A&amp;cauthor_id=32423970" TargetMode="External"/><Relationship Id="rId360" Type="http://schemas.openxmlformats.org/officeDocument/2006/relationships/hyperlink" Target="https://www.ncbi.nlm.nih.gov/pubmed/?term=Is+SARS-CoV-2+Also+an+Enteric+Pathogen+with+Potential+Fecal-Oral+Transmission" TargetMode="External"/><Relationship Id="rId598" Type="http://schemas.openxmlformats.org/officeDocument/2006/relationships/hyperlink" Target="https://www.ncbi.nlm.nih.gov/pubmed/?term=Hanna-Jumma%20S%5BAuthor%5D&amp;cauthor=true&amp;cauthor_uid=27411542" TargetMode="External"/><Relationship Id="rId819" Type="http://schemas.openxmlformats.org/officeDocument/2006/relationships/hyperlink" Target="https://pubmed.ncbi.nlm.nih.gov/?term=Gauger+PC&amp;cauthor_id=23986398" TargetMode="External"/><Relationship Id="rId1004" Type="http://schemas.openxmlformats.org/officeDocument/2006/relationships/hyperlink" Target="https://www.ncbi.nlm.nih.gov/pubmed/23449137" TargetMode="External"/><Relationship Id="rId1211" Type="http://schemas.openxmlformats.org/officeDocument/2006/relationships/hyperlink" Target="https://pubmed.ncbi.nlm.nih.gov/17116321/" TargetMode="External"/><Relationship Id="rId220" Type="http://schemas.openxmlformats.org/officeDocument/2006/relationships/hyperlink" Target="https://www.ncbi.nlm.nih.gov/pubmed/?term=Bridgewood%20C%5BAuthor%5D&amp;cauthor=true&amp;cauthor_uid=32251717" TargetMode="External"/><Relationship Id="rId458" Type="http://schemas.openxmlformats.org/officeDocument/2006/relationships/hyperlink" Target="https://www.ncbi.nlm.nih.gov/pubmed/?term=Perlman%20S%5BAuthor%5D&amp;cauthor=true&amp;cauthor_uid=28466096" TargetMode="External"/><Relationship Id="rId665" Type="http://schemas.openxmlformats.org/officeDocument/2006/relationships/hyperlink" Target="http://www.ijbs.com/v16p1753.htm" TargetMode="External"/><Relationship Id="rId872" Type="http://schemas.openxmlformats.org/officeDocument/2006/relationships/hyperlink" Target="https://doi.org/10.29333/ejgm/78" TargetMode="External"/><Relationship Id="rId1088" Type="http://schemas.openxmlformats.org/officeDocument/2006/relationships/hyperlink" Target="https://www.ncbi.nlm.nih.gov/pmc/articles/PMC3953293/" TargetMode="External"/><Relationship Id="rId1295" Type="http://schemas.openxmlformats.org/officeDocument/2006/relationships/hyperlink" Target="https://www.ncbi.nlm.nih.gov/pubmed/?term=Kantoff%20PW%5BAuthor%5D&amp;cauthor=true&amp;cauthor_uid=32276929" TargetMode="External"/><Relationship Id="rId1309" Type="http://schemas.openxmlformats.org/officeDocument/2006/relationships/hyperlink" Target="https://www.ncbi.nlm.nih.gov/pmc/articles/PMC4759457/" TargetMode="External"/><Relationship Id="rId15" Type="http://schemas.openxmlformats.org/officeDocument/2006/relationships/hyperlink" Target="https://pubmed.ncbi.nlm.nih.gov/?term=Klaff+L&amp;cauthor_id=32191259" TargetMode="External"/><Relationship Id="rId318" Type="http://schemas.openxmlformats.org/officeDocument/2006/relationships/hyperlink" Target="https://www.ncbi.nlm.nih.gov/pubmed/?term=Hu%20W%5BAuthor%5D&amp;cauthor=true&amp;cauthor_uid=32114094" TargetMode="External"/><Relationship Id="rId525" Type="http://schemas.openxmlformats.org/officeDocument/2006/relationships/hyperlink" Target="https://www.ncbi.nlm.nih.gov/pmc/articles/PMC7091918/pdf/41418_2020_Article_530.pdf" TargetMode="External"/><Relationship Id="rId732" Type="http://schemas.openxmlformats.org/officeDocument/2006/relationships/hyperlink" Target="https://www.ncbi.nlm.nih.gov/pubmed/?term=Iwasaki%20A%5BAuthor%5D&amp;cauthor=true&amp;cauthor_uid=32317716" TargetMode="External"/><Relationship Id="rId1155" Type="http://schemas.openxmlformats.org/officeDocument/2006/relationships/hyperlink" Target="https://pubmed.ncbi.nlm.nih.gov/17964854/" TargetMode="External"/><Relationship Id="rId1362" Type="http://schemas.openxmlformats.org/officeDocument/2006/relationships/hyperlink" Target="https://www.ncbi.nlm.nih.gov/pubmed/?term=Chew%20FT%5BAuthor%5D&amp;cauthor=true&amp;cauthor_uid=12814734" TargetMode="External"/><Relationship Id="rId99" Type="http://schemas.openxmlformats.org/officeDocument/2006/relationships/hyperlink" Target="https://pubmed.ncbi.nlm.nih.gov/32350596/?from_single_result=The+autopsy+debate+during+the+COVID-19+emergency%3A+the+Italian+experience&amp;expanded_search_query=The+autopsy+debate+during+the+COVID-19+emergency%3A+the+Italian+experience" TargetMode="External"/><Relationship Id="rId164" Type="http://schemas.openxmlformats.org/officeDocument/2006/relationships/hyperlink" Target="https://www.ncbi.nlm.nih.gov/pubmed/?term=Shimabukuro-Vornhagen%20A%5BAuthor%5D&amp;cauthor=true&amp;cauthor_uid=29907163" TargetMode="External"/><Relationship Id="rId371" Type="http://schemas.openxmlformats.org/officeDocument/2006/relationships/hyperlink" Target="https://doi.org/10.1136/bmj.m627" TargetMode="External"/><Relationship Id="rId1015" Type="http://schemas.openxmlformats.org/officeDocument/2006/relationships/hyperlink" Target="https://www.ncbi.nlm.nih.gov/pmc/articles/PMC3538030/" TargetMode="External"/><Relationship Id="rId1222" Type="http://schemas.openxmlformats.org/officeDocument/2006/relationships/hyperlink" Target="https://www.ncbi.nlm.nih.gov/pmc/articles/PMC1906284/" TargetMode="External"/><Relationship Id="rId469" Type="http://schemas.openxmlformats.org/officeDocument/2006/relationships/hyperlink" Target="https://www.ncbi.nlm.nih.gov/pubmed/?term=Zheng%20Z%5BAuthor%5D&amp;cauthor=true&amp;cauthor_uid=32364527" TargetMode="External"/><Relationship Id="rId676" Type="http://schemas.openxmlformats.org/officeDocument/2006/relationships/hyperlink" Target="https://www.nature.com/articles/s41577-020-0311-8.pdf" TargetMode="External"/><Relationship Id="rId883" Type="http://schemas.openxmlformats.org/officeDocument/2006/relationships/hyperlink" Target="https://www.ncbi.nlm.nih.gov/pubmed/15811314" TargetMode="External"/><Relationship Id="rId1099" Type="http://schemas.openxmlformats.org/officeDocument/2006/relationships/hyperlink" Target="https://www.ncbi.nlm.nih.gov/pmc/articles/PMC6497418/" TargetMode="External"/><Relationship Id="rId26" Type="http://schemas.openxmlformats.org/officeDocument/2006/relationships/hyperlink" Target="https://www.ncbi.nlm.nih.gov/pmc/articles/PMC7143164/pdf/NEJMoa2004500.pdf" TargetMode="External"/><Relationship Id="rId231" Type="http://schemas.openxmlformats.org/officeDocument/2006/relationships/hyperlink" Target="https://www.ncbi.nlm.nih.gov/pubmed/?term=Ausania%20F%5BAuthor%5D&amp;cauthor=true&amp;cauthor_uid=32383963" TargetMode="External"/><Relationship Id="rId329" Type="http://schemas.openxmlformats.org/officeDocument/2006/relationships/hyperlink" Target="https://www.ncbi.nlm.nih.gov/pubmed/?term=Liu%20L%5BAuthor%5D&amp;cauthor=true&amp;cauthor_uid=32311318" TargetMode="External"/><Relationship Id="rId536" Type="http://schemas.openxmlformats.org/officeDocument/2006/relationships/hyperlink" Target="https://www.ncbi.nlm.nih.gov/pubmed/?term=Wang%20W%5BAuthor%5D&amp;cauthor=true&amp;cauthor_uid=32161940" TargetMode="External"/><Relationship Id="rId1166" Type="http://schemas.openxmlformats.org/officeDocument/2006/relationships/hyperlink" Target="https://www.jacionline.org/article/S0091-6749(03)02030-X/fulltext" TargetMode="External"/><Relationship Id="rId1373" Type="http://schemas.openxmlformats.org/officeDocument/2006/relationships/hyperlink" Target="https://www.ncbi.nlm.nih.gov/pubmed/7403860/" TargetMode="External"/><Relationship Id="rId175" Type="http://schemas.openxmlformats.org/officeDocument/2006/relationships/hyperlink" Target="https://www.ncbi.nlm.nih.gov/pubmed/?term=Simmons%20CP%5BAuthor%5D&amp;cauthor=true&amp;cauthor_uid=22390970" TargetMode="External"/><Relationship Id="rId743" Type="http://schemas.openxmlformats.org/officeDocument/2006/relationships/hyperlink" Target="https://pubmed.ncbi.nlm.nih.gov/?term=Dandekar+AA&amp;cauthor_id=16322745" TargetMode="External"/><Relationship Id="rId950" Type="http://schemas.openxmlformats.org/officeDocument/2006/relationships/hyperlink" Target="https://pubmed.ncbi.nlm.nih.gov/?term=Rong+Z&amp;cauthor_id=32430957" TargetMode="External"/><Relationship Id="rId1026" Type="http://schemas.openxmlformats.org/officeDocument/2006/relationships/hyperlink" Target="https://www.ncbi.nlm.nih.gov/pmc/articles/PMC3773719/" TargetMode="External"/><Relationship Id="rId382" Type="http://schemas.openxmlformats.org/officeDocument/2006/relationships/hyperlink" Target="https://www.ncbi.nlm.nih.gov/pmc/articles/PMC7157541/pdf/pathogens-09-00231.pdf" TargetMode="External"/><Relationship Id="rId603" Type="http://schemas.openxmlformats.org/officeDocument/2006/relationships/hyperlink" Target="https://www.ncbi.nlm.nih.gov/pubmed/?term=Roth%20J%5BAuthor%5D&amp;cauthor=true&amp;cauthor_uid=11262580" TargetMode="External"/><Relationship Id="rId687" Type="http://schemas.openxmlformats.org/officeDocument/2006/relationships/hyperlink" Target="https://www.nature.com/articles/s41573-019-0031-6.pdf" TargetMode="External"/><Relationship Id="rId810" Type="http://schemas.openxmlformats.org/officeDocument/2006/relationships/hyperlink" Target="https://pubmed.ncbi.nlm.nih.gov/?term=Spickett+GP&amp;cauthor_id=9262229" TargetMode="External"/><Relationship Id="rId908" Type="http://schemas.openxmlformats.org/officeDocument/2006/relationships/hyperlink" Target="https://pubmed.ncbi.nlm.nih.gov/?term=Dodi+I&amp;cauthor_id=32420948" TargetMode="External"/><Relationship Id="rId1233" Type="http://schemas.openxmlformats.org/officeDocument/2006/relationships/hyperlink" Target="https://www.ncbi.nlm.nih.gov/pmc/articles/PMC6647465/" TargetMode="External"/><Relationship Id="rId242" Type="http://schemas.openxmlformats.org/officeDocument/2006/relationships/hyperlink" Target="https://www.ncbi.nlm.nih.gov/pubmed/?term=Facchetti%20F%5BAuthor%5D&amp;cauthor=true&amp;cauthor_uid=32350596" TargetMode="External"/><Relationship Id="rId894" Type="http://schemas.openxmlformats.org/officeDocument/2006/relationships/hyperlink" Target="https://pubmed.ncbi.nlm.nih.gov/32250234/" TargetMode="External"/><Relationship Id="rId1177" Type="http://schemas.openxmlformats.org/officeDocument/2006/relationships/hyperlink" Target="https://pubmed.ncbi.nlm.nih.gov/27353648/" TargetMode="External"/><Relationship Id="rId1300" Type="http://schemas.openxmlformats.org/officeDocument/2006/relationships/hyperlink" Target="https://www.ncbi.nlm.nih.gov/pmc/articles/PMC4251360/" TargetMode="External"/><Relationship Id="rId37" Type="http://schemas.openxmlformats.org/officeDocument/2006/relationships/hyperlink" Target="https://www.ncbi.nlm.nih.gov/pubmed/?term=Dal%20Negro%20RW%5BAuthor%5D&amp;cauthor=true&amp;cauthor_uid=32359201" TargetMode="External"/><Relationship Id="rId102" Type="http://schemas.openxmlformats.org/officeDocument/2006/relationships/hyperlink" Target="https://pubmed.ncbi.nlm.nih.gov/32350596/?from_single_result=The+autopsy+debate+during+the+COVID-19+emergency%3A+the+Italian+experience&amp;expanded_search_query=The+autopsy+debate+during+the+COVID-19+emergency%3A+the+Italian+experience" TargetMode="External"/><Relationship Id="rId547" Type="http://schemas.openxmlformats.org/officeDocument/2006/relationships/hyperlink" Target="https://www.hhmi.org/news/preventing-cytokine-storm-may-ease-severe-covid-19-symptoms" TargetMode="External"/><Relationship Id="rId754" Type="http://schemas.openxmlformats.org/officeDocument/2006/relationships/hyperlink" Target="https://pubmed.ncbi.nlm.nih.gov/32346094/?from_single_result=The+Potential+for+Antibody-Dependent+Enhancement+of+SARS-CoV-2+Infection%3A+Translational+Implications+for+Vaccine+Development&amp;expanded_search_query=The+Potential+for+Antibody-Dependent+Enhancement+of+SARS-CoV-2+Infection%3A+Translational+Implications+for+Vaccine+Development" TargetMode="External"/><Relationship Id="rId961" Type="http://schemas.openxmlformats.org/officeDocument/2006/relationships/hyperlink" Target="https://www.ncbi.nlm.nih.gov/pmc/articles/PMC7104131/" TargetMode="External"/><Relationship Id="rId1384" Type="http://schemas.openxmlformats.org/officeDocument/2006/relationships/hyperlink" Target="https://www.ncbi.nlm.nih.gov/pubmed/?term=Lajoie%20L%5BAuthor%5D&amp;cauthor=true&amp;cauthor_uid=31861926" TargetMode="External"/><Relationship Id="rId90" Type="http://schemas.openxmlformats.org/officeDocument/2006/relationships/hyperlink" Target="https://www.ncbi.nlm.nih.gov/pmc/articles/PMC7164679/pdf/abb7314.pdf" TargetMode="External"/><Relationship Id="rId186" Type="http://schemas.openxmlformats.org/officeDocument/2006/relationships/hyperlink" Target="https://www.ncbi.nlm.nih.gov/pmc/articles/PMC7262093/pdf/JTH-9999-na.pdf" TargetMode="External"/><Relationship Id="rId393" Type="http://schemas.openxmlformats.org/officeDocument/2006/relationships/hyperlink" Target="https://www.ncbi.nlm.nih.gov/pmc/articles/PMC7112365/pdf/main.pdf" TargetMode="External"/><Relationship Id="rId407" Type="http://schemas.openxmlformats.org/officeDocument/2006/relationships/hyperlink" Target="https://www.immunopaedia.org.za/immunology/" TargetMode="External"/><Relationship Id="rId614" Type="http://schemas.openxmlformats.org/officeDocument/2006/relationships/hyperlink" Target="https://www.ncbi.nlm.nih.gov/pubmed/?term=Finfer%20S%5BAuthor%5D&amp;cauthor=true&amp;cauthor_uid=22290072" TargetMode="External"/><Relationship Id="rId821" Type="http://schemas.openxmlformats.org/officeDocument/2006/relationships/hyperlink" Target="https://pubmed.ncbi.nlm.nih.gov/?term=Vincent+AL&amp;cauthor_id=23986398" TargetMode="External"/><Relationship Id="rId1037" Type="http://schemas.openxmlformats.org/officeDocument/2006/relationships/hyperlink" Target="https://pubmed.ncbi.nlm.nih.gov/?term=Ben+Amor+K&amp;cauthor_id=21831776" TargetMode="External"/><Relationship Id="rId1244" Type="http://schemas.openxmlformats.org/officeDocument/2006/relationships/hyperlink" Target="https://www.gastrojournal.org/article/S0016-5085(16)34832-6/pdf" TargetMode="External"/><Relationship Id="rId253" Type="http://schemas.openxmlformats.org/officeDocument/2006/relationships/hyperlink" Target="https://www.ncbi.nlm.nih.gov/pubmed/?term=Crivelli%20F%5BAuthor%5D&amp;cauthor=true&amp;cauthor_uid=32324727" TargetMode="External"/><Relationship Id="rId460" Type="http://schemas.openxmlformats.org/officeDocument/2006/relationships/hyperlink" Target="https://www.ncbi.nlm.nih.gov/pubmed/17052299" TargetMode="External"/><Relationship Id="rId698" Type="http://schemas.openxmlformats.org/officeDocument/2006/relationships/hyperlink" Target="https://pubmed.ncbi.nlm.nih.gov/?term=Dinh+LV&amp;cauthor_id=26497532" TargetMode="External"/><Relationship Id="rId919" Type="http://schemas.openxmlformats.org/officeDocument/2006/relationships/hyperlink" Target="https://pubmed.ncbi.nlm.nih.gov/32179660/?from_term=Epidemiology+of+COVID-19+among+children+in+China.&amp;from_pos=1" TargetMode="External"/><Relationship Id="rId1090" Type="http://schemas.openxmlformats.org/officeDocument/2006/relationships/hyperlink" Target="https://pubmed.ncbi.nlm.nih.gov/?term=Mikulska+JE&amp;cauthor_id=10998088" TargetMode="External"/><Relationship Id="rId1104" Type="http://schemas.openxmlformats.org/officeDocument/2006/relationships/hyperlink" Target="https://www.ncbi.nlm.nih.gov/pubmed/?term=Drancourt%20M%5BAuthor%5D&amp;cauthor=true&amp;cauthor_uid=30692968" TargetMode="External"/><Relationship Id="rId1311" Type="http://schemas.openxmlformats.org/officeDocument/2006/relationships/hyperlink" Target="https://www.ncbi.nlm.nih.gov/pubmed/?term=Yoo%20JK%5BAuthor%5D&amp;cauthor=true&amp;cauthor_uid=23915713" TargetMode="External"/><Relationship Id="rId48" Type="http://schemas.openxmlformats.org/officeDocument/2006/relationships/hyperlink" Target="https://covid19.healthdata.org/italy" TargetMode="External"/><Relationship Id="rId113" Type="http://schemas.openxmlformats.org/officeDocument/2006/relationships/hyperlink" Target="https://apps.who.int/iris/bitstream/handle/10665/331329/WHO-COVID-19-laboratory-2020.4-eng.pdf?sequence=1&amp;isAllowed=y" TargetMode="External"/><Relationship Id="rId320" Type="http://schemas.openxmlformats.org/officeDocument/2006/relationships/hyperlink" Target="https://www.ncbi.nlm.nih.gov/pubmed/?term=Liu%20H%5BAuthor%5D&amp;cauthor=true&amp;cauthor_uid=32114094" TargetMode="External"/><Relationship Id="rId558" Type="http://schemas.openxmlformats.org/officeDocument/2006/relationships/hyperlink" Target="https://www.ncbi.nlm.nih.gov/pubmed/?term=Giannis%20D%5BAuthor%5D&amp;cauthor=true&amp;cauthor_uid=32305883" TargetMode="External"/><Relationship Id="rId765" Type="http://schemas.openxmlformats.org/officeDocument/2006/relationships/hyperlink" Target="https://pubmed.ncbi.nlm.nih.gov/32205092/?from_single_result=TH17+responses+in+cytokine+storm+of+COVID-19%3A+an+emerging+target+of+JAK2+inhibitor+Fedratinib&amp;expanded_search_query=TH17+responses+in+cytokine+storm+of+COVID-19%3A+an+emerging+target+of+JAK2+inhibitor+Fedratinib" TargetMode="External"/><Relationship Id="rId972" Type="http://schemas.openxmlformats.org/officeDocument/2006/relationships/hyperlink" Target="https://pubmed.ncbi.nlm.nih.gov/32180292/?from_term=coronaviurs+death+pregancy&amp;from_exact_term=coronavirus+death+pregnancy&amp;from_pos=2" TargetMode="External"/><Relationship Id="rId1188" Type="http://schemas.openxmlformats.org/officeDocument/2006/relationships/hyperlink" Target="https://www.ncbi.nlm.nih.gov/pmc/articles/PMC3699344/" TargetMode="External"/><Relationship Id="rId1395" Type="http://schemas.openxmlformats.org/officeDocument/2006/relationships/hyperlink" Target="https://www.ncbi.nlm.nih.gov/pmc/articles/PMC6096804/" TargetMode="External"/><Relationship Id="rId1409" Type="http://schemas.openxmlformats.org/officeDocument/2006/relationships/hyperlink" Target="https://www.ncbi.nlm.nih.gov/pmc/articles/PMC7114389/" TargetMode="External"/><Relationship Id="rId197" Type="http://schemas.openxmlformats.org/officeDocument/2006/relationships/hyperlink" Target="https://www.ncbi.nlm.nih.gov/pubmed/?term=Huang%20X%5BAuthor%5D&amp;cauthor=true&amp;cauthor_uid=32205856" TargetMode="External"/><Relationship Id="rId418" Type="http://schemas.openxmlformats.org/officeDocument/2006/relationships/hyperlink" Target="https://www.nejm.org/doi/pdf/10.1056/NEJMra1000449?articleTools=true" TargetMode="External"/><Relationship Id="rId625" Type="http://schemas.openxmlformats.org/officeDocument/2006/relationships/hyperlink" Target="https://www.ncbi.nlm.nih.gov/pubmed/27195192" TargetMode="External"/><Relationship Id="rId832" Type="http://schemas.openxmlformats.org/officeDocument/2006/relationships/hyperlink" Target="https://pubmed.ncbi.nlm.nih.gov/29616677/?from_single_result=Influenza+vaccine+effectiveness+in+an+Italian+elderly+population+during+the+2016-2017+season&amp;expanded_search_query=Influenza+vaccine+effectiveness+in+an+Italian+elderly+population+during+the+2016-2017+season" TargetMode="External"/><Relationship Id="rId1048" Type="http://schemas.openxmlformats.org/officeDocument/2006/relationships/hyperlink" Target="https://ashpublications.org/blood/article/110/8/2948/24000/Decreased-expression-of-tumor-necrosis-factor" TargetMode="External"/><Relationship Id="rId1255" Type="http://schemas.openxmlformats.org/officeDocument/2006/relationships/hyperlink" Target="https://www.ncbi.nlm.nih.gov/pmc/articles/PMC3155383/" TargetMode="External"/><Relationship Id="rId264" Type="http://schemas.openxmlformats.org/officeDocument/2006/relationships/hyperlink" Target="https://www.ncbi.nlm.nih.gov/pubmed/?term=Hanley%20B%5BAuthor%5D&amp;cauthor=true&amp;cauthor_uid=32198191" TargetMode="External"/><Relationship Id="rId471" Type="http://schemas.openxmlformats.org/officeDocument/2006/relationships/hyperlink" Target="https://www.ncbi.nlm.nih.gov/pubmed/?term=Junhua%20Z%5BAuthor%5D&amp;cauthor=true&amp;cauthor_uid=32364527" TargetMode="External"/><Relationship Id="rId1115" Type="http://schemas.openxmlformats.org/officeDocument/2006/relationships/hyperlink" Target="https://www.ncbi.nlm.nih.gov/pmc/articles/PMC5087274/" TargetMode="External"/><Relationship Id="rId1322" Type="http://schemas.openxmlformats.org/officeDocument/2006/relationships/hyperlink" Target="https://www.ncbi.nlm.nih.gov/pubmed/?term=Channappanavar%20R%5BAuthor%5D&amp;cauthor=true&amp;cauthor_uid=28373583" TargetMode="External"/><Relationship Id="rId59" Type="http://schemas.openxmlformats.org/officeDocument/2006/relationships/hyperlink" Target="https://www.ncbi.nlm.nih.gov/pubmed/?term=Coppola%20S%5BAuthor%5D&amp;cauthor=true&amp;cauthor_uid=32228035" TargetMode="External"/><Relationship Id="rId124" Type="http://schemas.openxmlformats.org/officeDocument/2006/relationships/hyperlink" Target="https://www.ncbi.nlm.nih.gov/pmc/articles/PMC7079893/pdf/281_2017_Article_629.pdf" TargetMode="External"/><Relationship Id="rId569" Type="http://schemas.openxmlformats.org/officeDocument/2006/relationships/hyperlink" Target="https://www.ncbi.nlm.nih.gov/pubmed/?term=Forni%20L%5BAuthor%5D&amp;cauthor=true&amp;cauthor_uid=27411542" TargetMode="External"/><Relationship Id="rId776" Type="http://schemas.openxmlformats.org/officeDocument/2006/relationships/hyperlink" Target="https://pubmed.ncbi.nlm.nih.gov/?term=Zhang+X&amp;cauthor_id=17490702" TargetMode="External"/><Relationship Id="rId983" Type="http://schemas.openxmlformats.org/officeDocument/2006/relationships/hyperlink" Target="https://pubmed.ncbi.nlm.nih.gov/?term=Wen+TS&amp;cauthor_id=32105680" TargetMode="External"/><Relationship Id="rId1199" Type="http://schemas.openxmlformats.org/officeDocument/2006/relationships/hyperlink" Target="https://www.ncbi.nlm.nih.gov/pmc/articles/PMC5731094/" TargetMode="External"/><Relationship Id="rId331" Type="http://schemas.openxmlformats.org/officeDocument/2006/relationships/hyperlink" Target="https://www.ncbi.nlm.nih.gov/pubmed/?term=Xu%20J%5BAuthor%5D&amp;cauthor=true&amp;cauthor_uid=32311318" TargetMode="External"/><Relationship Id="rId429" Type="http://schemas.openxmlformats.org/officeDocument/2006/relationships/hyperlink" Target="https://www.ncbi.nlm.nih.gov/pmc/articles/PMC6170629/" TargetMode="External"/><Relationship Id="rId636" Type="http://schemas.openxmlformats.org/officeDocument/2006/relationships/hyperlink" Target="https://pubmed.ncbi.nlm.nih.gov/?term=Klaff+L&amp;cauthor_id=32191259" TargetMode="External"/><Relationship Id="rId1059" Type="http://schemas.openxmlformats.org/officeDocument/2006/relationships/hyperlink" Target="https://www.sciencedirect.com/science/article/pii/S0264410X15010634?via%3Dihub" TargetMode="External"/><Relationship Id="rId1266" Type="http://schemas.openxmlformats.org/officeDocument/2006/relationships/hyperlink" Target="https://www.ncbi.nlm.nih.gov/pubmed/?term=Conti%20P%5BAuthor%5D&amp;cauthor=true&amp;cauthor_uid=32253888" TargetMode="External"/><Relationship Id="rId843" Type="http://schemas.openxmlformats.org/officeDocument/2006/relationships/hyperlink" Target="https://pubmed.ncbi.nlm.nih.gov/?term=Nimmerjahn+F&amp;cauthor_id=23411799" TargetMode="External"/><Relationship Id="rId1126" Type="http://schemas.openxmlformats.org/officeDocument/2006/relationships/hyperlink" Target="https://www.ncbi.nlm.nih.gov/pmc/articles/PMC5701281/" TargetMode="External"/><Relationship Id="rId275" Type="http://schemas.openxmlformats.org/officeDocument/2006/relationships/hyperlink" Target="https://www.ncbi.nlm.nih.gov/pubmed/?term=Kaufmann%20N%5BAuthor%5D&amp;cauthor=true&amp;cauthor_uid=32422076" TargetMode="External"/><Relationship Id="rId482" Type="http://schemas.openxmlformats.org/officeDocument/2006/relationships/hyperlink" Target="https://www.ncbi.nlm.nih.gov/pubmed/?term=Brown%20M%5BAuthor%5D&amp;cauthor=true&amp;cauthor_uid=32192578" TargetMode="External"/><Relationship Id="rId703" Type="http://schemas.openxmlformats.org/officeDocument/2006/relationships/hyperlink" Target="https://www.ncbi.nlm.nih.gov/pmc/articles/PMC7165974/pdf/IMR-268-340.pdf" TargetMode="External"/><Relationship Id="rId910" Type="http://schemas.openxmlformats.org/officeDocument/2006/relationships/hyperlink" Target="https://pubmed.ncbi.nlm.nih.gov/?term=Lu+X&amp;cauthor_id=32187458" TargetMode="External"/><Relationship Id="rId1333" Type="http://schemas.openxmlformats.org/officeDocument/2006/relationships/hyperlink" Target="https://www.ncbi.nlm.nih.gov/pubmed/32301221" TargetMode="External"/><Relationship Id="rId135" Type="http://schemas.openxmlformats.org/officeDocument/2006/relationships/hyperlink" Target="https://www.ncbi.nlm.nih.gov/pubmed/?term=Wu%20K%5BAuthor%5D&amp;cauthor=true&amp;cauthor_uid=32364527" TargetMode="External"/><Relationship Id="rId342" Type="http://schemas.openxmlformats.org/officeDocument/2006/relationships/hyperlink" Target="https://www.ncbi.nlm.nih.gov/pubmed/?term=Wang%20H%5BAuthor%5D&amp;cauthor=true&amp;cauthor_uid=12845623" TargetMode="External"/><Relationship Id="rId787" Type="http://schemas.openxmlformats.org/officeDocument/2006/relationships/hyperlink" Target="https://pubmed.ncbi.nlm.nih.gov/?term=Ponomarev+ED&amp;cauthor_id=29599771" TargetMode="External"/><Relationship Id="rId994" Type="http://schemas.openxmlformats.org/officeDocument/2006/relationships/hyperlink" Target="https://pubmed.ncbi.nlm.nih.gov/22003882/" TargetMode="External"/><Relationship Id="rId1400" Type="http://schemas.openxmlformats.org/officeDocument/2006/relationships/hyperlink" Target="https://www.ncbi.nlm.nih.gov/pubmed/?term=Meessen-Pinard%20M%5BAuthor%5D&amp;cauthor=true&amp;cauthor_uid=24619619" TargetMode="External"/><Relationship Id="rId202" Type="http://schemas.openxmlformats.org/officeDocument/2006/relationships/hyperlink" Target="https://www.ncbi.nlm.nih.gov/pmc/articles/PMC7091918/pdf/41418_2020_Article_530.pdf" TargetMode="External"/><Relationship Id="rId647" Type="http://schemas.openxmlformats.org/officeDocument/2006/relationships/hyperlink" Target="https://www.nejm.org/doi/full/10.1056/NEJMc2010419" TargetMode="External"/><Relationship Id="rId854" Type="http://schemas.openxmlformats.org/officeDocument/2006/relationships/hyperlink" Target="https://www.ncbi.nlm.nih.gov/pubmed/32353634" TargetMode="External"/><Relationship Id="rId1277" Type="http://schemas.openxmlformats.org/officeDocument/2006/relationships/hyperlink" Target="https://nebion.com/resources/covid-19/" TargetMode="External"/><Relationship Id="rId286" Type="http://schemas.openxmlformats.org/officeDocument/2006/relationships/hyperlink" Target="https://www.nature.com/articles/d41586-020-01355-z" TargetMode="External"/><Relationship Id="rId493" Type="http://schemas.openxmlformats.org/officeDocument/2006/relationships/hyperlink" Target="https://www.ncbi.nlm.nih.gov/pmc/articles/PMC7262347/pdf/ART-9999-na.pdf" TargetMode="External"/><Relationship Id="rId507" Type="http://schemas.openxmlformats.org/officeDocument/2006/relationships/hyperlink" Target="https://www.ncbi.nlm.nih.gov/pubmed/?term=Dolhnikoff%20M%5BAuthor%5D&amp;cauthor=true&amp;cauthor_uid=32294295" TargetMode="External"/><Relationship Id="rId714" Type="http://schemas.openxmlformats.org/officeDocument/2006/relationships/hyperlink" Target="https://pubmed.ncbi.nlm.nih.gov/?term=Pierson+TC&amp;cauthor_id=21738473" TargetMode="External"/><Relationship Id="rId921" Type="http://schemas.openxmlformats.org/officeDocument/2006/relationships/hyperlink" Target="https://pubmed.ncbi.nlm.nih.gov/32179660/?from_term=Epidemiology+of+COVID-19+among+children+in+China.&amp;from_pos=1" TargetMode="External"/><Relationship Id="rId1137" Type="http://schemas.openxmlformats.org/officeDocument/2006/relationships/hyperlink" Target="https://www.ncbi.nlm.nih.gov/pmc/articles/PMC3630160/" TargetMode="External"/><Relationship Id="rId1344" Type="http://schemas.openxmlformats.org/officeDocument/2006/relationships/hyperlink" Target="https://www.ncbi.nlm.nih.gov/pmc/articles/PMC1809466/" TargetMode="External"/><Relationship Id="rId50" Type="http://schemas.openxmlformats.org/officeDocument/2006/relationships/hyperlink" Target="https://www.ncbi.nlm.nih.gov/pubmed/?term=Pomara%20C%5BAuthor%5D&amp;cauthor=true&amp;cauthor_uid=32357503" TargetMode="External"/><Relationship Id="rId146" Type="http://schemas.openxmlformats.org/officeDocument/2006/relationships/hyperlink" Target="https://www.ncbi.nlm.nih.gov/pubmed/?term=McAuley%20DF%5BAuthor%5D&amp;cauthor=true&amp;cauthor_uid=32192578" TargetMode="External"/><Relationship Id="rId353" Type="http://schemas.openxmlformats.org/officeDocument/2006/relationships/hyperlink" Target="https://www.ncbi.nlm.nih.gov/pubmed/?term=He%20L%5BAuthor%5D&amp;cauthor=true&amp;cauthor_uid=12845623" TargetMode="External"/><Relationship Id="rId560" Type="http://schemas.openxmlformats.org/officeDocument/2006/relationships/hyperlink" Target="https://www.ncbi.nlm.nih.gov/pubmed/?term=Gianni%20P%5BAuthor%5D&amp;cauthor=true&amp;cauthor_uid=32305883" TargetMode="External"/><Relationship Id="rId798" Type="http://schemas.openxmlformats.org/officeDocument/2006/relationships/hyperlink" Target="https://pubmed.ncbi.nlm.nih.gov/24040960/?from_single_result=First+infection+by+all+four+non-severe+acute+respiratory+syndrome+human+coronaviruses+takes+place+during+childhood.&amp;expanded_search_query=First+infection+by+all+four+non-severe+acute+respiratory+syndrome+human+coronaviruses+takes+place+during+childhood." TargetMode="External"/><Relationship Id="rId1190" Type="http://schemas.openxmlformats.org/officeDocument/2006/relationships/hyperlink" Target="https://pubmed.ncbi.nlm.nih.gov/23079287/" TargetMode="External"/><Relationship Id="rId1204" Type="http://schemas.openxmlformats.org/officeDocument/2006/relationships/hyperlink" Target="https://www.ncbi.nlm.nih.gov/pmc/articles/PMC5900450/" TargetMode="External"/><Relationship Id="rId1411" Type="http://schemas.openxmlformats.org/officeDocument/2006/relationships/hyperlink" Target="https://www.ncbi.nlm.nih.gov/pubmed/?term=Tsai%20LK%5BAuthor%5D&amp;cauthor=true&amp;cauthor_uid=16252612" TargetMode="External"/><Relationship Id="rId213" Type="http://schemas.openxmlformats.org/officeDocument/2006/relationships/hyperlink" Target="https://www.ncbi.nlm.nih.gov/pubmed/?term=Wang%20W%5BAuthor%5D&amp;cauthor=true&amp;cauthor_uid=32161940" TargetMode="External"/><Relationship Id="rId420" Type="http://schemas.openxmlformats.org/officeDocument/2006/relationships/hyperlink" Target="https://www.ncbi.nlm.nih.gov/pubmed/?term=Huang%20C%5BAuthor%5D&amp;cauthor=true&amp;cauthor_uid=31986264" TargetMode="External"/><Relationship Id="rId658" Type="http://schemas.openxmlformats.org/officeDocument/2006/relationships/hyperlink" Target="https://www.ncbi.nlm.nih.gov/pmc/articles/PMC2446899/pdf/0533-08.pdf" TargetMode="External"/><Relationship Id="rId865" Type="http://schemas.openxmlformats.org/officeDocument/2006/relationships/hyperlink" Target="https://www.preprints.org/manuscript/202003.0191/v1" TargetMode="External"/><Relationship Id="rId1050" Type="http://schemas.openxmlformats.org/officeDocument/2006/relationships/hyperlink" Target="https://www.ncbi.nlm.nih.gov/pmc/articles/PMC2883103/" TargetMode="External"/><Relationship Id="rId1288" Type="http://schemas.openxmlformats.org/officeDocument/2006/relationships/hyperlink" Target="https://www.ncbi.nlm.nih.gov/pubmed/?term=Chen%20Q%5BAuthor%5D&amp;cauthor=true&amp;cauthor_uid=32094336" TargetMode="External"/><Relationship Id="rId297" Type="http://schemas.openxmlformats.org/officeDocument/2006/relationships/hyperlink" Target="https://www.ncbi.nlm.nih.gov/pubmed/?term=Moch%20H%5BAuthor%5D&amp;cauthor=true&amp;cauthor_uid=32325026" TargetMode="External"/><Relationship Id="rId518" Type="http://schemas.openxmlformats.org/officeDocument/2006/relationships/hyperlink" Target="https://www.ncbi.nlm.nih.gov/pubmed/?term=Huang%20J%5BAuthor%5D&amp;cauthor=true&amp;cauthor_uid=32205856" TargetMode="External"/><Relationship Id="rId725" Type="http://schemas.openxmlformats.org/officeDocument/2006/relationships/hyperlink" Target="https://pubmed.ncbi.nlm.nih.gov/?term=Yip+MS&amp;cauthor_id=24885320" TargetMode="External"/><Relationship Id="rId932" Type="http://schemas.openxmlformats.org/officeDocument/2006/relationships/hyperlink" Target="https://www.ncbi.nlm.nih.gov/pmc/articles/PMC7283832/pdf/PDE-9999-na.pdf" TargetMode="External"/><Relationship Id="rId1148" Type="http://schemas.openxmlformats.org/officeDocument/2006/relationships/hyperlink" Target="https://www.ncbi.nlm.nih.gov/pmc/articles/PMC4095778/" TargetMode="External"/><Relationship Id="rId1355" Type="http://schemas.openxmlformats.org/officeDocument/2006/relationships/hyperlink" Target="https://www.ncbi.nlm.nih.gov/pmc/articles/PMC2254527/" TargetMode="External"/><Relationship Id="rId157" Type="http://schemas.openxmlformats.org/officeDocument/2006/relationships/hyperlink" Target="https://pubmed.ncbi.nlm.nih.gov/?term=Rodr%C3%ADguez-Carrio+J&amp;cauthor_id=32423970" TargetMode="External"/><Relationship Id="rId364" Type="http://schemas.openxmlformats.org/officeDocument/2006/relationships/hyperlink" Target="https://www.ncbi.nlm.nih.gov/pubmed/32244041" TargetMode="External"/><Relationship Id="rId1008" Type="http://schemas.openxmlformats.org/officeDocument/2006/relationships/hyperlink" Target="https://pubmed.ncbi.nlm.nih.gov/23449137/" TargetMode="External"/><Relationship Id="rId1215" Type="http://schemas.openxmlformats.org/officeDocument/2006/relationships/hyperlink" Target="https://pubmed.ncbi.nlm.nih.gov/1453878/" TargetMode="External"/><Relationship Id="rId61" Type="http://schemas.openxmlformats.org/officeDocument/2006/relationships/hyperlink" Target="https://www.ncbi.nlm.nih.gov/pubmed/?term=Busana%20M%5BAuthor%5D&amp;cauthor=true&amp;cauthor_uid=32228035" TargetMode="External"/><Relationship Id="rId571" Type="http://schemas.openxmlformats.org/officeDocument/2006/relationships/hyperlink" Target="https://www.ncbi.nlm.nih.gov/pubmed/?term=Guidelines+for+evaluation+of+new+fever+in+critically+ill+adult+patients%3A+2008+update+from+the+American+College+of+Critical+Care+Medicine+and+the+Infectious+Diseases+Society+of+America" TargetMode="External"/><Relationship Id="rId669" Type="http://schemas.openxmlformats.org/officeDocument/2006/relationships/hyperlink" Target="https://www.ncbi.nlm.nih.gov/pmc/articles/PMC7196557/pdf/main.pdf" TargetMode="External"/><Relationship Id="rId876" Type="http://schemas.openxmlformats.org/officeDocument/2006/relationships/hyperlink" Target="https://www.ncbi.nlm.nih.gov/pubmed/?term=Bonaf%C3%A8%20M%5BAuthor%5D&amp;cauthor=true&amp;cauthor_uid=10911963" TargetMode="External"/><Relationship Id="rId1299" Type="http://schemas.openxmlformats.org/officeDocument/2006/relationships/hyperlink" Target="https://www.gendermedjournal.it/articoli.php?archivio=yes&amp;vol_id=3351&amp;id=33219" TargetMode="External"/><Relationship Id="rId19" Type="http://schemas.openxmlformats.org/officeDocument/2006/relationships/hyperlink" Target="https://pubmed.ncbi.nlm.nih.gov/?term=Riedo+FX&amp;cauthor_id=32191259" TargetMode="External"/><Relationship Id="rId224" Type="http://schemas.openxmlformats.org/officeDocument/2006/relationships/hyperlink" Target="https://www.ncbi.nlm.nih.gov/pubmed/32383963" TargetMode="External"/><Relationship Id="rId431" Type="http://schemas.openxmlformats.org/officeDocument/2006/relationships/hyperlink" Target="https://medcraveonline.com/MOJI/MOJI-04-00121.pdf" TargetMode="External"/><Relationship Id="rId529" Type="http://schemas.openxmlformats.org/officeDocument/2006/relationships/hyperlink" Target="https://www.ncbi.nlm.nih.gov/pubmed/?term=Hu%20Z%5BAuthor%5D&amp;cauthor=true&amp;cauthor_uid=32161940" TargetMode="External"/><Relationship Id="rId736" Type="http://schemas.openxmlformats.org/officeDocument/2006/relationships/hyperlink" Target="https://www.ncbi.nlm.nih.gov/pubmed/?term=Negro%20F%5BAuthor%5D&amp;cauthor=true&amp;cauthor_uid=32298458" TargetMode="External"/><Relationship Id="rId1061" Type="http://schemas.openxmlformats.org/officeDocument/2006/relationships/hyperlink" Target="https://www.ncbi.nlm.nih.gov/pmc/articles/PMC5711983/" TargetMode="External"/><Relationship Id="rId1159" Type="http://schemas.openxmlformats.org/officeDocument/2006/relationships/hyperlink" Target="https://www.ncbi.nlm.nih.gov/pmc/articles/PMC2796826/" TargetMode="External"/><Relationship Id="rId1366" Type="http://schemas.openxmlformats.org/officeDocument/2006/relationships/hyperlink" Target="https://www.ncbi.nlm.nih.gov/pubmed/8967755/" TargetMode="External"/><Relationship Id="rId168" Type="http://schemas.openxmlformats.org/officeDocument/2006/relationships/hyperlink" Target="https://www.ncbi.nlm.nih.gov/pmc/articles/PMC7132547/pdf/41577_2020_Article_305.pdf" TargetMode="External"/><Relationship Id="rId943" Type="http://schemas.openxmlformats.org/officeDocument/2006/relationships/hyperlink" Target="https://pubmed.ncbi.nlm.nih.gov/?term=Bertoncelli+D&amp;cauthor_id=32420942" TargetMode="External"/><Relationship Id="rId1019" Type="http://schemas.openxmlformats.org/officeDocument/2006/relationships/hyperlink" Target="https://www.nature.com/articles/nri2075" TargetMode="External"/><Relationship Id="rId72" Type="http://schemas.openxmlformats.org/officeDocument/2006/relationships/hyperlink" Target="https://www.ncbi.nlm.nih.gov/pmc/articles/PMC7136855/" TargetMode="External"/><Relationship Id="rId375" Type="http://schemas.openxmlformats.org/officeDocument/2006/relationships/hyperlink" Target="https://onlinelibrary.wiley.com/doi/epdf/10.1002/path.5471" TargetMode="External"/><Relationship Id="rId582" Type="http://schemas.openxmlformats.org/officeDocument/2006/relationships/hyperlink" Target="https://www.ncbi.nlm.nih.gov/pubmed/?term=Masur%20H%5BAuthor%5D&amp;cauthor=true&amp;cauthor_uid=18379262" TargetMode="External"/><Relationship Id="rId803" Type="http://schemas.openxmlformats.org/officeDocument/2006/relationships/hyperlink" Target="https://www.ncbi.nlm.nih.gov/pmc/articles/PMC3848659/" TargetMode="External"/><Relationship Id="rId1226" Type="http://schemas.openxmlformats.org/officeDocument/2006/relationships/hyperlink" Target="https://www.ncbi.nlm.nih.gov/pmc/articles/PMC7089158/" TargetMode="External"/><Relationship Id="rId3" Type="http://schemas.openxmlformats.org/officeDocument/2006/relationships/hyperlink" Target="http://www.salute.gov.it/portale/nuovocoronavirus/dettaglioContenutiNuovoCoronavirus.jsp?lingua=italiano&amp;id=5351&amp;area=nuovoCoronavirus&amp;menu=vuoto" TargetMode="External"/><Relationship Id="rId235" Type="http://schemas.openxmlformats.org/officeDocument/2006/relationships/hyperlink" Target="https://www.ncbi.nlm.nih.gov/pubmed/?term=Oliva%20A%5BAuthor%5D&amp;cauthor=true&amp;cauthor_uid=32383963" TargetMode="External"/><Relationship Id="rId442" Type="http://schemas.openxmlformats.org/officeDocument/2006/relationships/hyperlink" Target="https://www.ncbi.nlm.nih.gov/pubmed/?term=Deng%20J%5BAuthor%5D&amp;cauthor=true&amp;cauthor_uid=29467962" TargetMode="External"/><Relationship Id="rId887" Type="http://schemas.openxmlformats.org/officeDocument/2006/relationships/hyperlink" Target="https://www.ncbi.nlm.nih.gov/pubmed/?term=Ginaldi%20L%5BAuthor%5D&amp;cauthor=true&amp;cauthor_uid=15811314" TargetMode="External"/><Relationship Id="rId1072" Type="http://schemas.openxmlformats.org/officeDocument/2006/relationships/hyperlink" Target="https://pubmed.ncbi.nlm.nih.gov/?term=Andersen+JT&amp;cauthor_id=31354709" TargetMode="External"/><Relationship Id="rId302" Type="http://schemas.openxmlformats.org/officeDocument/2006/relationships/hyperlink" Target="https://www.ncbi.nlm.nih.gov/pubmed/?term=mortem+examination+of+COVID19+patients+reveals+diffuse+alveolar+damage+with+severe+capillary+congestion+and+variegated+findings+of+lungs+and+other+organs+suggesting+vascular+dysfunction" TargetMode="External"/><Relationship Id="rId747" Type="http://schemas.openxmlformats.org/officeDocument/2006/relationships/hyperlink" Target="https://pubmed.ncbi.nlm.nih.gov/?term=Tseng+CT&amp;cauthor_id=22536382" TargetMode="External"/><Relationship Id="rId954" Type="http://schemas.openxmlformats.org/officeDocument/2006/relationships/hyperlink" Target="https://pubmed.ncbi.nlm.nih.gov/32430957/" TargetMode="External"/><Relationship Id="rId1377" Type="http://schemas.openxmlformats.org/officeDocument/2006/relationships/hyperlink" Target="https://www.ncbi.nlm.nih.gov/pubmed/?term=Gerdes%20JC%5BAuthor%5D&amp;cauthor=true&amp;cauthor_uid=7403860" TargetMode="External"/><Relationship Id="rId83" Type="http://schemas.openxmlformats.org/officeDocument/2006/relationships/hyperlink" Target="https://www.ncbi.nlm.nih.gov/pubmed/?term=Karela%20A%5BAuthor%5D&amp;cauthor=true&amp;cauthor_uid=32368884" TargetMode="External"/><Relationship Id="rId179" Type="http://schemas.openxmlformats.org/officeDocument/2006/relationships/hyperlink" Target="https://www.ncbi.nlm.nih.gov/pmc/articles/PMC3294426/pdf/zmr16.pdf" TargetMode="External"/><Relationship Id="rId386" Type="http://schemas.openxmlformats.org/officeDocument/2006/relationships/hyperlink" Target="https://www.ncbi.nlm.nih.gov/pubmed/?term=Hoffmann%20M%5BAuthor%5D&amp;cauthor=true&amp;cauthor_uid=32142651" TargetMode="External"/><Relationship Id="rId593" Type="http://schemas.openxmlformats.org/officeDocument/2006/relationships/hyperlink" Target="https://link.springer.com/book/10.1007/978-3-030-11775-7" TargetMode="External"/><Relationship Id="rId607" Type="http://schemas.openxmlformats.org/officeDocument/2006/relationships/hyperlink" Target="https://www.ncbi.nlm.nih.gov/pubmed/22290072" TargetMode="External"/><Relationship Id="rId814" Type="http://schemas.openxmlformats.org/officeDocument/2006/relationships/hyperlink" Target="https://pubmed.ncbi.nlm.nih.gov/?term=Khurana+S&amp;cauthor_id=23986398" TargetMode="External"/><Relationship Id="rId1237" Type="http://schemas.openxmlformats.org/officeDocument/2006/relationships/hyperlink" Target="https://www.ncbi.nlm.nih.gov/pmc/articles/PMC7118661/" TargetMode="External"/><Relationship Id="rId246" Type="http://schemas.openxmlformats.org/officeDocument/2006/relationships/hyperlink" Target="https://www.ncbi.nlm.nih.gov/pubmed/?term=Societ%C3%A0%20Italiana%20di%20Anatomia%20Patologica%20e%20Citologia%20-%20SIAPEC%5BCorporate%20Author%5D" TargetMode="External"/><Relationship Id="rId453" Type="http://schemas.openxmlformats.org/officeDocument/2006/relationships/hyperlink" Target="https://www.ncbi.nlm.nih.gov/pubmed/?term=Kuppalli%20K%5BAuthor%5D&amp;cauthor=true&amp;cauthor_uid=32388462" TargetMode="External"/><Relationship Id="rId660" Type="http://schemas.openxmlformats.org/officeDocument/2006/relationships/hyperlink" Target="https://www.ncbi.nlm.nih.gov/pmc/articles/PMC7108278/pdf/main.pdf" TargetMode="External"/><Relationship Id="rId898" Type="http://schemas.openxmlformats.org/officeDocument/2006/relationships/hyperlink" Target="https://www.ncbi.nlm.nih.gov/pubmed/?term=Tardif%20JC%5BAuthor%5D&amp;cauthor=true&amp;cauthor_uid=32006431" TargetMode="External"/><Relationship Id="rId1083" Type="http://schemas.openxmlformats.org/officeDocument/2006/relationships/hyperlink" Target="https://www.ncbi.nlm.nih.gov/pmc/articles/PMC3106242/" TargetMode="External"/><Relationship Id="rId1290" Type="http://schemas.openxmlformats.org/officeDocument/2006/relationships/hyperlink" Target="https://www.ncbi.nlm.nih.gov/pubmed/32276929" TargetMode="External"/><Relationship Id="rId1304" Type="http://schemas.openxmlformats.org/officeDocument/2006/relationships/hyperlink" Target="https://www.ncbi.nlm.nih.gov/pubmed/?term=Kovats%20S%5BAuthor%5D&amp;cauthor=true&amp;cauthor_uid=30079065" TargetMode="External"/><Relationship Id="rId106" Type="http://schemas.openxmlformats.org/officeDocument/2006/relationships/hyperlink" Target="https://pubmed.ncbi.nlm.nih.gov/32350596/?from_single_result=The+autopsy+debate+during+the+COVID-19+emergency%3A+the+Italian+experience&amp;expanded_search_query=The+autopsy+debate+during+the+COVID-19+emergency%3A+the+Italian+experience" TargetMode="External"/><Relationship Id="rId313" Type="http://schemas.openxmlformats.org/officeDocument/2006/relationships/hyperlink" Target="https://www.ncbi.nlm.nih.gov/pubmed/?term=Cappello%20F%5BAuthor%5D&amp;cauthor=true&amp;cauthor_uid=32357503" TargetMode="External"/><Relationship Id="rId758" Type="http://schemas.openxmlformats.org/officeDocument/2006/relationships/hyperlink" Target="https://pubmed.ncbi.nlm.nih.gov/?term=Bottazzi+ME&amp;cauthor_id=32346094" TargetMode="External"/><Relationship Id="rId965" Type="http://schemas.openxmlformats.org/officeDocument/2006/relationships/hyperlink" Target="https://pubmed.ncbi.nlm.nih.gov/32180292/?from_term=coronaviurs+death+pregancy&amp;from_exact_term=coronavirus+death+pregnancy&amp;from_pos=2" TargetMode="External"/><Relationship Id="rId1150" Type="http://schemas.openxmlformats.org/officeDocument/2006/relationships/hyperlink" Target="https://www.ncbi.nlm.nih.gov/pmc/articles/PMC5899322/" TargetMode="External"/><Relationship Id="rId1388" Type="http://schemas.openxmlformats.org/officeDocument/2006/relationships/hyperlink" Target="https://www.ncbi.nlm.nih.gov/pubmed/29925652" TargetMode="External"/><Relationship Id="rId10" Type="http://schemas.openxmlformats.org/officeDocument/2006/relationships/hyperlink" Target="https://www.ncbi.nlm.nih.gov/pmc/articles/PMC7270627/pdf/main.pdf" TargetMode="External"/><Relationship Id="rId94" Type="http://schemas.openxmlformats.org/officeDocument/2006/relationships/hyperlink" Target="https://www.epicentro.iss.it/coronavirus/pdf/Rapporto_Istat_ISS.pdf" TargetMode="External"/><Relationship Id="rId397" Type="http://schemas.openxmlformats.org/officeDocument/2006/relationships/hyperlink" Target="https://www.ncbi.nlm.nih.gov/pubmed/32353634" TargetMode="External"/><Relationship Id="rId520" Type="http://schemas.openxmlformats.org/officeDocument/2006/relationships/hyperlink" Target="https://www.ncbi.nlm.nih.gov/pubmed/?term=Huang%20X%5BAuthor%5D&amp;cauthor=true&amp;cauthor_uid=32205856" TargetMode="External"/><Relationship Id="rId618" Type="http://schemas.openxmlformats.org/officeDocument/2006/relationships/hyperlink" Target="https://www.ncbi.nlm.nih.gov/pubmed/?term=Association+of+body+temperature+and+antipyretic+treatments+with+mortality+of+critically+ill+patients+with+and+without+sepsis%3A+multi-centered+prospective+observational+study." TargetMode="External"/><Relationship Id="rId825" Type="http://schemas.openxmlformats.org/officeDocument/2006/relationships/hyperlink" Target="https://www.ncbi.nlm.nih.gov/pmc/articles/PMC2194058/" TargetMode="External"/><Relationship Id="rId1248" Type="http://schemas.openxmlformats.org/officeDocument/2006/relationships/hyperlink" Target="https://www.sciencedirect.com/science/article/pii/S1550413111000076" TargetMode="External"/><Relationship Id="rId257" Type="http://schemas.openxmlformats.org/officeDocument/2006/relationships/hyperlink" Target="https://www.ncbi.nlm.nih.gov/pubmed/?term=Sapino%20A%5BAuthor%5D&amp;cauthor=true&amp;cauthor_uid=32324727" TargetMode="External"/><Relationship Id="rId464" Type="http://schemas.openxmlformats.org/officeDocument/2006/relationships/hyperlink" Target="https://www.ncbi.nlm.nih.gov/pubmed/?term=Yu%20CJ%5BAuthor%5D&amp;cauthor=true&amp;cauthor_uid=17052299" TargetMode="External"/><Relationship Id="rId1010" Type="http://schemas.openxmlformats.org/officeDocument/2006/relationships/hyperlink" Target="https://pubmed.ncbi.nlm.nih.gov/10763708/" TargetMode="External"/><Relationship Id="rId1094" Type="http://schemas.openxmlformats.org/officeDocument/2006/relationships/hyperlink" Target="https://pubmed.ncbi.nlm.nih.gov/?term=Simister+NE&amp;cauthor_id=10998088" TargetMode="External"/><Relationship Id="rId1108" Type="http://schemas.openxmlformats.org/officeDocument/2006/relationships/hyperlink" Target="https://www.ncbi.nlm.nih.gov/pubmed/?term=Levy%20O%5BAuthor%5D&amp;cauthor=true&amp;cauthor_uid=24356292" TargetMode="External"/><Relationship Id="rId1315" Type="http://schemas.openxmlformats.org/officeDocument/2006/relationships/hyperlink" Target="https://www.ncbi.nlm.nih.gov/pmc/articles/PMC3844062/" TargetMode="External"/><Relationship Id="rId117" Type="http://schemas.openxmlformats.org/officeDocument/2006/relationships/hyperlink" Target="https://www.microbiologiaitalia.it/didattica/livelli-di-biosicurezza/" TargetMode="External"/><Relationship Id="rId671" Type="http://schemas.openxmlformats.org/officeDocument/2006/relationships/hyperlink" Target="https://www.ncbi.nlm.nih.gov/pmc/articles/PMC7227586/" TargetMode="External"/><Relationship Id="rId769" Type="http://schemas.openxmlformats.org/officeDocument/2006/relationships/hyperlink" Target="https://pubmed.ncbi.nlm.nih.gov/?term=Cheung+PF&amp;cauthor_id=18390747" TargetMode="External"/><Relationship Id="rId976" Type="http://schemas.openxmlformats.org/officeDocument/2006/relationships/hyperlink" Target="https://obgyn.onlinelibrary.wiley.com/doi/full/10.1002/uog.22014" TargetMode="External"/><Relationship Id="rId1399" Type="http://schemas.openxmlformats.org/officeDocument/2006/relationships/hyperlink" Target="https://www.ncbi.nlm.nih.gov/pubmed/?term=Brison%20E%5BAuthor%5D&amp;cauthor=true&amp;cauthor_uid=24619619" TargetMode="External"/><Relationship Id="rId324" Type="http://schemas.openxmlformats.org/officeDocument/2006/relationships/hyperlink" Target="https://www.ncbi.nlm.nih.gov/pubmed/32085846" TargetMode="External"/><Relationship Id="rId531" Type="http://schemas.openxmlformats.org/officeDocument/2006/relationships/hyperlink" Target="https://www.ncbi.nlm.nih.gov/pubmed/?term=Yang%20S%5BAuthor%5D&amp;cauthor=true&amp;cauthor_uid=32161940" TargetMode="External"/><Relationship Id="rId629" Type="http://schemas.openxmlformats.org/officeDocument/2006/relationships/hyperlink" Target="https://www.ncbi.nlm.nih.gov/pubmed/?term=Akilzhanova%20A%5BAuthor%5D&amp;cauthor=true&amp;cauthor_uid=27195192" TargetMode="External"/><Relationship Id="rId1161" Type="http://schemas.openxmlformats.org/officeDocument/2006/relationships/hyperlink" Target="https://www.ncbi.nlm.nih.gov/pmc/articles/PMC3155383/" TargetMode="External"/><Relationship Id="rId1259" Type="http://schemas.openxmlformats.org/officeDocument/2006/relationships/hyperlink" Target="https://www.ncbi.nlm.nih.gov/pmc/articles/PMC7237927/" TargetMode="External"/><Relationship Id="rId836" Type="http://schemas.openxmlformats.org/officeDocument/2006/relationships/hyperlink" Target="http://www.ncbi.nlm.nih.gov/pmc/articles/PMC7126676/pdf/main.pdf" TargetMode="External"/><Relationship Id="rId1021" Type="http://schemas.openxmlformats.org/officeDocument/2006/relationships/hyperlink" Target="https://www.ncbi.nlm.nih.gov/pmc/articles/PMC2739303/" TargetMode="External"/><Relationship Id="rId1119" Type="http://schemas.openxmlformats.org/officeDocument/2006/relationships/hyperlink" Target="https://www.nature.com/articles/s41591-019-0392-8" TargetMode="External"/><Relationship Id="rId903" Type="http://schemas.openxmlformats.org/officeDocument/2006/relationships/hyperlink" Target="https://www.ncbi.nlm.nih.gov/pubmed/?term=Boe%20DM%5BAuthor%5D&amp;cauthor=true&amp;cauthor_uid=27711979" TargetMode="External"/><Relationship Id="rId1326" Type="http://schemas.openxmlformats.org/officeDocument/2006/relationships/hyperlink" Target="https://www.ncbi.nlm.nih.gov/pubmed/?term=Meyerholz%20DK%5BAuthor%5D&amp;cauthor=true&amp;cauthor_uid=28373583" TargetMode="External"/><Relationship Id="rId32" Type="http://schemas.openxmlformats.org/officeDocument/2006/relationships/hyperlink" Target="https://emcrit.org/" TargetMode="External"/><Relationship Id="rId181" Type="http://schemas.openxmlformats.org/officeDocument/2006/relationships/hyperlink" Target="https://www.ncbi.nlm.nih.gov/pubmed/?term=Moore%20BJB%5BAuthor%5D&amp;cauthor=true&amp;cauthor_uid=32303591" TargetMode="External"/><Relationship Id="rId279" Type="http://schemas.openxmlformats.org/officeDocument/2006/relationships/hyperlink" Target="https://www.ncbi.nlm.nih.gov/pubmed/?term=Trauner%20M%5BAuthor%5D&amp;cauthor=true&amp;cauthor_uid=32422076" TargetMode="External"/><Relationship Id="rId486" Type="http://schemas.openxmlformats.org/officeDocument/2006/relationships/hyperlink" Target="https://www.ncbi.nlm.nih.gov/pubmed/?term=HLH%20Across%20Speciality%20Collaboration%2C%20UK%5BCorporate%20Author%5D" TargetMode="External"/><Relationship Id="rId693" Type="http://schemas.openxmlformats.org/officeDocument/2006/relationships/hyperlink" Target="https://pubmed.ncbi.nlm.nih.gov/?term=Foo+SS&amp;cauthor_id=26497532" TargetMode="External"/><Relationship Id="rId139" Type="http://schemas.openxmlformats.org/officeDocument/2006/relationships/hyperlink" Target="https://www.ncbi.nlm.nih.gov/pubmed/?term=McGonagle%20D%5BAuthor%5D&amp;cauthor=true&amp;cauthor_uid=32251717" TargetMode="External"/><Relationship Id="rId346" Type="http://schemas.openxmlformats.org/officeDocument/2006/relationships/hyperlink" Target="https://www.ncbi.nlm.nih.gov/pubmed/?term=Han%20H%5BAuthor%5D&amp;cauthor=true&amp;cauthor_uid=12845623" TargetMode="External"/><Relationship Id="rId553" Type="http://schemas.openxmlformats.org/officeDocument/2006/relationships/hyperlink" Target="https://www.ncbi.nlm.nih.gov/pubmed/?term=Bastos-Amador%20P%5BAuthor%5D&amp;cauthor=true&amp;cauthor_uid=30673535" TargetMode="External"/><Relationship Id="rId760" Type="http://schemas.openxmlformats.org/officeDocument/2006/relationships/hyperlink" Target="https://pubmed.ncbi.nlm.nih.gov/?term=Liu+L&amp;cauthor_id=30830861" TargetMode="External"/><Relationship Id="rId998" Type="http://schemas.openxmlformats.org/officeDocument/2006/relationships/hyperlink" Target="https://pubmed.ncbi.nlm.nih.gov/17457344/" TargetMode="External"/><Relationship Id="rId1183" Type="http://schemas.openxmlformats.org/officeDocument/2006/relationships/hyperlink" Target="https://pubmed.ncbi.nlm.nih.gov/20377107/" TargetMode="External"/><Relationship Id="rId1390" Type="http://schemas.openxmlformats.org/officeDocument/2006/relationships/hyperlink" Target="https://www.ncbi.nlm.nih.gov/pubmed/?term=Le%20Coupanec%20A%5BAuthor%5D&amp;cauthor=true&amp;cauthor_uid=29925652" TargetMode="External"/><Relationship Id="rId206" Type="http://schemas.openxmlformats.org/officeDocument/2006/relationships/hyperlink" Target="https://www.ncbi.nlm.nih.gov/pubmed/?term=Hu%20Z%5BAuthor%5D&amp;cauthor=true&amp;cauthor_uid=32161940" TargetMode="External"/><Relationship Id="rId413" Type="http://schemas.openxmlformats.org/officeDocument/2006/relationships/hyperlink" Target="https://www.ncbi.nlm.nih.gov/pubmed/?term=Wolchok%20JD%5BAuthor%5D&amp;cauthor=true&amp;cauthor_uid=32353870" TargetMode="External"/><Relationship Id="rId858" Type="http://schemas.openxmlformats.org/officeDocument/2006/relationships/hyperlink" Target="https://www.ncbi.nlm.nih.gov/pubmed/?term=Hedrich%20CM%5BAuthor%5D&amp;cauthor=true&amp;cauthor_uid=32353634" TargetMode="External"/><Relationship Id="rId1043" Type="http://schemas.openxmlformats.org/officeDocument/2006/relationships/hyperlink" Target="https://www.ncbi.nlm.nih.gov/pmc/articles/PMC1637823/" TargetMode="External"/><Relationship Id="rId620" Type="http://schemas.openxmlformats.org/officeDocument/2006/relationships/hyperlink" Target="https://www.ncbi.nlm.nih.gov/pubmed/?term=Fever%20and%20Antipyretic%20in%20Critically%20ill%20patients%20Evaluation%20(FACE)%20Study%20Group%5BCorporate%20Author%5D" TargetMode="External"/><Relationship Id="rId718" Type="http://schemas.openxmlformats.org/officeDocument/2006/relationships/hyperlink" Target="https://www.ncbi.nlm.nih.gov/pmc/articles/PMC3057165/" TargetMode="External"/><Relationship Id="rId925" Type="http://schemas.openxmlformats.org/officeDocument/2006/relationships/hyperlink" Target="https://pubmed.ncbi.nlm.nih.gov/32179660/?from_term=Epidemiology+of+COVID-19+among+children+in+China.&amp;from_pos=1" TargetMode="External"/><Relationship Id="rId1250" Type="http://schemas.openxmlformats.org/officeDocument/2006/relationships/hyperlink" Target="https://www.ncbi.nlm.nih.gov/pmc/articles/PMC6004897/" TargetMode="External"/><Relationship Id="rId1348" Type="http://schemas.openxmlformats.org/officeDocument/2006/relationships/hyperlink" Target="https://www.ncbi.nlm.nih.gov/pubmed/?term=Lyons-Weiler%20J%5BAuthor%5D&amp;cauthor=true&amp;cauthor_uid=32292901" TargetMode="External"/><Relationship Id="rId1110" Type="http://schemas.openxmlformats.org/officeDocument/2006/relationships/hyperlink" Target="https://www.ncbi.nlm.nih.gov/pmc/articles/PMC3946366/" TargetMode="External"/><Relationship Id="rId1208" Type="http://schemas.openxmlformats.org/officeDocument/2006/relationships/hyperlink" Target="https://www.ncbi.nlm.nih.gov/pmc/articles/PMC5559470/" TargetMode="External"/><Relationship Id="rId1415" Type="http://schemas.openxmlformats.org/officeDocument/2006/relationships/hyperlink" Target="https://www.ncbi.nlm.nih.gov/pmc/articles/PMC7165084/" TargetMode="External"/><Relationship Id="rId54" Type="http://schemas.openxmlformats.org/officeDocument/2006/relationships/hyperlink" Target="https://www.ncbi.nlm.nih.gov/pubmed/32374815" TargetMode="External"/><Relationship Id="rId270" Type="http://schemas.openxmlformats.org/officeDocument/2006/relationships/hyperlink" Target="https://www.ncbi.nlm.nih.gov/pubmed/32422076" TargetMode="External"/><Relationship Id="rId130" Type="http://schemas.openxmlformats.org/officeDocument/2006/relationships/hyperlink" Target="https://www.ncbi.nlm.nih.gov/pubmed/?term=Yang%20PC%5BAuthor%5D&amp;cauthor=true&amp;cauthor_uid=17052299" TargetMode="External"/><Relationship Id="rId368" Type="http://schemas.openxmlformats.org/officeDocument/2006/relationships/hyperlink" Target="https://www.ncbi.nlm.nih.gov/pubmed/?term=Uversky%20VN%5BAuthor%5D&amp;cauthor=true&amp;cauthor_uid=32244041" TargetMode="External"/><Relationship Id="rId575" Type="http://schemas.openxmlformats.org/officeDocument/2006/relationships/hyperlink" Target="https://www.ncbi.nlm.nih.gov/pubmed/?term=Bleck%20T%5BAuthor%5D&amp;cauthor=true&amp;cauthor_uid=18379262" TargetMode="External"/><Relationship Id="rId782" Type="http://schemas.openxmlformats.org/officeDocument/2006/relationships/hyperlink" Target="https://pubmed.ncbi.nlm.nih.gov/?term=Zhu+Y&amp;cauthor_id=17490702" TargetMode="External"/><Relationship Id="rId228" Type="http://schemas.openxmlformats.org/officeDocument/2006/relationships/hyperlink" Target="https://www.ncbi.nlm.nih.gov/pubmed/?term=Malara%20N%5BAuthor%5D&amp;cauthor=true&amp;cauthor_uid=32383963" TargetMode="External"/><Relationship Id="rId435" Type="http://schemas.openxmlformats.org/officeDocument/2006/relationships/hyperlink" Target="https://www.chimica-online.it/biologia/endocitosi-mediata-da-recettori.htm" TargetMode="External"/><Relationship Id="rId642" Type="http://schemas.openxmlformats.org/officeDocument/2006/relationships/hyperlink" Target="https://pubmed.ncbi.nlm.nih.gov/?term=Chong+M&amp;cauthor_id=32191259" TargetMode="External"/><Relationship Id="rId1065" Type="http://schemas.openxmlformats.org/officeDocument/2006/relationships/hyperlink" Target="https://pubmed.ncbi.nlm.nih.gov/31354709/" TargetMode="External"/><Relationship Id="rId1272" Type="http://schemas.openxmlformats.org/officeDocument/2006/relationships/hyperlink" Target="https://www.ncbi.nlm.nih.gov/pmc/articles/PMC6500089/" TargetMode="External"/><Relationship Id="rId502" Type="http://schemas.openxmlformats.org/officeDocument/2006/relationships/hyperlink" Target="https://www.ncbi.nlm.nih.gov/pubmed/?term=10.1126%2Fscience.abb8925" TargetMode="External"/><Relationship Id="rId947" Type="http://schemas.openxmlformats.org/officeDocument/2006/relationships/hyperlink" Target="https://pubmed.ncbi.nlm.nih.gov/?term=Gil+MM&amp;cauthor_id=32430957" TargetMode="External"/><Relationship Id="rId1132" Type="http://schemas.openxmlformats.org/officeDocument/2006/relationships/hyperlink" Target="https://www.annualreviews.org/doi/pdf/10.1146/annurev-immunol-032712-100003" TargetMode="External"/><Relationship Id="rId76" Type="http://schemas.openxmlformats.org/officeDocument/2006/relationships/hyperlink" Target="https://www.ncbi.nlm.nih.gov/pubmed/?term=Li%20J%5BAuthor%5D&amp;cauthor=true&amp;cauthor_uid=32232685" TargetMode="External"/><Relationship Id="rId807" Type="http://schemas.openxmlformats.org/officeDocument/2006/relationships/hyperlink" Target="https://pubmed.ncbi.nlm.nih.gov/?term=Cant+AJ&amp;cauthor_id=9262229" TargetMode="External"/><Relationship Id="rId292" Type="http://schemas.openxmlformats.org/officeDocument/2006/relationships/hyperlink" Target="https://www.ncbi.nlm.nih.gov/pubmed/?term=Andermatt%20R%5BAuthor%5D&amp;cauthor=true&amp;cauthor_uid=32325026" TargetMode="External"/><Relationship Id="rId597" Type="http://schemas.openxmlformats.org/officeDocument/2006/relationships/hyperlink" Target="https://www.ncbi.nlm.nih.gov/pubmed/?term=Walter%20EJ%5BAuthor%5D&amp;cauthor=true&amp;cauthor_uid=27411542" TargetMode="External"/><Relationship Id="rId152" Type="http://schemas.openxmlformats.org/officeDocument/2006/relationships/hyperlink" Target="https://www.ncbi.nlm.nih.gov/pmc/articles/PMC7270045/pdf/main.pdf" TargetMode="External"/><Relationship Id="rId457" Type="http://schemas.openxmlformats.org/officeDocument/2006/relationships/hyperlink" Target="https://www.ncbi.nlm.nih.gov/pubmed/?term=Channappanavar%20R%5BAuthor%5D&amp;cauthor=true&amp;cauthor_uid=28466096" TargetMode="External"/><Relationship Id="rId1087" Type="http://schemas.openxmlformats.org/officeDocument/2006/relationships/hyperlink" Target="https://www.proteinatlas.org/ENSG00000104870-FCGRT" TargetMode="External"/><Relationship Id="rId1294" Type="http://schemas.openxmlformats.org/officeDocument/2006/relationships/hyperlink" Target="https://www.ncbi.nlm.nih.gov/pubmed/?term=Nelson%20PS%5BAuthor%5D&amp;cauthor=true&amp;cauthor_uid=32276929" TargetMode="External"/><Relationship Id="rId664" Type="http://schemas.openxmlformats.org/officeDocument/2006/relationships/hyperlink" Target="https://www.ncbi.nlm.nih.gov/pmc/articles/PMC7079893/pdf/281_2017_Article_629.pdf" TargetMode="External"/><Relationship Id="rId871" Type="http://schemas.openxmlformats.org/officeDocument/2006/relationships/hyperlink" Target="https://www.ncbi.nlm.nih.gov/pmc/articles/PMC4707740/" TargetMode="External"/><Relationship Id="rId969" Type="http://schemas.openxmlformats.org/officeDocument/2006/relationships/hyperlink" Target="https://pubmed.ncbi.nlm.nih.gov/32180292/?from_term=coronaviurs+death+pregancy&amp;from_exact_term=coronavirus+death+pregnancy&amp;from_pos=2" TargetMode="External"/><Relationship Id="rId317" Type="http://schemas.openxmlformats.org/officeDocument/2006/relationships/hyperlink" Target="https://www.ncbi.nlm.nih.gov/pubmed/?term=Tian%20S%5BAuthor%5D&amp;cauthor=true&amp;cauthor_uid=32114094" TargetMode="External"/><Relationship Id="rId524" Type="http://schemas.openxmlformats.org/officeDocument/2006/relationships/hyperlink" Target="https://www.ncbi.nlm.nih.gov/pubmed/?term=Melino%20G%5BAuthor%5D&amp;cauthor=true&amp;cauthor_uid=32205856" TargetMode="External"/><Relationship Id="rId731" Type="http://schemas.openxmlformats.org/officeDocument/2006/relationships/hyperlink" Target="https://www.ncbi.nlm.nih.gov/pubmed/?term=The+potential+danger+of+suboptimal+antibody+responses+in+COVID-19" TargetMode="External"/><Relationship Id="rId1154" Type="http://schemas.openxmlformats.org/officeDocument/2006/relationships/hyperlink" Target="https://www.ncbi.nlm.nih.gov/pmc/articles/PMC6191326/" TargetMode="External"/><Relationship Id="rId1361" Type="http://schemas.openxmlformats.org/officeDocument/2006/relationships/hyperlink" Target="https://www.ncbi.nlm.nih.gov/pubmed/12814734" TargetMode="External"/><Relationship Id="rId98" Type="http://schemas.openxmlformats.org/officeDocument/2006/relationships/hyperlink" Target="https://pubmed.ncbi.nlm.nih.gov/?term=Sapino+A&amp;cauthor_id=32350596" TargetMode="External"/><Relationship Id="rId829" Type="http://schemas.openxmlformats.org/officeDocument/2006/relationships/hyperlink" Target="https://pubmed.ncbi.nlm.nih.gov/?term=Kempe+CH&amp;cauthor_id=6072745" TargetMode="External"/><Relationship Id="rId1014" Type="http://schemas.openxmlformats.org/officeDocument/2006/relationships/hyperlink" Target="https://www.cell.com/action/showPdf?pii=S1074-7613%2817%2930090-0" TargetMode="External"/><Relationship Id="rId1221" Type="http://schemas.openxmlformats.org/officeDocument/2006/relationships/hyperlink" Target="https://www.ncbi.nlm.nih.gov/pmc/articles/PMC6121175/" TargetMode="External"/><Relationship Id="rId1319" Type="http://schemas.openxmlformats.org/officeDocument/2006/relationships/hyperlink" Target="https://www.ncbi.nlm.nih.gov/pubmed/?term=Braciale%20TJ%5BAuthor%5D&amp;cauthor=true&amp;cauthor_uid=26965109" TargetMode="External"/><Relationship Id="rId25" Type="http://schemas.openxmlformats.org/officeDocument/2006/relationships/hyperlink" Target="https://pubmed.ncbi.nlm.nih.gov/?term=Bhatraju+PK&amp;cauthor_id=32227758" TargetMode="External"/><Relationship Id="rId174" Type="http://schemas.openxmlformats.org/officeDocument/2006/relationships/hyperlink" Target="https://www.ncbi.nlm.nih.gov/pubmed/?term=Korth%20MJ%5BAuthor%5D&amp;cauthor=true&amp;cauthor_uid=22390970" TargetMode="External"/><Relationship Id="rId381" Type="http://schemas.openxmlformats.org/officeDocument/2006/relationships/hyperlink" Target="https://www.ncbi.nlm.nih.gov/pubmed/?term=Al-Nasser%20AD%5BAuthor%5D&amp;cauthor=true&amp;cauthor_uid=32245083" TargetMode="External"/><Relationship Id="rId241" Type="http://schemas.openxmlformats.org/officeDocument/2006/relationships/hyperlink" Target="https://www.ncbi.nlm.nih.gov/pubmed/?term=Sapino%20A%5BAuthor%5D&amp;cauthor=true&amp;cauthor_uid=32350596" TargetMode="External"/><Relationship Id="rId479" Type="http://schemas.openxmlformats.org/officeDocument/2006/relationships/hyperlink" Target="https://www.ncbi.nlm.nih.gov/pubmed/?term=COVID-19%3A+consider+cytokine+storm+syndromes+and+immunosuppression" TargetMode="External"/><Relationship Id="rId686" Type="http://schemas.openxmlformats.org/officeDocument/2006/relationships/hyperlink" Target="https://www.ncbi.nlm.nih.gov/pmc/articles/PMC7158248/pdf/main.pdf" TargetMode="External"/><Relationship Id="rId893" Type="http://schemas.openxmlformats.org/officeDocument/2006/relationships/hyperlink" Target="https://www.ncbi.nlm.nih.gov/pubmed/?term=Jirillo%20E%5BAuthor%5D&amp;cauthor=true&amp;cauthor_uid=32250234" TargetMode="External"/><Relationship Id="rId339" Type="http://schemas.openxmlformats.org/officeDocument/2006/relationships/hyperlink" Target="https://www.ncbi.nlm.nih.gov/pubmed/?term=Bian%20XW%5BAuthor%5D&amp;cauthor=true&amp;cauthor_uid=32268662" TargetMode="External"/><Relationship Id="rId546" Type="http://schemas.openxmlformats.org/officeDocument/2006/relationships/hyperlink" Target="https://emcrit.org/ibcc/covid19/" TargetMode="External"/><Relationship Id="rId753" Type="http://schemas.openxmlformats.org/officeDocument/2006/relationships/hyperlink" Target="https://pubmed.ncbi.nlm.nih.gov/32346094/?from_single_result=The+Potential+for+Antibody-Dependent+Enhancement+of+SARS-CoV-2+Infection%3A+Translational+Implications+for+Vaccine+Development&amp;expanded_search_query=The+Potential+for+Antibody-Dependent+Enhancement+of+SARS-CoV-2+Infection%3A+Translational+Implications+for+Vaccine+Development" TargetMode="External"/><Relationship Id="rId1176" Type="http://schemas.openxmlformats.org/officeDocument/2006/relationships/hyperlink" Target="https://www.ncbi.nlm.nih.gov/pmc/articles/PMC4710368/" TargetMode="External"/><Relationship Id="rId1383" Type="http://schemas.openxmlformats.org/officeDocument/2006/relationships/hyperlink" Target="https://www.ncbi.nlm.nih.gov/pubmed/?term=Bourgouin%20A%5BAuthor%5D&amp;cauthor=true&amp;cauthor_uid=31861926" TargetMode="External"/><Relationship Id="rId101" Type="http://schemas.openxmlformats.org/officeDocument/2006/relationships/hyperlink" Target="https://pubmed.ncbi.nlm.nih.gov/?term=Facchetti+F&amp;cauthor_id=32350596" TargetMode="External"/><Relationship Id="rId406" Type="http://schemas.openxmlformats.org/officeDocument/2006/relationships/hyperlink" Target="http://amsacta.unibo.it/3437/18/17_fisiopatologia_delle_infezioni_II_ed_ebook.pdf" TargetMode="External"/><Relationship Id="rId960" Type="http://schemas.openxmlformats.org/officeDocument/2006/relationships/hyperlink" Target="https://www.ncbi.nlm.nih.gov/pmc/articles/PMC7276742/" TargetMode="External"/><Relationship Id="rId1036" Type="http://schemas.openxmlformats.org/officeDocument/2006/relationships/hyperlink" Target="https://pubmed.ncbi.nlm.nih.gov/?term=Nauta+AJ&amp;cauthor_id=21831776" TargetMode="External"/><Relationship Id="rId1243" Type="http://schemas.openxmlformats.org/officeDocument/2006/relationships/hyperlink" Target="https://www.cmaj.ca/content/cmaj/early/2020/05/27/cmaj.200869.full.pdf" TargetMode="External"/><Relationship Id="rId613" Type="http://schemas.openxmlformats.org/officeDocument/2006/relationships/hyperlink" Target="https://www.ncbi.nlm.nih.gov/pubmed/?term=Pilcher%20D%5BAuthor%5D&amp;cauthor=true&amp;cauthor_uid=22290072" TargetMode="External"/><Relationship Id="rId820" Type="http://schemas.openxmlformats.org/officeDocument/2006/relationships/hyperlink" Target="https://pubmed.ncbi.nlm.nih.gov/?term=Henningson+J&amp;cauthor_id=23986398" TargetMode="External"/><Relationship Id="rId918" Type="http://schemas.openxmlformats.org/officeDocument/2006/relationships/hyperlink" Target="https://pubmed.ncbi.nlm.nih.gov/32179660/?from_term=Epidemiology+of+COVID-19+among+children+in+China.&amp;from_pos=1" TargetMode="External"/><Relationship Id="rId1103" Type="http://schemas.openxmlformats.org/officeDocument/2006/relationships/hyperlink" Target="https://www.ncbi.nlm.nih.gov/pubmed/?term=Torre%20C%5BAuthor%5D&amp;cauthor=true&amp;cauthor_uid=30692968" TargetMode="External"/><Relationship Id="rId1310" Type="http://schemas.openxmlformats.org/officeDocument/2006/relationships/hyperlink" Target="https://www.ncbi.nlm.nih.gov/pubmed/23915713/" TargetMode="External"/><Relationship Id="rId1408" Type="http://schemas.openxmlformats.org/officeDocument/2006/relationships/hyperlink" Target="https://www.ncbi.nlm.nih.gov/pubmed/?term=Talbot%20PJ%5BAuthor%5D&amp;cauthor=true&amp;cauthor_uid=25281913" TargetMode="External"/><Relationship Id="rId47" Type="http://schemas.openxmlformats.org/officeDocument/2006/relationships/hyperlink" Target="https://pubmed.ncbi.nlm.nih.gov/?term=Zhou+F&amp;cauthor_id=32171076" TargetMode="External"/><Relationship Id="rId196" Type="http://schemas.openxmlformats.org/officeDocument/2006/relationships/hyperlink" Target="https://www.ncbi.nlm.nih.gov/pubmed/?term=Gan%20J%5BAuthor%5D&amp;cauthor=true&amp;cauthor_uid=32205856" TargetMode="External"/><Relationship Id="rId263" Type="http://schemas.openxmlformats.org/officeDocument/2006/relationships/hyperlink" Target="https://www.ncbi.nlm.nih.gov/pubmed/32198191" TargetMode="External"/><Relationship Id="rId470" Type="http://schemas.openxmlformats.org/officeDocument/2006/relationships/hyperlink" Target="https://www.ncbi.nlm.nih.gov/pubmed/?term=Wu%20K%5BAuthor%5D&amp;cauthor=true&amp;cauthor_uid=32364527" TargetMode="External"/><Relationship Id="rId123" Type="http://schemas.openxmlformats.org/officeDocument/2006/relationships/hyperlink" Target="https://www.ncbi.nlm.nih.gov/pubmed/?term=Perlman%20S%5BAuthor%5D&amp;cauthor=true&amp;cauthor_uid=28466096" TargetMode="External"/><Relationship Id="rId330" Type="http://schemas.openxmlformats.org/officeDocument/2006/relationships/hyperlink" Target="https://www.ncbi.nlm.nih.gov/pubmed/?term=Zhang%20D%5BAuthor%5D&amp;cauthor=true&amp;cauthor_uid=32311318" TargetMode="External"/><Relationship Id="rId568" Type="http://schemas.openxmlformats.org/officeDocument/2006/relationships/hyperlink" Target="https://www.ncbi.nlm.nih.gov/pubmed/?term=Carraretto%20M%5BAuthor%5D&amp;cauthor=true&amp;cauthor_uid=27411542" TargetMode="External"/><Relationship Id="rId775" Type="http://schemas.openxmlformats.org/officeDocument/2006/relationships/hyperlink" Target="https://onlinelibrary.wiley.com/doi/full/10.1002/eji.201040391" TargetMode="External"/><Relationship Id="rId982" Type="http://schemas.openxmlformats.org/officeDocument/2006/relationships/hyperlink" Target="https://pubmed.ncbi.nlm.nih.gov/32105680/?from_term=coronaviurs+death+pregancy&amp;from_exact_term=coronavirus+death+pregnancy&amp;from_pos=1" TargetMode="External"/><Relationship Id="rId1198" Type="http://schemas.openxmlformats.org/officeDocument/2006/relationships/hyperlink" Target="https://www.scielo.br/pdf/aabc/v89n1/0001-3765-aabc-89-01-00285.pdf" TargetMode="External"/><Relationship Id="rId428" Type="http://schemas.openxmlformats.org/officeDocument/2006/relationships/hyperlink" Target="https://www.ncbi.nlm.nih.gov/pubmed/?term=Pollard%20AJ%5BAuthor%5D&amp;cauthor=true&amp;cauthor_uid=30319615" TargetMode="External"/><Relationship Id="rId635"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842" Type="http://schemas.openxmlformats.org/officeDocument/2006/relationships/hyperlink" Target="https://pubmed.ncbi.nlm.nih.gov/23411799/" TargetMode="External"/><Relationship Id="rId1058" Type="http://schemas.openxmlformats.org/officeDocument/2006/relationships/hyperlink" Target="https://pubmed.ncbi.nlm.nih.gov/26256526/?from_term=Maternal+antibodies+and+infant+immune+responses+to+vaccines&amp;from_pos=4" TargetMode="External"/><Relationship Id="rId1265" Type="http://schemas.openxmlformats.org/officeDocument/2006/relationships/hyperlink" Target="https://www.ncbi.nlm.nih.gov/pubmed/?term=Sex+Hormones+SARS-Cov-2" TargetMode="External"/><Relationship Id="rId702" Type="http://schemas.openxmlformats.org/officeDocument/2006/relationships/hyperlink" Target="https://pubmed.ncbi.nlm.nih.gov/?term=Mahalingam+S&amp;cauthor_id=26497532" TargetMode="External"/><Relationship Id="rId1125" Type="http://schemas.openxmlformats.org/officeDocument/2006/relationships/hyperlink" Target="https://www.nature.com/articles/nri.2017.64" TargetMode="External"/><Relationship Id="rId1332" Type="http://schemas.openxmlformats.org/officeDocument/2006/relationships/hyperlink" Target="https://www.ncbi.nlm.nih.gov/pmc/articles/PMC7151476/" TargetMode="External"/><Relationship Id="rId69" Type="http://schemas.openxmlformats.org/officeDocument/2006/relationships/hyperlink" Target="https://www.medpagetoday.com/infectiousdisease/covid19/86535" TargetMode="External"/><Relationship Id="rId285" Type="http://schemas.openxmlformats.org/officeDocument/2006/relationships/hyperlink" Target="https://www.ncbi.nlm.nih.gov/pubmed/?term=Ledford%20H%5BAuthor%5D&amp;cauthor=true&amp;cauthor_uid=32382121" TargetMode="External"/><Relationship Id="rId492" Type="http://schemas.openxmlformats.org/officeDocument/2006/relationships/hyperlink" Target="https://www.ncbi.nlm.nih.gov/pubmed/?term=Henderson%20LA%5BAuthor%5D&amp;cauthor=true&amp;cauthor_uid=32293098" TargetMode="External"/><Relationship Id="rId797" Type="http://schemas.openxmlformats.org/officeDocument/2006/relationships/hyperlink" Target="https://pubmed.ncbi.nlm.nih.gov/?term=Zhou+W&amp;cauthor_id=24040960" TargetMode="External"/><Relationship Id="rId145" Type="http://schemas.openxmlformats.org/officeDocument/2006/relationships/hyperlink" Target="https://www.ncbi.nlm.nih.gov/pubmed/?term=Mehta%20P%5BAuthor%5D&amp;cauthor=true&amp;cauthor_uid=32192578" TargetMode="External"/><Relationship Id="rId352" Type="http://schemas.openxmlformats.org/officeDocument/2006/relationships/hyperlink" Target="https://www.ncbi.nlm.nih.gov/pubmed/?term=Wu%20D%5BAuthor%5D&amp;cauthor=true&amp;cauthor_uid=12845623" TargetMode="External"/><Relationship Id="rId1287" Type="http://schemas.openxmlformats.org/officeDocument/2006/relationships/hyperlink" Target="https://www.ncbi.nlm.nih.gov/pubmed/?term=Li%20T%5BAuthor%5D&amp;cauthor=true&amp;cauthor_uid=32094336" TargetMode="External"/><Relationship Id="rId212" Type="http://schemas.openxmlformats.org/officeDocument/2006/relationships/hyperlink" Target="https://www.ncbi.nlm.nih.gov/pubmed/?term=Shang%20K%5BAuthor%5D&amp;cauthor=true&amp;cauthor_uid=32161940" TargetMode="External"/><Relationship Id="rId657" Type="http://schemas.openxmlformats.org/officeDocument/2006/relationships/hyperlink" Target="https://pubmed.ncbi.nlm.nih.gov/18495857/?from_term=Human+coronavirus+NL63+and+229E+seroconversion+in+children&amp;from_pos=1" TargetMode="External"/><Relationship Id="rId864" Type="http://schemas.openxmlformats.org/officeDocument/2006/relationships/hyperlink" Target="https://www.ncbi.nlm.nih.gov/pmc/articles/PMC1143636/" TargetMode="External"/><Relationship Id="rId517" Type="http://schemas.openxmlformats.org/officeDocument/2006/relationships/hyperlink" Target="https://www.ncbi.nlm.nih.gov/pubmed/?term=Shao%20C%5BAuthor%5D&amp;cauthor=true&amp;cauthor_uid=32205856" TargetMode="External"/><Relationship Id="rId724" Type="http://schemas.openxmlformats.org/officeDocument/2006/relationships/hyperlink" Target="https://www.ncbi.nlm.nih.gov/pmc/articles/PMC7092860/pdf/main.pdf" TargetMode="External"/><Relationship Id="rId931" Type="http://schemas.openxmlformats.org/officeDocument/2006/relationships/hyperlink" Target="https://www.fip-ifp.org/wp-content/uploads/2020/04/acroischemia-ENG.pdf" TargetMode="External"/><Relationship Id="rId1147" Type="http://schemas.openxmlformats.org/officeDocument/2006/relationships/hyperlink" Target="https://www.ncbi.nlm.nih.gov/pmc/articles/PMC7003403/" TargetMode="External"/><Relationship Id="rId1354" Type="http://schemas.openxmlformats.org/officeDocument/2006/relationships/hyperlink" Target="https://www.ncbi.nlm.nih.gov/pubmed/?term=Yeh%20TM%5BAuthor%5D&amp;cauthor=true&amp;cauthor_uid=18320019" TargetMode="External"/><Relationship Id="rId60" Type="http://schemas.openxmlformats.org/officeDocument/2006/relationships/hyperlink" Target="https://www.ncbi.nlm.nih.gov/pubmed/?term=Cressoni%20M%5BAuthor%5D&amp;cauthor=true&amp;cauthor_uid=32228035" TargetMode="External"/><Relationship Id="rId1007" Type="http://schemas.openxmlformats.org/officeDocument/2006/relationships/hyperlink" Target="https://www.ncbi.nlm.nih.gov/pubmed/?term=Smith%20CL%5BAuthor%5D&amp;cauthor=true&amp;cauthor_uid=23449137" TargetMode="External"/><Relationship Id="rId1214" Type="http://schemas.openxmlformats.org/officeDocument/2006/relationships/hyperlink" Target="https://pubmed.ncbi.nlm.nih.gov/10366160/" TargetMode="External"/><Relationship Id="rId18"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167" Type="http://schemas.openxmlformats.org/officeDocument/2006/relationships/hyperlink" Target="https://www.ncbi.nlm.nih.gov/pubmed/?term=Vaninov%20N%5BAuthor%5D&amp;cauthor=true&amp;cauthor_uid=32249847" TargetMode="External"/><Relationship Id="rId374" Type="http://schemas.openxmlformats.org/officeDocument/2006/relationships/hyperlink" Target="https://pubmed.ncbi.nlm.nih.gov/32418199/?from_term_alias=trending_articles_list&amp;from_pos=3" TargetMode="External"/><Relationship Id="rId581" Type="http://schemas.openxmlformats.org/officeDocument/2006/relationships/hyperlink" Target="https://www.ncbi.nlm.nih.gov/pubmed/?term=Pasculle%20W%5BAuthor%5D&amp;cauthor=true&amp;cauthor_uid=18379262" TargetMode="External"/><Relationship Id="rId234" Type="http://schemas.openxmlformats.org/officeDocument/2006/relationships/hyperlink" Target="https://www.ncbi.nlm.nih.gov/pubmed/?term=Gratteri%20S%5BAuthor%5D&amp;cauthor=true&amp;cauthor_uid=32383963" TargetMode="External"/><Relationship Id="rId679" Type="http://schemas.openxmlformats.org/officeDocument/2006/relationships/hyperlink" Target="https://journals.sagepub.com/doi/pdf/10.1177/1535370220928964" TargetMode="External"/><Relationship Id="rId886" Type="http://schemas.openxmlformats.org/officeDocument/2006/relationships/hyperlink" Target="https://www.ncbi.nlm.nih.gov/pubmed/?term=Monti%20D%5BAuthor%5D&amp;cauthor=true&amp;cauthor_uid=15811314" TargetMode="External"/><Relationship Id="rId2" Type="http://schemas.openxmlformats.org/officeDocument/2006/relationships/hyperlink" Target="http://www.salute.gov.it/portale/nuovocoronavirus/dettaglioContenutiNuovoCoronavirus.jsp?lingua=italiano&amp;id=5338&amp;area=nuovoCoronavirus&amp;menu=vuoto" TargetMode="External"/><Relationship Id="rId441" Type="http://schemas.openxmlformats.org/officeDocument/2006/relationships/hyperlink" Target="https://www.ncbi.nlm.nih.gov/pubmed/?term=Zuo%20Z%5BAuthor%5D&amp;cauthor=true&amp;cauthor_uid=29467962" TargetMode="External"/><Relationship Id="rId539" Type="http://schemas.openxmlformats.org/officeDocument/2006/relationships/hyperlink" Target="https://www.ncbi.nlm.nih.gov/pubmed/?term=The+Role+of+Cytokines+including+Interleukin-6+in+COVID-19+induced+Pneumonia+and+Macrophage+Activation+Syndrome-Like+Disease" TargetMode="External"/><Relationship Id="rId746" Type="http://schemas.openxmlformats.org/officeDocument/2006/relationships/hyperlink" Target="https://www.ncbi.nlm.nih.gov/pmc/articles/PMC3209347/pdf/zjv12201.pdf" TargetMode="External"/><Relationship Id="rId1071" Type="http://schemas.openxmlformats.org/officeDocument/2006/relationships/hyperlink" Target="https://pubmed.ncbi.nlm.nih.gov/31354709/" TargetMode="External"/><Relationship Id="rId1169" Type="http://schemas.openxmlformats.org/officeDocument/2006/relationships/hyperlink" Target="https://pubmed.ncbi.nlm.nih.gov/26032361/" TargetMode="External"/><Relationship Id="rId1376" Type="http://schemas.openxmlformats.org/officeDocument/2006/relationships/hyperlink" Target="https://www.ncbi.nlm.nih.gov/pubmed/?term=Jankovsky%20LD%5BAuthor%5D&amp;cauthor=true&amp;cauthor_uid=7403860" TargetMode="External"/><Relationship Id="rId301" Type="http://schemas.openxmlformats.org/officeDocument/2006/relationships/hyperlink" Target="https://www.ncbi.nlm.nih.gov/pmc/articles/PMC7262093/pdf/JTH-9999-na.pdf" TargetMode="External"/><Relationship Id="rId953" Type="http://schemas.openxmlformats.org/officeDocument/2006/relationships/hyperlink" Target="https://pubmed.ncbi.nlm.nih.gov/32430957/" TargetMode="External"/><Relationship Id="rId1029" Type="http://schemas.openxmlformats.org/officeDocument/2006/relationships/hyperlink" Target="https://pubmed.ncbi.nlm.nih.gov/17848884/" TargetMode="External"/><Relationship Id="rId1236" Type="http://schemas.openxmlformats.org/officeDocument/2006/relationships/hyperlink" Target="https://www.epicentro.iss.it/coronavirus/bollettino/Report-COVID-2019_11_giugno.pdf" TargetMode="External"/><Relationship Id="rId82" Type="http://schemas.openxmlformats.org/officeDocument/2006/relationships/hyperlink" Target="https://www.ncbi.nlm.nih.gov/pubmed/?term=Lagadinou%20M%5BAuthor%5D&amp;cauthor=true&amp;cauthor_uid=32368884" TargetMode="External"/><Relationship Id="rId606" Type="http://schemas.openxmlformats.org/officeDocument/2006/relationships/hyperlink" Target="https://www.pagepress.org/journals/index.php/wpph/article/view/6735/6172" TargetMode="External"/><Relationship Id="rId813" Type="http://schemas.openxmlformats.org/officeDocument/2006/relationships/hyperlink" Target="https://www.jimmunol.org/content/181/9/6337.long" TargetMode="External"/><Relationship Id="rId1303" Type="http://schemas.openxmlformats.org/officeDocument/2006/relationships/hyperlink" Target="https://www.ncbi.nlm.nih.gov/pubmed/?term=Kadel%20S%5BAuthor%5D&amp;cauthor=true&amp;cauthor_uid=30079065" TargetMode="External"/><Relationship Id="rId189" Type="http://schemas.openxmlformats.org/officeDocument/2006/relationships/hyperlink" Target="https://www.ncbi.nlm.nih.gov/pubmed/?term=Ch%C3%A1vez-Valencia%20V%5BAuthor%5D&amp;cauthor=true&amp;cauthor_uid=32297995" TargetMode="External"/><Relationship Id="rId396" Type="http://schemas.openxmlformats.org/officeDocument/2006/relationships/hyperlink" Target="https://www.nejm.org/doi/pdf/10.1056/NEJMp030078?articleTools=true" TargetMode="External"/><Relationship Id="rId256" Type="http://schemas.openxmlformats.org/officeDocument/2006/relationships/hyperlink" Target="https://www.ncbi.nlm.nih.gov/pubmed/?term=Nebuloni%20M%5BAuthor%5D&amp;cauthor=true&amp;cauthor_uid=32324727" TargetMode="External"/><Relationship Id="rId463" Type="http://schemas.openxmlformats.org/officeDocument/2006/relationships/hyperlink" Target="https://www.ncbi.nlm.nih.gov/pubmed/?term=Cheng%20WC%5BAuthor%5D&amp;cauthor=true&amp;cauthor_uid=17052299" TargetMode="External"/><Relationship Id="rId670" Type="http://schemas.openxmlformats.org/officeDocument/2006/relationships/hyperlink" Target="https://pubmed.ncbi.nlm.nih.gov/?term=Blanco-Melo+D&amp;cauthor_id=32416070" TargetMode="External"/><Relationship Id="rId1093" Type="http://schemas.openxmlformats.org/officeDocument/2006/relationships/hyperlink" Target="https://pubmed.ncbi.nlm.nih.gov/?term=Canel+J&amp;cauthor_id=10998088" TargetMode="External"/><Relationship Id="rId116" Type="http://schemas.openxmlformats.org/officeDocument/2006/relationships/hyperlink" Target="https://www.pathologica.it/article/view/103/141" TargetMode="External"/><Relationship Id="rId323" Type="http://schemas.openxmlformats.org/officeDocument/2006/relationships/hyperlink" Target="https://www.ncbi.nlm.nih.gov/pmc/articles/PMC7128866/pdf/main.pdf" TargetMode="External"/><Relationship Id="rId530" Type="http://schemas.openxmlformats.org/officeDocument/2006/relationships/hyperlink" Target="https://www.ncbi.nlm.nih.gov/pubmed/?term=Zhang%20S%5BAuthor%5D&amp;cauthor=true&amp;cauthor_uid=32161940" TargetMode="External"/><Relationship Id="rId768" Type="http://schemas.openxmlformats.org/officeDocument/2006/relationships/hyperlink" Target="https://www.ncbi.nlm.nih.gov/pmc/articles/PMC7156211/" TargetMode="External"/><Relationship Id="rId975" Type="http://schemas.openxmlformats.org/officeDocument/2006/relationships/hyperlink" Target="https://pubmed.ncbi.nlm.nih.gov/32180292/?from_term=coronaviurs+death+pregancy&amp;from_exact_term=coronavirus+death+pregnancy&amp;from_pos=2" TargetMode="External"/><Relationship Id="rId1160" Type="http://schemas.openxmlformats.org/officeDocument/2006/relationships/hyperlink" Target="https://www.ncbi.nlm.nih.gov/pmc/articles/PMC4076590/" TargetMode="External"/><Relationship Id="rId1398" Type="http://schemas.openxmlformats.org/officeDocument/2006/relationships/hyperlink" Target="https://www.ncbi.nlm.nih.gov/pubmed/?term=Le%20Coupanec%20A%5BAuthor%5D&amp;cauthor=true&amp;cauthor_uid=24619619" TargetMode="External"/><Relationship Id="rId628" Type="http://schemas.openxmlformats.org/officeDocument/2006/relationships/hyperlink" Target="https://www.ncbi.nlm.nih.gov/pubmed/?term=Zhumadilov%20Z%5BAuthor%5D&amp;cauthor=true&amp;cauthor_uid=27195192" TargetMode="External"/><Relationship Id="rId835" Type="http://schemas.openxmlformats.org/officeDocument/2006/relationships/hyperlink" Target="http://old.iss.it/binary/publ/cont/ANN_18_01_13.pdf" TargetMode="External"/><Relationship Id="rId1258" Type="http://schemas.openxmlformats.org/officeDocument/2006/relationships/hyperlink" Target="https://www.ncbi.nlm.nih.gov/pmc/articles/PMC6434537/" TargetMode="External"/><Relationship Id="rId1020" Type="http://schemas.openxmlformats.org/officeDocument/2006/relationships/hyperlink" Target="https://pubmed.ncbi.nlm.nih.gov/21415741/" TargetMode="External"/><Relationship Id="rId1118" Type="http://schemas.openxmlformats.org/officeDocument/2006/relationships/hyperlink" Target="https://pubmed.ncbi.nlm.nih.gov/?term=Pou+C&amp;cauthor_id=30886409" TargetMode="External"/><Relationship Id="rId1325" Type="http://schemas.openxmlformats.org/officeDocument/2006/relationships/hyperlink" Target="https://www.ncbi.nlm.nih.gov/pubmed/?term=Ten%20Eyck%20PP%5BAuthor%5D&amp;cauthor=true&amp;cauthor_uid=28373583" TargetMode="External"/><Relationship Id="rId902" Type="http://schemas.openxmlformats.org/officeDocument/2006/relationships/hyperlink" Target="https://www.ncbi.nlm.nih.gov/pubmed/27711979" TargetMode="External"/><Relationship Id="rId31" Type="http://schemas.openxmlformats.org/officeDocument/2006/relationships/hyperlink" Target="https://www.uptodate.com/contents/coronavirus-disease-2019-covid-19-epidemiology-virology-clinical-features-diagnosis-and-prevention" TargetMode="External"/><Relationship Id="rId180" Type="http://schemas.openxmlformats.org/officeDocument/2006/relationships/hyperlink" Target="https://www.ncbi.nlm.nih.gov/pubmed/?term=10.1126%2Fscience.abb8925" TargetMode="External"/><Relationship Id="rId278" Type="http://schemas.openxmlformats.org/officeDocument/2006/relationships/hyperlink" Target="https://www.ncbi.nlm.nih.gov/pubmed/?term=Bargfrieder%20U%5BAuthor%5D&amp;cauthor=true&amp;cauthor_uid=32422076" TargetMode="External"/><Relationship Id="rId485" Type="http://schemas.openxmlformats.org/officeDocument/2006/relationships/hyperlink" Target="https://www.ncbi.nlm.nih.gov/pubmed/?term=Manson%20JJ%5BAuthor%5D&amp;cauthor=true&amp;cauthor_uid=32192578" TargetMode="External"/><Relationship Id="rId692" Type="http://schemas.openxmlformats.org/officeDocument/2006/relationships/hyperlink" Target="https://pubmed.ncbi.nlm.nih.gov/26497532/?from_term=Fc+receptors+in+antibody%E2%80%90dependent+enhancement+of+viral+infections&amp;from_pos=1" TargetMode="External"/><Relationship Id="rId138" Type="http://schemas.openxmlformats.org/officeDocument/2006/relationships/hyperlink" Target="https://www.ncbi.nlm.nih.gov/pubmed/32251717" TargetMode="External"/><Relationship Id="rId345" Type="http://schemas.openxmlformats.org/officeDocument/2006/relationships/hyperlink" Target="https://www.ncbi.nlm.nih.gov/pubmed/?term=Geng%20J%5BAuthor%5D&amp;cauthor=true&amp;cauthor_uid=12845623" TargetMode="External"/><Relationship Id="rId552" Type="http://schemas.openxmlformats.org/officeDocument/2006/relationships/hyperlink" Target="https://www.ncbi.nlm.nih.gov/pubmed/?term=Thompson%20JA%5BAuthor%5D&amp;cauthor=true&amp;cauthor_uid=30673535" TargetMode="External"/><Relationship Id="rId997" Type="http://schemas.openxmlformats.org/officeDocument/2006/relationships/hyperlink" Target="https://pubmed.ncbi.nlm.nih.gov/?term=Levy+O&amp;cauthor_id=17457344" TargetMode="External"/><Relationship Id="rId1182" Type="http://schemas.openxmlformats.org/officeDocument/2006/relationships/hyperlink" Target="https://pubmed.ncbi.nlm.nih.gov/22964331/" TargetMode="External"/><Relationship Id="rId205" Type="http://schemas.openxmlformats.org/officeDocument/2006/relationships/hyperlink" Target="https://www.ncbi.nlm.nih.gov/pubmed/?term=Zhou%20L%5BAuthor%5D&amp;cauthor=true&amp;cauthor_uid=32161940" TargetMode="External"/><Relationship Id="rId412" Type="http://schemas.openxmlformats.org/officeDocument/2006/relationships/hyperlink" Target="https://www.ncbi.nlm.nih.gov/pubmed/?term=Vardhana%20SA%5BAuthor%5D&amp;cauthor=true&amp;cauthor_uid=32353870" TargetMode="External"/><Relationship Id="rId857" Type="http://schemas.openxmlformats.org/officeDocument/2006/relationships/hyperlink" Target="https://www.ncbi.nlm.nih.gov/pubmed/?term=McNamara%20PS%5BAuthor%5D&amp;cauthor=true&amp;cauthor_uid=32353634" TargetMode="External"/><Relationship Id="rId1042" Type="http://schemas.openxmlformats.org/officeDocument/2006/relationships/hyperlink" Target="https://pubmed.ncbi.nlm.nih.gov/18821424/" TargetMode="External"/><Relationship Id="rId717" Type="http://schemas.openxmlformats.org/officeDocument/2006/relationships/hyperlink" Target="https://www.researchgate.net/publication/259826273_The_function_of_Fc_gamma_receptors_in_dendritic_cells_and_macrophages/link/0a85e53c9011b7e179000000/download" TargetMode="External"/><Relationship Id="rId924" Type="http://schemas.openxmlformats.org/officeDocument/2006/relationships/hyperlink" Target="https://pubmed.ncbi.nlm.nih.gov/?term=Jiang+F&amp;cauthor_id=32179660" TargetMode="External"/><Relationship Id="rId1347" Type="http://schemas.openxmlformats.org/officeDocument/2006/relationships/hyperlink" Target="https://dx.doi.org/10.1016%2Fj.jtauto.2020.100051" TargetMode="External"/><Relationship Id="rId53" Type="http://schemas.openxmlformats.org/officeDocument/2006/relationships/hyperlink" Target="https://www.mdpi.com/2077-0383/9/5/1259/htm" TargetMode="External"/><Relationship Id="rId1207" Type="http://schemas.openxmlformats.org/officeDocument/2006/relationships/hyperlink" Target="https://pubmed.ncbi.nlm.nih.gov/17116321/" TargetMode="External"/><Relationship Id="rId1414" Type="http://schemas.openxmlformats.org/officeDocument/2006/relationships/hyperlink" Target="https://pubmed.ncbi.nlm.nih.gov/16252612/" TargetMode="External"/><Relationship Id="rId367" Type="http://schemas.openxmlformats.org/officeDocument/2006/relationships/hyperlink" Target="https://www.ncbi.nlm.nih.gov/pubmed/?term=Foster%20JA%5BAuthor%5D&amp;cauthor=true&amp;cauthor_uid=32244041" TargetMode="External"/><Relationship Id="rId574" Type="http://schemas.openxmlformats.org/officeDocument/2006/relationships/hyperlink" Target="https://www.ncbi.nlm.nih.gov/pubmed/?term=Bartlett%20JG%5BAuthor%5D&amp;cauthor=true&amp;cauthor_uid=18379262" TargetMode="External"/><Relationship Id="rId227" Type="http://schemas.openxmlformats.org/officeDocument/2006/relationships/hyperlink" Target="https://www.ncbi.nlm.nih.gov/pubmed/?term=Abenavoli%20L%5BAuthor%5D&amp;cauthor=true&amp;cauthor_uid=32383963" TargetMode="External"/><Relationship Id="rId781" Type="http://schemas.openxmlformats.org/officeDocument/2006/relationships/hyperlink" Target="https://pubmed.ncbi.nlm.nih.gov/?term=Song+D&amp;cauthor_id=17490702" TargetMode="External"/><Relationship Id="rId879" Type="http://schemas.openxmlformats.org/officeDocument/2006/relationships/hyperlink" Target="https://www.ncbi.nlm.nih.gov/pubmed/?term=De%20Luca%20M%5BAuthor%5D&amp;cauthor=true&amp;cauthor_uid=10911963" TargetMode="External"/><Relationship Id="rId434" Type="http://schemas.openxmlformats.org/officeDocument/2006/relationships/hyperlink" Target="https://www.intechopen.com/books/immune-response-activation-and-immunomodulation/cytokine-profiling-plays-a-crucial-role-in-activating-immune-system-to-clear-infectious-pathogens" TargetMode="External"/><Relationship Id="rId641" Type="http://schemas.openxmlformats.org/officeDocument/2006/relationships/hyperlink" Target="https://pubmed.ncbi.nlm.nih.gov/32191259/?from_single_result=Characteristics+and+Outcomes+of+21+Critically+Ill+Patients+With+COVID-19+in+Washington+State&amp;expanded_search_query=Characteristics+and+Outcomes+of+21+Critically+Ill+Patients+With+COVID-19+in+Washington+State" TargetMode="External"/><Relationship Id="rId739" Type="http://schemas.openxmlformats.org/officeDocument/2006/relationships/hyperlink" Target="https://pubmed.ncbi.nlm.nih.gov/30568643/?from_term=Viral-Induced+Enhanced+Disease+Illness&amp;from_filter=simsearch1.fha&amp;from_pos=1" TargetMode="External"/><Relationship Id="rId1064" Type="http://schemas.openxmlformats.org/officeDocument/2006/relationships/hyperlink" Target="https://pubmed.ncbi.nlm.nih.gov/?term=Pyzik+M&amp;cauthor_id=31354709" TargetMode="External"/><Relationship Id="rId1271" Type="http://schemas.openxmlformats.org/officeDocument/2006/relationships/hyperlink" Target="https://academic.oup.com/femsre/article/39/4/509/2467625" TargetMode="External"/><Relationship Id="rId1369" Type="http://schemas.openxmlformats.org/officeDocument/2006/relationships/hyperlink" Target="https://www.ncbi.nlm.nih.gov/pubmed/?term=Ciurli%20C%5BAuthor%5D&amp;cauthor=true&amp;cauthor_uid=8967755" TargetMode="External"/><Relationship Id="rId501" Type="http://schemas.openxmlformats.org/officeDocument/2006/relationships/hyperlink" Target="https://www.ncbi.nlm.nih.gov/pmc/articles/PMC3294426/pdf/zmr16.pdf" TargetMode="External"/><Relationship Id="rId946" Type="http://schemas.openxmlformats.org/officeDocument/2006/relationships/hyperlink" Target="https://pubmed.ncbi.nlm.nih.gov/32430957/" TargetMode="External"/><Relationship Id="rId1131" Type="http://schemas.openxmlformats.org/officeDocument/2006/relationships/hyperlink" Target="https://www.ncbi.nlm.nih.gov/pmc/articles/PMC3025805/" TargetMode="External"/><Relationship Id="rId1229" Type="http://schemas.openxmlformats.org/officeDocument/2006/relationships/hyperlink" Target="https://www.ncbi.nlm.nih.gov/pmc/articles/PMC3657521/" TargetMode="External"/><Relationship Id="rId75" Type="http://schemas.openxmlformats.org/officeDocument/2006/relationships/hyperlink" Target="https://www.ncbi.nlm.nih.gov/pubmed/?term=Zhao%20W%5BAuthor%5D&amp;cauthor=true&amp;cauthor_uid=32232685" TargetMode="External"/><Relationship Id="rId806" Type="http://schemas.openxmlformats.org/officeDocument/2006/relationships/hyperlink" Target="https://pubmed.ncbi.nlm.nih.gov/9262229/" TargetMode="External"/><Relationship Id="rId291" Type="http://schemas.openxmlformats.org/officeDocument/2006/relationships/hyperlink" Target="https://www.ncbi.nlm.nih.gov/pubmed/?term=Haberecker%20M%5BAuthor%5D&amp;cauthor=true&amp;cauthor_uid=32325026" TargetMode="External"/><Relationship Id="rId151" Type="http://schemas.openxmlformats.org/officeDocument/2006/relationships/hyperlink" Target="https://www.ncbi.nlm.nih.gov/pubmed/?term=HLH%20Across%20Speciality%20Collaboration%2C%20UK%5BCorporate%20Author%5D" TargetMode="External"/><Relationship Id="rId389" Type="http://schemas.openxmlformats.org/officeDocument/2006/relationships/hyperlink" Target="https://pubmed.ncbi.nlm.nih.gov/?term=Zhu+N&amp;cauthor_id=31978945" TargetMode="External"/><Relationship Id="rId596" Type="http://schemas.openxmlformats.org/officeDocument/2006/relationships/hyperlink" Target="https://www.ncbi.nlm.nih.gov/pubmed/27411542" TargetMode="External"/><Relationship Id="rId249" Type="http://schemas.openxmlformats.org/officeDocument/2006/relationships/hyperlink" Target="https://www.siapec.it/public/uploads/archiviodocumenti/PRD%20COVID-19-9%20rev001%20010420.pdf" TargetMode="External"/><Relationship Id="rId456" Type="http://schemas.openxmlformats.org/officeDocument/2006/relationships/hyperlink" Target="https://www.ncbi.nlm.nih.gov/pubmed/28466096" TargetMode="External"/><Relationship Id="rId663" Type="http://schemas.openxmlformats.org/officeDocument/2006/relationships/hyperlink" Target="https://pubmed.ncbi.nlm.nih.gov/?term=Perlman+S&amp;cauthor_id=28466096" TargetMode="External"/><Relationship Id="rId870" Type="http://schemas.openxmlformats.org/officeDocument/2006/relationships/hyperlink" Target="https://www.ncbi.nlm.nih.gov/pubmed/?term=McMichael%20A%5BAuthor%5D&amp;cauthor=true&amp;cauthor_uid=26702035" TargetMode="External"/><Relationship Id="rId1086" Type="http://schemas.openxmlformats.org/officeDocument/2006/relationships/hyperlink" Target="https://www.ncbi.nlm.nih.gov/pmc/articles/PMC3898171/" TargetMode="External"/><Relationship Id="rId1293" Type="http://schemas.openxmlformats.org/officeDocument/2006/relationships/hyperlink" Target="https://www.ncbi.nlm.nih.gov/pubmed/?term=Antonarakis%20ES%5BAuthor%5D&amp;cauthor=true&amp;cauthor_uid=32276929" TargetMode="External"/><Relationship Id="rId109" Type="http://schemas.openxmlformats.org/officeDocument/2006/relationships/hyperlink" Target="https://pubmed.ncbi.nlm.nih.gov/?term=Societ%C3%A0+Italiana+di+Anatomia+Patologica+e+Citologia+-+SIAPEC%5BCorporate+Author%5D" TargetMode="External"/><Relationship Id="rId316" Type="http://schemas.openxmlformats.org/officeDocument/2006/relationships/hyperlink" Target="https://www.ncbi.nlm.nih.gov/pubmed/?term=Pulmonary+pathology+of+early+phase+2019+novel+coronavirus+(COVID-19)+pneumonia+in+two+patients+with+lung+cancer" TargetMode="External"/><Relationship Id="rId523" Type="http://schemas.openxmlformats.org/officeDocument/2006/relationships/hyperlink" Target="https://www.ncbi.nlm.nih.gov/pubmed/?term=Ippolito%20G%5BAuthor%5D&amp;cauthor=true&amp;cauthor_uid=32205856" TargetMode="External"/><Relationship Id="rId968" Type="http://schemas.openxmlformats.org/officeDocument/2006/relationships/hyperlink" Target="https://pubmed.ncbi.nlm.nih.gov/32180292/?from_term=coronaviurs+death+pregancy&amp;from_exact_term=coronavirus+death+pregnancy&amp;from_pos=2" TargetMode="External"/><Relationship Id="rId1153" Type="http://schemas.openxmlformats.org/officeDocument/2006/relationships/hyperlink" Target="https://www.ncbi.nlm.nih.gov/pmc/articles/PMC5408367/" TargetMode="External"/><Relationship Id="rId97" Type="http://schemas.openxmlformats.org/officeDocument/2006/relationships/hyperlink" Target="http://www.quadernodiepidemiologia.it/epi/cause/pos_eva.htm" TargetMode="External"/><Relationship Id="rId730" Type="http://schemas.openxmlformats.org/officeDocument/2006/relationships/hyperlink" Target="https://www.ncbi.nlm.nih.gov/pmc/articles/PMC6478436/pdf/jciinsight-4-123158.pdf" TargetMode="External"/><Relationship Id="rId828" Type="http://schemas.openxmlformats.org/officeDocument/2006/relationships/hyperlink" Target="https://pubmed.ncbi.nlm.nih.gov/?term=Downie+AW&amp;cauthor_id=6072745" TargetMode="External"/><Relationship Id="rId1013" Type="http://schemas.openxmlformats.org/officeDocument/2006/relationships/hyperlink" Target="https://www.ncbi.nlm.nih.gov/pmc/articles/PMC4145351/" TargetMode="External"/><Relationship Id="rId1360" Type="http://schemas.openxmlformats.org/officeDocument/2006/relationships/hyperlink" Target="https://www.ncbi.nlm.nih.gov/pmc/articles/PMC7145936/" TargetMode="External"/><Relationship Id="rId1220" Type="http://schemas.openxmlformats.org/officeDocument/2006/relationships/hyperlink" Target="https://pubmed.ncbi.nlm.nih.gov/26472173/" TargetMode="External"/><Relationship Id="rId1318" Type="http://schemas.openxmlformats.org/officeDocument/2006/relationships/hyperlink" Target="https://www.ncbi.nlm.nih.gov/pubmed/?term=Cardani%20A%5BAuthor%5D&amp;cauthor=true&amp;cauthor_uid=26965109" TargetMode="External"/><Relationship Id="rId24" Type="http://schemas.openxmlformats.org/officeDocument/2006/relationships/hyperlink" Target="https://www.ncbi.nlm.nih.gov/pmc/articles/PMC7082763/" TargetMode="External"/><Relationship Id="rId173" Type="http://schemas.openxmlformats.org/officeDocument/2006/relationships/hyperlink" Target="https://www.ncbi.nlm.nih.gov/pubmed/?term=Tisoncik%20JR%5BAuthor%5D&amp;cauthor=true&amp;cauthor_uid=22390970" TargetMode="External"/><Relationship Id="rId380" Type="http://schemas.openxmlformats.org/officeDocument/2006/relationships/hyperlink" Target="https://www.ncbi.nlm.nih.gov/pubmed/?term=Salameh%20DM%5BAuthor%5D&amp;cauthor=true&amp;cauthor_uid=32245083" TargetMode="External"/><Relationship Id="rId240" Type="http://schemas.openxmlformats.org/officeDocument/2006/relationships/hyperlink" Target="https://www.ncbi.nlm.nih.gov/pubmed/32350596" TargetMode="External"/><Relationship Id="rId478" Type="http://schemas.openxmlformats.org/officeDocument/2006/relationships/hyperlink" Target="https://www.ncbi.nlm.nih.gov/pmc/articles/PMC7195002/" TargetMode="External"/><Relationship Id="rId685" Type="http://schemas.openxmlformats.org/officeDocument/2006/relationships/hyperlink" Target="https://www.ncbi.nlm.nih.gov/pmc/articles/PMC7187144/pdf/41577_2020_Article_320.pdf" TargetMode="External"/><Relationship Id="rId892" Type="http://schemas.openxmlformats.org/officeDocument/2006/relationships/hyperlink" Target="https://www.ncbi.nlm.nih.gov/pubmed/?term=Russo%20MA%5BAuthor%5D&amp;cauthor=true&amp;cauthor_uid=32250234" TargetMode="External"/><Relationship Id="rId100" Type="http://schemas.openxmlformats.org/officeDocument/2006/relationships/hyperlink" Target="https://pubmed.ncbi.nlm.nih.gov/32350596/?from_single_result=The+autopsy+debate+during+the+COVID-19+emergency%3A+the+Italian+experience&amp;expanded_search_query=The+autopsy+debate+during+the+COVID-19+emergency%3A+the+Italian+experience" TargetMode="External"/><Relationship Id="rId338" Type="http://schemas.openxmlformats.org/officeDocument/2006/relationships/hyperlink" Target="https://www.ncbi.nlm.nih.gov/pubmed/?term=Ding%20YQ%5BAuthor%5D&amp;cauthor=true&amp;cauthor_uid=32268662" TargetMode="External"/><Relationship Id="rId545" Type="http://schemas.openxmlformats.org/officeDocument/2006/relationships/hyperlink" Target="https://emcrit.org/" TargetMode="External"/><Relationship Id="rId752" Type="http://schemas.openxmlformats.org/officeDocument/2006/relationships/hyperlink" Target="https://pubmed.ncbi.nlm.nih.gov/32346094/?from_single_result=The+Potential+for+Antibody-Dependent+Enhancement+of+SARS-CoV-2+Infection%3A+Translational+Implications+for+Vaccine+Development&amp;expanded_search_query=The+Potential+for+Antibody-Dependent+Enhancement+of+SARS-CoV-2+Infection%3A+Translational+Implications+for+Vaccine+Development" TargetMode="External"/><Relationship Id="rId1175" Type="http://schemas.openxmlformats.org/officeDocument/2006/relationships/hyperlink" Target="https://www.nature.com/articles/nrgastro.2014.220" TargetMode="External"/><Relationship Id="rId1382" Type="http://schemas.openxmlformats.org/officeDocument/2006/relationships/hyperlink" Target="https://www.ncbi.nlm.nih.gov/pubmed/?term=Dubeau%20P%5BAuthor%5D&amp;cauthor=true&amp;cauthor_uid=31861926" TargetMode="External"/><Relationship Id="rId405" Type="http://schemas.openxmlformats.org/officeDocument/2006/relationships/hyperlink" Target="https://www.uniba.it/docenti/coluccia-mauro/attivita-didattica/materiale-didattico/2-infiammazione.pdf" TargetMode="External"/><Relationship Id="rId612" Type="http://schemas.openxmlformats.org/officeDocument/2006/relationships/hyperlink" Target="https://www.ncbi.nlm.nih.gov/pubmed/?term=Bailey%20M%5BAuthor%5D&amp;cauthor=true&amp;cauthor_uid=22290072" TargetMode="External"/><Relationship Id="rId1035" Type="http://schemas.openxmlformats.org/officeDocument/2006/relationships/hyperlink" Target="https://pubmed.ncbi.nlm.nih.gov/21831776/?from_term=Early+life%3A+gut+microbiota+and+immune+development+in+infancy&amp;from_pos=10" TargetMode="External"/><Relationship Id="rId1242" Type="http://schemas.openxmlformats.org/officeDocument/2006/relationships/hyperlink" Target="https://www.ncbi.nlm.nih.gov/pmc/articles/PMC5515003/" TargetMode="External"/><Relationship Id="rId917" Type="http://schemas.openxmlformats.org/officeDocument/2006/relationships/hyperlink" Target="https://pubmed.ncbi.nlm.nih.gov/?term=Mo+X&amp;cauthor_id=32179660" TargetMode="External"/><Relationship Id="rId1102" Type="http://schemas.openxmlformats.org/officeDocument/2006/relationships/hyperlink" Target="https://www.ncbi.nlm.nih.gov/pubmed/?term=Hamada%20A%5BAuthor%5D&amp;cauthor=true&amp;cauthor_uid=30692968" TargetMode="External"/><Relationship Id="rId46" Type="http://schemas.openxmlformats.org/officeDocument/2006/relationships/hyperlink" Target="https://pubmed.ncbi.nlm.nih.gov/32109013/?from_term=Clinical+Characteristics+of+Coronavirus+Disease+2019+in+China&amp;from_pos=1" TargetMode="External"/><Relationship Id="rId1407" Type="http://schemas.openxmlformats.org/officeDocument/2006/relationships/hyperlink" Target="https://www.ncbi.nlm.nih.gov/pubmed/?term=Meessen-Pinard%20M%5BAuthor%5D&amp;cauthor=true&amp;cauthor_uid=25281913" TargetMode="External"/><Relationship Id="rId195" Type="http://schemas.openxmlformats.org/officeDocument/2006/relationships/hyperlink" Target="https://www.ncbi.nlm.nih.gov/pubmed/?term=Huang%20J%5BAuthor%5D&amp;cauthor=true&amp;cauthor_uid=32205856" TargetMode="External"/><Relationship Id="rId262" Type="http://schemas.openxmlformats.org/officeDocument/2006/relationships/hyperlink" Target="https://www.ncbi.nlm.nih.gov/pmc/articles/PMC7240772/pdf/aim-olf-M202003.pdf" TargetMode="External"/><Relationship Id="rId567" Type="http://schemas.openxmlformats.org/officeDocument/2006/relationships/hyperlink" Target="https://www.ncbi.nlm.nih.gov/pubmed/?term=Hanna-Jumma%20S%5BAuthor%5D&amp;cauthor=true&amp;cauthor_uid=27411542" TargetMode="External"/><Relationship Id="rId1197" Type="http://schemas.openxmlformats.org/officeDocument/2006/relationships/hyperlink" Target="https://pubmed.ncbi.nlm.nih.gov/29477613/" TargetMode="External"/><Relationship Id="rId122" Type="http://schemas.openxmlformats.org/officeDocument/2006/relationships/hyperlink" Target="https://www.ncbi.nlm.nih.gov/pubmed/?term=Channappanavar%20R%5BAuthor%5D&amp;cauthor=true&amp;cauthor_uid=28466096" TargetMode="External"/><Relationship Id="rId774" Type="http://schemas.openxmlformats.org/officeDocument/2006/relationships/hyperlink" Target="https://pubmed.ncbi.nlm.nih.gov/20583029/?from_term=IL-6%3A+regulator+of+Treg%2FTh17+balance&amp;from_filter=simsearch1.fha&amp;from_pos=1" TargetMode="External"/><Relationship Id="rId981" Type="http://schemas.openxmlformats.org/officeDocument/2006/relationships/hyperlink" Target="https://pubmed.ncbi.nlm.nih.gov/?term=Lednicky+JA&amp;cauthor_id=32105680" TargetMode="External"/><Relationship Id="rId1057" Type="http://schemas.openxmlformats.org/officeDocument/2006/relationships/hyperlink" Target="https://pubmed.ncbi.nlm.nih.gov/?term=Edwards+KM&amp;cauthor_id=26256526" TargetMode="External"/><Relationship Id="rId427" Type="http://schemas.openxmlformats.org/officeDocument/2006/relationships/hyperlink" Target="https://www.ncbi.nlm.nih.gov/pubmed/?term=Drysdale%20SB%5BAuthor%5D&amp;cauthor=true&amp;cauthor_uid=30319615" TargetMode="External"/><Relationship Id="rId634" Type="http://schemas.openxmlformats.org/officeDocument/2006/relationships/hyperlink" Target="https://pubmed.ncbi.nlm.nih.gov/?term=Yim+E&amp;cauthor_id=32191259" TargetMode="External"/><Relationship Id="rId841" Type="http://schemas.openxmlformats.org/officeDocument/2006/relationships/hyperlink" Target="https://pubmed.ncbi.nlm.nih.gov/?term=Schwab+I&amp;cauthor_id=23411799" TargetMode="External"/><Relationship Id="rId1264" Type="http://schemas.openxmlformats.org/officeDocument/2006/relationships/hyperlink" Target="https://www.ncbi.nlm.nih.gov/pmc/articles/PMC7185012/" TargetMode="External"/><Relationship Id="rId701" Type="http://schemas.openxmlformats.org/officeDocument/2006/relationships/hyperlink" Target="https://pubmed.ncbi.nlm.nih.gov/26497532/?from_term=Fc+receptors+in+antibody%E2%80%90dependent+enhancement+of+viral+infections&amp;from_pos=1" TargetMode="External"/><Relationship Id="rId939" Type="http://schemas.openxmlformats.org/officeDocument/2006/relationships/hyperlink" Target="https://pubmed.ncbi.nlm.nih.gov/?term=Verdoni+L&amp;cauthor_id=32410760" TargetMode="External"/><Relationship Id="rId1124" Type="http://schemas.openxmlformats.org/officeDocument/2006/relationships/hyperlink" Target="https://www.ncbi.nlm.nih.gov/pmc/articles/PMC5794984/" TargetMode="External"/><Relationship Id="rId1331" Type="http://schemas.openxmlformats.org/officeDocument/2006/relationships/hyperlink" Target="https://www.ncbi.nlm.nih.gov/pubmed/?term=Goren%20A%5BAuthor%5D&amp;cauthor=true&amp;cauthor_uid=32283245" TargetMode="External"/><Relationship Id="rId68" Type="http://schemas.openxmlformats.org/officeDocument/2006/relationships/hyperlink" Target="https://www.medicinenet.com/endotracheal_intubation/article.h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5BFC7-C442-714C-8587-A328D1085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154</Pages>
  <Words>44450</Words>
  <Characters>253367</Characters>
  <Application>Microsoft Office Word</Application>
  <DocSecurity>0</DocSecurity>
  <Lines>2111</Lines>
  <Paragraphs>594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Fabio Zoffi</cp:lastModifiedBy>
  <cp:revision>2</cp:revision>
  <cp:lastPrinted>2020-06-23T17:44:00Z</cp:lastPrinted>
  <dcterms:created xsi:type="dcterms:W3CDTF">2020-06-29T12:25:00Z</dcterms:created>
  <dcterms:modified xsi:type="dcterms:W3CDTF">2020-06-29T12:25:00Z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6685625</vt:lpwstr>
  </property>
  <property fmtid="{D5CDD505-2E9C-101B-9397-08002B2CF9AE}" name="NXPowerLiteSettings" pid="3">
    <vt:lpwstr>C7000400038000</vt:lpwstr>
  </property>
  <property fmtid="{D5CDD505-2E9C-101B-9397-08002B2CF9AE}" name="NXPowerLiteVersion" pid="4">
    <vt:lpwstr>S9.0.1</vt:lpwstr>
  </property>
</Properties>
</file>